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90" w:rsidRPr="00FD74F2" w:rsidRDefault="00E23683" w:rsidP="00FD74F2">
      <w:pPr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PODMUKLI IMITATOR- HRONIČNA INFLAMATORNA DEMIJELINIZIRAJUĆA POLIRADIKULONEUROPATIJA</w:t>
      </w:r>
    </w:p>
    <w:p w:rsidR="00E23683" w:rsidRPr="00FD74F2" w:rsidRDefault="00FB6791">
      <w:pPr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Prtina D.¹, Buzadžija V.¹,</w:t>
      </w:r>
      <w:r w:rsidR="00313ED0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Prtina A.², Talić T.¹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FB6791" w:rsidRPr="00FD74F2" w:rsidRDefault="00FB6791">
      <w:pPr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¹ Zavod za fizikalnu medicinu i rehabilitaciju „Dr Miroslav Zotović“, Banja Luka, RS, BiH.</w:t>
      </w:r>
    </w:p>
    <w:p w:rsidR="00FB6791" w:rsidRPr="00FD74F2" w:rsidRDefault="00FB6791">
      <w:pPr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²Medicinski Fakultet, Univerzitet u Banja Luci, RS, BiH.</w:t>
      </w:r>
    </w:p>
    <w:p w:rsidR="00FD74F2" w:rsidRDefault="00FD74F2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57FE" w:rsidRDefault="00FD74F2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D74F2">
        <w:rPr>
          <w:rFonts w:ascii="Times New Roman" w:hAnsi="Times New Roman" w:cs="Times New Roman"/>
          <w:b/>
          <w:sz w:val="24"/>
          <w:szCs w:val="24"/>
        </w:rPr>
        <w:t>Apstrakt</w:t>
      </w:r>
    </w:p>
    <w:p w:rsidR="00FD74F2" w:rsidRPr="00FD74F2" w:rsidRDefault="00FD74F2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C357FE" w:rsidRPr="00FD74F2" w:rsidRDefault="00C357FE" w:rsidP="00FD7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</w:rPr>
        <w:t>Dijagnoza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hroni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inflamatorne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demijeliniziraju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ć</w:t>
      </w:r>
      <w:r w:rsidRPr="00FD74F2">
        <w:rPr>
          <w:rFonts w:ascii="Times New Roman" w:hAnsi="Times New Roman" w:cs="Times New Roman"/>
          <w:sz w:val="24"/>
          <w:szCs w:val="24"/>
        </w:rPr>
        <w:t>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poliradikulopatije</w:t>
      </w:r>
      <w:r w:rsidR="00274A4B">
        <w:rPr>
          <w:rFonts w:ascii="Times New Roman" w:hAnsi="Times New Roman" w:cs="Times New Roman"/>
          <w:sz w:val="24"/>
          <w:szCs w:val="24"/>
        </w:rPr>
        <w:t xml:space="preserve"> (CIDP)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prije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svega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zasniva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na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klini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kim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elektrofiziolo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š</w:t>
      </w:r>
      <w:r w:rsidRPr="00FD74F2">
        <w:rPr>
          <w:rFonts w:ascii="Times New Roman" w:hAnsi="Times New Roman" w:cs="Times New Roman"/>
          <w:sz w:val="24"/>
          <w:szCs w:val="24"/>
        </w:rPr>
        <w:t>kim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kriterijima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FD74F2">
        <w:rPr>
          <w:rFonts w:ascii="Times New Roman" w:hAnsi="Times New Roman" w:cs="Times New Roman"/>
          <w:sz w:val="24"/>
          <w:szCs w:val="24"/>
        </w:rPr>
        <w:t>Pouzdani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anamnesti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ki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podaci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vremenu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nastanka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prvih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tegoba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0137F7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kao i detaljan klinički pregled </w:t>
      </w:r>
      <w:r w:rsidRPr="00FD74F2">
        <w:rPr>
          <w:rFonts w:ascii="Times New Roman" w:hAnsi="Times New Roman" w:cs="Times New Roman"/>
          <w:sz w:val="24"/>
          <w:szCs w:val="24"/>
        </w:rPr>
        <w:t>su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od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presudnog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zna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aja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za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dono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š</w:t>
      </w:r>
      <w:r w:rsidRPr="00FD74F2">
        <w:rPr>
          <w:rFonts w:ascii="Times New Roman" w:hAnsi="Times New Roman" w:cs="Times New Roman"/>
          <w:sz w:val="24"/>
          <w:szCs w:val="24"/>
        </w:rPr>
        <w:t>enje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pravilnih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dijagnosti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kih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zaklju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aka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FD74F2">
        <w:rPr>
          <w:rFonts w:ascii="Times New Roman" w:hAnsi="Times New Roman" w:cs="Times New Roman"/>
          <w:sz w:val="24"/>
          <w:szCs w:val="24"/>
        </w:rPr>
        <w:t>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slu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aju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nedovoljno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pouzdanih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anamnesti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kih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podataka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D74F2">
        <w:rPr>
          <w:rFonts w:ascii="Times New Roman" w:hAnsi="Times New Roman" w:cs="Times New Roman"/>
          <w:sz w:val="24"/>
          <w:szCs w:val="24"/>
        </w:rPr>
        <w:t>atipi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klini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ke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slike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te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dvojbenih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elektrofiziolo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š</w:t>
      </w:r>
      <w:r w:rsidRPr="00FD74F2">
        <w:rPr>
          <w:rFonts w:ascii="Times New Roman" w:hAnsi="Times New Roman" w:cs="Times New Roman"/>
          <w:sz w:val="24"/>
          <w:szCs w:val="24"/>
        </w:rPr>
        <w:t>kih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nalaza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kao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ovoj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studiji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pacijenta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CIDP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D74F2">
        <w:rPr>
          <w:rFonts w:ascii="Times New Roman" w:hAnsi="Times New Roman" w:cs="Times New Roman"/>
          <w:sz w:val="24"/>
          <w:szCs w:val="24"/>
        </w:rPr>
        <w:t>lako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je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mogu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ć</w:t>
      </w:r>
      <w:r w:rsidRPr="00FD74F2">
        <w:rPr>
          <w:rFonts w:ascii="Times New Roman" w:hAnsi="Times New Roman" w:cs="Times New Roman"/>
          <w:sz w:val="24"/>
          <w:szCs w:val="24"/>
        </w:rPr>
        <w:t>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izgubiti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dragocijeno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vrijeme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za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pravovremene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tada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efikasne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terapijske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postupke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FD74F2">
        <w:rPr>
          <w:rFonts w:ascii="Times New Roman" w:hAnsi="Times New Roman" w:cs="Times New Roman"/>
          <w:sz w:val="24"/>
          <w:szCs w:val="24"/>
        </w:rPr>
        <w:t>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takvim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slu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ajevima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biopsija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nerva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47956" w:rsidRPr="00FD74F2">
        <w:rPr>
          <w:rFonts w:ascii="Times New Roman" w:hAnsi="Times New Roman" w:cs="Times New Roman"/>
          <w:sz w:val="24"/>
          <w:szCs w:val="24"/>
        </w:rPr>
        <w:t>bi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47956" w:rsidRPr="00FD74F2">
        <w:rPr>
          <w:rFonts w:ascii="Times New Roman" w:hAnsi="Times New Roman" w:cs="Times New Roman"/>
          <w:sz w:val="24"/>
          <w:szCs w:val="24"/>
        </w:rPr>
        <w:t>se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47956" w:rsidRPr="00FD74F2">
        <w:rPr>
          <w:rFonts w:ascii="Times New Roman" w:hAnsi="Times New Roman" w:cs="Times New Roman"/>
          <w:sz w:val="24"/>
          <w:szCs w:val="24"/>
        </w:rPr>
        <w:t>mogla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D74F2">
        <w:rPr>
          <w:rFonts w:ascii="Times New Roman" w:hAnsi="Times New Roman" w:cs="Times New Roman"/>
          <w:sz w:val="24"/>
          <w:szCs w:val="24"/>
        </w:rPr>
        <w:t>bit</w:t>
      </w:r>
      <w:r w:rsidR="00CC25B2">
        <w:rPr>
          <w:rFonts w:ascii="Times New Roman" w:hAnsi="Times New Roman" w:cs="Times New Roman"/>
          <w:sz w:val="24"/>
          <w:szCs w:val="24"/>
        </w:rPr>
        <w:t>i značajna dijagnostićka metoda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C357FE" w:rsidRPr="00FD74F2" w:rsidRDefault="00C357FE" w:rsidP="00FD7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C357FE" w:rsidRDefault="00C357FE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</w:rPr>
        <w:t>Klju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rije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: </w:t>
      </w:r>
      <w:r w:rsidRPr="00FD74F2">
        <w:rPr>
          <w:rFonts w:ascii="Times New Roman" w:hAnsi="Times New Roman" w:cs="Times New Roman"/>
          <w:sz w:val="24"/>
          <w:szCs w:val="24"/>
        </w:rPr>
        <w:t>Neuropatija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D74F2">
        <w:rPr>
          <w:rFonts w:ascii="Times New Roman" w:hAnsi="Times New Roman" w:cs="Times New Roman"/>
          <w:sz w:val="24"/>
          <w:szCs w:val="24"/>
        </w:rPr>
        <w:t>CIDP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D74F2">
        <w:rPr>
          <w:rFonts w:ascii="Times New Roman" w:hAnsi="Times New Roman" w:cs="Times New Roman"/>
          <w:sz w:val="24"/>
          <w:szCs w:val="24"/>
        </w:rPr>
        <w:t>EMNG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:rsidR="00CC25B2" w:rsidRDefault="00CC25B2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</w:p>
    <w:p w:rsidR="00A914DF" w:rsidRPr="00A914DF" w:rsidRDefault="00A914DF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A914DF">
        <w:rPr>
          <w:rFonts w:ascii="Times New Roman" w:hAnsi="Times New Roman" w:cs="Times New Roman"/>
          <w:sz w:val="24"/>
          <w:szCs w:val="24"/>
          <w:lang w:val="sr-Latn-BA"/>
        </w:rPr>
        <w:t>Abstract</w:t>
      </w:r>
    </w:p>
    <w:p w:rsidR="00A914DF" w:rsidRPr="00A914DF" w:rsidRDefault="00A914DF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</w:p>
    <w:p w:rsidR="00A914DF" w:rsidRPr="006D7A9E" w:rsidRDefault="00A914DF" w:rsidP="00A914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A9E">
        <w:rPr>
          <w:rFonts w:ascii="Times New Roman" w:eastAsia="Times New Roman" w:hAnsi="Times New Roman" w:cs="Times New Roman"/>
          <w:sz w:val="24"/>
          <w:szCs w:val="24"/>
          <w:lang/>
        </w:rPr>
        <w:t xml:space="preserve">The diagnosis of chronic inflammatory demyelinating poliradikulopatije (CIDP) is primarily based on clinical and electrophysiological criteria. Reliable history data on the time of first symptoms, as well as a detailed clinical examination are </w:t>
      </w:r>
      <w:r>
        <w:rPr>
          <w:rFonts w:ascii="Times New Roman" w:eastAsia="Times New Roman" w:hAnsi="Times New Roman" w:cs="Times New Roman"/>
          <w:sz w:val="24"/>
          <w:szCs w:val="24"/>
          <w:lang/>
        </w:rPr>
        <w:t>essential</w:t>
      </w:r>
      <w:r w:rsidRPr="006D7A9E">
        <w:rPr>
          <w:rFonts w:ascii="Times New Roman" w:eastAsia="Times New Roman" w:hAnsi="Times New Roman" w:cs="Times New Roman"/>
          <w:sz w:val="24"/>
          <w:szCs w:val="24"/>
          <w:lang/>
        </w:rPr>
        <w:t xml:space="preserve"> for making </w:t>
      </w:r>
      <w:r>
        <w:rPr>
          <w:rFonts w:ascii="Times New Roman" w:eastAsia="Times New Roman" w:hAnsi="Times New Roman" w:cs="Times New Roman"/>
          <w:sz w:val="24"/>
          <w:szCs w:val="24"/>
          <w:lang/>
        </w:rPr>
        <w:t>correct</w:t>
      </w:r>
      <w:r w:rsidRPr="006D7A9E">
        <w:rPr>
          <w:rFonts w:ascii="Times New Roman" w:eastAsia="Times New Roman" w:hAnsi="Times New Roman" w:cs="Times New Roman"/>
          <w:sz w:val="24"/>
          <w:szCs w:val="24"/>
          <w:lang/>
        </w:rPr>
        <w:t xml:space="preserve"> diagnostic conclusions. In case of lack of reliable </w:t>
      </w:r>
      <w:r w:rsidRPr="006D7A9E">
        <w:rPr>
          <w:rStyle w:val="hps"/>
          <w:rFonts w:ascii="Times New Roman" w:hAnsi="Times New Roman" w:cs="Times New Roman"/>
          <w:sz w:val="24"/>
          <w:szCs w:val="24"/>
          <w:shd w:val="clear" w:color="auto" w:fill="F5F5F5"/>
        </w:rPr>
        <w:t>anamnestic</w:t>
      </w:r>
      <w:r w:rsidRPr="006D7A9E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5F5F5"/>
        </w:rPr>
        <w:t> </w:t>
      </w:r>
      <w:r w:rsidRPr="006D7A9E">
        <w:rPr>
          <w:rStyle w:val="hps"/>
          <w:rFonts w:ascii="Times New Roman" w:hAnsi="Times New Roman" w:cs="Times New Roman"/>
          <w:sz w:val="24"/>
          <w:szCs w:val="24"/>
          <w:shd w:val="clear" w:color="auto" w:fill="F5F5F5"/>
        </w:rPr>
        <w:t>data</w:t>
      </w:r>
      <w:r w:rsidRPr="006D7A9E">
        <w:rPr>
          <w:rFonts w:ascii="Times New Roman" w:eastAsia="Times New Roman" w:hAnsi="Times New Roman" w:cs="Times New Roman"/>
          <w:sz w:val="24"/>
          <w:szCs w:val="24"/>
          <w:lang/>
        </w:rPr>
        <w:t xml:space="preserve">, atypical </w:t>
      </w:r>
      <w:r>
        <w:rPr>
          <w:rFonts w:ascii="Times New Roman" w:eastAsia="Times New Roman" w:hAnsi="Times New Roman" w:cs="Times New Roman"/>
          <w:sz w:val="24"/>
          <w:szCs w:val="24"/>
          <w:lang/>
        </w:rPr>
        <w:t>clinical presentation</w:t>
      </w:r>
      <w:r w:rsidRPr="006D7A9E">
        <w:rPr>
          <w:rFonts w:ascii="Times New Roman" w:eastAsia="Times New Roman" w:hAnsi="Times New Roman" w:cs="Times New Roman"/>
          <w:sz w:val="24"/>
          <w:szCs w:val="24"/>
          <w:lang/>
        </w:rPr>
        <w:t xml:space="preserve"> and electrophysiological findings as </w:t>
      </w:r>
      <w:r>
        <w:rPr>
          <w:rFonts w:ascii="Times New Roman" w:eastAsia="Times New Roman" w:hAnsi="Times New Roman" w:cs="Times New Roman"/>
          <w:sz w:val="24"/>
          <w:szCs w:val="24"/>
          <w:lang/>
        </w:rPr>
        <w:t>in this</w:t>
      </w:r>
      <w:r w:rsidRPr="006D7A9E">
        <w:rPr>
          <w:rFonts w:ascii="Times New Roman" w:eastAsia="Times New Roman" w:hAnsi="Times New Roman" w:cs="Times New Roman"/>
          <w:sz w:val="24"/>
          <w:szCs w:val="24"/>
          <w:lang/>
        </w:rPr>
        <w:t xml:space="preserve"> study, patients with CIDP, it is very likely to lose valuable time </w:t>
      </w:r>
      <w:r>
        <w:rPr>
          <w:rFonts w:ascii="Times New Roman" w:eastAsia="Times New Roman" w:hAnsi="Times New Roman" w:cs="Times New Roman"/>
          <w:sz w:val="24"/>
          <w:szCs w:val="24"/>
          <w:lang/>
        </w:rPr>
        <w:t xml:space="preserve">for </w:t>
      </w:r>
      <w:r w:rsidRPr="006D7A9E">
        <w:rPr>
          <w:rFonts w:ascii="Times New Roman" w:eastAsia="Times New Roman" w:hAnsi="Times New Roman" w:cs="Times New Roman"/>
          <w:sz w:val="24"/>
          <w:szCs w:val="24"/>
          <w:lang/>
        </w:rPr>
        <w:t>efficient therapeutic procedures. In such cases, nerve biopsy could be an important diagnostic tool.</w:t>
      </w:r>
    </w:p>
    <w:p w:rsidR="00A914DF" w:rsidRDefault="00A914DF" w:rsidP="00A914DF">
      <w:pPr>
        <w:jc w:val="both"/>
        <w:rPr>
          <w:rStyle w:val="hps"/>
          <w:rFonts w:ascii="Times New Roman" w:hAnsi="Times New Roman" w:cs="Times New Roman"/>
          <w:sz w:val="24"/>
          <w:szCs w:val="24"/>
          <w:lang/>
        </w:rPr>
      </w:pPr>
    </w:p>
    <w:p w:rsidR="00A914DF" w:rsidRPr="00A914DF" w:rsidRDefault="00A914DF" w:rsidP="00A914DF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</w:pPr>
      <w:r w:rsidRPr="00A914DF">
        <w:rPr>
          <w:rStyle w:val="hps"/>
          <w:rFonts w:ascii="Times New Roman" w:hAnsi="Times New Roman" w:cs="Times New Roman"/>
          <w:sz w:val="24"/>
          <w:szCs w:val="24"/>
          <w:lang/>
        </w:rPr>
        <w:t>Keywords</w:t>
      </w:r>
      <w:r w:rsidRPr="00A914DF">
        <w:rPr>
          <w:rStyle w:val="shorttext"/>
          <w:rFonts w:ascii="Times New Roman" w:hAnsi="Times New Roman" w:cs="Times New Roman"/>
          <w:sz w:val="24"/>
          <w:szCs w:val="24"/>
          <w:lang/>
        </w:rPr>
        <w:t xml:space="preserve">: </w:t>
      </w:r>
      <w:r w:rsidRPr="00A914DF">
        <w:rPr>
          <w:rStyle w:val="hps"/>
          <w:rFonts w:ascii="Times New Roman" w:hAnsi="Times New Roman" w:cs="Times New Roman"/>
          <w:sz w:val="24"/>
          <w:szCs w:val="24"/>
          <w:lang/>
        </w:rPr>
        <w:t>Neuropathy</w:t>
      </w:r>
      <w:r w:rsidRPr="00A914DF">
        <w:rPr>
          <w:rStyle w:val="shorttext"/>
          <w:rFonts w:ascii="Times New Roman" w:hAnsi="Times New Roman" w:cs="Times New Roman"/>
          <w:sz w:val="24"/>
          <w:szCs w:val="24"/>
          <w:lang/>
        </w:rPr>
        <w:t xml:space="preserve">, </w:t>
      </w:r>
      <w:r w:rsidRPr="00A914DF">
        <w:rPr>
          <w:rStyle w:val="hps"/>
          <w:rFonts w:ascii="Times New Roman" w:hAnsi="Times New Roman" w:cs="Times New Roman"/>
          <w:sz w:val="24"/>
          <w:szCs w:val="24"/>
          <w:lang/>
        </w:rPr>
        <w:t>CIDP</w:t>
      </w:r>
      <w:r w:rsidRPr="00A914DF">
        <w:rPr>
          <w:rStyle w:val="shorttext"/>
          <w:rFonts w:ascii="Times New Roman" w:hAnsi="Times New Roman" w:cs="Times New Roman"/>
          <w:sz w:val="24"/>
          <w:szCs w:val="24"/>
          <w:lang/>
        </w:rPr>
        <w:t xml:space="preserve">, </w:t>
      </w:r>
      <w:r w:rsidRPr="00A914DF">
        <w:rPr>
          <w:rStyle w:val="hps"/>
          <w:rFonts w:ascii="Times New Roman" w:hAnsi="Times New Roman" w:cs="Times New Roman"/>
          <w:sz w:val="24"/>
          <w:szCs w:val="24"/>
          <w:lang/>
        </w:rPr>
        <w:t>EMNG</w:t>
      </w:r>
      <w:r w:rsidRPr="00A914DF">
        <w:rPr>
          <w:rStyle w:val="shorttext"/>
          <w:rFonts w:ascii="Times New Roman" w:hAnsi="Times New Roman" w:cs="Times New Roman"/>
          <w:sz w:val="24"/>
          <w:szCs w:val="24"/>
          <w:lang/>
        </w:rPr>
        <w:t>.</w:t>
      </w:r>
    </w:p>
    <w:p w:rsidR="00C357FE" w:rsidRPr="00FD74F2" w:rsidRDefault="00C357FE" w:rsidP="00C357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sr-Latn-BA"/>
        </w:rPr>
      </w:pPr>
    </w:p>
    <w:p w:rsidR="00C357FE" w:rsidRPr="006A0498" w:rsidRDefault="00C357FE">
      <w:p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6A0498">
        <w:rPr>
          <w:rFonts w:ascii="Times New Roman" w:hAnsi="Times New Roman" w:cs="Times New Roman"/>
          <w:b/>
          <w:sz w:val="24"/>
          <w:szCs w:val="24"/>
          <w:lang w:val="sr-Latn-BA"/>
        </w:rPr>
        <w:t>Uvod</w:t>
      </w:r>
    </w:p>
    <w:p w:rsidR="00A914DF" w:rsidRDefault="00693EF5" w:rsidP="00FD74F2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</w:rPr>
        <w:t>Dyck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saradnici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(1) </w:t>
      </w:r>
      <w:r w:rsidRPr="00FD74F2">
        <w:rPr>
          <w:rFonts w:ascii="Times New Roman" w:hAnsi="Times New Roman" w:cs="Times New Roman"/>
          <w:sz w:val="24"/>
          <w:szCs w:val="24"/>
        </w:rPr>
        <w:t>su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FD74F2">
        <w:rPr>
          <w:rFonts w:ascii="Times New Roman" w:hAnsi="Times New Roman" w:cs="Times New Roman"/>
          <w:sz w:val="24"/>
          <w:szCs w:val="24"/>
          <w:lang w:val="sr-Latn-BA"/>
        </w:rPr>
        <w:t xml:space="preserve">1975 godine </w:t>
      </w:r>
      <w:r w:rsidRPr="00FD74F2">
        <w:rPr>
          <w:rFonts w:ascii="Times New Roman" w:hAnsi="Times New Roman" w:cs="Times New Roman"/>
          <w:sz w:val="24"/>
          <w:szCs w:val="24"/>
        </w:rPr>
        <w:t>prvi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opisali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hroni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inflamatornu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demijeliniziraju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ć</w:t>
      </w:r>
      <w:r w:rsidRPr="00FD74F2">
        <w:rPr>
          <w:rFonts w:ascii="Times New Roman" w:hAnsi="Times New Roman" w:cs="Times New Roman"/>
          <w:sz w:val="24"/>
          <w:szCs w:val="24"/>
        </w:rPr>
        <w:t>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poliradikuloneuropatiju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(</w:t>
      </w:r>
      <w:r w:rsidRPr="00FD74F2">
        <w:rPr>
          <w:rFonts w:ascii="Times New Roman" w:hAnsi="Times New Roman" w:cs="Times New Roman"/>
          <w:sz w:val="24"/>
          <w:szCs w:val="24"/>
        </w:rPr>
        <w:t>CIDP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). </w:t>
      </w:r>
      <w:r w:rsidRPr="00FD74F2">
        <w:rPr>
          <w:rFonts w:ascii="Times New Roman" w:hAnsi="Times New Roman" w:cs="Times New Roman"/>
          <w:sz w:val="24"/>
          <w:szCs w:val="24"/>
        </w:rPr>
        <w:t>Bolest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karakterisala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predominantno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simetri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nom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senzorimotornom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neuropatijom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relapsnim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FD74F2">
        <w:rPr>
          <w:rFonts w:ascii="Times New Roman" w:hAnsi="Times New Roman" w:cs="Times New Roman"/>
          <w:sz w:val="24"/>
          <w:szCs w:val="24"/>
        </w:rPr>
        <w:t>hroni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monofazi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ili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stabilnim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progresivnim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kursom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bez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prisustva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druge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uzro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hAnsi="Times New Roman" w:cs="Times New Roman"/>
          <w:sz w:val="24"/>
          <w:szCs w:val="24"/>
        </w:rPr>
        <w:t>ne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hAnsi="Times New Roman" w:cs="Times New Roman"/>
          <w:sz w:val="24"/>
          <w:szCs w:val="24"/>
        </w:rPr>
        <w:t>bolesti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(2)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Pr="00FD74F2">
        <w:rPr>
          <w:rFonts w:ascii="Times New Roman" w:hAnsi="Times New Roman" w:cs="Times New Roman"/>
          <w:sz w:val="24"/>
          <w:szCs w:val="24"/>
        </w:rPr>
        <w:t>Oboljeli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naj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="00E5052E" w:rsidRPr="00FD74F2">
        <w:rPr>
          <w:rFonts w:ascii="Times New Roman" w:hAnsi="Times New Roman" w:cs="Times New Roman"/>
          <w:sz w:val="24"/>
          <w:szCs w:val="24"/>
        </w:rPr>
        <w:t>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>šć</w:t>
      </w:r>
      <w:r w:rsidR="00E5052E" w:rsidRPr="00FD74F2">
        <w:rPr>
          <w:rFonts w:ascii="Times New Roman" w:hAnsi="Times New Roman" w:cs="Times New Roman"/>
          <w:sz w:val="24"/>
          <w:szCs w:val="24"/>
        </w:rPr>
        <w:t>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imaju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simptome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parestezija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i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slabosti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proksimalne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i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distalne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C357FE" w:rsidRPr="00FD74F2">
        <w:rPr>
          <w:rFonts w:ascii="Times New Roman" w:hAnsi="Times New Roman" w:cs="Times New Roman"/>
          <w:sz w:val="24"/>
          <w:szCs w:val="24"/>
        </w:rPr>
        <w:t>musk</w:t>
      </w:r>
      <w:r w:rsidR="00E5052E" w:rsidRPr="00FD74F2">
        <w:rPr>
          <w:rFonts w:ascii="Times New Roman" w:hAnsi="Times New Roman" w:cs="Times New Roman"/>
          <w:sz w:val="24"/>
          <w:szCs w:val="24"/>
        </w:rPr>
        <w:t>ulature</w:t>
      </w:r>
      <w:r w:rsidR="00C357FE" w:rsidRPr="00FD74F2">
        <w:rPr>
          <w:rFonts w:ascii="Times New Roman" w:hAnsi="Times New Roman" w:cs="Times New Roman"/>
          <w:sz w:val="24"/>
          <w:szCs w:val="24"/>
          <w:lang w:val="sr-Latn-BA"/>
        </w:rPr>
        <w:t>,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izra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>ž</w:t>
      </w:r>
      <w:r w:rsidR="00E5052E" w:rsidRPr="00FD74F2">
        <w:rPr>
          <w:rFonts w:ascii="Times New Roman" w:hAnsi="Times New Roman" w:cs="Times New Roman"/>
          <w:sz w:val="24"/>
          <w:szCs w:val="24"/>
        </w:rPr>
        <w:t>enije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donjih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ekstremiteta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E5052E" w:rsidRPr="00FD74F2">
        <w:rPr>
          <w:rFonts w:ascii="Times New Roman" w:hAnsi="Times New Roman" w:cs="Times New Roman"/>
          <w:sz w:val="24"/>
          <w:szCs w:val="24"/>
        </w:rPr>
        <w:t>Ovakva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u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>č</w:t>
      </w:r>
      <w:r w:rsidR="00E5052E" w:rsidRPr="00FD74F2">
        <w:rPr>
          <w:rFonts w:ascii="Times New Roman" w:hAnsi="Times New Roman" w:cs="Times New Roman"/>
          <w:sz w:val="24"/>
          <w:szCs w:val="24"/>
        </w:rPr>
        <w:t>estala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simptomatologija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mo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>ž</w:t>
      </w:r>
      <w:r w:rsidR="00E5052E" w:rsidRPr="00FD74F2">
        <w:rPr>
          <w:rFonts w:ascii="Times New Roman" w:hAnsi="Times New Roman" w:cs="Times New Roman"/>
          <w:sz w:val="24"/>
          <w:szCs w:val="24"/>
        </w:rPr>
        <w:t>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da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zavede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ljekare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u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pravcu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č</w:t>
      </w:r>
      <w:r w:rsidR="00E5052E" w:rsidRPr="00FD74F2">
        <w:rPr>
          <w:rFonts w:ascii="Times New Roman" w:hAnsi="Times New Roman" w:cs="Times New Roman"/>
          <w:sz w:val="24"/>
          <w:szCs w:val="24"/>
        </w:rPr>
        <w:t>e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>šć</w:t>
      </w:r>
      <w:r w:rsidR="00E5052E" w:rsidRPr="00FD74F2">
        <w:rPr>
          <w:rFonts w:ascii="Times New Roman" w:hAnsi="Times New Roman" w:cs="Times New Roman"/>
          <w:sz w:val="24"/>
          <w:szCs w:val="24"/>
        </w:rPr>
        <w:t>ih</w:t>
      </w:r>
      <w:r w:rsidR="00952939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52939" w:rsidRPr="00FD74F2">
        <w:rPr>
          <w:rFonts w:ascii="Times New Roman" w:hAnsi="Times New Roman" w:cs="Times New Roman"/>
          <w:sz w:val="24"/>
          <w:szCs w:val="24"/>
        </w:rPr>
        <w:t>manje</w:t>
      </w:r>
      <w:r w:rsidR="00952939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952939" w:rsidRPr="00FD74F2">
        <w:rPr>
          <w:rFonts w:ascii="Times New Roman" w:hAnsi="Times New Roman" w:cs="Times New Roman"/>
          <w:sz w:val="24"/>
          <w:szCs w:val="24"/>
        </w:rPr>
        <w:t>onesposobljavaju</w:t>
      </w:r>
      <w:r w:rsidR="00952939" w:rsidRPr="00FD74F2">
        <w:rPr>
          <w:rFonts w:ascii="Times New Roman" w:hAnsi="Times New Roman" w:cs="Times New Roman"/>
          <w:sz w:val="24"/>
          <w:szCs w:val="24"/>
          <w:lang w:val="sr-Latn-BA"/>
        </w:rPr>
        <w:t>ć</w:t>
      </w:r>
      <w:r w:rsidR="00952939" w:rsidRPr="00FD74F2">
        <w:rPr>
          <w:rFonts w:ascii="Times New Roman" w:hAnsi="Times New Roman" w:cs="Times New Roman"/>
          <w:sz w:val="24"/>
          <w:szCs w:val="24"/>
        </w:rPr>
        <w:t>ih</w:t>
      </w:r>
      <w:r w:rsidR="00E5052E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5052E" w:rsidRPr="00FD74F2">
        <w:rPr>
          <w:rFonts w:ascii="Times New Roman" w:hAnsi="Times New Roman" w:cs="Times New Roman"/>
          <w:sz w:val="24"/>
          <w:szCs w:val="24"/>
        </w:rPr>
        <w:t>ob</w:t>
      </w:r>
      <w:r w:rsidR="00C357FE" w:rsidRPr="00FD74F2">
        <w:rPr>
          <w:rFonts w:ascii="Times New Roman" w:hAnsi="Times New Roman" w:cs="Times New Roman"/>
          <w:sz w:val="24"/>
          <w:szCs w:val="24"/>
        </w:rPr>
        <w:t>o</w:t>
      </w:r>
      <w:r w:rsidR="00E5052E" w:rsidRPr="00FD74F2">
        <w:rPr>
          <w:rFonts w:ascii="Times New Roman" w:hAnsi="Times New Roman" w:cs="Times New Roman"/>
          <w:sz w:val="24"/>
          <w:szCs w:val="24"/>
        </w:rPr>
        <w:t>ljenja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</w:p>
    <w:p w:rsidR="00671C96" w:rsidRPr="00FD74F2" w:rsidRDefault="00185663" w:rsidP="00FD74F2">
      <w:pPr>
        <w:jc w:val="both"/>
        <w:rPr>
          <w:rFonts w:ascii="Times New Roman" w:hAnsi="Times New Roman" w:cs="Times New Roman"/>
          <w:sz w:val="24"/>
          <w:szCs w:val="24"/>
        </w:rPr>
      </w:pP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lastRenderedPageBreak/>
        <w:t>Polineuropatije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nastaju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usl</w:t>
      </w:r>
      <w:r w:rsidR="00F85613">
        <w:rPr>
          <w:rFonts w:ascii="Times New Roman" w:eastAsia="Calibri" w:hAnsi="Times New Roman" w:cs="Times New Roman"/>
          <w:sz w:val="24"/>
          <w:szCs w:val="24"/>
          <w:lang w:val="de-DE"/>
        </w:rPr>
        <w:t>j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ed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difuznog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o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>š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te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>ć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enja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perifernog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nervnog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sistema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i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karakteri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>š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e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ih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postojanje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bilateralnog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simetri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>č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nog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poreme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>ć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aja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funkcije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perifernih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ž</w:t>
      </w:r>
      <w:r w:rsidRPr="00FD74F2">
        <w:rPr>
          <w:rFonts w:ascii="Times New Roman" w:eastAsia="Calibri" w:hAnsi="Times New Roman" w:cs="Times New Roman"/>
          <w:sz w:val="24"/>
          <w:szCs w:val="24"/>
          <w:lang w:val="de-DE"/>
        </w:rPr>
        <w:t>ivaca</w:t>
      </w:r>
      <w:r w:rsidRPr="00FD74F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. 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sl-SI"/>
        </w:rPr>
        <w:t>One predstavljaju u etiolo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š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sl-SI"/>
        </w:rPr>
        <w:t>kom smislu heterogeni kompleks oboljenja</w:t>
      </w:r>
      <w:r w:rsidR="00F85613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sl-SI"/>
        </w:rPr>
        <w:t>koja nastaju usled o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š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sl-SI"/>
        </w:rPr>
        <w:t>te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hr-HR"/>
        </w:rPr>
        <w:t>ć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sl-SI"/>
        </w:rPr>
        <w:t>enja</w:t>
      </w:r>
      <w:r w:rsidR="00F85613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 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sl-SI"/>
        </w:rPr>
        <w:t>perifernog nervnog sistema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hr-HR"/>
        </w:rPr>
        <w:t xml:space="preserve">. </w:t>
      </w:r>
      <w:r w:rsidRPr="00FD74F2">
        <w:rPr>
          <w:rFonts w:ascii="Times New Roman" w:eastAsia="Calibri" w:hAnsi="Times New Roman" w:cs="Times New Roman"/>
          <w:bCs/>
          <w:sz w:val="24"/>
          <w:szCs w:val="24"/>
          <w:lang w:val="de-DE"/>
        </w:rPr>
        <w:t xml:space="preserve">Postoje dve osnovne grupe neuropatija i to su genetski determinisane i stečene neuropatije. </w:t>
      </w:r>
      <w:r w:rsidRPr="00FD74F2">
        <w:rPr>
          <w:rFonts w:ascii="Times New Roman" w:hAnsi="Times New Roman" w:cs="Times New Roman"/>
          <w:sz w:val="24"/>
          <w:szCs w:val="24"/>
          <w:lang w:val="de-DE"/>
        </w:rPr>
        <w:t>CIDP je imunski posredovana stečena polineuropatija koju karakteriše progresivni razvoj mišićne slabosti u periodu od najmanje dva m</w:t>
      </w:r>
      <w:r w:rsidR="00F85613">
        <w:rPr>
          <w:rFonts w:ascii="Times New Roman" w:hAnsi="Times New Roman" w:cs="Times New Roman"/>
          <w:sz w:val="24"/>
          <w:szCs w:val="24"/>
          <w:lang w:val="de-DE"/>
        </w:rPr>
        <w:t>j</w:t>
      </w:r>
      <w:r w:rsidRPr="00FD74F2">
        <w:rPr>
          <w:rFonts w:ascii="Times New Roman" w:hAnsi="Times New Roman" w:cs="Times New Roman"/>
          <w:sz w:val="24"/>
          <w:szCs w:val="24"/>
          <w:lang w:val="de-DE"/>
        </w:rPr>
        <w:t>eseca. Godišnja incidenca je između 0.25-0.5 na 100 000 stanovnika</w:t>
      </w:r>
      <w:r w:rsidR="009C7E20" w:rsidRPr="00FD74F2">
        <w:rPr>
          <w:rFonts w:ascii="Times New Roman" w:hAnsi="Times New Roman" w:cs="Times New Roman"/>
          <w:sz w:val="24"/>
          <w:szCs w:val="24"/>
          <w:lang w:val="de-DE"/>
        </w:rPr>
        <w:t xml:space="preserve"> (3)</w:t>
      </w:r>
      <w:r w:rsidRPr="00FD74F2">
        <w:rPr>
          <w:rFonts w:ascii="Times New Roman" w:hAnsi="Times New Roman" w:cs="Times New Roman"/>
          <w:sz w:val="24"/>
          <w:szCs w:val="24"/>
          <w:lang w:val="de-DE"/>
        </w:rPr>
        <w:t>. Javlja se u bilo kom životnom dobu, nešto češće u muškaraca nego u žena. Albuminocitološka disocijacija prisutna</w:t>
      </w:r>
      <w:r w:rsidR="00F85613">
        <w:rPr>
          <w:rFonts w:ascii="Times New Roman" w:hAnsi="Times New Roman" w:cs="Times New Roman"/>
          <w:sz w:val="24"/>
          <w:szCs w:val="24"/>
          <w:lang w:val="de-DE"/>
        </w:rPr>
        <w:t xml:space="preserve"> je u likvoru u 95% bolesnika. </w:t>
      </w:r>
      <w:r w:rsidRPr="00FD74F2">
        <w:rPr>
          <w:rFonts w:ascii="Times New Roman" w:hAnsi="Times New Roman" w:cs="Times New Roman"/>
          <w:sz w:val="24"/>
          <w:szCs w:val="24"/>
          <w:lang w:val="de-DE"/>
        </w:rPr>
        <w:t>Elektrofiziološki postoje svi parametri demijelinizacije.</w:t>
      </w:r>
      <w:r w:rsidR="009C7E20" w:rsidRPr="00FD74F2">
        <w:rPr>
          <w:rFonts w:ascii="Times New Roman" w:hAnsi="Times New Roman" w:cs="Times New Roman"/>
          <w:sz w:val="24"/>
          <w:szCs w:val="24"/>
          <w:lang w:val="de-DE"/>
        </w:rPr>
        <w:t xml:space="preserve"> Dijagnoza se postavlja na osnovu kliničkih, fizioloških, patoloških i nalaza cerebrospinalnog likvora (4</w:t>
      </w:r>
      <w:r w:rsidR="00404549" w:rsidRPr="00FD74F2">
        <w:rPr>
          <w:rFonts w:ascii="Times New Roman" w:hAnsi="Times New Roman" w:cs="Times New Roman"/>
          <w:sz w:val="24"/>
          <w:szCs w:val="24"/>
          <w:lang w:val="de-DE"/>
        </w:rPr>
        <w:t>,5</w:t>
      </w:r>
      <w:r w:rsidR="009C7E20" w:rsidRPr="00FD74F2">
        <w:rPr>
          <w:rFonts w:ascii="Times New Roman" w:hAnsi="Times New Roman" w:cs="Times New Roman"/>
          <w:sz w:val="24"/>
          <w:szCs w:val="24"/>
          <w:lang w:val="de-DE"/>
        </w:rPr>
        <w:t>).</w:t>
      </w:r>
      <w:r w:rsidR="00671C96" w:rsidRPr="00FD74F2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71C96" w:rsidRPr="00FD74F2">
        <w:rPr>
          <w:rFonts w:ascii="Times New Roman" w:hAnsi="Times New Roman" w:cs="Times New Roman"/>
          <w:sz w:val="24"/>
          <w:szCs w:val="24"/>
        </w:rPr>
        <w:t>Osnovni princip lečenja CIDP je primena imunosupresivne i imunomodulatorne terapije</w:t>
      </w:r>
      <w:r w:rsidR="00404549" w:rsidRPr="00FD74F2">
        <w:rPr>
          <w:rFonts w:ascii="Times New Roman" w:hAnsi="Times New Roman" w:cs="Times New Roman"/>
          <w:sz w:val="24"/>
          <w:szCs w:val="24"/>
        </w:rPr>
        <w:t xml:space="preserve"> (6)</w:t>
      </w:r>
      <w:r w:rsidR="00671C96" w:rsidRPr="00FD74F2">
        <w:rPr>
          <w:rFonts w:ascii="Times New Roman" w:hAnsi="Times New Roman" w:cs="Times New Roman"/>
          <w:sz w:val="24"/>
          <w:szCs w:val="24"/>
        </w:rPr>
        <w:t>. Prim</w:t>
      </w:r>
      <w:r w:rsidR="00F85613">
        <w:rPr>
          <w:rFonts w:ascii="Times New Roman" w:hAnsi="Times New Roman" w:cs="Times New Roman"/>
          <w:sz w:val="24"/>
          <w:szCs w:val="24"/>
        </w:rPr>
        <w:t>j</w:t>
      </w:r>
      <w:r w:rsidR="00671C96" w:rsidRPr="00FD74F2">
        <w:rPr>
          <w:rFonts w:ascii="Times New Roman" w:hAnsi="Times New Roman" w:cs="Times New Roman"/>
          <w:sz w:val="24"/>
          <w:szCs w:val="24"/>
        </w:rPr>
        <w:t>enom kortikosteroida postiže se signifkantno poboljšanje u 65% do 90% bolesnika. Ovo je terapija izbora u boles</w:t>
      </w:r>
      <w:r w:rsidR="00F85613">
        <w:rPr>
          <w:rFonts w:ascii="Times New Roman" w:hAnsi="Times New Roman" w:cs="Times New Roman"/>
          <w:sz w:val="24"/>
          <w:szCs w:val="24"/>
        </w:rPr>
        <w:t xml:space="preserve">nika sa blažom formom bolesti. </w:t>
      </w:r>
      <w:r w:rsidR="00671C96" w:rsidRPr="00FD74F2">
        <w:rPr>
          <w:rFonts w:ascii="Times New Roman" w:hAnsi="Times New Roman" w:cs="Times New Roman"/>
          <w:sz w:val="24"/>
          <w:szCs w:val="24"/>
        </w:rPr>
        <w:t>U</w:t>
      </w:r>
      <w:r w:rsidR="006A0498">
        <w:rPr>
          <w:rFonts w:ascii="Times New Roman" w:hAnsi="Times New Roman" w:cs="Times New Roman"/>
          <w:sz w:val="24"/>
          <w:szCs w:val="24"/>
        </w:rPr>
        <w:t xml:space="preserve"> bolesnika sa većim</w:t>
      </w:r>
      <w:r w:rsidR="00671C96" w:rsidRPr="00FD74F2">
        <w:rPr>
          <w:rFonts w:ascii="Times New Roman" w:hAnsi="Times New Roman" w:cs="Times New Roman"/>
          <w:sz w:val="24"/>
          <w:szCs w:val="24"/>
        </w:rPr>
        <w:t xml:space="preserve"> neurološkim deficitom, kao i bolesnika sa evidentno p</w:t>
      </w:r>
      <w:r w:rsidR="00F85613">
        <w:rPr>
          <w:rFonts w:ascii="Times New Roman" w:hAnsi="Times New Roman" w:cs="Times New Roman"/>
          <w:sz w:val="24"/>
          <w:szCs w:val="24"/>
        </w:rPr>
        <w:t>rogresivnim kliničkim tokom kao inicijalna terapija se primijenjuju imunoglobulini.</w:t>
      </w:r>
      <w:r w:rsidR="00671C96" w:rsidRPr="00FD74F2">
        <w:rPr>
          <w:rFonts w:ascii="Times New Roman" w:hAnsi="Times New Roman" w:cs="Times New Roman"/>
          <w:sz w:val="24"/>
          <w:szCs w:val="24"/>
        </w:rPr>
        <w:t xml:space="preserve"> Daju se u dozi od 0.4g/kg dnevno u toku pet dana u kombinaciji sa malim dozama kortikosteroida. </w:t>
      </w:r>
      <w:r w:rsidR="00F85613">
        <w:rPr>
          <w:rFonts w:ascii="Times New Roman" w:hAnsi="Times New Roman" w:cs="Times New Roman"/>
          <w:bCs/>
          <w:iCs/>
          <w:sz w:val="24"/>
          <w:szCs w:val="24"/>
        </w:rPr>
        <w:t>Plazmafereza</w:t>
      </w:r>
      <w:r w:rsidR="00671C96" w:rsidRPr="00FD74F2">
        <w:rPr>
          <w:rFonts w:ascii="Times New Roman" w:hAnsi="Times New Roman" w:cs="Times New Roman"/>
          <w:sz w:val="24"/>
          <w:szCs w:val="24"/>
        </w:rPr>
        <w:t xml:space="preserve"> se takođe može prim</w:t>
      </w:r>
      <w:r w:rsidR="00F85613">
        <w:rPr>
          <w:rFonts w:ascii="Times New Roman" w:hAnsi="Times New Roman" w:cs="Times New Roman"/>
          <w:sz w:val="24"/>
          <w:szCs w:val="24"/>
        </w:rPr>
        <w:t>ij</w:t>
      </w:r>
      <w:r w:rsidR="00671C96" w:rsidRPr="00FD74F2">
        <w:rPr>
          <w:rFonts w:ascii="Times New Roman" w:hAnsi="Times New Roman" w:cs="Times New Roman"/>
          <w:sz w:val="24"/>
          <w:szCs w:val="24"/>
        </w:rPr>
        <w:t xml:space="preserve">eniti kao inicijalna terapija CIDP u kombinaciji sa kortikosteroidima </w:t>
      </w:r>
      <w:r w:rsidR="00671C96" w:rsidRPr="00FD74F2">
        <w:rPr>
          <w:rFonts w:ascii="Times New Roman" w:hAnsi="Times New Roman" w:cs="Times New Roman"/>
          <w:bCs/>
          <w:iCs/>
          <w:sz w:val="24"/>
          <w:szCs w:val="24"/>
        </w:rPr>
        <w:t>Azatioprin</w:t>
      </w:r>
      <w:r w:rsidR="00671C96" w:rsidRPr="00FD74F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1C96" w:rsidRPr="00FD74F2">
        <w:rPr>
          <w:rFonts w:ascii="Times New Roman" w:hAnsi="Times New Roman" w:cs="Times New Roman"/>
          <w:sz w:val="24"/>
          <w:szCs w:val="24"/>
        </w:rPr>
        <w:t xml:space="preserve">se </w:t>
      </w:r>
      <w:r w:rsidR="00274A4B">
        <w:rPr>
          <w:rFonts w:ascii="Times New Roman" w:hAnsi="Times New Roman" w:cs="Times New Roman"/>
          <w:sz w:val="24"/>
          <w:szCs w:val="24"/>
        </w:rPr>
        <w:t xml:space="preserve">može </w:t>
      </w:r>
      <w:r w:rsidR="00671C96" w:rsidRPr="00FD74F2">
        <w:rPr>
          <w:rFonts w:ascii="Times New Roman" w:hAnsi="Times New Roman" w:cs="Times New Roman"/>
          <w:sz w:val="24"/>
          <w:szCs w:val="24"/>
        </w:rPr>
        <w:t>koristiti zajedno sa kortikosteroidima u onih bolesnika kod kojih nije preporučljiva prim</w:t>
      </w:r>
      <w:r w:rsidR="00274A4B">
        <w:rPr>
          <w:rFonts w:ascii="Times New Roman" w:hAnsi="Times New Roman" w:cs="Times New Roman"/>
          <w:sz w:val="24"/>
          <w:szCs w:val="24"/>
        </w:rPr>
        <w:t>j</w:t>
      </w:r>
      <w:r w:rsidR="00671C96" w:rsidRPr="00FD74F2">
        <w:rPr>
          <w:rFonts w:ascii="Times New Roman" w:hAnsi="Times New Roman" w:cs="Times New Roman"/>
          <w:sz w:val="24"/>
          <w:szCs w:val="24"/>
        </w:rPr>
        <w:t>ena visokih doza kortikosteroida. Dnevna doza je 2-2.5mg/kg. Početno dejstvo l</w:t>
      </w:r>
      <w:r w:rsidR="00274A4B">
        <w:rPr>
          <w:rFonts w:ascii="Times New Roman" w:hAnsi="Times New Roman" w:cs="Times New Roman"/>
          <w:sz w:val="24"/>
          <w:szCs w:val="24"/>
        </w:rPr>
        <w:t>ij</w:t>
      </w:r>
      <w:r w:rsidR="00671C96" w:rsidRPr="00FD74F2">
        <w:rPr>
          <w:rFonts w:ascii="Times New Roman" w:hAnsi="Times New Roman" w:cs="Times New Roman"/>
          <w:sz w:val="24"/>
          <w:szCs w:val="24"/>
        </w:rPr>
        <w:t>eka se registruje odloženo tek nakon 6-12 nedelja</w:t>
      </w:r>
      <w:r w:rsidR="00274A4B">
        <w:rPr>
          <w:rFonts w:ascii="Times New Roman" w:hAnsi="Times New Roman" w:cs="Times New Roman"/>
          <w:sz w:val="24"/>
          <w:szCs w:val="24"/>
        </w:rPr>
        <w:t xml:space="preserve">. </w:t>
      </w:r>
      <w:r w:rsidR="00671C96" w:rsidRPr="00FD74F2">
        <w:rPr>
          <w:rFonts w:ascii="Times New Roman" w:hAnsi="Times New Roman" w:cs="Times New Roman"/>
          <w:sz w:val="24"/>
          <w:szCs w:val="24"/>
        </w:rPr>
        <w:t>U pros</w:t>
      </w:r>
      <w:r w:rsidR="00274A4B">
        <w:rPr>
          <w:rFonts w:ascii="Times New Roman" w:hAnsi="Times New Roman" w:cs="Times New Roman"/>
          <w:sz w:val="24"/>
          <w:szCs w:val="24"/>
        </w:rPr>
        <w:t>j</w:t>
      </w:r>
      <w:r w:rsidR="00671C96" w:rsidRPr="00FD74F2">
        <w:rPr>
          <w:rFonts w:ascii="Times New Roman" w:hAnsi="Times New Roman" w:cs="Times New Roman"/>
          <w:sz w:val="24"/>
          <w:szCs w:val="24"/>
        </w:rPr>
        <w:t>eku se daje oko 2 godine.</w:t>
      </w:r>
    </w:p>
    <w:p w:rsidR="00947956" w:rsidRPr="00FD74F2" w:rsidRDefault="00947956">
      <w:pPr>
        <w:rPr>
          <w:rFonts w:ascii="Times New Roman" w:hAnsi="Times New Roman" w:cs="Times New Roman"/>
          <w:sz w:val="24"/>
          <w:szCs w:val="24"/>
        </w:rPr>
      </w:pPr>
      <w:r w:rsidRPr="00FD74F2">
        <w:rPr>
          <w:rFonts w:ascii="Times New Roman" w:hAnsi="Times New Roman" w:cs="Times New Roman"/>
          <w:sz w:val="24"/>
          <w:szCs w:val="24"/>
        </w:rPr>
        <w:t>EMNG u dijagnostici neuropatija</w:t>
      </w:r>
    </w:p>
    <w:p w:rsidR="00947956" w:rsidRPr="00FD74F2" w:rsidRDefault="00947956" w:rsidP="00FD74F2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D74F2">
        <w:rPr>
          <w:rFonts w:ascii="Times New Roman" w:eastAsia="Calibri" w:hAnsi="Times New Roman" w:cs="Times New Roman"/>
          <w:bCs/>
          <w:sz w:val="24"/>
          <w:szCs w:val="24"/>
        </w:rPr>
        <w:t>Elektrodijagno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stika-elektromiografija /EMG/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je k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ljučna dijagnostička procedura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kod bolesnika kod kojih se sumnja na neuropatiju. Uopšteno rečeno nije moguće samo kliničkim pre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gledom razlikovati aksonalne i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demijelinizacione poremećaje </w:t>
      </w:r>
      <w:r w:rsidR="00404549" w:rsidRPr="00FD74F2">
        <w:rPr>
          <w:rFonts w:ascii="Times New Roman" w:eastAsia="Calibri" w:hAnsi="Times New Roman" w:cs="Times New Roman"/>
          <w:bCs/>
          <w:sz w:val="24"/>
          <w:szCs w:val="24"/>
        </w:rPr>
        <w:t>i zato se koristi elektromioneur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ografija. Elekromioneurografske karakteristike demijelinizacije  su usporavanje brzine provođenja nerva (BPN), disperzija složenih evociranih akcionih potencijala 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>mišića, blok provođenja ( bitno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 smanjenje amplitude složenih evociranih akcionih potencijala mišića u poređenju sa amplitudom is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tog pri distalnoj stimulaciji)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i značajno p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roduženje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distalnih latenci</w:t>
      </w:r>
      <w:r w:rsidR="00404549"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 (7)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. Elekromioneurografs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>ke karakteristike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 aksonalnih neuropatija su redukcija amplitude složenih evociranih akcionih potencijala </w:t>
      </w:r>
      <w:r w:rsidR="00671C96" w:rsidRPr="00FD74F2">
        <w:rPr>
          <w:rFonts w:ascii="Times New Roman" w:eastAsia="Calibri" w:hAnsi="Times New Roman" w:cs="Times New Roman"/>
          <w:bCs/>
          <w:sz w:val="24"/>
          <w:szCs w:val="24"/>
        </w:rPr>
        <w:t>mišića sa relativno očuvanim brzinama provođenja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>. Utvrđivanje razlike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 između 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primarno demjelinizacionih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i aksonalnih neuropatija je veoma bitno zbog različitog dijagnostičkog i terapijskog pristupa</w:t>
      </w:r>
      <w:r w:rsidR="00952939"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 kao i različite prognoze oboljenja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="00952939" w:rsidRPr="00FD74F2">
        <w:rPr>
          <w:rFonts w:ascii="Times New Roman" w:eastAsia="Calibri" w:hAnsi="Times New Roman" w:cs="Times New Roman"/>
          <w:bCs/>
          <w:sz w:val="24"/>
          <w:szCs w:val="24"/>
        </w:rPr>
        <w:t>EMNG karakteristike CIDP su usporenje brzine provođenja kroz periferne nerve (više od 40% od normale) kroz najmanje dva nerva, blokovi provođenja u najmanje jednom nervu, produženje distalnih latenci i odsustvo ili produženje latenci F talasa te znaci aksonalne degeneracije.</w:t>
      </w:r>
    </w:p>
    <w:p w:rsidR="00A914DF" w:rsidRDefault="00A914DF" w:rsidP="009C7E20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:rsidR="00A914DF" w:rsidRDefault="00A914DF" w:rsidP="009C7E20">
      <w:pPr>
        <w:rPr>
          <w:rFonts w:ascii="Times New Roman" w:eastAsia="Calibri" w:hAnsi="Times New Roman" w:cs="Times New Roman"/>
          <w:bCs/>
          <w:sz w:val="24"/>
          <w:szCs w:val="24"/>
        </w:rPr>
      </w:pPr>
    </w:p>
    <w:p w:rsidR="009C7E20" w:rsidRPr="00FD74F2" w:rsidRDefault="009C7E20" w:rsidP="009C7E20">
      <w:pPr>
        <w:rPr>
          <w:rFonts w:ascii="Times New Roman" w:eastAsia="Calibri" w:hAnsi="Times New Roman" w:cs="Times New Roman"/>
          <w:sz w:val="24"/>
          <w:szCs w:val="24"/>
        </w:rPr>
      </w:pPr>
      <w:r w:rsidRPr="00FD74F2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Biopsija nerva u dijagnostici polineuropatija</w:t>
      </w:r>
    </w:p>
    <w:p w:rsidR="00A914DF" w:rsidRPr="00A914DF" w:rsidRDefault="009C7E20" w:rsidP="00A914DF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D74F2">
        <w:rPr>
          <w:rFonts w:ascii="Times New Roman" w:eastAsia="Calibri" w:hAnsi="Times New Roman" w:cs="Times New Roman"/>
          <w:bCs/>
          <w:sz w:val="24"/>
          <w:szCs w:val="24"/>
        </w:rPr>
        <w:t>Za kutanu biopsiju najpogodniji je n. suralis. Postoji mali broj indikacija za prim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>j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enu ove invazivne tehnike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. Jedna od osnovnih indikacija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je posto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>janje asimetrične i multifokalne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 neuropatije sa kliničkom slikom mononeuritis multiplexa nepoznate etiologije gde su prethodno urađena sva standardna i dopunska ispitivanja. Ova metoda se koristi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 kada postoji sumnja da se radi o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vaskulitisu, amilo</w:t>
      </w:r>
      <w:r w:rsidR="00274A4B">
        <w:rPr>
          <w:rFonts w:ascii="Times New Roman" w:eastAsia="Calibri" w:hAnsi="Times New Roman" w:cs="Times New Roman"/>
          <w:bCs/>
          <w:sz w:val="24"/>
          <w:szCs w:val="24"/>
        </w:rPr>
        <w:t xml:space="preserve">idozi, lepri, sarkoidozi kao i 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u slučaju utvrđivanja prirode multifokalne demijelinizacione neuropatije</w:t>
      </w:r>
      <w:r w:rsidR="000137F7" w:rsidRPr="00FD74F2">
        <w:rPr>
          <w:rFonts w:ascii="Times New Roman" w:eastAsia="Calibri" w:hAnsi="Times New Roman" w:cs="Times New Roman"/>
          <w:bCs/>
          <w:sz w:val="24"/>
          <w:szCs w:val="24"/>
        </w:rPr>
        <w:t xml:space="preserve"> (8)</w:t>
      </w:r>
      <w:r w:rsidRPr="00FD74F2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947956" w:rsidRPr="00274A4B" w:rsidRDefault="00947956" w:rsidP="00947956">
      <w:p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274A4B">
        <w:rPr>
          <w:rFonts w:ascii="Times New Roman" w:hAnsi="Times New Roman" w:cs="Times New Roman"/>
          <w:b/>
          <w:sz w:val="24"/>
          <w:szCs w:val="24"/>
          <w:lang w:val="sr-Latn-BA"/>
        </w:rPr>
        <w:t>Prikaz pacijenta</w:t>
      </w:r>
    </w:p>
    <w:p w:rsidR="00947956" w:rsidRPr="00FD74F2" w:rsidRDefault="00947956" w:rsidP="00947956">
      <w:pPr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Hronologija dostupne medicinske dokumentacije:</w:t>
      </w:r>
    </w:p>
    <w:p w:rsidR="00A914DF" w:rsidRDefault="00952939" w:rsidP="00FD74F2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Pacijent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Ž.M. iz Kulaša, 1958g., zaposlen u pekari kao vozač, oženjen otac troje djece. </w:t>
      </w:r>
      <w:r w:rsidR="006A0498">
        <w:rPr>
          <w:rFonts w:ascii="Times New Roman" w:hAnsi="Times New Roman" w:cs="Times New Roman"/>
          <w:sz w:val="24"/>
          <w:szCs w:val="24"/>
          <w:lang w:val="sr-Latn-BA"/>
        </w:rPr>
        <w:t>02.09.2011godine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prvi put se javlja na pregled u Dom zdravlja Prnjavor Nalaz fizijatra;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Anamnestički i klinički znaci „abortivnog herpes zostera“ lumbalne regije lijevo sa dvije, tri krastice, jedna 7x7 mm, dvije sitne. UZ abdomena i urotrakta; Upalna hipotonija čašice lijevog bubrega, mikronefrolit, u prilog pijelonefritisa, jetr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a voluminozna fibrozno masno dif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>uzno infiltrirana.15.09.2011g.</w:t>
      </w:r>
      <w:r w:rsidR="006A0498">
        <w:rPr>
          <w:rFonts w:ascii="Times New Roman" w:hAnsi="Times New Roman" w:cs="Times New Roman"/>
          <w:sz w:val="24"/>
          <w:szCs w:val="24"/>
          <w:lang w:val="sr-Latn-BA"/>
        </w:rPr>
        <w:t xml:space="preserve"> Dom zdravlja Prnjavor. 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>Nalaz interniste; HTA prim., Cor hypertonicum comp., DM tip 2, Herpes zoster, Lumboischialgia lat sin?  UZ abdomena, odgovara prethodnom.14.10.20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11g.  U banji Kulaši ambulantni nalaz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dermatologa; Bol u lijevom lumbalnom predijelu, Nalaz na koži uredan, Neuralgia posherpetica lumbalis sin. 25.10.2011g. Nalaz neurologa, Specijalistički centar Prijatelji, Prnjavor; Bol..., hiperestezije lumbalno desno, Dg. Neuralgija postherpetica obs. Th. Lyrica  03.11.2011. MR LS kičme; slabinska polidiskopatija, najizraženija L4-L5. 10.11.2011g. UZ abdomena-urotrakta;  Nalaz odgovara prethodnom. 23.11.2011g. Nalaz neurologa, Spacijalistički centar Prijatelji. Nalaz odgovara prethodnom.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Od 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>02.12 do 09.12.2011g.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pacijent je hospitalizovan u Klinici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za endokrinologiju dijabetes i bolesti metabolizma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UKC Banja Luka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>; SE 8, ŠUK 11,0...8.7...7.5...6.5, HGBA1c 11.1.; Konsultativni neurološki pregled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>: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Polyneuropathia diabetica incipiens. Dg Diabetes mellitus tip 2.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Po anamnezi pacijent već tada ima slabost i utrnulost u obe noge. Od 29.12 do 20.01. 2012.g. pacijent je liječen na Klinici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za unutrašnje bolesti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UKC Banja Luka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>, Odjeljenje za gastroenterologiju i hepatologiju; Gastritis et bulbitis erosiva chr; Paraparesis e causa ignota. Konzilijarno: Neurolog: Lumboischialgia bil. Fizijatar: Paraparesis e causa ignota. 17.01.2011g. MR abdomena: Infracentimetaraska prosta cista jetre. 30.01.2012g. RTG vratnog i grudnog dijela kičme: Spondylosis et dyscarthrosis. 01.02.2012. Nalaz fizijatra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Dom zdravlja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Prnjavor:  Iz anamneze postepena nepokretnost za vrijeme bolničkog liječenja od oko 15.01.2012g. sa pogoršanjem hoda do nemogućnosti samostalnog hoda. Klinički atrofije muskulature DE. 10.02.2012g.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pacijent primljen na rehabilitaciju u Zavod 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„dr Miroslav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Zot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>ović“ Banja Luka, pri prijemu nepokretan, izražena slabost proksimalne i distalne muskulature obe noge, MMT od 2 do 3, te umjerena klinička slabost obe ruke uz ispad senzibiliteta za sve modalitete. D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rugi dan po prijemu uradi </w:t>
      </w:r>
      <w:r w:rsidR="0094795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EMNG DE i GE- cjelokupan nalaz ide u prilog postojanja hronične inflamatorne demijelinizirajuće poliradikuloneuropatije CIDP veoma izražene na DE i umjereno na GE. </w:t>
      </w:r>
    </w:p>
    <w:p w:rsidR="006A0498" w:rsidRDefault="00947956" w:rsidP="00FD74F2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15.02 do 22.02 2012g.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Pacijent premješten na Kliniku za Neurologiju 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UKC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BL gdje od</w:t>
      </w:r>
      <w:r w:rsidR="006A0498">
        <w:rPr>
          <w:rFonts w:ascii="Times New Roman" w:hAnsi="Times New Roman" w:cs="Times New Roman"/>
          <w:sz w:val="24"/>
          <w:szCs w:val="24"/>
          <w:lang w:val="sr-Latn-BA"/>
        </w:rPr>
        <w:t xml:space="preserve"> dijagnostičkih metoda radi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NMR vratne kičme- bez patoloških promjena, NMR g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rudne kičme Šmorlove hernije, lumbalnu punkciju- likvor bistar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, proteinorahija 1.18gr/l, L 4, Ly2. MR endokranijuma-Mikro i lakunarne ishemijske lezije frontalno obostrano i i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nsularno desno te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EMNG nalaz- Syndroma Guillain Barre. 23.02. D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>ijagnostički centar Euromedik Beograd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; EMNG nalaz 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ukazuje na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Guillain Barre ili obzirom na početak bolesti CIDP 23.02 do 13.03 2012g.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Pacijent ponovo hospitalizovan na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>Klinici za n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eurologija 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UKC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BL;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Dg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Polyneuropathia inflamatoria..., Imunologija</w:t>
      </w:r>
      <w:r w:rsidR="006A0498">
        <w:rPr>
          <w:rFonts w:ascii="Times New Roman" w:hAnsi="Times New Roman" w:cs="Times New Roman"/>
          <w:sz w:val="24"/>
          <w:szCs w:val="24"/>
          <w:lang w:val="sr-Latn-BA"/>
        </w:rPr>
        <w:t xml:space="preserve"> Anti-dsDNA pozitivna 35.2U/ml.</w:t>
      </w:r>
    </w:p>
    <w:p w:rsidR="00947956" w:rsidRPr="00FD74F2" w:rsidRDefault="00947956" w:rsidP="00FD74F2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šest navrata sprovdena terapijs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ka izmjena plazme- subjektivno lako poboljšano. 16.03. do 21.03. 2012g.</w:t>
      </w:r>
      <w:r w:rsidR="006A0498">
        <w:rPr>
          <w:rFonts w:ascii="Times New Roman" w:hAnsi="Times New Roman" w:cs="Times New Roman"/>
          <w:sz w:val="24"/>
          <w:szCs w:val="24"/>
          <w:lang w:val="sr-Latn-BA"/>
        </w:rPr>
        <w:t xml:space="preserve"> Hospitalizovan na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Klinici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za unutrašnje bolesti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UKC BL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, Odjeljenje za gast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roenterologiju i hepatologiju zbog pojave svježe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krv u stolici. 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Od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21.03.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ponovo hospitalizovan u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Zavod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u „dr Miroslav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Zotović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>“ BL radi rehabilitacije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671C96"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 Od medikamentozne terapije prima Imuran 50mg dva puta dnevno uz redovne kont</w:t>
      </w:r>
      <w:r w:rsidR="001A1536" w:rsidRPr="00FD74F2">
        <w:rPr>
          <w:rFonts w:ascii="Times New Roman" w:hAnsi="Times New Roman" w:cs="Times New Roman"/>
          <w:sz w:val="24"/>
          <w:szCs w:val="24"/>
          <w:lang w:val="sr-Latn-BA"/>
        </w:rPr>
        <w:t>role krvne slike i transaminaza, sada, tri sedmice po prijemu, pokretan uz pomoć hodaljke uz nešto bolju grubu motornu snagu donjih ekstremiteta.</w:t>
      </w:r>
    </w:p>
    <w:p w:rsidR="006A0498" w:rsidRDefault="006A0498" w:rsidP="00947956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9C7E20" w:rsidRPr="006A0498" w:rsidRDefault="009C7E20" w:rsidP="00947956">
      <w:p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6A0498">
        <w:rPr>
          <w:rFonts w:ascii="Times New Roman" w:hAnsi="Times New Roman" w:cs="Times New Roman"/>
          <w:b/>
          <w:sz w:val="24"/>
          <w:szCs w:val="24"/>
          <w:lang w:val="sr-Latn-BA"/>
        </w:rPr>
        <w:t>Zaključak</w:t>
      </w:r>
    </w:p>
    <w:p w:rsidR="00E77796" w:rsidRPr="00FD74F2" w:rsidRDefault="00F760D2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FD74F2">
        <w:rPr>
          <w:rFonts w:ascii="Times New Roman" w:hAnsi="Times New Roman" w:cs="Times New Roman"/>
          <w:sz w:val="24"/>
          <w:szCs w:val="24"/>
          <w:lang w:val="sr-Latn-BA"/>
        </w:rPr>
        <w:t>U ovoj studiji slučaja smo prezentovali pacijenta sa tipičnom kliničkom slikom nastanka hronične inflamatorne demijelinizirasjuće poliradikuloneuropatije koja svojim podmuklim tokom može usloviti zakašnjelo postavljanje dijagnoze a samim tim i zakašnjele i umanjene terapijske efekte. Bolje upoznavanje ljekara svih specijalnosti sa ovim oboljenjem će značajno ubrzati postavljenje dijagnoze</w:t>
      </w:r>
    </w:p>
    <w:p w:rsidR="00E77796" w:rsidRDefault="00E77796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Default="006A0498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Default="006A0498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Default="006A0498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Default="006A0498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Default="006A0498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Default="006A0498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A914DF" w:rsidRDefault="00A914DF" w:rsidP="006A049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Default="006A0498" w:rsidP="00947956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A0498" w:rsidRPr="00FD74F2" w:rsidRDefault="006A0498" w:rsidP="00947956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947956" w:rsidRPr="00FD74F2" w:rsidRDefault="009C7E20" w:rsidP="00A914DF">
      <w:pPr>
        <w:rPr>
          <w:rFonts w:ascii="Times New Roman" w:eastAsia="Calibri" w:hAnsi="Times New Roman" w:cs="Times New Roman"/>
          <w:bCs/>
          <w:sz w:val="24"/>
          <w:szCs w:val="24"/>
          <w:lang w:val="sr-Latn-BA"/>
        </w:rPr>
      </w:pPr>
      <w:r w:rsidRPr="00FD74F2">
        <w:rPr>
          <w:rFonts w:ascii="Times New Roman" w:eastAsia="Calibri" w:hAnsi="Times New Roman" w:cs="Times New Roman"/>
          <w:bCs/>
          <w:sz w:val="24"/>
          <w:szCs w:val="24"/>
          <w:lang w:val="sr-Latn-BA"/>
        </w:rPr>
        <w:lastRenderedPageBreak/>
        <w:t>LITERATURA</w:t>
      </w:r>
    </w:p>
    <w:p w:rsidR="009C7E20" w:rsidRPr="00FD74F2" w:rsidRDefault="009C7E20">
      <w:pPr>
        <w:rPr>
          <w:rFonts w:ascii="Times New Roman" w:eastAsia="Calibri" w:hAnsi="Times New Roman" w:cs="Times New Roman"/>
          <w:bCs/>
          <w:sz w:val="24"/>
          <w:szCs w:val="24"/>
          <w:lang w:val="sr-Latn-BA"/>
        </w:rPr>
      </w:pPr>
    </w:p>
    <w:p w:rsidR="00E5052E" w:rsidRPr="00FD74F2" w:rsidRDefault="00E5052E" w:rsidP="009C7E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Dyck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PJ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,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Lais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AC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,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Ohta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M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,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et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al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  <w:lang w:val="sr-Latn-BA"/>
        </w:rPr>
        <w:t xml:space="preserve">. </w:t>
      </w: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Chronic inflammatory polyradiculoneuropathy. Mayo Clin Proc 1975;50:621–37.</w:t>
      </w:r>
    </w:p>
    <w:p w:rsidR="00E5052E" w:rsidRPr="00FD74F2" w:rsidRDefault="00E5052E" w:rsidP="009C7E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D74F2">
        <w:rPr>
          <w:rFonts w:ascii="Times New Roman" w:eastAsia="Times New Roman" w:hAnsi="Times New Roman" w:cs="Times New Roman"/>
          <w:iCs/>
          <w:sz w:val="24"/>
          <w:szCs w:val="24"/>
        </w:rPr>
        <w:t>McCombe PA, Pollard JD, McLeod JG. Chronic inflammatory demyelinating polyradiculoneuropathy: a clinical and electrophysiological study of 92 cases. Brain 1987;110:1617–30.</w:t>
      </w:r>
    </w:p>
    <w:p w:rsidR="009C7E20" w:rsidRPr="00FD74F2" w:rsidRDefault="009C7E20" w:rsidP="009C7E20">
      <w:pPr>
        <w:pStyle w:val="ListParagraph"/>
        <w:numPr>
          <w:ilvl w:val="0"/>
          <w:numId w:val="1"/>
        </w:numPr>
        <w:shd w:val="clear" w:color="auto" w:fill="FFFFFF"/>
        <w:spacing w:line="200" w:lineRule="atLeast"/>
        <w:textAlignment w:val="baseline"/>
        <w:rPr>
          <w:rFonts w:ascii="Times New Roman" w:hAnsi="Times New Roman" w:cs="Times New Roman"/>
          <w:i/>
          <w:color w:val="222222"/>
          <w:sz w:val="24"/>
          <w:szCs w:val="24"/>
        </w:rPr>
      </w:pPr>
      <w:r w:rsidRPr="00FD74F2">
        <w:rPr>
          <w:rStyle w:val="HTMLCite"/>
          <w:rFonts w:ascii="Times New Roman" w:hAnsi="Times New Roman" w:cs="Times New Roman"/>
          <w:i w:val="0"/>
          <w:color w:val="222222"/>
          <w:sz w:val="24"/>
          <w:szCs w:val="24"/>
          <w:bdr w:val="none" w:sz="0" w:space="0" w:color="auto" w:frame="1"/>
        </w:rPr>
        <w:t>Kusumi M, Nakashima K, Nakayama H, Takahashi K. Epidemiology of inflammatory neurological and inflammatory neuromuscular diseases in Tottori Prefecture, Japan.</w:t>
      </w:r>
      <w:r w:rsidRPr="00FD74F2">
        <w:rPr>
          <w:rStyle w:val="apple-converted-space"/>
          <w:rFonts w:ascii="Times New Roman" w:hAnsi="Times New Roman" w:cs="Times New Roman"/>
          <w:i/>
          <w:color w:val="222222"/>
          <w:sz w:val="24"/>
          <w:szCs w:val="24"/>
          <w:bdr w:val="none" w:sz="0" w:space="0" w:color="auto" w:frame="1"/>
        </w:rPr>
        <w:t> </w:t>
      </w:r>
      <w:r w:rsidRPr="00FD74F2">
        <w:rPr>
          <w:rStyle w:val="cit-source"/>
          <w:rFonts w:ascii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</w:rPr>
        <w:t>Psychiatry Clin Neurosci</w:t>
      </w:r>
      <w:r w:rsidRPr="00FD74F2">
        <w:rPr>
          <w:rStyle w:val="apple-converted-space"/>
          <w:rFonts w:ascii="Times New Roman" w:hAnsi="Times New Roman" w:cs="Times New Roman"/>
          <w:i/>
          <w:color w:val="222222"/>
          <w:sz w:val="24"/>
          <w:szCs w:val="24"/>
          <w:bdr w:val="none" w:sz="0" w:space="0" w:color="auto" w:frame="1"/>
        </w:rPr>
        <w:t> </w:t>
      </w:r>
      <w:r w:rsidRPr="00FD74F2">
        <w:rPr>
          <w:rStyle w:val="cit-pub-date"/>
          <w:rFonts w:ascii="Times New Roman" w:hAnsi="Times New Roman" w:cs="Times New Roman"/>
          <w:i/>
          <w:color w:val="222222"/>
          <w:sz w:val="24"/>
          <w:szCs w:val="24"/>
          <w:bdr w:val="none" w:sz="0" w:space="0" w:color="auto" w:frame="1"/>
        </w:rPr>
        <w:t>1995;</w:t>
      </w:r>
      <w:r w:rsidRPr="00FD74F2">
        <w:rPr>
          <w:rStyle w:val="cit-vol"/>
          <w:rFonts w:ascii="Times New Roman" w:hAnsi="Times New Roman" w:cs="Times New Roman"/>
          <w:bCs/>
          <w:i/>
          <w:color w:val="222222"/>
          <w:sz w:val="24"/>
          <w:szCs w:val="24"/>
          <w:bdr w:val="none" w:sz="0" w:space="0" w:color="auto" w:frame="1"/>
        </w:rPr>
        <w:t>49</w:t>
      </w:r>
      <w:r w:rsidRPr="00FD74F2">
        <w:rPr>
          <w:rStyle w:val="HTMLCite"/>
          <w:rFonts w:ascii="Times New Roman" w:hAnsi="Times New Roman" w:cs="Times New Roman"/>
          <w:i w:val="0"/>
          <w:color w:val="222222"/>
          <w:sz w:val="24"/>
          <w:szCs w:val="24"/>
          <w:bdr w:val="none" w:sz="0" w:space="0" w:color="auto" w:frame="1"/>
        </w:rPr>
        <w:t>:</w:t>
      </w:r>
      <w:r w:rsidRPr="00FD74F2">
        <w:rPr>
          <w:rStyle w:val="cit-fpage"/>
          <w:rFonts w:ascii="Times New Roman" w:hAnsi="Times New Roman" w:cs="Times New Roman"/>
          <w:i/>
          <w:color w:val="222222"/>
          <w:sz w:val="24"/>
          <w:szCs w:val="24"/>
          <w:bdr w:val="none" w:sz="0" w:space="0" w:color="auto" w:frame="1"/>
        </w:rPr>
        <w:t>169</w:t>
      </w:r>
      <w:r w:rsidRPr="00FD74F2">
        <w:rPr>
          <w:rStyle w:val="HTMLCite"/>
          <w:rFonts w:ascii="Times New Roman" w:hAnsi="Times New Roman" w:cs="Times New Roman"/>
          <w:i w:val="0"/>
          <w:color w:val="222222"/>
          <w:sz w:val="24"/>
          <w:szCs w:val="24"/>
          <w:bdr w:val="none" w:sz="0" w:space="0" w:color="auto" w:frame="1"/>
        </w:rPr>
        <w:t>–74.</w:t>
      </w:r>
    </w:p>
    <w:p w:rsidR="00404549" w:rsidRPr="00FD74F2" w:rsidRDefault="009C7E20" w:rsidP="00404549">
      <w:pPr>
        <w:pStyle w:val="ListParagraph"/>
        <w:numPr>
          <w:ilvl w:val="0"/>
          <w:numId w:val="1"/>
        </w:numPr>
        <w:shd w:val="clear" w:color="auto" w:fill="FFFFFF"/>
        <w:spacing w:line="200" w:lineRule="atLeast"/>
        <w:textAlignment w:val="baseline"/>
        <w:rPr>
          <w:rStyle w:val="HTMLCite"/>
          <w:rFonts w:ascii="Times New Roman" w:hAnsi="Times New Roman" w:cs="Times New Roman"/>
          <w:i w:val="0"/>
          <w:color w:val="222222"/>
          <w:sz w:val="24"/>
          <w:szCs w:val="24"/>
          <w:bdr w:val="none" w:sz="0" w:space="0" w:color="auto" w:frame="1"/>
        </w:rPr>
      </w:pPr>
      <w:r w:rsidRPr="00FD74F2">
        <w:rPr>
          <w:rStyle w:val="HTMLCite"/>
          <w:rFonts w:ascii="Times New Roman" w:hAnsi="Times New Roman" w:cs="Times New Roman"/>
          <w:i w:val="0"/>
          <w:color w:val="222222"/>
          <w:sz w:val="24"/>
          <w:szCs w:val="24"/>
          <w:bdr w:val="none" w:sz="0" w:space="0" w:color="auto" w:frame="1"/>
        </w:rPr>
        <w:t>Research criteria for diagnosis of chronic inflammatory demyelinating polyneuropathy (CIDP). Report from an Ad Hoc Subcommittee of the American Academy of Neurology AIDS Task Force.</w:t>
      </w:r>
      <w:r w:rsidRPr="00FD74F2">
        <w:rPr>
          <w:rStyle w:val="apple-converted-space"/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</w:rPr>
        <w:t> </w:t>
      </w:r>
      <w:r w:rsidRPr="00FD74F2">
        <w:rPr>
          <w:rStyle w:val="cit-source"/>
          <w:rFonts w:ascii="Times New Roman" w:hAnsi="Times New Roman" w:cs="Times New Roman"/>
          <w:iCs/>
          <w:color w:val="222222"/>
          <w:sz w:val="24"/>
          <w:szCs w:val="24"/>
          <w:bdr w:val="none" w:sz="0" w:space="0" w:color="auto" w:frame="1"/>
        </w:rPr>
        <w:t>Neurology</w:t>
      </w:r>
      <w:r w:rsidRPr="00FD74F2">
        <w:rPr>
          <w:rStyle w:val="apple-converted-space"/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</w:rPr>
        <w:t> </w:t>
      </w:r>
      <w:r w:rsidRPr="00FD74F2">
        <w:rPr>
          <w:rStyle w:val="cit-pub-date"/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</w:rPr>
        <w:t>1991;</w:t>
      </w:r>
      <w:r w:rsidRPr="00FD74F2">
        <w:rPr>
          <w:rStyle w:val="cit-vol"/>
          <w:rFonts w:ascii="Times New Roman" w:hAnsi="Times New Roman" w:cs="Times New Roman"/>
          <w:bCs/>
          <w:color w:val="222222"/>
          <w:sz w:val="24"/>
          <w:szCs w:val="24"/>
          <w:bdr w:val="none" w:sz="0" w:space="0" w:color="auto" w:frame="1"/>
        </w:rPr>
        <w:t>41</w:t>
      </w:r>
      <w:r w:rsidRPr="00FD74F2">
        <w:rPr>
          <w:rStyle w:val="HTMLCite"/>
          <w:rFonts w:ascii="Times New Roman" w:hAnsi="Times New Roman" w:cs="Times New Roman"/>
          <w:i w:val="0"/>
          <w:color w:val="222222"/>
          <w:sz w:val="24"/>
          <w:szCs w:val="24"/>
          <w:bdr w:val="none" w:sz="0" w:space="0" w:color="auto" w:frame="1"/>
        </w:rPr>
        <w:t>:</w:t>
      </w:r>
      <w:r w:rsidRPr="00FD74F2">
        <w:rPr>
          <w:rStyle w:val="cit-fpage"/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</w:rPr>
        <w:t>617</w:t>
      </w:r>
      <w:r w:rsidRPr="00FD74F2">
        <w:rPr>
          <w:rStyle w:val="HTMLCite"/>
          <w:rFonts w:ascii="Times New Roman" w:hAnsi="Times New Roman" w:cs="Times New Roman"/>
          <w:i w:val="0"/>
          <w:color w:val="222222"/>
          <w:sz w:val="24"/>
          <w:szCs w:val="24"/>
          <w:bdr w:val="none" w:sz="0" w:space="0" w:color="auto" w:frame="1"/>
        </w:rPr>
        <w:t>–8.</w:t>
      </w:r>
    </w:p>
    <w:p w:rsidR="00404549" w:rsidRPr="00FD74F2" w:rsidRDefault="00404549" w:rsidP="00404549">
      <w:pPr>
        <w:pStyle w:val="ListParagraph"/>
        <w:numPr>
          <w:ilvl w:val="0"/>
          <w:numId w:val="1"/>
        </w:numPr>
        <w:shd w:val="clear" w:color="auto" w:fill="FFFFFF"/>
        <w:spacing w:line="200" w:lineRule="atLeast"/>
        <w:textAlignment w:val="baseline"/>
        <w:rPr>
          <w:rFonts w:ascii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</w:rPr>
      </w:pPr>
      <w:r w:rsidRPr="00FD74F2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The French CIDP Study Group: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Recommendations on diagnostic strategies for chronic infl ammatory demyelinating polyradiculoneuropathy, </w:t>
      </w:r>
      <w:r w:rsidRPr="00FD74F2">
        <w:rPr>
          <w:rFonts w:ascii="Times New Roman" w:hAnsi="Times New Roman" w:cs="Times New Roman"/>
          <w:iCs/>
          <w:sz w:val="24"/>
          <w:szCs w:val="24"/>
          <w:lang w:val="sr-Latn-BA"/>
        </w:rPr>
        <w:t xml:space="preserve">J Neurol Neurosurg Psychiatry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2008 79: 115-118; </w:t>
      </w:r>
    </w:p>
    <w:p w:rsidR="00404549" w:rsidRPr="00FD74F2" w:rsidRDefault="00404549" w:rsidP="00404549">
      <w:pPr>
        <w:pStyle w:val="ListParagraph"/>
        <w:numPr>
          <w:ilvl w:val="0"/>
          <w:numId w:val="1"/>
        </w:numPr>
        <w:shd w:val="clear" w:color="auto" w:fill="FFFFFF"/>
        <w:spacing w:line="200" w:lineRule="atLeast"/>
        <w:textAlignment w:val="baseline"/>
        <w:rPr>
          <w:rFonts w:ascii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</w:rPr>
      </w:pPr>
      <w:r w:rsidRPr="00FD74F2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P. Y. K. Van den Bergh, R. D. M. Hadden, P. Bouche, D. R. Cornblath, A. Hahn, I. Illa, C. L. Koski, J.-M. Leger, E. Nobile-Orazio, J. Pollard, C. Sommer, P. A. van Doorn and I. N. van Schaik: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European Federation of Neurological Societies/Peripheral Nerve Society Guideline on management of chronic infl ammatory demyelinating polyradiculoneuropathy, </w:t>
      </w:r>
      <w:r w:rsidRPr="00FD74F2">
        <w:rPr>
          <w:rFonts w:ascii="Times New Roman" w:hAnsi="Times New Roman" w:cs="Times New Roman"/>
          <w:iCs/>
          <w:sz w:val="24"/>
          <w:szCs w:val="24"/>
          <w:lang w:val="sr-Latn-BA"/>
        </w:rPr>
        <w:t xml:space="preserve">European Journal of Neurology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2010;</w:t>
      </w:r>
    </w:p>
    <w:p w:rsidR="000137F7" w:rsidRPr="00FD74F2" w:rsidRDefault="00404549" w:rsidP="000137F7">
      <w:pPr>
        <w:pStyle w:val="ListParagraph"/>
        <w:numPr>
          <w:ilvl w:val="0"/>
          <w:numId w:val="1"/>
        </w:numPr>
        <w:shd w:val="clear" w:color="auto" w:fill="FFFFFF"/>
        <w:spacing w:line="200" w:lineRule="atLeast"/>
        <w:textAlignment w:val="baseline"/>
        <w:rPr>
          <w:rFonts w:ascii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</w:rPr>
      </w:pPr>
      <w:r w:rsidRPr="00FD74F2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P.B. Anderson et al: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Electrodiagnostic features of hereditary neuropathy with liability to pressure palsies, </w:t>
      </w:r>
      <w:r w:rsidRPr="00FD74F2">
        <w:rPr>
          <w:rFonts w:ascii="Times New Roman" w:hAnsi="Times New Roman" w:cs="Times New Roman"/>
          <w:iCs/>
          <w:sz w:val="24"/>
          <w:szCs w:val="24"/>
          <w:lang w:val="sr-Latn-BA"/>
        </w:rPr>
        <w:t>American Academy of Neurology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, 2000</w:t>
      </w:r>
      <w:r w:rsidR="000137F7" w:rsidRPr="00FD74F2">
        <w:rPr>
          <w:rFonts w:ascii="Times New Roman" w:hAnsi="Times New Roman" w:cs="Times New Roman"/>
          <w:sz w:val="24"/>
          <w:szCs w:val="24"/>
          <w:lang w:val="sr-Latn-BA"/>
        </w:rPr>
        <w:t>;</w:t>
      </w:r>
    </w:p>
    <w:p w:rsidR="000137F7" w:rsidRPr="00FD74F2" w:rsidRDefault="000137F7" w:rsidP="000137F7">
      <w:pPr>
        <w:pStyle w:val="ListParagraph"/>
        <w:numPr>
          <w:ilvl w:val="0"/>
          <w:numId w:val="1"/>
        </w:numPr>
        <w:shd w:val="clear" w:color="auto" w:fill="FFFFFF"/>
        <w:spacing w:line="200" w:lineRule="atLeast"/>
        <w:textAlignment w:val="baseline"/>
        <w:rPr>
          <w:rStyle w:val="HTMLCite"/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</w:rPr>
      </w:pPr>
      <w:r w:rsidRPr="00FD74F2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S Sander, R A Ouvrier, J G McLeod, G A Nicholson, J D Pollard: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 xml:space="preserve">Clinical syndromes associated with tomacula or myelin swellings in sural nerve biopsies, </w:t>
      </w:r>
      <w:r w:rsidRPr="00FD74F2">
        <w:rPr>
          <w:rFonts w:ascii="Times New Roman" w:hAnsi="Times New Roman" w:cs="Times New Roman"/>
          <w:iCs/>
          <w:sz w:val="24"/>
          <w:szCs w:val="24"/>
          <w:lang w:val="sr-Latn-BA"/>
        </w:rPr>
        <w:t xml:space="preserve">J Neurol Neurosurg Psychiatry </w:t>
      </w:r>
      <w:r w:rsidRPr="00FD74F2">
        <w:rPr>
          <w:rFonts w:ascii="Times New Roman" w:hAnsi="Times New Roman" w:cs="Times New Roman"/>
          <w:sz w:val="24"/>
          <w:szCs w:val="24"/>
          <w:lang w:val="sr-Latn-BA"/>
        </w:rPr>
        <w:t>2000;68:483–488;</w:t>
      </w:r>
    </w:p>
    <w:p w:rsidR="009C7E20" w:rsidRPr="00FD74F2" w:rsidRDefault="009C7E20" w:rsidP="009C7E20">
      <w:pPr>
        <w:shd w:val="clear" w:color="auto" w:fill="FFFFFF"/>
        <w:spacing w:line="200" w:lineRule="atLeast"/>
        <w:textAlignment w:val="baseline"/>
        <w:rPr>
          <w:rFonts w:ascii="Times New Roman" w:hAnsi="Times New Roman" w:cs="Times New Roman"/>
          <w:color w:val="222222"/>
          <w:sz w:val="24"/>
          <w:szCs w:val="24"/>
        </w:rPr>
      </w:pPr>
    </w:p>
    <w:p w:rsidR="009C7E20" w:rsidRPr="00FD74F2" w:rsidRDefault="009C7E20" w:rsidP="00E50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052E" w:rsidRPr="00FD74F2" w:rsidRDefault="00E5052E">
      <w:pPr>
        <w:rPr>
          <w:rFonts w:ascii="Times New Roman" w:hAnsi="Times New Roman" w:cs="Times New Roman"/>
          <w:sz w:val="24"/>
          <w:szCs w:val="24"/>
        </w:rPr>
      </w:pPr>
    </w:p>
    <w:p w:rsidR="00693EF5" w:rsidRPr="00FD74F2" w:rsidRDefault="00693EF5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FB6791" w:rsidRPr="00FD74F2" w:rsidRDefault="00FB6791">
      <w:pPr>
        <w:rPr>
          <w:rFonts w:ascii="Times New Roman" w:hAnsi="Times New Roman" w:cs="Times New Roman"/>
          <w:sz w:val="24"/>
          <w:szCs w:val="24"/>
          <w:lang w:val="sr-Latn-BA"/>
        </w:rPr>
      </w:pPr>
    </w:p>
    <w:sectPr w:rsidR="00FB6791" w:rsidRPr="00FD74F2" w:rsidSect="00C84390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9B6" w:rsidRDefault="002A59B6" w:rsidP="000137F7">
      <w:pPr>
        <w:spacing w:after="0" w:line="240" w:lineRule="auto"/>
      </w:pPr>
      <w:r>
        <w:separator/>
      </w:r>
    </w:p>
  </w:endnote>
  <w:endnote w:type="continuationSeparator" w:id="1">
    <w:p w:rsidR="002A59B6" w:rsidRDefault="002A59B6" w:rsidP="00013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50115"/>
      <w:docPartObj>
        <w:docPartGallery w:val="Page Numbers (Bottom of Page)"/>
        <w:docPartUnique/>
      </w:docPartObj>
    </w:sdtPr>
    <w:sdtContent>
      <w:p w:rsidR="000137F7" w:rsidRDefault="005E5EA8">
        <w:pPr>
          <w:pStyle w:val="Footer"/>
          <w:jc w:val="center"/>
        </w:pPr>
        <w:fldSimple w:instr=" PAGE   \* MERGEFORMAT ">
          <w:r w:rsidR="00A914DF">
            <w:rPr>
              <w:noProof/>
            </w:rPr>
            <w:t>5</w:t>
          </w:r>
        </w:fldSimple>
      </w:p>
    </w:sdtContent>
  </w:sdt>
  <w:p w:rsidR="000137F7" w:rsidRDefault="000137F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9B6" w:rsidRDefault="002A59B6" w:rsidP="000137F7">
      <w:pPr>
        <w:spacing w:after="0" w:line="240" w:lineRule="auto"/>
      </w:pPr>
      <w:r>
        <w:separator/>
      </w:r>
    </w:p>
  </w:footnote>
  <w:footnote w:type="continuationSeparator" w:id="1">
    <w:p w:rsidR="002A59B6" w:rsidRDefault="002A59B6" w:rsidP="000137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415EA"/>
    <w:multiLevelType w:val="hybridMultilevel"/>
    <w:tmpl w:val="BA8AF112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C6256"/>
    <w:multiLevelType w:val="hybridMultilevel"/>
    <w:tmpl w:val="BA8AF112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54965"/>
    <w:multiLevelType w:val="hybridMultilevel"/>
    <w:tmpl w:val="BA8AF112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01E5C"/>
    <w:multiLevelType w:val="hybridMultilevel"/>
    <w:tmpl w:val="BA8AF112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F51973"/>
    <w:multiLevelType w:val="hybridMultilevel"/>
    <w:tmpl w:val="BA8AF112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23683"/>
    <w:rsid w:val="000137F7"/>
    <w:rsid w:val="00185663"/>
    <w:rsid w:val="001A1536"/>
    <w:rsid w:val="001F0D8C"/>
    <w:rsid w:val="00274A4B"/>
    <w:rsid w:val="002A59B6"/>
    <w:rsid w:val="00313C08"/>
    <w:rsid w:val="00313ED0"/>
    <w:rsid w:val="00404549"/>
    <w:rsid w:val="00544537"/>
    <w:rsid w:val="005E5EA8"/>
    <w:rsid w:val="00671C96"/>
    <w:rsid w:val="00693EF5"/>
    <w:rsid w:val="006A0498"/>
    <w:rsid w:val="006B7BAB"/>
    <w:rsid w:val="007012D0"/>
    <w:rsid w:val="0075142B"/>
    <w:rsid w:val="007D3498"/>
    <w:rsid w:val="00947956"/>
    <w:rsid w:val="00952939"/>
    <w:rsid w:val="009C1D8E"/>
    <w:rsid w:val="009C7E20"/>
    <w:rsid w:val="00A40EDE"/>
    <w:rsid w:val="00A914DF"/>
    <w:rsid w:val="00C357FE"/>
    <w:rsid w:val="00C84390"/>
    <w:rsid w:val="00CB5782"/>
    <w:rsid w:val="00CC25B2"/>
    <w:rsid w:val="00DE0A25"/>
    <w:rsid w:val="00E23683"/>
    <w:rsid w:val="00E5052E"/>
    <w:rsid w:val="00E77796"/>
    <w:rsid w:val="00F760D2"/>
    <w:rsid w:val="00F85613"/>
    <w:rsid w:val="00FB6791"/>
    <w:rsid w:val="00FD7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3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3EF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5052E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E5052E"/>
    <w:rPr>
      <w:i/>
      <w:iCs/>
    </w:rPr>
  </w:style>
  <w:style w:type="character" w:customStyle="1" w:styleId="cit-source">
    <w:name w:val="cit-source"/>
    <w:basedOn w:val="DefaultParagraphFont"/>
    <w:rsid w:val="00E5052E"/>
  </w:style>
  <w:style w:type="character" w:customStyle="1" w:styleId="cit-pub-date">
    <w:name w:val="cit-pub-date"/>
    <w:basedOn w:val="DefaultParagraphFont"/>
    <w:rsid w:val="00E5052E"/>
  </w:style>
  <w:style w:type="character" w:customStyle="1" w:styleId="cit-vol">
    <w:name w:val="cit-vol"/>
    <w:basedOn w:val="DefaultParagraphFont"/>
    <w:rsid w:val="00E5052E"/>
  </w:style>
  <w:style w:type="character" w:customStyle="1" w:styleId="cit-fpage">
    <w:name w:val="cit-fpage"/>
    <w:basedOn w:val="DefaultParagraphFont"/>
    <w:rsid w:val="00E5052E"/>
  </w:style>
  <w:style w:type="paragraph" w:styleId="BodyTextIndent">
    <w:name w:val="Body Text Indent"/>
    <w:basedOn w:val="Normal"/>
    <w:link w:val="BodyTextIndentChar"/>
    <w:semiHidden/>
    <w:unhideWhenUsed/>
    <w:rsid w:val="00671C96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671C96"/>
    <w:rPr>
      <w:rFonts w:ascii="Arial" w:eastAsia="Times New Roman" w:hAnsi="Arial" w:cs="Times New Roman"/>
      <w:sz w:val="20"/>
      <w:szCs w:val="20"/>
    </w:rPr>
  </w:style>
  <w:style w:type="paragraph" w:styleId="BodyText3">
    <w:name w:val="Body Text 3"/>
    <w:basedOn w:val="Normal"/>
    <w:link w:val="BodyText3Char"/>
    <w:semiHidden/>
    <w:unhideWhenUsed/>
    <w:rsid w:val="00671C96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671C96"/>
    <w:rPr>
      <w:rFonts w:ascii="Arial" w:eastAsia="Times New Roman" w:hAnsi="Arial" w:cs="Times New Roman"/>
      <w:szCs w:val="20"/>
    </w:rPr>
  </w:style>
  <w:style w:type="character" w:customStyle="1" w:styleId="apple-converted-space">
    <w:name w:val="apple-converted-space"/>
    <w:basedOn w:val="DefaultParagraphFont"/>
    <w:rsid w:val="009C7E20"/>
  </w:style>
  <w:style w:type="paragraph" w:styleId="ListParagraph">
    <w:name w:val="List Paragraph"/>
    <w:basedOn w:val="Normal"/>
    <w:uiPriority w:val="34"/>
    <w:qFormat/>
    <w:rsid w:val="009C7E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1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137F7"/>
  </w:style>
  <w:style w:type="paragraph" w:styleId="Footer">
    <w:name w:val="footer"/>
    <w:basedOn w:val="Normal"/>
    <w:link w:val="FooterChar"/>
    <w:uiPriority w:val="99"/>
    <w:unhideWhenUsed/>
    <w:rsid w:val="000137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7F7"/>
  </w:style>
  <w:style w:type="character" w:customStyle="1" w:styleId="hps">
    <w:name w:val="hps"/>
    <w:basedOn w:val="DefaultParagraphFont"/>
    <w:rsid w:val="00A914DF"/>
  </w:style>
  <w:style w:type="character" w:customStyle="1" w:styleId="shorttext">
    <w:name w:val="short_text"/>
    <w:basedOn w:val="DefaultParagraphFont"/>
    <w:rsid w:val="00A91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065/998-047</Company>
  <LinksUpToDate>false</LinksUpToDate>
  <CharactersWithSpaces>11748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DrazenFranta</dc:creator>
  <cp:keywords/>
  <dc:description/>
  <cp:lastModifiedBy>DrazenFranta</cp:lastModifiedBy>
  <cp:revision>3</cp:revision>
  <dcterms:created xsi:type="dcterms:W3CDTF">2012-04-19T20:22:00Z</dcterms:created>
  <dcterms:modified xsi:type="dcterms:W3CDTF">2012-04-23T06:09:00Z</dcterms:modified>
</cp:coreProperties>
</file>