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A84" w:rsidRPr="005B4A84" w:rsidRDefault="005B4A84" w:rsidP="005B4A84">
      <w:pPr>
        <w:pStyle w:val="Maintext"/>
        <w:jc w:val="center"/>
        <w:rPr>
          <w:rFonts w:ascii="Times New Roman" w:hAnsi="Times New Roman"/>
          <w:sz w:val="24"/>
          <w:szCs w:val="24"/>
        </w:rPr>
      </w:pPr>
      <w:r w:rsidRPr="005B4A84">
        <w:rPr>
          <w:rFonts w:ascii="Times New Roman" w:hAnsi="Times New Roman"/>
          <w:b/>
          <w:sz w:val="24"/>
          <w:szCs w:val="24"/>
        </w:rPr>
        <w:t>CAPACITY FOR ACCEPTANCE AND USE OF PRE-ACCESSION FUNDS OF THE REPUBLIC OF MACEDONIA</w:t>
      </w:r>
    </w:p>
    <w:p w:rsidR="005B4A84" w:rsidRPr="005B4A84" w:rsidRDefault="005B4A84" w:rsidP="005B4A84">
      <w:pPr>
        <w:pStyle w:val="Autor"/>
        <w:rPr>
          <w:rFonts w:ascii="Times New Roman" w:hAnsi="Times New Roman"/>
          <w:sz w:val="22"/>
          <w:szCs w:val="22"/>
          <w:vertAlign w:val="superscript"/>
          <w:lang w:val="en-GB"/>
        </w:rPr>
      </w:pPr>
      <w:r w:rsidRPr="005B4A84">
        <w:rPr>
          <w:rFonts w:ascii="Times New Roman" w:hAnsi="Times New Roman"/>
          <w:sz w:val="22"/>
          <w:szCs w:val="22"/>
          <w:lang w:val="en-GB"/>
        </w:rPr>
        <w:t>Nikolche Jankulovski</w:t>
      </w:r>
      <w:r w:rsidRPr="005B4A84">
        <w:rPr>
          <w:rFonts w:ascii="Times New Roman" w:hAnsi="Times New Roman"/>
          <w:sz w:val="22"/>
          <w:szCs w:val="22"/>
          <w:vertAlign w:val="superscript"/>
          <w:lang w:val="en-GB"/>
        </w:rPr>
        <w:t>1</w:t>
      </w:r>
      <w:r w:rsidRPr="005B4A84">
        <w:rPr>
          <w:rFonts w:ascii="Times New Roman" w:hAnsi="Times New Roman"/>
          <w:sz w:val="22"/>
          <w:szCs w:val="22"/>
          <w:lang w:val="en-GB"/>
        </w:rPr>
        <w:t>, Katerina Bojkovska</w:t>
      </w:r>
      <w:r w:rsidRPr="005B4A84">
        <w:rPr>
          <w:rFonts w:ascii="Times New Roman" w:hAnsi="Times New Roman"/>
          <w:sz w:val="22"/>
          <w:szCs w:val="22"/>
          <w:vertAlign w:val="superscript"/>
          <w:lang w:val="en-GB"/>
        </w:rPr>
        <w:t>2</w:t>
      </w:r>
      <w:r w:rsidRPr="005B4A84">
        <w:rPr>
          <w:rFonts w:ascii="Times New Roman" w:hAnsi="Times New Roman"/>
          <w:sz w:val="22"/>
          <w:szCs w:val="22"/>
          <w:lang w:val="en-GB"/>
        </w:rPr>
        <w:t xml:space="preserve"> Monika Angeloska Dichoska</w:t>
      </w:r>
      <w:r w:rsidRPr="005B4A84">
        <w:rPr>
          <w:rFonts w:ascii="Times New Roman" w:hAnsi="Times New Roman"/>
          <w:sz w:val="22"/>
          <w:szCs w:val="22"/>
          <w:vertAlign w:val="superscript"/>
          <w:lang w:val="en-GB"/>
        </w:rPr>
        <w:t>3</w:t>
      </w:r>
    </w:p>
    <w:p w:rsidR="005B4A84" w:rsidRPr="005B4A84" w:rsidRDefault="005B4A84" w:rsidP="005B4A84">
      <w:pPr>
        <w:pStyle w:val="Affiliation"/>
        <w:rPr>
          <w:rFonts w:ascii="Times New Roman" w:hAnsi="Times New Roman"/>
          <w:sz w:val="22"/>
          <w:szCs w:val="22"/>
          <w:lang w:val="en-GB"/>
        </w:rPr>
      </w:pPr>
      <w:r w:rsidRPr="005B4A84">
        <w:rPr>
          <w:rFonts w:ascii="Times New Roman" w:hAnsi="Times New Roman"/>
          <w:sz w:val="22"/>
          <w:szCs w:val="22"/>
          <w:vertAlign w:val="superscript"/>
          <w:lang w:val="en-GB"/>
        </w:rPr>
        <w:t>1</w:t>
      </w:r>
      <w:r w:rsidRPr="005B4A84">
        <w:rPr>
          <w:rFonts w:ascii="Times New Roman" w:hAnsi="Times New Roman"/>
          <w:sz w:val="22"/>
          <w:szCs w:val="22"/>
          <w:lang w:val="en-GB"/>
        </w:rPr>
        <w:t>Postgraduate student, nikolcejankulovski@yahoo.com</w:t>
      </w:r>
    </w:p>
    <w:p w:rsidR="005B4A84" w:rsidRPr="005B4A84" w:rsidRDefault="005B4A84" w:rsidP="005B4A84">
      <w:pPr>
        <w:pStyle w:val="Affiliation"/>
        <w:rPr>
          <w:rFonts w:ascii="Times New Roman" w:hAnsi="Times New Roman"/>
          <w:sz w:val="22"/>
          <w:szCs w:val="22"/>
          <w:lang w:val="en-GB"/>
        </w:rPr>
      </w:pPr>
      <w:r w:rsidRPr="005B4A84">
        <w:rPr>
          <w:rFonts w:ascii="Times New Roman" w:hAnsi="Times New Roman"/>
          <w:sz w:val="22"/>
          <w:szCs w:val="22"/>
          <w:vertAlign w:val="superscript"/>
          <w:lang w:val="en-GB"/>
        </w:rPr>
        <w:t>2</w:t>
      </w:r>
      <w:r w:rsidRPr="005B4A84">
        <w:rPr>
          <w:rFonts w:ascii="Times New Roman" w:hAnsi="Times New Roman"/>
          <w:sz w:val="22"/>
          <w:szCs w:val="22"/>
          <w:lang w:val="en-GB"/>
        </w:rPr>
        <w:t>Postgraduate student, katerina_petkovska_bt@yahoo.com</w:t>
      </w:r>
    </w:p>
    <w:p w:rsidR="000223B7" w:rsidRPr="005B4A84" w:rsidRDefault="005B4A84" w:rsidP="005B4A84">
      <w:pPr>
        <w:jc w:val="center"/>
        <w:rPr>
          <w:rFonts w:ascii="Times New Roman" w:hAnsi="Times New Roman" w:cs="Times New Roman"/>
          <w:lang w:val="en-GB"/>
        </w:rPr>
      </w:pPr>
      <w:r w:rsidRPr="005B4A84">
        <w:rPr>
          <w:rFonts w:ascii="Times New Roman" w:hAnsi="Times New Roman" w:cs="Times New Roman"/>
          <w:vertAlign w:val="superscript"/>
          <w:lang w:val="en-GB"/>
        </w:rPr>
        <w:t>3</w:t>
      </w:r>
      <w:r w:rsidRPr="005B4A84">
        <w:rPr>
          <w:rFonts w:ascii="Times New Roman" w:hAnsi="Times New Roman" w:cs="Times New Roman"/>
          <w:lang w:val="en-GB"/>
        </w:rPr>
        <w:t>Postgraduate student, angeloska_monika@yahoo.com</w:t>
      </w:r>
    </w:p>
    <w:p w:rsidR="005B4A84" w:rsidRPr="005B4A84" w:rsidRDefault="005B4A84" w:rsidP="005B4A84">
      <w:pPr>
        <w:jc w:val="center"/>
        <w:rPr>
          <w:rFonts w:ascii="Times New Roman" w:hAnsi="Times New Roman" w:cs="Times New Roman"/>
          <w:sz w:val="24"/>
          <w:szCs w:val="24"/>
          <w:lang w:val="en-GB"/>
        </w:rPr>
      </w:pPr>
    </w:p>
    <w:p w:rsidR="005B4A84" w:rsidRPr="005B4A84" w:rsidRDefault="005B4A84" w:rsidP="005B4A84">
      <w:pPr>
        <w:rPr>
          <w:rFonts w:ascii="Times New Roman" w:hAnsi="Times New Roman" w:cs="Times New Roman"/>
          <w:sz w:val="24"/>
          <w:szCs w:val="24"/>
          <w:lang w:val="en-GB"/>
        </w:rPr>
      </w:pPr>
      <w:bookmarkStart w:id="0" w:name="_GoBack"/>
      <w:bookmarkEnd w:id="0"/>
      <w:r w:rsidRPr="005B4A84">
        <w:rPr>
          <w:rFonts w:ascii="Times New Roman" w:hAnsi="Times New Roman" w:cs="Times New Roman"/>
          <w:b/>
          <w:sz w:val="24"/>
          <w:szCs w:val="24"/>
          <w:lang w:val="en-GB"/>
        </w:rPr>
        <w:t>Abstract</w:t>
      </w:r>
    </w:p>
    <w:p w:rsidR="005B4A84" w:rsidRPr="005B4A84" w:rsidRDefault="005B4A84" w:rsidP="005B4A84">
      <w:pPr>
        <w:jc w:val="both"/>
        <w:rPr>
          <w:rFonts w:ascii="Times New Roman" w:hAnsi="Times New Roman" w:cs="Times New Roman"/>
          <w:i/>
        </w:rPr>
      </w:pPr>
      <w:r w:rsidRPr="005B4A84">
        <w:rPr>
          <w:rFonts w:ascii="Times New Roman" w:hAnsi="Times New Roman" w:cs="Times New Roman"/>
          <w:i/>
        </w:rPr>
        <w:t>The integration process of the Republic of Macedonia towards the European Union is clear and unambiguous interest and priority goal. Republic of Macedonia within the integration processes from 16.05.2007 has the status of a candidate for membership in the European Union. Thus it has the right to use financial funds from the pre-accession funds in order to meet the criteria for membership in the European Union, and harmonization of national legislation in the European. The paper has a goal to give preliminary assessment of the current capacities in the Republic of Macedonia for absorption of resources from EU funds. The legislative framework and the administrative capacity for absorption of EU funds for economic and social cohesion are also covered. Assessment of the absorption capacity on the Republic of Macedonia will be reduced to the administrative-institutional capacity and the legislative framework for effective absorption of the EU funds.</w:t>
      </w:r>
    </w:p>
    <w:p w:rsidR="005B4A84" w:rsidRPr="005B4A84" w:rsidRDefault="005B4A84" w:rsidP="005B4A84">
      <w:pPr>
        <w:jc w:val="both"/>
        <w:rPr>
          <w:rFonts w:ascii="Times New Roman" w:hAnsi="Times New Roman" w:cs="Times New Roman"/>
          <w:sz w:val="24"/>
          <w:szCs w:val="24"/>
          <w:lang w:val="en-GB"/>
        </w:rPr>
      </w:pPr>
      <w:r w:rsidRPr="005B4A84">
        <w:rPr>
          <w:rFonts w:ascii="Times New Roman" w:hAnsi="Times New Roman" w:cs="Times New Roman"/>
          <w:b/>
          <w:sz w:val="24"/>
          <w:szCs w:val="24"/>
          <w:lang w:val="en-GB"/>
        </w:rPr>
        <w:t>Keywords</w:t>
      </w:r>
      <w:r w:rsidRPr="005B4A84">
        <w:rPr>
          <w:rFonts w:ascii="Times New Roman" w:hAnsi="Times New Roman" w:cs="Times New Roman"/>
          <w:sz w:val="24"/>
          <w:szCs w:val="24"/>
          <w:lang w:val="en-GB"/>
        </w:rPr>
        <w:t xml:space="preserve">: </w:t>
      </w:r>
      <w:r w:rsidRPr="005B4A84">
        <w:rPr>
          <w:rFonts w:ascii="Times New Roman" w:hAnsi="Times New Roman" w:cs="Times New Roman"/>
          <w:i/>
          <w:lang w:val="en-GB"/>
        </w:rPr>
        <w:t>capacity, administration, harmonization, fund, absorption</w:t>
      </w: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Pr="005B4A84" w:rsidRDefault="005B4A84" w:rsidP="005B4A84">
      <w:pPr>
        <w:jc w:val="center"/>
        <w:rPr>
          <w:rFonts w:ascii="Times New Roman" w:hAnsi="Times New Roman" w:cs="Times New Roman"/>
          <w:sz w:val="24"/>
          <w:szCs w:val="24"/>
          <w:lang w:val="en-GB"/>
        </w:rPr>
      </w:pPr>
    </w:p>
    <w:p w:rsidR="005B4A84" w:rsidRPr="005B4A84" w:rsidRDefault="005B4A84" w:rsidP="005B4A84">
      <w:pPr>
        <w:jc w:val="both"/>
        <w:rPr>
          <w:rFonts w:ascii="Times New Roman" w:hAnsi="Times New Roman" w:cs="Times New Roman"/>
          <w:sz w:val="24"/>
          <w:szCs w:val="24"/>
          <w:lang w:val="en-GB"/>
        </w:rPr>
      </w:pPr>
    </w:p>
    <w:p w:rsidR="005B4A84" w:rsidRDefault="005B4A84" w:rsidP="005B4A84">
      <w:pPr>
        <w:pStyle w:val="Subtitle1"/>
        <w:spacing w:before="0" w:after="0"/>
        <w:jc w:val="center"/>
        <w:rPr>
          <w:rFonts w:ascii="Times New Roman" w:hAnsi="Times New Roman"/>
          <w:sz w:val="24"/>
          <w:szCs w:val="24"/>
          <w:lang w:val="en-GB"/>
        </w:rPr>
      </w:pPr>
      <w:r w:rsidRPr="005B4A84">
        <w:rPr>
          <w:rFonts w:ascii="Times New Roman" w:hAnsi="Times New Roman"/>
          <w:sz w:val="24"/>
          <w:szCs w:val="24"/>
          <w:lang w:val="en-GB"/>
        </w:rPr>
        <w:lastRenderedPageBreak/>
        <w:t>1. introduction</w:t>
      </w:r>
    </w:p>
    <w:p w:rsidR="005B4A84" w:rsidRPr="005B4A84" w:rsidRDefault="005B4A84" w:rsidP="005B4A84">
      <w:pPr>
        <w:pStyle w:val="Maintext"/>
      </w:pPr>
    </w:p>
    <w:p w:rsidR="005B4A84" w:rsidRPr="005B4A84" w:rsidRDefault="005B4A84" w:rsidP="005B4A8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ab/>
        <w:t>Within the public finances of the European Union</w:t>
      </w:r>
      <w:r w:rsidRPr="005B4A84">
        <w:rPr>
          <w:rFonts w:ascii="Times New Roman" w:hAnsi="Times New Roman" w:cs="Times New Roman"/>
          <w:b/>
          <w:sz w:val="24"/>
          <w:szCs w:val="24"/>
        </w:rPr>
        <w:t xml:space="preserve"> </w:t>
      </w:r>
      <w:r w:rsidRPr="005B4A84">
        <w:rPr>
          <w:rFonts w:ascii="Times New Roman" w:hAnsi="Times New Roman" w:cs="Times New Roman"/>
          <w:sz w:val="24"/>
          <w:szCs w:val="24"/>
        </w:rPr>
        <w:t>(EU), absorption capacity is defined as the degree to which a country (member or not member of the EU) is able to spend allocated funds in effective and efficient way. Based on the experience acquired over time the European Commission has concluded that states have limited absorptive capacity of  foreign investment support effective and efficient way</w:t>
      </w:r>
      <w:r w:rsidRPr="005B4A84">
        <w:rPr>
          <w:rStyle w:val="FootnoteReference"/>
          <w:rFonts w:ascii="Times New Roman" w:hAnsi="Times New Roman" w:cs="Times New Roman"/>
          <w:sz w:val="24"/>
          <w:szCs w:val="24"/>
        </w:rPr>
        <w:footnoteReference w:id="2"/>
      </w:r>
      <w:r w:rsidRPr="005B4A84">
        <w:rPr>
          <w:rFonts w:ascii="Times New Roman" w:hAnsi="Times New Roman" w:cs="Times New Roman"/>
          <w:sz w:val="24"/>
          <w:szCs w:val="24"/>
        </w:rPr>
        <w:t>.</w:t>
      </w:r>
    </w:p>
    <w:p w:rsidR="005B4A84" w:rsidRPr="005B4A84" w:rsidRDefault="005B4A84" w:rsidP="005B4A8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For this reason a special attention is paid on the issue about the concept of absorptive capacity and analysis of the factors that have influence on its determination.</w:t>
      </w:r>
    </w:p>
    <w:p w:rsidR="005B4A84" w:rsidRPr="005B4A84" w:rsidRDefault="005B4A84" w:rsidP="005B4A8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On the absorption capacity for cohesion purposes of EU members state or candidate country for EU membership can affect three main factors</w:t>
      </w:r>
      <w:r w:rsidRPr="005B4A84">
        <w:rPr>
          <w:rStyle w:val="FootnoteReference"/>
          <w:rFonts w:ascii="Times New Roman" w:hAnsi="Times New Roman" w:cs="Times New Roman"/>
          <w:sz w:val="24"/>
          <w:szCs w:val="24"/>
        </w:rPr>
        <w:footnoteReference w:id="3"/>
      </w:r>
      <w:r w:rsidRPr="005B4A84">
        <w:rPr>
          <w:rFonts w:ascii="Times New Roman" w:hAnsi="Times New Roman" w:cs="Times New Roman"/>
          <w:sz w:val="24"/>
          <w:szCs w:val="24"/>
        </w:rPr>
        <w:t>:</w:t>
      </w:r>
    </w:p>
    <w:p w:rsidR="005B4A84" w:rsidRPr="005B4A84" w:rsidRDefault="005B4A84" w:rsidP="005B4A8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 Macroeconomic situation-macro-economic absorption capacity is defined and measured through GDP. Experience gained over time has led the Commission to conclude that the EU member states have limited macroeconomic absorptive capacity of foreign investment support effective and efficient way. During the current medium-term financial perspective of the EU, the upper limit for cohesion goals is set at 4% of GDP of the state, so the same figure the Commission proposes for the next medium term financial perspective.</w:t>
      </w:r>
    </w:p>
    <w:p w:rsidR="005B4A84" w:rsidRPr="005B4A84" w:rsidRDefault="005B4A84" w:rsidP="005B4A8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-The state co-financing- financial absorption capacity can be defined as the ability for co-financing of programs and projects supported by EU to plan and guarantee these national contributions in perennial budgets, and to collect these contributions from multiple partners involved in a particular program or project and</w:t>
      </w:r>
    </w:p>
    <w:p w:rsidR="005B4A84" w:rsidRPr="005B4A84" w:rsidRDefault="005B4A84" w:rsidP="005B4A8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 Administrative-institutional capacity- This  capacity can be defines as the ability and skills of states and local authorities for timely preparation of appropriate plans, programs and projects,  selection of programs and projects, establishing the conditions for coordination among the main partners, to fulfill  the requirements regarding the administration and reporting, as well as funding and implementation of proper control, avoiding anomalies.</w:t>
      </w:r>
    </w:p>
    <w:p w:rsidR="005B4A84" w:rsidRPr="005B4A84" w:rsidRDefault="005B4A84" w:rsidP="005B4A8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After conducting an analysis and understanding of good absorption capacity and factors affecting its size an assessment of the absorption capacity of Republic of Macedonia should be made. The assessment should be for the funds for cohesion purposes. Therefore, the Republic of Macedonia needs to analyze the problems of absorption capacity of the Baltic countries as well as those from the southeastern Europe, which now are members of EU, in order to improve its positions in terms of making greater possible absorption capacity.</w:t>
      </w:r>
    </w:p>
    <w:p w:rsidR="005B4A84" w:rsidRPr="005B4A84" w:rsidRDefault="005B4A84" w:rsidP="005B4A84">
      <w:pPr>
        <w:pStyle w:val="Maintext"/>
        <w:rPr>
          <w:rFonts w:ascii="Times New Roman" w:hAnsi="Times New Roman"/>
          <w:sz w:val="24"/>
          <w:szCs w:val="24"/>
        </w:rPr>
      </w:pPr>
    </w:p>
    <w:p w:rsidR="005B4A84" w:rsidRPr="005B4A84" w:rsidRDefault="005B4A84" w:rsidP="005B4A84">
      <w:pPr>
        <w:spacing w:after="0" w:line="240" w:lineRule="auto"/>
        <w:jc w:val="center"/>
        <w:rPr>
          <w:rFonts w:ascii="Times New Roman" w:hAnsi="Times New Roman" w:cs="Times New Roman"/>
          <w:b/>
          <w:sz w:val="24"/>
          <w:szCs w:val="24"/>
        </w:rPr>
      </w:pPr>
      <w:r w:rsidRPr="005B4A84">
        <w:rPr>
          <w:rFonts w:ascii="Times New Roman" w:hAnsi="Times New Roman" w:cs="Times New Roman"/>
          <w:b/>
          <w:sz w:val="24"/>
          <w:szCs w:val="24"/>
        </w:rPr>
        <w:t>2. CAPACITY TO TRANSPOSE THE LEGISLATION</w:t>
      </w:r>
    </w:p>
    <w:p w:rsidR="005B4A84" w:rsidRPr="005B4A84" w:rsidRDefault="005B4A84" w:rsidP="005B4A84">
      <w:pPr>
        <w:spacing w:after="0" w:line="240" w:lineRule="auto"/>
        <w:rPr>
          <w:rFonts w:ascii="Times New Roman" w:hAnsi="Times New Roman" w:cs="Times New Roman"/>
          <w:b/>
          <w:sz w:val="24"/>
          <w:szCs w:val="24"/>
        </w:rPr>
      </w:pP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Capacity to transpose the legislation concerning the use of funds from European funds and subject to the requirement of full harmonization of national legislation of the Republic of Macedonia with the legislation of the European Union (EU</w:t>
      </w:r>
      <w:r w:rsidRPr="005B4A84">
        <w:rPr>
          <w:rStyle w:val="FootnoteReference"/>
          <w:rFonts w:ascii="Times New Roman" w:hAnsi="Times New Roman" w:cs="Times New Roman"/>
          <w:sz w:val="24"/>
          <w:szCs w:val="24"/>
        </w:rPr>
        <w:footnoteReference w:id="4"/>
      </w:r>
      <w:r w:rsidRPr="005B4A84">
        <w:rPr>
          <w:rFonts w:ascii="Times New Roman" w:hAnsi="Times New Roman" w:cs="Times New Roman"/>
          <w:sz w:val="24"/>
          <w:szCs w:val="24"/>
        </w:rPr>
        <w:t xml:space="preserve">). Accordingly, </w:t>
      </w:r>
      <w:r w:rsidRPr="005B4A84">
        <w:rPr>
          <w:rFonts w:ascii="Times New Roman" w:hAnsi="Times New Roman" w:cs="Times New Roman"/>
          <w:sz w:val="24"/>
          <w:szCs w:val="24"/>
        </w:rPr>
        <w:lastRenderedPageBreak/>
        <w:t xml:space="preserve">one of the constituent part of the country’s capacity to use funds from EU funds, a legal framework. Harmonization and adoption of laws by the legislature must not remain only on their formal vote in the legislature. The same need to be carried out to determine the effect on their application. </w:t>
      </w:r>
    </w:p>
    <w:p w:rsidR="005B4A84" w:rsidRPr="005B4A84" w:rsidRDefault="005B4A84" w:rsidP="008C4CE4">
      <w:pPr>
        <w:ind w:firstLine="720"/>
        <w:jc w:val="both"/>
        <w:rPr>
          <w:rFonts w:ascii="Times New Roman" w:hAnsi="Times New Roman" w:cs="Times New Roman"/>
          <w:sz w:val="24"/>
          <w:szCs w:val="24"/>
        </w:rPr>
      </w:pPr>
      <w:r w:rsidRPr="005B4A84">
        <w:rPr>
          <w:rFonts w:ascii="Times New Roman" w:hAnsi="Times New Roman" w:cs="Times New Roman"/>
          <w:sz w:val="24"/>
          <w:szCs w:val="24"/>
        </w:rPr>
        <w:t>The laws and bylaws, which are of great importance, for absorption capacity is related to public procurement , state aid, protection of competition, financial control and management, environmental protection and equal opportunities. In all these areas the Republic of Macedonia has  achieved significant progress on the necessary legal harmonization. However, special attention should be to measures necessary to implement the legislation.</w:t>
      </w:r>
    </w:p>
    <w:p w:rsidR="005B4A84" w:rsidRPr="005B4A84" w:rsidRDefault="005B4A84" w:rsidP="008C4CE4">
      <w:pPr>
        <w:spacing w:after="0" w:line="240" w:lineRule="auto"/>
        <w:jc w:val="center"/>
        <w:rPr>
          <w:rFonts w:ascii="Times New Roman" w:hAnsi="Times New Roman" w:cs="Times New Roman"/>
          <w:b/>
          <w:sz w:val="24"/>
          <w:szCs w:val="24"/>
        </w:rPr>
      </w:pPr>
      <w:r w:rsidRPr="005B4A84">
        <w:rPr>
          <w:rFonts w:ascii="Times New Roman" w:hAnsi="Times New Roman" w:cs="Times New Roman"/>
          <w:b/>
          <w:sz w:val="24"/>
          <w:szCs w:val="24"/>
        </w:rPr>
        <w:t>3. ADMINISTRATIVE-INSTITUTIONAL FRAMEWORK</w:t>
      </w:r>
    </w:p>
    <w:p w:rsidR="005B4A84" w:rsidRPr="005B4A84" w:rsidRDefault="005B4A84" w:rsidP="008C4CE4">
      <w:pPr>
        <w:spacing w:after="0" w:line="240" w:lineRule="auto"/>
        <w:ind w:firstLine="720"/>
        <w:jc w:val="both"/>
        <w:rPr>
          <w:rFonts w:ascii="Times New Roman" w:hAnsi="Times New Roman" w:cs="Times New Roman"/>
          <w:sz w:val="24"/>
          <w:szCs w:val="24"/>
        </w:rPr>
      </w:pP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When we look at the issue of creating a project, an initial part of the administrative-institutional absorptive capacity of a country represents the demand side. It means the ability to convert ideas into tangible projects with a clear structure, clear goals, clear momentum for achieving the general and specific objectives, a package that should be taken to achieve goals, complete list of entities involved in project implementation, benchmarks for measuring results and detailed analysis of costs and benefits.</w:t>
      </w:r>
      <w:r w:rsidRPr="005B4A84">
        <w:rPr>
          <w:rStyle w:val="FootnoteReference"/>
          <w:rFonts w:ascii="Times New Roman" w:hAnsi="Times New Roman" w:cs="Times New Roman"/>
          <w:sz w:val="24"/>
          <w:szCs w:val="24"/>
        </w:rPr>
        <w:footnoteReference w:id="5"/>
      </w: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Turnkey project should be fully developed with a group of standards and in accordance with financial documents and the priority objectives of EU funds in order to constitute consistent whole.</w:t>
      </w: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On the other hand, administrative-institutional capacity includes the supply side, which refers to the state’s capacity to implement project. In this section question arise about the existence of an appropriate structure, human resources, and systems and tools necessary to effectively and efficiently manage the implementation of projects. Specifically the existing administrative-institutional absorptive capacity in Macedonia is not sufficient for effective use of financial resources from EU funds. It can be concluded based on the fact that the state still has the power of managing financial assets, but it performs the office design</w:t>
      </w:r>
      <w:r>
        <w:rPr>
          <w:rFonts w:ascii="Times New Roman" w:hAnsi="Times New Roman" w:cs="Times New Roman"/>
          <w:sz w:val="24"/>
          <w:szCs w:val="24"/>
        </w:rPr>
        <w:t>ated by the European Commission</w:t>
      </w:r>
      <w:r w:rsidRPr="005B4A84">
        <w:rPr>
          <w:rFonts w:ascii="Times New Roman" w:hAnsi="Times New Roman" w:cs="Times New Roman"/>
          <w:sz w:val="24"/>
          <w:szCs w:val="24"/>
        </w:rPr>
        <w:t>. RM problems in the phase of creating projects for application and stage of implementation. It proved in the past with the use of funds from programs CARDS, PHA</w:t>
      </w:r>
      <w:r>
        <w:rPr>
          <w:rFonts w:ascii="Times New Roman" w:hAnsi="Times New Roman" w:cs="Times New Roman"/>
          <w:sz w:val="24"/>
          <w:szCs w:val="24"/>
        </w:rPr>
        <w:t xml:space="preserve">RE and </w:t>
      </w:r>
      <w:r w:rsidRPr="005B4A84">
        <w:rPr>
          <w:rFonts w:ascii="Times New Roman" w:hAnsi="Times New Roman" w:cs="Times New Roman"/>
          <w:sz w:val="24"/>
          <w:szCs w:val="24"/>
        </w:rPr>
        <w:t>SAPARD, which offered funds were used partly.</w:t>
      </w:r>
      <w:r w:rsidRPr="005B4A84">
        <w:rPr>
          <w:rStyle w:val="FootnoteReference"/>
          <w:rFonts w:ascii="Times New Roman" w:hAnsi="Times New Roman" w:cs="Times New Roman"/>
          <w:sz w:val="24"/>
          <w:szCs w:val="24"/>
        </w:rPr>
        <w:footnoteReference w:id="6"/>
      </w: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When using these funds the following weaknesses were identified:</w:t>
      </w:r>
      <w:r w:rsidRPr="005B4A84">
        <w:rPr>
          <w:rStyle w:val="FootnoteReference"/>
          <w:rFonts w:ascii="Times New Roman" w:hAnsi="Times New Roman" w:cs="Times New Roman"/>
          <w:sz w:val="24"/>
          <w:szCs w:val="24"/>
        </w:rPr>
        <w:footnoteReference w:id="7"/>
      </w:r>
    </w:p>
    <w:p w:rsidR="005B4A84" w:rsidRPr="005B4A84" w:rsidRDefault="005B4A84" w:rsidP="008C4CE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-Lack of long-term strategy of the government in terms of priorities and what must be done in the future;</w:t>
      </w:r>
    </w:p>
    <w:p w:rsidR="005B4A84" w:rsidRPr="005B4A84" w:rsidRDefault="005B4A84" w:rsidP="008C4CE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 There is limited demand for specific projects by potential users and the European Commission office in the country is in position to be the main driving force for generating projects;</w:t>
      </w:r>
    </w:p>
    <w:p w:rsidR="005B4A84" w:rsidRPr="005B4A84" w:rsidRDefault="005B4A84" w:rsidP="005B4A84">
      <w:pPr>
        <w:spacing w:after="0" w:line="240" w:lineRule="auto"/>
        <w:rPr>
          <w:rFonts w:ascii="Times New Roman" w:hAnsi="Times New Roman" w:cs="Times New Roman"/>
          <w:sz w:val="24"/>
          <w:szCs w:val="24"/>
        </w:rPr>
      </w:pPr>
      <w:r w:rsidRPr="005B4A84">
        <w:rPr>
          <w:rFonts w:ascii="Times New Roman" w:hAnsi="Times New Roman" w:cs="Times New Roman"/>
          <w:sz w:val="24"/>
          <w:szCs w:val="24"/>
        </w:rPr>
        <w:lastRenderedPageBreak/>
        <w:t xml:space="preserve">-Sometimes employees in ministries and other institutions do not understand sufficiently the meaning of the projects and programs sponsored by the EU and </w:t>
      </w:r>
    </w:p>
    <w:p w:rsidR="005B4A84" w:rsidRPr="005B4A84" w:rsidRDefault="005B4A84" w:rsidP="005B4A84">
      <w:pPr>
        <w:spacing w:after="0" w:line="240" w:lineRule="auto"/>
        <w:rPr>
          <w:rFonts w:ascii="Times New Roman" w:hAnsi="Times New Roman" w:cs="Times New Roman"/>
          <w:sz w:val="24"/>
          <w:szCs w:val="24"/>
        </w:rPr>
      </w:pPr>
      <w:r w:rsidRPr="005B4A84">
        <w:rPr>
          <w:rFonts w:ascii="Times New Roman" w:hAnsi="Times New Roman" w:cs="Times New Roman"/>
          <w:sz w:val="24"/>
          <w:szCs w:val="24"/>
        </w:rPr>
        <w:t xml:space="preserve">- in the Republic of Macedonia there is a lack of ownership of the programs financed by EU mainly due to the role of the European Commission office in the country that performs some functions that should be within the bodies of the Republic of Macedonia under the decentralization system of implementation od assistance. </w:t>
      </w:r>
    </w:p>
    <w:p w:rsidR="005B4A84" w:rsidRPr="005B4A84" w:rsidRDefault="005B4A84" w:rsidP="005B4A84">
      <w:pPr>
        <w:spacing w:after="0" w:line="240" w:lineRule="auto"/>
        <w:ind w:firstLine="360"/>
        <w:rPr>
          <w:rFonts w:ascii="Times New Roman" w:hAnsi="Times New Roman" w:cs="Times New Roman"/>
          <w:sz w:val="24"/>
          <w:szCs w:val="24"/>
        </w:rPr>
      </w:pPr>
      <w:r w:rsidRPr="005B4A84">
        <w:rPr>
          <w:rFonts w:ascii="Times New Roman" w:hAnsi="Times New Roman" w:cs="Times New Roman"/>
          <w:sz w:val="24"/>
          <w:szCs w:val="24"/>
        </w:rPr>
        <w:t>To eliminate these drawbacks a continuous work on retaining administrative staff is needed, as well as employment of young, highly educated personnel, ongoing training, both domestically and in the EU.</w:t>
      </w:r>
    </w:p>
    <w:p w:rsidR="005B4A84" w:rsidRPr="005B4A84" w:rsidRDefault="005B4A84" w:rsidP="005B4A84">
      <w:pPr>
        <w:pStyle w:val="ListParagraph"/>
        <w:spacing w:after="0" w:line="240" w:lineRule="auto"/>
        <w:jc w:val="both"/>
        <w:rPr>
          <w:rFonts w:ascii="Times New Roman" w:eastAsia="Times New Roman" w:hAnsi="Times New Roman"/>
          <w:sz w:val="24"/>
          <w:szCs w:val="24"/>
        </w:rPr>
      </w:pPr>
    </w:p>
    <w:p w:rsidR="005B4A84" w:rsidRPr="005B4A84" w:rsidRDefault="005B4A84" w:rsidP="005B4A84">
      <w:pPr>
        <w:pStyle w:val="ListParagraph"/>
        <w:spacing w:after="0" w:line="240" w:lineRule="auto"/>
        <w:ind w:left="0"/>
        <w:jc w:val="center"/>
        <w:rPr>
          <w:rFonts w:ascii="Times New Roman" w:hAnsi="Times New Roman"/>
          <w:b/>
          <w:sz w:val="24"/>
          <w:szCs w:val="24"/>
        </w:rPr>
      </w:pPr>
      <w:r w:rsidRPr="005B4A84">
        <w:rPr>
          <w:rFonts w:ascii="Times New Roman" w:eastAsia="Times New Roman" w:hAnsi="Times New Roman"/>
          <w:b/>
          <w:sz w:val="24"/>
          <w:szCs w:val="24"/>
        </w:rPr>
        <w:t xml:space="preserve">3.1. </w:t>
      </w:r>
      <w:r w:rsidRPr="005B4A84">
        <w:rPr>
          <w:rFonts w:ascii="Times New Roman" w:hAnsi="Times New Roman"/>
          <w:b/>
          <w:sz w:val="24"/>
          <w:szCs w:val="24"/>
        </w:rPr>
        <w:t>Capacity for generating projects</w:t>
      </w:r>
    </w:p>
    <w:p w:rsidR="005B4A84" w:rsidRPr="005B4A84" w:rsidRDefault="005B4A84" w:rsidP="005B4A84">
      <w:pPr>
        <w:pStyle w:val="ListParagraph"/>
        <w:spacing w:after="0" w:line="240" w:lineRule="auto"/>
        <w:ind w:left="0"/>
        <w:jc w:val="both"/>
        <w:rPr>
          <w:rFonts w:ascii="Times New Roman" w:hAnsi="Times New Roman"/>
          <w:b/>
          <w:sz w:val="24"/>
          <w:szCs w:val="24"/>
        </w:rPr>
      </w:pPr>
    </w:p>
    <w:p w:rsidR="005B4A84" w:rsidRPr="005B4A84" w:rsidRDefault="005B4A84" w:rsidP="005B4A84">
      <w:pPr>
        <w:spacing w:after="0" w:line="240" w:lineRule="auto"/>
        <w:ind w:firstLine="360"/>
        <w:rPr>
          <w:rFonts w:ascii="Times New Roman" w:hAnsi="Times New Roman" w:cs="Times New Roman"/>
          <w:sz w:val="24"/>
          <w:szCs w:val="24"/>
        </w:rPr>
      </w:pPr>
      <w:r w:rsidRPr="005B4A84">
        <w:rPr>
          <w:rFonts w:ascii="Times New Roman" w:hAnsi="Times New Roman" w:cs="Times New Roman"/>
          <w:sz w:val="24"/>
          <w:szCs w:val="24"/>
        </w:rPr>
        <w:t>In terms of the demand of administrative-institutional capacity of a country, it is determined by its capacity to create a good list of projects that will contain enough well-planned and formulated proposals. Although this phase as the demand phase is initial in the project cycle, in Macedonia, or phase in public institutions and the private sector, facilities for the preparation of professionals entrusted projects are not yet sufficiently developed.</w:t>
      </w:r>
    </w:p>
    <w:p w:rsidR="005B4A84" w:rsidRPr="005B4A84" w:rsidRDefault="005B4A84" w:rsidP="005B4A84">
      <w:pPr>
        <w:spacing w:after="0" w:line="240" w:lineRule="auto"/>
        <w:ind w:firstLine="360"/>
        <w:rPr>
          <w:rFonts w:ascii="Times New Roman" w:hAnsi="Times New Roman" w:cs="Times New Roman"/>
          <w:sz w:val="24"/>
          <w:szCs w:val="24"/>
        </w:rPr>
      </w:pPr>
      <w:r w:rsidRPr="005B4A84">
        <w:rPr>
          <w:rFonts w:ascii="Times New Roman" w:hAnsi="Times New Roman" w:cs="Times New Roman"/>
          <w:sz w:val="24"/>
          <w:szCs w:val="24"/>
        </w:rPr>
        <w:t>Unfavorable position of the state in the process of drafting the project is conditioned by several reasons:</w:t>
      </w:r>
      <w:r w:rsidRPr="005B4A84">
        <w:rPr>
          <w:rStyle w:val="FootnoteReference"/>
          <w:rFonts w:ascii="Times New Roman" w:hAnsi="Times New Roman" w:cs="Times New Roman"/>
          <w:sz w:val="24"/>
          <w:szCs w:val="24"/>
        </w:rPr>
        <w:footnoteReference w:id="8"/>
      </w:r>
    </w:p>
    <w:p w:rsidR="005B4A84" w:rsidRPr="005B4A84" w:rsidRDefault="005B4A84" w:rsidP="005B4A8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In many cases the use of public (or private) funds is not conditioned by the existence (i.e. construction) quality project proposals. Consequently, almost no pressure, no such incentive, those who finance their projects require preparation, and explanation (i.e. defense);</w:t>
      </w:r>
    </w:p>
    <w:p w:rsidR="005B4A84" w:rsidRPr="005B4A84" w:rsidRDefault="005B4A84" w:rsidP="005B4A8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The state officials and other public officials are rarely requires to prepare projects in their daily activities, and justification of sustainability and the importance of the proposals for public policies, however, often made on the basis of lack of clear criteria;</w:t>
      </w:r>
    </w:p>
    <w:p w:rsidR="005B4A84" w:rsidRPr="005B4A84" w:rsidRDefault="005B4A84" w:rsidP="005B4A8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In Macedonia there is no state institution that has generating projects as their sole or one of its key responsibilities, creation of private (consulting) firms whose professional orientation is preparing the project has started recently. Hence, it will take time before their expertise (aside from that of foreigners) to mature to international standards of quality and</w:t>
      </w:r>
    </w:p>
    <w:p w:rsidR="005B4A84" w:rsidRPr="005B4A84" w:rsidRDefault="005B4A84" w:rsidP="005B4A8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There is an obvious lack of regular education, even at university level, associated with the preparation and evaluation of projects, hence such skills, in case of need, are gained by practice (learning-doing).</w:t>
      </w:r>
    </w:p>
    <w:p w:rsidR="005B4A84" w:rsidRPr="005B4A84" w:rsidRDefault="005B4A84" w:rsidP="005B4A84">
      <w:pPr>
        <w:spacing w:after="0" w:line="240" w:lineRule="auto"/>
        <w:ind w:firstLine="360"/>
        <w:rPr>
          <w:rFonts w:ascii="Times New Roman" w:hAnsi="Times New Roman" w:cs="Times New Roman"/>
          <w:sz w:val="24"/>
          <w:szCs w:val="24"/>
        </w:rPr>
      </w:pPr>
      <w:r w:rsidRPr="005B4A84">
        <w:rPr>
          <w:rFonts w:ascii="Times New Roman" w:hAnsi="Times New Roman" w:cs="Times New Roman"/>
          <w:sz w:val="24"/>
          <w:szCs w:val="24"/>
        </w:rPr>
        <w:t>It is necessary to strengthen the demand side of the administrative-institutional capacity, or power-generating projects by animating the public about the importance of the projects, the existence of public bodies will provide information necessary for their development, and proactive approach to educational institutions to increase knowledge of young professionals for project development.</w:t>
      </w:r>
    </w:p>
    <w:p w:rsidR="005B4A84" w:rsidRDefault="005B4A84" w:rsidP="005B4A84">
      <w:pPr>
        <w:spacing w:after="0" w:line="240" w:lineRule="auto"/>
        <w:ind w:firstLine="360"/>
        <w:rPr>
          <w:rFonts w:ascii="Times New Roman" w:hAnsi="Times New Roman" w:cs="Times New Roman"/>
          <w:sz w:val="24"/>
          <w:szCs w:val="24"/>
        </w:rPr>
      </w:pPr>
    </w:p>
    <w:p w:rsidR="005B4A84" w:rsidRDefault="005B4A84" w:rsidP="005B4A84">
      <w:pPr>
        <w:spacing w:after="0" w:line="240" w:lineRule="auto"/>
        <w:ind w:firstLine="360"/>
        <w:rPr>
          <w:rFonts w:ascii="Times New Roman" w:hAnsi="Times New Roman" w:cs="Times New Roman"/>
          <w:sz w:val="24"/>
          <w:szCs w:val="24"/>
        </w:rPr>
      </w:pPr>
    </w:p>
    <w:p w:rsidR="005B4A84" w:rsidRDefault="005B4A84" w:rsidP="005B4A84">
      <w:pPr>
        <w:spacing w:after="0" w:line="240" w:lineRule="auto"/>
        <w:ind w:firstLine="360"/>
        <w:rPr>
          <w:rFonts w:ascii="Times New Roman" w:hAnsi="Times New Roman" w:cs="Times New Roman"/>
          <w:sz w:val="24"/>
          <w:szCs w:val="24"/>
        </w:rPr>
      </w:pPr>
    </w:p>
    <w:p w:rsidR="005B4A84" w:rsidRPr="005B4A84" w:rsidRDefault="005B4A84" w:rsidP="005B4A84">
      <w:pPr>
        <w:spacing w:after="0" w:line="240" w:lineRule="auto"/>
        <w:ind w:firstLine="360"/>
        <w:rPr>
          <w:rFonts w:ascii="Times New Roman" w:hAnsi="Times New Roman" w:cs="Times New Roman"/>
          <w:sz w:val="24"/>
          <w:szCs w:val="24"/>
        </w:rPr>
      </w:pPr>
    </w:p>
    <w:p w:rsidR="005B4A84" w:rsidRPr="005B4A84" w:rsidRDefault="005B4A84" w:rsidP="005B4A84">
      <w:pPr>
        <w:pStyle w:val="ListParagraph"/>
        <w:spacing w:after="0" w:line="240" w:lineRule="auto"/>
        <w:ind w:left="0"/>
        <w:jc w:val="center"/>
        <w:rPr>
          <w:rFonts w:ascii="Times New Roman" w:hAnsi="Times New Roman"/>
          <w:b/>
          <w:sz w:val="24"/>
          <w:szCs w:val="24"/>
        </w:rPr>
      </w:pPr>
      <w:r w:rsidRPr="005B4A84">
        <w:rPr>
          <w:rFonts w:ascii="Times New Roman" w:hAnsi="Times New Roman"/>
          <w:b/>
          <w:sz w:val="24"/>
          <w:szCs w:val="24"/>
        </w:rPr>
        <w:lastRenderedPageBreak/>
        <w:t>3.2. Capacity to implement projects</w:t>
      </w:r>
    </w:p>
    <w:p w:rsidR="005B4A84" w:rsidRPr="005B4A84" w:rsidRDefault="005B4A84" w:rsidP="005B4A84">
      <w:pPr>
        <w:pStyle w:val="ListParagraph"/>
        <w:spacing w:after="0" w:line="240" w:lineRule="auto"/>
        <w:jc w:val="both"/>
        <w:rPr>
          <w:rFonts w:ascii="Times New Roman" w:hAnsi="Times New Roman"/>
          <w:b/>
          <w:sz w:val="24"/>
          <w:szCs w:val="24"/>
        </w:rPr>
      </w:pPr>
    </w:p>
    <w:p w:rsidR="005B4A84" w:rsidRPr="005B4A84" w:rsidRDefault="005B4A84" w:rsidP="008C4CE4">
      <w:pPr>
        <w:spacing w:after="0" w:line="240" w:lineRule="auto"/>
        <w:ind w:firstLine="360"/>
        <w:jc w:val="both"/>
        <w:rPr>
          <w:rFonts w:ascii="Times New Roman" w:hAnsi="Times New Roman" w:cs="Times New Roman"/>
          <w:sz w:val="24"/>
          <w:szCs w:val="24"/>
        </w:rPr>
      </w:pPr>
      <w:r w:rsidRPr="005B4A84">
        <w:rPr>
          <w:rFonts w:ascii="Times New Roman" w:hAnsi="Times New Roman" w:cs="Times New Roman"/>
          <w:sz w:val="24"/>
          <w:szCs w:val="24"/>
        </w:rPr>
        <w:t>After completing the process of creating projects, their implementation is the next step. Macedonia as a state candidate for membership in the European Union is of increasing importance in managing the funds of pre-accession funds. Thus, from an institutional standpoint, the role of coordinating and managing the financial and technical assistance from the EU has the national foreign aid to the Republic of Macedonia, who is also Deputy Prime Minister of the Republic of Macedonia responsible for European Affairs. In addition to his managerial role, it is more active approach to its devolution to more efficient and effective utilization of EU assistance funds.</w:t>
      </w:r>
    </w:p>
    <w:p w:rsidR="005B4A84" w:rsidRPr="005B4A84" w:rsidRDefault="005B4A84" w:rsidP="008C4CE4">
      <w:pPr>
        <w:spacing w:after="0" w:line="240" w:lineRule="auto"/>
        <w:ind w:firstLine="360"/>
        <w:jc w:val="both"/>
        <w:rPr>
          <w:rFonts w:ascii="Times New Roman" w:hAnsi="Times New Roman" w:cs="Times New Roman"/>
          <w:sz w:val="24"/>
          <w:szCs w:val="24"/>
        </w:rPr>
      </w:pPr>
      <w:r w:rsidRPr="005B4A84">
        <w:rPr>
          <w:rFonts w:ascii="Times New Roman" w:hAnsi="Times New Roman" w:cs="Times New Roman"/>
          <w:sz w:val="24"/>
          <w:szCs w:val="24"/>
        </w:rPr>
        <w:t>In implementing projects, there is the problem of managing human resources in the public sector. This problem manifests itself in the high degree partitioned administration or human resources that are heavily to political influence. The institutional problem is still present on the stage of evaluation applications for work applicants, to the employment of inadequate human resources, without requiring knowledge and knowledge of foreign languages.</w:t>
      </w:r>
    </w:p>
    <w:p w:rsidR="005B4A84" w:rsidRPr="005B4A84" w:rsidRDefault="005B4A84" w:rsidP="008C4CE4">
      <w:pPr>
        <w:spacing w:after="0" w:line="240" w:lineRule="auto"/>
        <w:ind w:firstLine="360"/>
        <w:jc w:val="both"/>
        <w:rPr>
          <w:rFonts w:ascii="Times New Roman" w:hAnsi="Times New Roman" w:cs="Times New Roman"/>
          <w:sz w:val="24"/>
          <w:szCs w:val="24"/>
        </w:rPr>
      </w:pPr>
      <w:r w:rsidRPr="005B4A84">
        <w:rPr>
          <w:rFonts w:ascii="Times New Roman" w:hAnsi="Times New Roman" w:cs="Times New Roman"/>
          <w:sz w:val="24"/>
          <w:szCs w:val="24"/>
        </w:rPr>
        <w:t xml:space="preserve">Creating detailed and complete projects of a state is a crucial factor for attracting foreign technical and financial assistance so that the EU, thus ensuring the development of the country. Structural funds for member states and pre-accession assistance to candidate countries are channeled to the respective countries based on previously developed programs in the medium and long term. An important link in economic management in many of the economically developed countries is the development of program activities. </w:t>
      </w:r>
    </w:p>
    <w:p w:rsidR="005B4A84" w:rsidRPr="005B4A84" w:rsidRDefault="005B4A84" w:rsidP="008C4CE4">
      <w:pPr>
        <w:spacing w:after="0" w:line="240" w:lineRule="auto"/>
        <w:ind w:firstLine="360"/>
        <w:jc w:val="both"/>
        <w:rPr>
          <w:rFonts w:ascii="Times New Roman" w:hAnsi="Times New Roman" w:cs="Times New Roman"/>
          <w:sz w:val="24"/>
          <w:szCs w:val="24"/>
        </w:rPr>
      </w:pPr>
      <w:r w:rsidRPr="005B4A84">
        <w:rPr>
          <w:rFonts w:ascii="Times New Roman" w:hAnsi="Times New Roman" w:cs="Times New Roman"/>
          <w:sz w:val="24"/>
          <w:szCs w:val="24"/>
        </w:rPr>
        <w:t>Given the fact that policy in Macedonia often not based on medium or long term strategic plans and documents, but rather that application of provisional measures or “ad hoc” solutions, medium term programming in the country are rarely applied.</w:t>
      </w:r>
    </w:p>
    <w:p w:rsidR="005B4A84" w:rsidRPr="005B4A84" w:rsidRDefault="005B4A84" w:rsidP="008C4CE4">
      <w:pPr>
        <w:spacing w:after="0" w:line="240" w:lineRule="auto"/>
        <w:jc w:val="both"/>
        <w:rPr>
          <w:rFonts w:ascii="Times New Roman" w:hAnsi="Times New Roman" w:cs="Times New Roman"/>
          <w:sz w:val="24"/>
          <w:szCs w:val="24"/>
        </w:rPr>
      </w:pPr>
      <w:r w:rsidRPr="005B4A84">
        <w:rPr>
          <w:rFonts w:ascii="Times New Roman" w:hAnsi="Times New Roman" w:cs="Times New Roman"/>
          <w:sz w:val="24"/>
          <w:szCs w:val="24"/>
        </w:rPr>
        <w:t>The reasons for weak capacity to generate medium and long term strategic development plans in the Republic of Macedonia are the following:</w:t>
      </w:r>
      <w:r w:rsidRPr="005B4A84">
        <w:rPr>
          <w:rStyle w:val="FootnoteReference"/>
          <w:rFonts w:ascii="Times New Roman" w:hAnsi="Times New Roman" w:cs="Times New Roman"/>
          <w:sz w:val="24"/>
          <w:szCs w:val="24"/>
        </w:rPr>
        <w:footnoteReference w:id="9"/>
      </w:r>
    </w:p>
    <w:p w:rsidR="005B4A84" w:rsidRPr="005B4A84" w:rsidRDefault="005B4A84" w:rsidP="008C4CE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The existence of a limited number of qualified staff with appropriate skills for preparing programming documents;</w:t>
      </w:r>
    </w:p>
    <w:p w:rsidR="005B4A84" w:rsidRPr="005B4A84" w:rsidRDefault="005B4A84" w:rsidP="008C4CE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Lack of institutions-research institutions, centers or other entities of its kind-whose permanent assignment will be the research and preparation of draft policies and the fact is that the existing lack of personnel and resources for proper performance of those activities and</w:t>
      </w:r>
    </w:p>
    <w:p w:rsidR="005B4A84" w:rsidRPr="005B4A84" w:rsidRDefault="005B4A84" w:rsidP="008C4CE4">
      <w:pPr>
        <w:pStyle w:val="ListParagraph"/>
        <w:numPr>
          <w:ilvl w:val="0"/>
          <w:numId w:val="1"/>
        </w:numPr>
        <w:spacing w:after="0" w:line="240" w:lineRule="auto"/>
        <w:jc w:val="both"/>
        <w:rPr>
          <w:rFonts w:ascii="Times New Roman" w:hAnsi="Times New Roman"/>
          <w:sz w:val="24"/>
          <w:szCs w:val="24"/>
        </w:rPr>
      </w:pPr>
      <w:r w:rsidRPr="005B4A84">
        <w:rPr>
          <w:rFonts w:ascii="Times New Roman" w:hAnsi="Times New Roman"/>
          <w:sz w:val="24"/>
          <w:szCs w:val="24"/>
        </w:rPr>
        <w:t>Lack of real ( not just formal) demand for such documents from those decisions.</w:t>
      </w:r>
    </w:p>
    <w:p w:rsidR="005B4A84" w:rsidRPr="005B4A84" w:rsidRDefault="005B4A84" w:rsidP="008C4CE4">
      <w:pPr>
        <w:spacing w:after="0" w:line="240" w:lineRule="auto"/>
        <w:ind w:firstLine="360"/>
        <w:jc w:val="both"/>
        <w:rPr>
          <w:rFonts w:ascii="Times New Roman" w:hAnsi="Times New Roman" w:cs="Times New Roman"/>
          <w:sz w:val="24"/>
          <w:szCs w:val="24"/>
        </w:rPr>
      </w:pPr>
      <w:r w:rsidRPr="005B4A84">
        <w:rPr>
          <w:rFonts w:ascii="Times New Roman" w:hAnsi="Times New Roman" w:cs="Times New Roman"/>
          <w:sz w:val="24"/>
          <w:szCs w:val="24"/>
        </w:rPr>
        <w:t>When programming the strategic documents and projects should be included multiple partners because anyone stakeholders</w:t>
      </w:r>
      <w:r w:rsidRPr="005B4A84">
        <w:rPr>
          <w:rStyle w:val="FootnoteReference"/>
          <w:rFonts w:ascii="Times New Roman" w:hAnsi="Times New Roman" w:cs="Times New Roman"/>
          <w:sz w:val="24"/>
          <w:szCs w:val="24"/>
        </w:rPr>
        <w:footnoteReference w:id="10"/>
      </w:r>
      <w:r w:rsidRPr="005B4A84">
        <w:rPr>
          <w:rFonts w:ascii="Times New Roman" w:hAnsi="Times New Roman" w:cs="Times New Roman"/>
          <w:sz w:val="24"/>
          <w:szCs w:val="24"/>
        </w:rPr>
        <w:t xml:space="preserve"> have different needs, different wisdom, but the same goal-creating a program that will provide significant absorption of foreign funds to achieve comprehensive development of the country.</w:t>
      </w:r>
    </w:p>
    <w:p w:rsidR="005B4A84" w:rsidRPr="005B4A84" w:rsidRDefault="005B4A84" w:rsidP="008C4CE4">
      <w:pPr>
        <w:spacing w:after="0" w:line="240" w:lineRule="auto"/>
        <w:ind w:firstLine="360"/>
        <w:jc w:val="both"/>
        <w:rPr>
          <w:rFonts w:ascii="Times New Roman" w:hAnsi="Times New Roman" w:cs="Times New Roman"/>
          <w:sz w:val="24"/>
          <w:szCs w:val="24"/>
        </w:rPr>
      </w:pPr>
      <w:r w:rsidRPr="005B4A84">
        <w:rPr>
          <w:rFonts w:ascii="Times New Roman" w:hAnsi="Times New Roman" w:cs="Times New Roman"/>
          <w:sz w:val="24"/>
          <w:szCs w:val="24"/>
        </w:rPr>
        <w:t xml:space="preserve">The experience of many of the countries that were countries-candidates, and now are members of the EU shows that after approval of projects, their implementation has proceeded with series of weaknesses. It indicates that the state should continually build </w:t>
      </w:r>
      <w:r w:rsidRPr="005B4A84">
        <w:rPr>
          <w:rFonts w:ascii="Times New Roman" w:hAnsi="Times New Roman" w:cs="Times New Roman"/>
          <w:sz w:val="24"/>
          <w:szCs w:val="24"/>
        </w:rPr>
        <w:lastRenderedPageBreak/>
        <w:t>its institutional-absorptive capacity. Unlike the central and local government has more pragmatic and dynamic approach in implementation the pre-accession funds.</w:t>
      </w: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Monitoring and evaluation of the implementation of projects as part of regular duties of public institutions in Macedonia are not sufficient developed. For better monitoring and evaluation requires good information monitoring system that will consistently provide timely and updated information about the progress of projects. Control audit of the financial management of projects, however, is solid considering the quality and availability of local human resources to financial management and audit skills.</w:t>
      </w:r>
    </w:p>
    <w:p w:rsidR="005B4A84" w:rsidRPr="005B4A84" w:rsidRDefault="005B4A84" w:rsidP="008C4CE4">
      <w:pPr>
        <w:spacing w:after="0" w:line="240" w:lineRule="auto"/>
        <w:ind w:firstLine="720"/>
        <w:jc w:val="both"/>
        <w:rPr>
          <w:rFonts w:ascii="Times New Roman" w:hAnsi="Times New Roman" w:cs="Times New Roman"/>
          <w:sz w:val="24"/>
          <w:szCs w:val="24"/>
        </w:rPr>
      </w:pPr>
    </w:p>
    <w:p w:rsidR="005B4A84" w:rsidRPr="005B4A84" w:rsidRDefault="005B4A84" w:rsidP="008C4CE4">
      <w:pPr>
        <w:pStyle w:val="Subtitle1"/>
        <w:spacing w:before="0" w:after="0"/>
        <w:jc w:val="center"/>
        <w:rPr>
          <w:rFonts w:ascii="Times New Roman" w:hAnsi="Times New Roman"/>
          <w:sz w:val="24"/>
          <w:szCs w:val="24"/>
          <w:lang w:val="en-GB"/>
        </w:rPr>
      </w:pPr>
      <w:r w:rsidRPr="005B4A84">
        <w:rPr>
          <w:rFonts w:ascii="Times New Roman" w:hAnsi="Times New Roman"/>
          <w:sz w:val="24"/>
          <w:szCs w:val="24"/>
          <w:lang w:val="en-GB"/>
        </w:rPr>
        <w:t>6. conclusion</w:t>
      </w:r>
    </w:p>
    <w:p w:rsidR="005B4A84" w:rsidRDefault="005B4A84" w:rsidP="008C4CE4">
      <w:pPr>
        <w:spacing w:after="0" w:line="240" w:lineRule="auto"/>
        <w:ind w:firstLine="720"/>
        <w:jc w:val="both"/>
        <w:rPr>
          <w:rFonts w:ascii="Times New Roman" w:hAnsi="Times New Roman" w:cs="Times New Roman"/>
          <w:sz w:val="24"/>
          <w:szCs w:val="24"/>
        </w:rPr>
      </w:pPr>
    </w:p>
    <w:p w:rsidR="005B4A84" w:rsidRPr="005B4A84" w:rsidRDefault="005B4A84" w:rsidP="008C4CE4">
      <w:pPr>
        <w:spacing w:after="0" w:line="240" w:lineRule="auto"/>
        <w:ind w:firstLine="720"/>
        <w:jc w:val="both"/>
        <w:rPr>
          <w:rFonts w:ascii="Times New Roman" w:hAnsi="Times New Roman" w:cs="Times New Roman"/>
          <w:sz w:val="24"/>
          <w:szCs w:val="24"/>
        </w:rPr>
      </w:pPr>
      <w:r w:rsidRPr="005B4A84">
        <w:rPr>
          <w:rFonts w:ascii="Times New Roman" w:hAnsi="Times New Roman" w:cs="Times New Roman"/>
          <w:sz w:val="24"/>
          <w:szCs w:val="24"/>
        </w:rPr>
        <w:t>Given the fact that one of the basic perquisites for EU membership is the institutional and structural readiness of the country, experience shows that the best way for achieving the and for quality preparations of one country for EU membership are the pre-accession structural funds. Their use means adequate preparation for improvement of the absorption capacity that usually lasts three years. The experiences show that much money from EU funds lapse because of insufficient information of the subjects and weak support from the institutions. Some of the detected problems are extensive and complex applications, lack of professional assistance and untimely and inadequate information of the subjects.</w:t>
      </w:r>
    </w:p>
    <w:p w:rsidR="005B4A84" w:rsidRPr="005B4A84" w:rsidRDefault="005B4A84" w:rsidP="008C4CE4">
      <w:pPr>
        <w:pStyle w:val="Maintext"/>
        <w:rPr>
          <w:rFonts w:ascii="Times New Roman" w:hAnsi="Times New Roman"/>
          <w:sz w:val="24"/>
          <w:szCs w:val="24"/>
        </w:rPr>
      </w:pPr>
      <w:r w:rsidRPr="005B4A84">
        <w:rPr>
          <w:rFonts w:ascii="Times New Roman" w:hAnsi="Times New Roman"/>
          <w:sz w:val="24"/>
          <w:szCs w:val="24"/>
        </w:rPr>
        <w:t xml:space="preserve">. </w:t>
      </w:r>
    </w:p>
    <w:p w:rsidR="005B4A84" w:rsidRDefault="005B4A84" w:rsidP="008C4CE4">
      <w:pPr>
        <w:pStyle w:val="Subtitle1"/>
        <w:spacing w:before="0" w:after="0"/>
        <w:jc w:val="center"/>
        <w:rPr>
          <w:rFonts w:ascii="Times New Roman" w:hAnsi="Times New Roman"/>
          <w:sz w:val="24"/>
          <w:szCs w:val="24"/>
          <w:lang w:val="en-GB"/>
        </w:rPr>
      </w:pPr>
      <w:r w:rsidRPr="005B4A84">
        <w:rPr>
          <w:rFonts w:ascii="Times New Roman" w:hAnsi="Times New Roman"/>
          <w:sz w:val="24"/>
          <w:szCs w:val="24"/>
          <w:lang w:val="en-GB"/>
        </w:rPr>
        <w:t>references</w:t>
      </w:r>
    </w:p>
    <w:p w:rsidR="005B4A84" w:rsidRPr="005B4A84" w:rsidRDefault="005B4A84" w:rsidP="008C4CE4">
      <w:pPr>
        <w:pStyle w:val="Maintext"/>
      </w:pPr>
    </w:p>
    <w:p w:rsidR="005B4A84" w:rsidRPr="005B4A84" w:rsidRDefault="005B4A84" w:rsidP="008C4CE4">
      <w:pPr>
        <w:pStyle w:val="NormalWeb"/>
        <w:tabs>
          <w:tab w:val="left" w:pos="142"/>
        </w:tabs>
        <w:ind w:right="45"/>
        <w:jc w:val="both"/>
        <w:rPr>
          <w:lang w:val="en-US"/>
        </w:rPr>
      </w:pPr>
      <w:r>
        <w:rPr>
          <w:lang w:val="en-US"/>
        </w:rPr>
        <w:t xml:space="preserve">1. </w:t>
      </w:r>
      <w:r w:rsidRPr="005B4A84">
        <w:t>Anthony Saunders, Maricial Millon Coornett</w:t>
      </w:r>
      <w:r w:rsidRPr="005B4A84">
        <w:rPr>
          <w:lang w:val="en-US"/>
        </w:rPr>
        <w:t xml:space="preserve"> (2003)</w:t>
      </w:r>
      <w:r w:rsidR="008C4CE4">
        <w:t>.</w:t>
      </w:r>
      <w:r w:rsidR="008C4CE4">
        <w:rPr>
          <w:lang w:val="en-US"/>
        </w:rPr>
        <w:t xml:space="preserve"> </w:t>
      </w:r>
      <w:r w:rsidRPr="005B4A84">
        <w:rPr>
          <w:i/>
        </w:rPr>
        <w:t>Financial institutions management</w:t>
      </w:r>
      <w:r w:rsidR="008C4CE4">
        <w:rPr>
          <w:lang w:val="en-US"/>
        </w:rPr>
        <w:t>.</w:t>
      </w:r>
      <w:r w:rsidRPr="005B4A84">
        <w:t xml:space="preserve"> A Risk</w:t>
      </w:r>
      <w:r>
        <w:rPr>
          <w:lang w:val="en-US"/>
        </w:rPr>
        <w:t xml:space="preserve"> </w:t>
      </w:r>
      <w:r w:rsidRPr="005B4A84">
        <w:t>Management Approach, Fourth edition, McGraw - Hill Irwin</w:t>
      </w:r>
      <w:r w:rsidRPr="005B4A84">
        <w:rPr>
          <w:lang w:val="en-US"/>
        </w:rPr>
        <w:t>.</w:t>
      </w:r>
    </w:p>
    <w:p w:rsidR="005B4A84" w:rsidRPr="005B4A84" w:rsidRDefault="008C4CE4" w:rsidP="008C4CE4">
      <w:pPr>
        <w:tabs>
          <w:tab w:val="left" w:pos="0"/>
          <w:tab w:val="left" w:pos="142"/>
        </w:tabs>
        <w:autoSpaceDE w:val="0"/>
        <w:autoSpaceDN w:val="0"/>
        <w:adjustRightInd w:val="0"/>
        <w:spacing w:after="0" w:line="240" w:lineRule="auto"/>
        <w:ind w:right="45"/>
        <w:jc w:val="both"/>
        <w:rPr>
          <w:rFonts w:ascii="Times New Roman" w:hAnsi="Times New Roman" w:cs="Times New Roman"/>
          <w:iCs/>
          <w:sz w:val="24"/>
          <w:szCs w:val="24"/>
          <w:lang w:val="mk-MK" w:eastAsia="mk-MK"/>
        </w:rPr>
      </w:pPr>
      <w:r>
        <w:rPr>
          <w:rFonts w:ascii="Times New Roman" w:hAnsi="Times New Roman" w:cs="Times New Roman"/>
          <w:sz w:val="24"/>
          <w:szCs w:val="24"/>
          <w:lang w:eastAsia="mk-MK"/>
        </w:rPr>
        <w:t xml:space="preserve">2. </w:t>
      </w:r>
      <w:r w:rsidR="005B4A84" w:rsidRPr="005B4A84">
        <w:rPr>
          <w:rFonts w:ascii="Times New Roman" w:hAnsi="Times New Roman" w:cs="Times New Roman"/>
          <w:sz w:val="24"/>
          <w:szCs w:val="24"/>
          <w:lang w:val="mk-MK" w:eastAsia="mk-MK"/>
        </w:rPr>
        <w:t>Bertelsmann Foundation and World Bank</w:t>
      </w:r>
      <w:r w:rsidR="005B4A84" w:rsidRPr="005B4A84">
        <w:rPr>
          <w:rFonts w:ascii="Times New Roman" w:hAnsi="Times New Roman" w:cs="Times New Roman"/>
          <w:sz w:val="24"/>
          <w:szCs w:val="24"/>
          <w:lang w:eastAsia="mk-MK"/>
        </w:rPr>
        <w:t xml:space="preserve"> (2002)</w:t>
      </w:r>
      <w:r>
        <w:rPr>
          <w:rFonts w:ascii="Times New Roman" w:hAnsi="Times New Roman" w:cs="Times New Roman"/>
          <w:sz w:val="24"/>
          <w:szCs w:val="24"/>
          <w:lang w:eastAsia="mk-MK"/>
        </w:rPr>
        <w:t>.</w:t>
      </w:r>
      <w:r w:rsidR="005B4A84" w:rsidRPr="005B4A84">
        <w:rPr>
          <w:rFonts w:ascii="Times New Roman" w:hAnsi="Times New Roman" w:cs="Times New Roman"/>
          <w:sz w:val="24"/>
          <w:szCs w:val="24"/>
          <w:lang w:val="mk-MK" w:eastAsia="mk-MK"/>
        </w:rPr>
        <w:t xml:space="preserve"> </w:t>
      </w:r>
      <w:r w:rsidR="005B4A84" w:rsidRPr="005B4A84">
        <w:rPr>
          <w:rFonts w:ascii="Times New Roman" w:hAnsi="Times New Roman" w:cs="Times New Roman"/>
          <w:iCs/>
          <w:sz w:val="24"/>
          <w:szCs w:val="24"/>
          <w:lang w:val="mk-MK" w:eastAsia="mk-MK"/>
        </w:rPr>
        <w:t>Local Economic Development</w:t>
      </w:r>
      <w:r w:rsidR="005B4A84" w:rsidRPr="005B4A84">
        <w:rPr>
          <w:rFonts w:ascii="Times New Roman" w:hAnsi="Times New Roman" w:cs="Times New Roman"/>
          <w:iCs/>
          <w:sz w:val="24"/>
          <w:szCs w:val="24"/>
          <w:lang w:eastAsia="mk-MK"/>
        </w:rPr>
        <w:t xml:space="preserve"> </w:t>
      </w:r>
      <w:r w:rsidR="005B4A84" w:rsidRPr="005B4A84">
        <w:rPr>
          <w:rFonts w:ascii="Times New Roman" w:hAnsi="Times New Roman" w:cs="Times New Roman"/>
          <w:iCs/>
          <w:sz w:val="24"/>
          <w:szCs w:val="24"/>
          <w:lang w:val="mk-MK" w:eastAsia="mk-MK"/>
        </w:rPr>
        <w:t>Developing and Implementing Local Economic Development Strategies and Action Plans</w:t>
      </w:r>
      <w:r w:rsidR="005B4A84" w:rsidRPr="005B4A84">
        <w:rPr>
          <w:rFonts w:ascii="Times New Roman" w:hAnsi="Times New Roman" w:cs="Times New Roman"/>
          <w:sz w:val="24"/>
          <w:szCs w:val="24"/>
          <w:lang w:eastAsia="mk-MK"/>
        </w:rPr>
        <w:t>.</w:t>
      </w:r>
    </w:p>
    <w:p w:rsidR="005B4A84" w:rsidRPr="005B4A84" w:rsidRDefault="008C4CE4" w:rsidP="008C4CE4">
      <w:pPr>
        <w:tabs>
          <w:tab w:val="left" w:pos="142"/>
        </w:tabs>
        <w:autoSpaceDE w:val="0"/>
        <w:autoSpaceDN w:val="0"/>
        <w:adjustRightInd w:val="0"/>
        <w:spacing w:after="0" w:line="240" w:lineRule="auto"/>
        <w:ind w:right="45"/>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3. Bexheti, A.(2007). </w:t>
      </w:r>
      <w:r w:rsidR="005B4A84" w:rsidRPr="008C4CE4">
        <w:rPr>
          <w:rFonts w:ascii="Times New Roman" w:eastAsia="TimesNewRoman" w:hAnsi="Times New Roman" w:cs="Times New Roman"/>
          <w:i/>
          <w:sz w:val="24"/>
          <w:szCs w:val="24"/>
        </w:rPr>
        <w:t>Financat Publike</w:t>
      </w:r>
      <w:r w:rsidR="005B4A84" w:rsidRPr="005B4A84">
        <w:rPr>
          <w:rFonts w:ascii="Times New Roman" w:eastAsia="TimesNewRoman" w:hAnsi="Times New Roman" w:cs="Times New Roman"/>
          <w:sz w:val="24"/>
          <w:szCs w:val="24"/>
        </w:rPr>
        <w:t>, fq 422, UELJ-Arberia Design, Tetove, Qershor.</w:t>
      </w:r>
    </w:p>
    <w:p w:rsidR="005B4A84" w:rsidRPr="005B4A84" w:rsidRDefault="008C4CE4" w:rsidP="008C4CE4">
      <w:pPr>
        <w:pStyle w:val="NormalWeb"/>
        <w:tabs>
          <w:tab w:val="left" w:pos="142"/>
        </w:tabs>
        <w:ind w:right="45"/>
        <w:jc w:val="both"/>
        <w:rPr>
          <w:lang w:val="en-US"/>
        </w:rPr>
      </w:pPr>
      <w:r>
        <w:rPr>
          <w:lang w:val="en-US"/>
        </w:rPr>
        <w:t xml:space="preserve">4. </w:t>
      </w:r>
      <w:r w:rsidR="005B4A84" w:rsidRPr="005B4A84">
        <w:t>Bishev G., Parat D.</w:t>
      </w:r>
      <w:r>
        <w:rPr>
          <w:lang w:val="en-US"/>
        </w:rPr>
        <w:t xml:space="preserve"> (1998). </w:t>
      </w:r>
      <w:r w:rsidR="005B4A84" w:rsidRPr="008C4CE4">
        <w:rPr>
          <w:i/>
        </w:rPr>
        <w:t>Money and Banking Idioms, Phrases and Articles. English-Macedonian</w:t>
      </w:r>
      <w:r>
        <w:rPr>
          <w:lang w:val="en-US"/>
        </w:rPr>
        <w:t>.</w:t>
      </w:r>
      <w:r w:rsidR="005B4A84" w:rsidRPr="005B4A84">
        <w:t xml:space="preserve"> Danimaks, Skopje</w:t>
      </w:r>
      <w:r w:rsidR="005B4A84" w:rsidRPr="005B4A84">
        <w:rPr>
          <w:lang w:val="en-US"/>
        </w:rPr>
        <w:t>.</w:t>
      </w:r>
    </w:p>
    <w:p w:rsidR="005B4A84" w:rsidRPr="005B4A84" w:rsidRDefault="008C4CE4" w:rsidP="008C4CE4">
      <w:pPr>
        <w:pStyle w:val="Maintext"/>
        <w:tabs>
          <w:tab w:val="left" w:pos="142"/>
        </w:tabs>
        <w:rPr>
          <w:rFonts w:ascii="Times New Roman" w:hAnsi="Times New Roman"/>
          <w:sz w:val="24"/>
          <w:szCs w:val="24"/>
        </w:rPr>
      </w:pPr>
      <w:r w:rsidRPr="008C4CE4">
        <w:rPr>
          <w:rStyle w:val="hps"/>
          <w:rFonts w:ascii="Times New Roman" w:hAnsi="Times New Roman"/>
          <w:sz w:val="24"/>
          <w:szCs w:val="24"/>
        </w:rPr>
        <w:t xml:space="preserve">5. </w:t>
      </w:r>
      <w:r w:rsidR="005B4A84" w:rsidRPr="008C4CE4">
        <w:rPr>
          <w:rStyle w:val="hps"/>
          <w:rFonts w:ascii="Times New Roman" w:hAnsi="Times New Roman"/>
          <w:sz w:val="24"/>
          <w:szCs w:val="24"/>
        </w:rPr>
        <w:t>Mojmir</w:t>
      </w:r>
      <w:r w:rsidR="005B4A84" w:rsidRPr="008C4CE4">
        <w:rPr>
          <w:rStyle w:val="apple-converted-space"/>
          <w:rFonts w:ascii="Times New Roman" w:hAnsi="Times New Roman"/>
          <w:sz w:val="24"/>
          <w:szCs w:val="24"/>
        </w:rPr>
        <w:t> </w:t>
      </w:r>
      <w:r w:rsidR="005B4A84" w:rsidRPr="008C4CE4">
        <w:rPr>
          <w:rStyle w:val="hps"/>
          <w:rFonts w:ascii="Times New Roman" w:hAnsi="Times New Roman"/>
          <w:sz w:val="24"/>
          <w:szCs w:val="24"/>
        </w:rPr>
        <w:t>Mrak</w:t>
      </w:r>
      <w:r w:rsidR="005B4A84" w:rsidRPr="008C4CE4">
        <w:rPr>
          <w:rFonts w:ascii="Times New Roman" w:hAnsi="Times New Roman"/>
          <w:sz w:val="24"/>
          <w:szCs w:val="24"/>
        </w:rPr>
        <w:t xml:space="preserve">, Vanco </w:t>
      </w:r>
      <w:r w:rsidR="005B4A84" w:rsidRPr="008C4CE4">
        <w:rPr>
          <w:rStyle w:val="hps"/>
          <w:rFonts w:ascii="Times New Roman" w:hAnsi="Times New Roman"/>
          <w:sz w:val="24"/>
          <w:szCs w:val="24"/>
        </w:rPr>
        <w:t>Uzunov</w:t>
      </w:r>
      <w:r w:rsidRPr="008C4CE4">
        <w:rPr>
          <w:rStyle w:val="hps"/>
          <w:rFonts w:ascii="Times New Roman" w:hAnsi="Times New Roman"/>
          <w:sz w:val="24"/>
          <w:szCs w:val="24"/>
        </w:rPr>
        <w:t xml:space="preserve"> (2005).</w:t>
      </w:r>
      <w:r w:rsidR="005B4A84" w:rsidRPr="008C4CE4">
        <w:rPr>
          <w:rStyle w:val="hps"/>
          <w:rFonts w:ascii="Times New Roman" w:hAnsi="Times New Roman"/>
          <w:sz w:val="24"/>
          <w:szCs w:val="24"/>
        </w:rPr>
        <w:t xml:space="preserve"> </w:t>
      </w:r>
      <w:r w:rsidR="005B4A84" w:rsidRPr="008C4CE4">
        <w:rPr>
          <w:rStyle w:val="hps"/>
          <w:rFonts w:ascii="Times New Roman" w:hAnsi="Times New Roman"/>
          <w:i/>
          <w:sz w:val="24"/>
          <w:szCs w:val="24"/>
        </w:rPr>
        <w:t>EU funds for</w:t>
      </w:r>
      <w:r w:rsidR="005B4A84" w:rsidRPr="008C4CE4">
        <w:rPr>
          <w:rStyle w:val="apple-converted-space"/>
          <w:rFonts w:ascii="Times New Roman" w:hAnsi="Times New Roman"/>
          <w:i/>
          <w:sz w:val="24"/>
          <w:szCs w:val="24"/>
        </w:rPr>
        <w:t> </w:t>
      </w:r>
      <w:r w:rsidR="005B4A84" w:rsidRPr="008C4CE4">
        <w:rPr>
          <w:rStyle w:val="hps"/>
          <w:rFonts w:ascii="Times New Roman" w:hAnsi="Times New Roman"/>
          <w:i/>
          <w:sz w:val="24"/>
          <w:szCs w:val="24"/>
        </w:rPr>
        <w:t>development of the Republic</w:t>
      </w:r>
      <w:r w:rsidR="005B4A84" w:rsidRPr="008C4CE4">
        <w:rPr>
          <w:rStyle w:val="apple-converted-space"/>
          <w:rFonts w:ascii="Times New Roman" w:hAnsi="Times New Roman"/>
          <w:i/>
          <w:sz w:val="24"/>
          <w:szCs w:val="24"/>
        </w:rPr>
        <w:t> </w:t>
      </w:r>
      <w:r w:rsidR="005B4A84" w:rsidRPr="008C4CE4">
        <w:rPr>
          <w:rStyle w:val="hps"/>
          <w:rFonts w:ascii="Times New Roman" w:hAnsi="Times New Roman"/>
          <w:i/>
          <w:sz w:val="24"/>
          <w:szCs w:val="24"/>
        </w:rPr>
        <w:t>of Macedonia</w:t>
      </w:r>
      <w:r w:rsidRPr="008C4CE4">
        <w:rPr>
          <w:rStyle w:val="hps"/>
          <w:rFonts w:ascii="Times New Roman" w:hAnsi="Times New Roman"/>
          <w:sz w:val="24"/>
          <w:szCs w:val="24"/>
        </w:rPr>
        <w:t>.</w:t>
      </w:r>
      <w:r w:rsidR="005B4A84" w:rsidRPr="008C4CE4">
        <w:rPr>
          <w:rStyle w:val="apple-converted-space"/>
          <w:rFonts w:ascii="Times New Roman" w:hAnsi="Times New Roman"/>
          <w:sz w:val="24"/>
          <w:szCs w:val="24"/>
        </w:rPr>
        <w:t>  </w:t>
      </w:r>
      <w:r w:rsidR="005B4A84" w:rsidRPr="008C4CE4">
        <w:rPr>
          <w:rStyle w:val="hps"/>
          <w:rFonts w:ascii="Times New Roman" w:hAnsi="Times New Roman"/>
          <w:sz w:val="24"/>
          <w:szCs w:val="24"/>
        </w:rPr>
        <w:t>Governmental</w:t>
      </w:r>
      <w:r w:rsidR="005B4A84" w:rsidRPr="008C4CE4">
        <w:rPr>
          <w:rStyle w:val="apple-converted-space"/>
          <w:rFonts w:ascii="Times New Roman" w:hAnsi="Times New Roman"/>
          <w:sz w:val="24"/>
          <w:szCs w:val="24"/>
        </w:rPr>
        <w:t> </w:t>
      </w:r>
      <w:r w:rsidR="005B4A84" w:rsidRPr="008C4CE4">
        <w:rPr>
          <w:rStyle w:val="hps"/>
          <w:rFonts w:ascii="Times New Roman" w:hAnsi="Times New Roman"/>
          <w:sz w:val="24"/>
          <w:szCs w:val="24"/>
        </w:rPr>
        <w:t>Sector</w:t>
      </w:r>
      <w:r w:rsidR="005B4A84" w:rsidRPr="008C4CE4">
        <w:rPr>
          <w:rStyle w:val="apple-converted-space"/>
          <w:rFonts w:ascii="Times New Roman" w:hAnsi="Times New Roman"/>
          <w:sz w:val="24"/>
          <w:szCs w:val="24"/>
        </w:rPr>
        <w:t> </w:t>
      </w:r>
      <w:r w:rsidR="005B4A84" w:rsidRPr="008C4CE4">
        <w:rPr>
          <w:rStyle w:val="hps"/>
          <w:rFonts w:ascii="Times New Roman" w:hAnsi="Times New Roman"/>
          <w:sz w:val="24"/>
          <w:szCs w:val="24"/>
        </w:rPr>
        <w:t>for European</w:t>
      </w:r>
      <w:r w:rsidR="005B4A84" w:rsidRPr="008C4CE4">
        <w:rPr>
          <w:rStyle w:val="apple-converted-space"/>
          <w:rFonts w:ascii="Times New Roman" w:hAnsi="Times New Roman"/>
          <w:sz w:val="24"/>
          <w:szCs w:val="24"/>
        </w:rPr>
        <w:t> </w:t>
      </w:r>
      <w:r w:rsidR="005B4A84" w:rsidRPr="008C4CE4">
        <w:rPr>
          <w:rStyle w:val="hps"/>
          <w:rFonts w:ascii="Times New Roman" w:hAnsi="Times New Roman"/>
          <w:sz w:val="24"/>
          <w:szCs w:val="24"/>
        </w:rPr>
        <w:t>Integration</w:t>
      </w:r>
      <w:r w:rsidR="005B4A84" w:rsidRPr="008C4CE4">
        <w:rPr>
          <w:rFonts w:ascii="Times New Roman" w:hAnsi="Times New Roman"/>
          <w:sz w:val="24"/>
          <w:szCs w:val="24"/>
        </w:rPr>
        <w:t>, Skopje.</w:t>
      </w:r>
    </w:p>
    <w:p w:rsidR="005B4A84" w:rsidRPr="005B4A84" w:rsidRDefault="008C4CE4" w:rsidP="008C4CE4">
      <w:pPr>
        <w:pStyle w:val="Maintext"/>
        <w:tabs>
          <w:tab w:val="left" w:pos="142"/>
        </w:tabs>
        <w:rPr>
          <w:rFonts w:ascii="Times New Roman" w:hAnsi="Times New Roman"/>
          <w:sz w:val="24"/>
          <w:szCs w:val="24"/>
          <w:lang w:eastAsia="en-GB"/>
        </w:rPr>
      </w:pPr>
      <w:r>
        <w:rPr>
          <w:rFonts w:ascii="Times New Roman" w:hAnsi="Times New Roman"/>
          <w:sz w:val="24"/>
          <w:szCs w:val="24"/>
          <w:lang w:eastAsia="en-GB"/>
        </w:rPr>
        <w:t xml:space="preserve">6. </w:t>
      </w:r>
      <w:r w:rsidR="005B4A84" w:rsidRPr="005B4A84">
        <w:rPr>
          <w:rFonts w:ascii="Times New Roman" w:hAnsi="Times New Roman"/>
          <w:sz w:val="24"/>
          <w:szCs w:val="24"/>
          <w:lang w:eastAsia="en-GB"/>
        </w:rPr>
        <w:t>Evaluation of the Assistance to Balkan Countries under CARDS (June 2004</w:t>
      </w:r>
      <w:r>
        <w:rPr>
          <w:rFonts w:ascii="Times New Roman" w:hAnsi="Times New Roman"/>
          <w:sz w:val="24"/>
          <w:szCs w:val="24"/>
          <w:lang w:eastAsia="en-GB"/>
        </w:rPr>
        <w:t xml:space="preserve">). </w:t>
      </w:r>
      <w:r w:rsidR="005B4A84" w:rsidRPr="005B4A84">
        <w:rPr>
          <w:rFonts w:ascii="Times New Roman" w:hAnsi="Times New Roman"/>
          <w:sz w:val="24"/>
          <w:szCs w:val="24"/>
          <w:lang w:eastAsia="en-GB"/>
        </w:rPr>
        <w:t>Regulation 2666/2000,</w:t>
      </w:r>
      <w:r>
        <w:rPr>
          <w:rFonts w:ascii="Times New Roman" w:hAnsi="Times New Roman"/>
          <w:sz w:val="24"/>
          <w:szCs w:val="24"/>
          <w:lang w:eastAsia="en-GB"/>
        </w:rPr>
        <w:t xml:space="preserve"> Synthesis Report, Vol. </w:t>
      </w:r>
      <w:r w:rsidR="005B4A84" w:rsidRPr="005B4A84">
        <w:rPr>
          <w:rFonts w:ascii="Times New Roman" w:hAnsi="Times New Roman"/>
          <w:sz w:val="24"/>
          <w:szCs w:val="24"/>
          <w:lang w:eastAsia="en-GB"/>
        </w:rPr>
        <w:t>I Findings of the Evaluation.</w:t>
      </w:r>
    </w:p>
    <w:p w:rsidR="005B4A84" w:rsidRPr="005B4A84" w:rsidRDefault="005B4A84" w:rsidP="008C4CE4">
      <w:pPr>
        <w:tabs>
          <w:tab w:val="left" w:pos="142"/>
        </w:tabs>
        <w:spacing w:after="0" w:line="240" w:lineRule="auto"/>
        <w:jc w:val="both"/>
        <w:rPr>
          <w:rFonts w:ascii="Times New Roman" w:hAnsi="Times New Roman" w:cs="Times New Roman"/>
          <w:sz w:val="24"/>
          <w:szCs w:val="24"/>
        </w:rPr>
      </w:pPr>
    </w:p>
    <w:sectPr w:rsidR="005B4A84" w:rsidRPr="005B4A84" w:rsidSect="005B4A84">
      <w:pgSz w:w="12242" w:h="15842" w:code="1"/>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B8C" w:rsidRDefault="00285B8C" w:rsidP="005B4A84">
      <w:pPr>
        <w:spacing w:after="0" w:line="240" w:lineRule="auto"/>
      </w:pPr>
      <w:r>
        <w:separator/>
      </w:r>
    </w:p>
  </w:endnote>
  <w:endnote w:type="continuationSeparator" w:id="1">
    <w:p w:rsidR="00285B8C" w:rsidRDefault="00285B8C" w:rsidP="005B4A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B8C" w:rsidRDefault="00285B8C" w:rsidP="005B4A84">
      <w:pPr>
        <w:spacing w:after="0" w:line="240" w:lineRule="auto"/>
      </w:pPr>
      <w:r>
        <w:separator/>
      </w:r>
    </w:p>
  </w:footnote>
  <w:footnote w:type="continuationSeparator" w:id="1">
    <w:p w:rsidR="00285B8C" w:rsidRDefault="00285B8C" w:rsidP="005B4A84">
      <w:pPr>
        <w:spacing w:after="0" w:line="240" w:lineRule="auto"/>
      </w:pPr>
      <w:r>
        <w:continuationSeparator/>
      </w:r>
    </w:p>
  </w:footnote>
  <w:footnote w:id="2">
    <w:p w:rsidR="005B4A84" w:rsidRPr="005B4A84" w:rsidRDefault="005B4A84" w:rsidP="008C4CE4">
      <w:pPr>
        <w:pStyle w:val="FootnoteText"/>
        <w:shd w:val="clear" w:color="auto" w:fill="FFFFFF" w:themeFill="background1"/>
        <w:jc w:val="both"/>
      </w:pPr>
      <w:r w:rsidRPr="005B4A84">
        <w:rPr>
          <w:rStyle w:val="FootnoteReference"/>
        </w:rPr>
        <w:footnoteRef/>
      </w:r>
      <w:r w:rsidRPr="005B4A84">
        <w:t xml:space="preserve"> </w:t>
      </w:r>
      <w:r w:rsidRPr="005B4A84">
        <w:rPr>
          <w:rStyle w:val="hps"/>
        </w:rPr>
        <w:t>EU funds for</w:t>
      </w:r>
      <w:r w:rsidRPr="005B4A84">
        <w:rPr>
          <w:rStyle w:val="apple-converted-space"/>
        </w:rPr>
        <w:t> </w:t>
      </w:r>
      <w:r w:rsidRPr="005B4A84">
        <w:rPr>
          <w:rStyle w:val="hps"/>
        </w:rPr>
        <w:t>development of the Republic</w:t>
      </w:r>
      <w:r w:rsidRPr="005B4A84">
        <w:rPr>
          <w:rStyle w:val="apple-converted-space"/>
        </w:rPr>
        <w:t> </w:t>
      </w:r>
      <w:r w:rsidRPr="005B4A84">
        <w:rPr>
          <w:rStyle w:val="hps"/>
        </w:rPr>
        <w:t>of Macedonia,</w:t>
      </w:r>
      <w:r w:rsidRPr="005B4A84">
        <w:rPr>
          <w:rStyle w:val="apple-converted-space"/>
        </w:rPr>
        <w:t> </w:t>
      </w:r>
      <w:r w:rsidRPr="005B4A84">
        <w:rPr>
          <w:rStyle w:val="hps"/>
        </w:rPr>
        <w:t>Mojmir</w:t>
      </w:r>
      <w:r w:rsidRPr="005B4A84">
        <w:rPr>
          <w:rStyle w:val="apple-converted-space"/>
        </w:rPr>
        <w:t> </w:t>
      </w:r>
      <w:r w:rsidRPr="005B4A84">
        <w:rPr>
          <w:rStyle w:val="hps"/>
        </w:rPr>
        <w:t>Mrak</w:t>
      </w:r>
      <w:r w:rsidRPr="005B4A84">
        <w:t xml:space="preserve">, Vanco </w:t>
      </w:r>
      <w:r w:rsidRPr="005B4A84">
        <w:rPr>
          <w:rStyle w:val="hps"/>
        </w:rPr>
        <w:t>Uzunov,</w:t>
      </w:r>
      <w:r w:rsidRPr="005B4A84">
        <w:rPr>
          <w:rStyle w:val="apple-converted-space"/>
        </w:rPr>
        <w:t> </w:t>
      </w:r>
      <w:r w:rsidRPr="005B4A84">
        <w:rPr>
          <w:rStyle w:val="hps"/>
        </w:rPr>
        <w:t>Governmental</w:t>
      </w:r>
      <w:r w:rsidRPr="005B4A84">
        <w:rPr>
          <w:rStyle w:val="apple-converted-space"/>
        </w:rPr>
        <w:t> </w:t>
      </w:r>
      <w:r w:rsidRPr="005B4A84">
        <w:rPr>
          <w:rStyle w:val="hps"/>
        </w:rPr>
        <w:t>Sector</w:t>
      </w:r>
      <w:r w:rsidRPr="005B4A84">
        <w:rPr>
          <w:rStyle w:val="apple-converted-space"/>
        </w:rPr>
        <w:t> </w:t>
      </w:r>
      <w:r w:rsidRPr="005B4A84">
        <w:rPr>
          <w:rStyle w:val="hps"/>
        </w:rPr>
        <w:t>for European</w:t>
      </w:r>
      <w:r w:rsidRPr="005B4A84">
        <w:rPr>
          <w:rStyle w:val="apple-converted-space"/>
        </w:rPr>
        <w:t> </w:t>
      </w:r>
      <w:r w:rsidRPr="005B4A84">
        <w:rPr>
          <w:rStyle w:val="hps"/>
        </w:rPr>
        <w:t>Integration</w:t>
      </w:r>
      <w:r w:rsidRPr="005B4A84">
        <w:t>, Skopje, 2005,</w:t>
      </w:r>
      <w:r w:rsidRPr="005B4A84">
        <w:rPr>
          <w:rStyle w:val="apple-converted-space"/>
        </w:rPr>
        <w:t> </w:t>
      </w:r>
      <w:r w:rsidRPr="005B4A84">
        <w:rPr>
          <w:rStyle w:val="hps"/>
        </w:rPr>
        <w:t>ppt.69.</w:t>
      </w:r>
    </w:p>
  </w:footnote>
  <w:footnote w:id="3">
    <w:p w:rsidR="005B4A84" w:rsidRPr="005B4A84" w:rsidRDefault="005B4A84" w:rsidP="008C4CE4">
      <w:pPr>
        <w:pStyle w:val="FootnoteText"/>
        <w:shd w:val="clear" w:color="auto" w:fill="FFFFFF" w:themeFill="background1"/>
        <w:jc w:val="both"/>
      </w:pPr>
      <w:r w:rsidRPr="005B4A84">
        <w:rPr>
          <w:rStyle w:val="FootnoteReference"/>
        </w:rPr>
        <w:footnoteRef/>
      </w:r>
      <w:r w:rsidRPr="005B4A84">
        <w:t xml:space="preserve">  </w:t>
      </w:r>
      <w:r w:rsidRPr="005B4A84">
        <w:rPr>
          <w:rStyle w:val="hps"/>
        </w:rPr>
        <w:t>Ibid</w:t>
      </w:r>
      <w:r w:rsidRPr="005B4A84">
        <w:rPr>
          <w:rStyle w:val="apple-converted-space"/>
        </w:rPr>
        <w:t> </w:t>
      </w:r>
      <w:r w:rsidRPr="005B4A84">
        <w:rPr>
          <w:rStyle w:val="hps"/>
        </w:rPr>
        <w:t>ppt.87.</w:t>
      </w:r>
    </w:p>
  </w:footnote>
  <w:footnote w:id="4">
    <w:p w:rsidR="005B4A84" w:rsidRPr="005B4A84" w:rsidRDefault="005B4A84" w:rsidP="008C4CE4">
      <w:pPr>
        <w:pStyle w:val="FootnoteText"/>
        <w:jc w:val="both"/>
        <w:rPr>
          <w:sz w:val="20"/>
          <w:szCs w:val="20"/>
        </w:rPr>
      </w:pPr>
      <w:r w:rsidRPr="005B4A84">
        <w:rPr>
          <w:rStyle w:val="FootnoteReference"/>
        </w:rPr>
        <w:footnoteRef/>
      </w:r>
      <w:r w:rsidRPr="005B4A84">
        <w:t xml:space="preserve">  </w:t>
      </w:r>
      <w:r w:rsidRPr="005B4A84">
        <w:rPr>
          <w:lang w:eastAsia="en-GB"/>
        </w:rPr>
        <w:t>European Commission: On the Implementation of Commitments Undertaken by the Acceding Countries in the Context of Accession Negotiations on Chapter 21 – Regional Policy and Coordination of Structural Instruments, Commission Staff Working Paper, Annex to the Communication from the Commission to the European Parliament and the Council, COM (2003)433 fi nal, Brussels, 16.07.2003, ppt.2.</w:t>
      </w:r>
    </w:p>
  </w:footnote>
  <w:footnote w:id="5">
    <w:p w:rsidR="005B4A84" w:rsidRPr="005B4A84" w:rsidRDefault="005B4A84" w:rsidP="008C4CE4">
      <w:pPr>
        <w:pStyle w:val="FootnoteText"/>
        <w:jc w:val="both"/>
      </w:pPr>
      <w:r w:rsidRPr="005B4A84">
        <w:rPr>
          <w:rStyle w:val="FootnoteReference"/>
        </w:rPr>
        <w:footnoteRef/>
      </w:r>
      <w:r w:rsidRPr="005B4A84">
        <w:t xml:space="preserve"> </w:t>
      </w:r>
      <w:r w:rsidRPr="008C4CE4">
        <w:rPr>
          <w:rStyle w:val="hps"/>
        </w:rPr>
        <w:t>EU funds for</w:t>
      </w:r>
      <w:r w:rsidRPr="008C4CE4">
        <w:rPr>
          <w:rStyle w:val="apple-converted-space"/>
        </w:rPr>
        <w:t> </w:t>
      </w:r>
      <w:r w:rsidRPr="008C4CE4">
        <w:rPr>
          <w:rStyle w:val="hps"/>
        </w:rPr>
        <w:t>development of the Republic</w:t>
      </w:r>
      <w:r w:rsidRPr="008C4CE4">
        <w:rPr>
          <w:rStyle w:val="apple-converted-space"/>
        </w:rPr>
        <w:t> </w:t>
      </w:r>
      <w:r w:rsidRPr="008C4CE4">
        <w:rPr>
          <w:rStyle w:val="hps"/>
        </w:rPr>
        <w:t>of Macedonia,</w:t>
      </w:r>
      <w:r w:rsidRPr="008C4CE4">
        <w:rPr>
          <w:rStyle w:val="apple-converted-space"/>
        </w:rPr>
        <w:t> </w:t>
      </w:r>
      <w:r w:rsidRPr="008C4CE4">
        <w:rPr>
          <w:rStyle w:val="hps"/>
        </w:rPr>
        <w:t>Mojmir</w:t>
      </w:r>
      <w:r w:rsidRPr="008C4CE4">
        <w:rPr>
          <w:rStyle w:val="apple-converted-space"/>
        </w:rPr>
        <w:t> </w:t>
      </w:r>
      <w:r w:rsidRPr="008C4CE4">
        <w:rPr>
          <w:rStyle w:val="hps"/>
        </w:rPr>
        <w:t>Mrak</w:t>
      </w:r>
      <w:r w:rsidRPr="008C4CE4">
        <w:t xml:space="preserve">, Vanco </w:t>
      </w:r>
      <w:r w:rsidRPr="008C4CE4">
        <w:rPr>
          <w:rStyle w:val="hps"/>
        </w:rPr>
        <w:t>Uzunov</w:t>
      </w:r>
      <w:r w:rsidRPr="008C4CE4">
        <w:rPr>
          <w:rStyle w:val="apple-converted-space"/>
        </w:rPr>
        <w:t> </w:t>
      </w:r>
      <w:r w:rsidRPr="008C4CE4">
        <w:rPr>
          <w:rStyle w:val="hps"/>
        </w:rPr>
        <w:t>Governmental</w:t>
      </w:r>
      <w:r w:rsidRPr="008C4CE4">
        <w:rPr>
          <w:rStyle w:val="apple-converted-space"/>
        </w:rPr>
        <w:t> </w:t>
      </w:r>
      <w:r w:rsidRPr="008C4CE4">
        <w:rPr>
          <w:rStyle w:val="hps"/>
        </w:rPr>
        <w:t>Sector</w:t>
      </w:r>
      <w:r w:rsidRPr="008C4CE4">
        <w:rPr>
          <w:rStyle w:val="apple-converted-space"/>
        </w:rPr>
        <w:t> </w:t>
      </w:r>
      <w:r w:rsidRPr="008C4CE4">
        <w:rPr>
          <w:rStyle w:val="hps"/>
        </w:rPr>
        <w:t>for European</w:t>
      </w:r>
      <w:r w:rsidRPr="008C4CE4">
        <w:rPr>
          <w:rStyle w:val="apple-converted-space"/>
        </w:rPr>
        <w:t> </w:t>
      </w:r>
      <w:r w:rsidRPr="008C4CE4">
        <w:rPr>
          <w:rStyle w:val="hps"/>
        </w:rPr>
        <w:t>Integration</w:t>
      </w:r>
      <w:r w:rsidRPr="008C4CE4">
        <w:t>, Skopje, 2005,</w:t>
      </w:r>
      <w:r w:rsidRPr="008C4CE4">
        <w:rPr>
          <w:rStyle w:val="apple-converted-space"/>
        </w:rPr>
        <w:t> </w:t>
      </w:r>
      <w:r w:rsidRPr="008C4CE4">
        <w:rPr>
          <w:rStyle w:val="hps"/>
        </w:rPr>
        <w:t>ppt.79.</w:t>
      </w:r>
    </w:p>
  </w:footnote>
  <w:footnote w:id="6">
    <w:p w:rsidR="005B4A84" w:rsidRPr="005B4A84" w:rsidRDefault="005B4A84" w:rsidP="008C4CE4">
      <w:pPr>
        <w:pStyle w:val="FootnoteText"/>
        <w:jc w:val="both"/>
      </w:pPr>
      <w:r w:rsidRPr="005B4A84">
        <w:rPr>
          <w:rStyle w:val="FootnoteReference"/>
        </w:rPr>
        <w:footnoteRef/>
      </w:r>
      <w:r w:rsidRPr="005B4A84">
        <w:t xml:space="preserve"> </w:t>
      </w:r>
      <w:r w:rsidRPr="005B4A84">
        <w:rPr>
          <w:lang w:eastAsia="en-GB"/>
        </w:rPr>
        <w:t>Evaluation of the Assistance to Balkan Countries under CARDS, Regulation 2666/2000, Synthesis Report, Vol. I Findings of the Evaluation, June 2004, ppt. 23.</w:t>
      </w:r>
    </w:p>
  </w:footnote>
  <w:footnote w:id="7">
    <w:p w:rsidR="005B4A84" w:rsidRPr="005B4A84" w:rsidRDefault="005B4A84" w:rsidP="008C4CE4">
      <w:pPr>
        <w:pStyle w:val="FootnoteText"/>
        <w:jc w:val="both"/>
      </w:pPr>
      <w:r w:rsidRPr="005B4A84">
        <w:rPr>
          <w:rStyle w:val="FootnoteReference"/>
        </w:rPr>
        <w:footnoteRef/>
      </w:r>
      <w:r w:rsidRPr="005B4A84">
        <w:t xml:space="preserve"> Ibid ppt.80.</w:t>
      </w:r>
    </w:p>
  </w:footnote>
  <w:footnote w:id="8">
    <w:p w:rsidR="005B4A84" w:rsidRPr="005B4A84" w:rsidRDefault="005B4A84" w:rsidP="008C4CE4">
      <w:pPr>
        <w:pStyle w:val="FootnoteText"/>
        <w:shd w:val="clear" w:color="auto" w:fill="FFFFFF" w:themeFill="background1"/>
        <w:jc w:val="both"/>
      </w:pPr>
      <w:r w:rsidRPr="008C4CE4">
        <w:rPr>
          <w:rStyle w:val="FootnoteReference"/>
        </w:rPr>
        <w:footnoteRef/>
      </w:r>
      <w:r w:rsidRPr="008C4CE4">
        <w:t xml:space="preserve"> </w:t>
      </w:r>
      <w:r w:rsidRPr="008C4CE4">
        <w:rPr>
          <w:rStyle w:val="hps"/>
        </w:rPr>
        <w:t>EU funds for</w:t>
      </w:r>
      <w:r w:rsidRPr="008C4CE4">
        <w:rPr>
          <w:rStyle w:val="apple-converted-space"/>
        </w:rPr>
        <w:t> </w:t>
      </w:r>
      <w:r w:rsidRPr="008C4CE4">
        <w:rPr>
          <w:rStyle w:val="hps"/>
        </w:rPr>
        <w:t>development of the</w:t>
      </w:r>
      <w:r w:rsidRPr="005B4A84">
        <w:rPr>
          <w:rStyle w:val="hps"/>
          <w:shd w:val="clear" w:color="auto" w:fill="F5F5F5"/>
        </w:rPr>
        <w:t xml:space="preserve"> </w:t>
      </w:r>
      <w:r w:rsidRPr="008C4CE4">
        <w:rPr>
          <w:rStyle w:val="hps"/>
        </w:rPr>
        <w:t>Republic</w:t>
      </w:r>
      <w:r w:rsidRPr="008C4CE4">
        <w:rPr>
          <w:rStyle w:val="apple-converted-space"/>
        </w:rPr>
        <w:t> </w:t>
      </w:r>
      <w:r w:rsidRPr="008C4CE4">
        <w:rPr>
          <w:rStyle w:val="hps"/>
        </w:rPr>
        <w:t>of Macedonia,</w:t>
      </w:r>
      <w:r w:rsidRPr="008C4CE4">
        <w:rPr>
          <w:rStyle w:val="apple-converted-space"/>
        </w:rPr>
        <w:t> </w:t>
      </w:r>
      <w:r w:rsidRPr="008C4CE4">
        <w:rPr>
          <w:rStyle w:val="hps"/>
        </w:rPr>
        <w:t>Mojmir</w:t>
      </w:r>
      <w:r w:rsidRPr="008C4CE4">
        <w:rPr>
          <w:rStyle w:val="apple-converted-space"/>
        </w:rPr>
        <w:t> </w:t>
      </w:r>
      <w:r w:rsidRPr="008C4CE4">
        <w:rPr>
          <w:rStyle w:val="hps"/>
        </w:rPr>
        <w:t>Mrak</w:t>
      </w:r>
      <w:r w:rsidRPr="008C4CE4">
        <w:t xml:space="preserve">, Vanco </w:t>
      </w:r>
      <w:r w:rsidRPr="008C4CE4">
        <w:rPr>
          <w:rStyle w:val="hps"/>
        </w:rPr>
        <w:t>Uzunov</w:t>
      </w:r>
      <w:r w:rsidRPr="008C4CE4">
        <w:rPr>
          <w:rStyle w:val="apple-converted-space"/>
        </w:rPr>
        <w:t> </w:t>
      </w:r>
      <w:r w:rsidRPr="008C4CE4">
        <w:rPr>
          <w:rStyle w:val="hps"/>
        </w:rPr>
        <w:t>ppt.81.</w:t>
      </w:r>
    </w:p>
  </w:footnote>
  <w:footnote w:id="9">
    <w:p w:rsidR="005B4A84" w:rsidRPr="005B4A84" w:rsidRDefault="005B4A84" w:rsidP="008C4CE4">
      <w:pPr>
        <w:pStyle w:val="FootnoteText"/>
        <w:jc w:val="both"/>
      </w:pPr>
      <w:r w:rsidRPr="005B4A84">
        <w:rPr>
          <w:rStyle w:val="FootnoteReference"/>
        </w:rPr>
        <w:footnoteRef/>
      </w:r>
      <w:r w:rsidRPr="005B4A84">
        <w:t xml:space="preserve"> EU funds for development of the Republic of Macedonia, Mojmir Mrak, Vanco Uzunov Governmental Sector for European Integration, Skopje, 2005, ppt.83.</w:t>
      </w:r>
    </w:p>
  </w:footnote>
  <w:footnote w:id="10">
    <w:p w:rsidR="005B4A84" w:rsidRPr="005B4A84" w:rsidRDefault="005B4A84" w:rsidP="008C4CE4">
      <w:pPr>
        <w:pStyle w:val="FootnoteText"/>
        <w:jc w:val="both"/>
      </w:pPr>
      <w:r w:rsidRPr="005B4A84">
        <w:rPr>
          <w:rStyle w:val="FootnoteReference"/>
        </w:rPr>
        <w:footnoteRef/>
      </w:r>
      <w:r w:rsidRPr="005B4A84">
        <w:t xml:space="preserve"> Public, private and civil society (NGO) sector.</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1204"/>
    <w:multiLevelType w:val="hybridMultilevel"/>
    <w:tmpl w:val="DDFA4368"/>
    <w:lvl w:ilvl="0" w:tplc="B810D23C">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0"/>
    <w:footnote w:id="1"/>
  </w:footnotePr>
  <w:endnotePr>
    <w:endnote w:id="0"/>
    <w:endnote w:id="1"/>
  </w:endnotePr>
  <w:compat/>
  <w:rsids>
    <w:rsidRoot w:val="005B4A84"/>
    <w:rsid w:val="00285B8C"/>
    <w:rsid w:val="005B4A84"/>
    <w:rsid w:val="008C4CE4"/>
    <w:rsid w:val="00932327"/>
    <w:rsid w:val="00B90A32"/>
    <w:rsid w:val="00D47A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A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
    <w:name w:val="Main text"/>
    <w:basedOn w:val="Normal"/>
    <w:rsid w:val="005B4A84"/>
    <w:pPr>
      <w:spacing w:after="0" w:line="240" w:lineRule="auto"/>
      <w:jc w:val="both"/>
    </w:pPr>
    <w:rPr>
      <w:rFonts w:ascii="Arial" w:eastAsia="Times New Roman" w:hAnsi="Arial" w:cs="Times New Roman"/>
      <w:sz w:val="20"/>
      <w:szCs w:val="20"/>
      <w:lang w:val="en-GB"/>
    </w:rPr>
  </w:style>
  <w:style w:type="paragraph" w:customStyle="1" w:styleId="Autor">
    <w:name w:val="Autor"/>
    <w:basedOn w:val="Normal"/>
    <w:next w:val="Affiliation"/>
    <w:autoRedefine/>
    <w:rsid w:val="005B4A84"/>
    <w:pPr>
      <w:spacing w:before="200" w:after="0" w:line="240" w:lineRule="auto"/>
      <w:jc w:val="center"/>
    </w:pPr>
    <w:rPr>
      <w:rFonts w:ascii="Arial" w:eastAsia="Times New Roman" w:hAnsi="Arial" w:cs="Times New Roman"/>
      <w:sz w:val="20"/>
      <w:szCs w:val="20"/>
      <w:lang w:val="pl-PL"/>
    </w:rPr>
  </w:style>
  <w:style w:type="paragraph" w:customStyle="1" w:styleId="Affiliation">
    <w:name w:val="Affiliation"/>
    <w:basedOn w:val="Autor"/>
    <w:next w:val="Maintext"/>
    <w:rsid w:val="005B4A84"/>
    <w:pPr>
      <w:spacing w:before="0"/>
    </w:pPr>
  </w:style>
  <w:style w:type="character" w:styleId="Hyperlink">
    <w:name w:val="Hyperlink"/>
    <w:basedOn w:val="DefaultParagraphFont"/>
    <w:uiPriority w:val="99"/>
    <w:unhideWhenUsed/>
    <w:rsid w:val="005B4A84"/>
    <w:rPr>
      <w:color w:val="0000FF" w:themeColor="hyperlink"/>
      <w:u w:val="single"/>
    </w:rPr>
  </w:style>
  <w:style w:type="paragraph" w:customStyle="1" w:styleId="Subtitle1">
    <w:name w:val="Subtitle 1"/>
    <w:basedOn w:val="Normal"/>
    <w:next w:val="Maintext"/>
    <w:rsid w:val="005B4A84"/>
    <w:pPr>
      <w:spacing w:before="240" w:after="120" w:line="240" w:lineRule="auto"/>
      <w:jc w:val="both"/>
    </w:pPr>
    <w:rPr>
      <w:rFonts w:ascii="Arial" w:eastAsia="Times New Roman" w:hAnsi="Arial" w:cs="Times New Roman"/>
      <w:b/>
      <w:caps/>
      <w:szCs w:val="20"/>
      <w:lang w:val="sr-Latn-CS"/>
    </w:rPr>
  </w:style>
  <w:style w:type="paragraph" w:styleId="FootnoteText">
    <w:name w:val="footnote text"/>
    <w:aliases w:val="single space,footnote text"/>
    <w:basedOn w:val="Normal"/>
    <w:link w:val="FootnoteTextChar"/>
    <w:rsid w:val="005B4A84"/>
    <w:pPr>
      <w:spacing w:after="0" w:line="240" w:lineRule="auto"/>
    </w:pPr>
    <w:rPr>
      <w:rFonts w:ascii="Times New Roman" w:eastAsia="Times New Roman" w:hAnsi="Times New Roman" w:cs="Times New Roman"/>
      <w:sz w:val="18"/>
      <w:szCs w:val="18"/>
    </w:rPr>
  </w:style>
  <w:style w:type="character" w:customStyle="1" w:styleId="FootnoteTextChar">
    <w:name w:val="Footnote Text Char"/>
    <w:aliases w:val="single space Char,footnote text Char"/>
    <w:basedOn w:val="DefaultParagraphFont"/>
    <w:link w:val="FootnoteText"/>
    <w:rsid w:val="005B4A84"/>
    <w:rPr>
      <w:rFonts w:ascii="Times New Roman" w:eastAsia="Times New Roman" w:hAnsi="Times New Roman" w:cs="Times New Roman"/>
      <w:sz w:val="18"/>
      <w:szCs w:val="18"/>
    </w:rPr>
  </w:style>
  <w:style w:type="character" w:styleId="FootnoteReference">
    <w:name w:val="footnote reference"/>
    <w:basedOn w:val="DefaultParagraphFont"/>
    <w:semiHidden/>
    <w:rsid w:val="005B4A84"/>
    <w:rPr>
      <w:vertAlign w:val="superscript"/>
    </w:rPr>
  </w:style>
  <w:style w:type="paragraph" w:styleId="Header">
    <w:name w:val="header"/>
    <w:basedOn w:val="Normal"/>
    <w:link w:val="HeaderChar"/>
    <w:rsid w:val="005B4A84"/>
    <w:pPr>
      <w:tabs>
        <w:tab w:val="center" w:pos="4320"/>
        <w:tab w:val="right" w:pos="8640"/>
      </w:tabs>
      <w:spacing w:after="0" w:line="240" w:lineRule="auto"/>
      <w:jc w:val="both"/>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5B4A84"/>
    <w:rPr>
      <w:rFonts w:ascii="Times New Roman" w:eastAsia="Times New Roman" w:hAnsi="Times New Roman" w:cs="Times New Roman"/>
      <w:sz w:val="20"/>
      <w:szCs w:val="20"/>
    </w:rPr>
  </w:style>
  <w:style w:type="character" w:customStyle="1" w:styleId="hps">
    <w:name w:val="hps"/>
    <w:basedOn w:val="DefaultParagraphFont"/>
    <w:rsid w:val="005B4A84"/>
  </w:style>
  <w:style w:type="character" w:customStyle="1" w:styleId="apple-converted-space">
    <w:name w:val="apple-converted-space"/>
    <w:basedOn w:val="DefaultParagraphFont"/>
    <w:rsid w:val="005B4A84"/>
  </w:style>
  <w:style w:type="paragraph" w:styleId="ListParagraph">
    <w:name w:val="List Paragraph"/>
    <w:basedOn w:val="Normal"/>
    <w:uiPriority w:val="34"/>
    <w:qFormat/>
    <w:rsid w:val="005B4A84"/>
    <w:pPr>
      <w:ind w:left="720"/>
      <w:contextualSpacing/>
    </w:pPr>
    <w:rPr>
      <w:rFonts w:ascii="Calibri" w:eastAsia="Calibri" w:hAnsi="Calibri" w:cs="Times New Roman"/>
    </w:rPr>
  </w:style>
  <w:style w:type="paragraph" w:styleId="NormalWeb">
    <w:name w:val="Normal (Web)"/>
    <w:basedOn w:val="Normal"/>
    <w:unhideWhenUsed/>
    <w:rsid w:val="005B4A84"/>
    <w:pPr>
      <w:spacing w:after="0" w:line="240" w:lineRule="auto"/>
    </w:pPr>
    <w:rPr>
      <w:rFonts w:ascii="Times New Roman" w:eastAsia="Times New Roman" w:hAnsi="Times New Roman" w:cs="Times New Roman"/>
      <w:sz w:val="24"/>
      <w:szCs w:val="24"/>
      <w:lang w:val="mk-MK" w:eastAsia="mk-MK"/>
    </w:rPr>
  </w:style>
  <w:style w:type="paragraph" w:styleId="Footer">
    <w:name w:val="footer"/>
    <w:basedOn w:val="Normal"/>
    <w:link w:val="FooterChar"/>
    <w:uiPriority w:val="99"/>
    <w:semiHidden/>
    <w:unhideWhenUsed/>
    <w:rsid w:val="005B4A8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B4A8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2247</Words>
  <Characters>12810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2012-05-23T08:10:00Z</dcterms:created>
  <dcterms:modified xsi:type="dcterms:W3CDTF">2012-05-23T08:37:00Z</dcterms:modified>
</cp:coreProperties>
</file>