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3CC4" w:rsidRPr="00A856F7" w:rsidRDefault="00084B3B" w:rsidP="00A856F7">
      <w:pPr>
        <w:jc w:val="center"/>
        <w:rPr>
          <w:b/>
          <w:lang w:val="en-US"/>
        </w:rPr>
      </w:pPr>
      <w:r w:rsidRPr="00A856F7">
        <w:rPr>
          <w:b/>
          <w:lang w:val="en-US"/>
        </w:rPr>
        <w:t>THE EFFECTS OF THE GLOBAL FINANCIAL CRISIS ON DEBT FINANCING: CROATIA VS MACEDONIA</w:t>
      </w:r>
    </w:p>
    <w:p w:rsidR="00084B3B" w:rsidRDefault="00084B3B" w:rsidP="00084B3B">
      <w:pPr>
        <w:jc w:val="center"/>
        <w:rPr>
          <w:lang w:val="en-US"/>
        </w:rPr>
      </w:pPr>
    </w:p>
    <w:p w:rsidR="002F1C15" w:rsidRPr="004F3148" w:rsidRDefault="002F1C15" w:rsidP="004F3148">
      <w:pPr>
        <w:spacing w:line="360" w:lineRule="auto"/>
        <w:jc w:val="center"/>
        <w:rPr>
          <w:sz w:val="22"/>
          <w:lang w:val="en-US"/>
        </w:rPr>
      </w:pPr>
      <w:proofErr w:type="spellStart"/>
      <w:r w:rsidRPr="004F3148">
        <w:rPr>
          <w:sz w:val="22"/>
          <w:lang w:val="en-US"/>
        </w:rPr>
        <w:t>Bisera</w:t>
      </w:r>
      <w:proofErr w:type="spellEnd"/>
      <w:r w:rsidRPr="004F3148">
        <w:rPr>
          <w:sz w:val="22"/>
          <w:lang w:val="en-US"/>
        </w:rPr>
        <w:t xml:space="preserve"> </w:t>
      </w:r>
      <w:proofErr w:type="spellStart"/>
      <w:r w:rsidRPr="004F3148">
        <w:rPr>
          <w:sz w:val="22"/>
          <w:lang w:val="en-US"/>
        </w:rPr>
        <w:t>Gjosevska</w:t>
      </w:r>
      <w:proofErr w:type="spellEnd"/>
      <w:r w:rsidRPr="004F3148">
        <w:rPr>
          <w:sz w:val="22"/>
          <w:lang w:val="en-US"/>
        </w:rPr>
        <w:t>, PhD</w:t>
      </w:r>
      <w:r w:rsidR="004F3148" w:rsidRPr="004F3148">
        <w:rPr>
          <w:rStyle w:val="FootnoteReference"/>
          <w:sz w:val="22"/>
          <w:lang w:val="en-US"/>
        </w:rPr>
        <w:footnoteReference w:id="1"/>
      </w:r>
    </w:p>
    <w:p w:rsidR="002F1C15" w:rsidRPr="004F3148" w:rsidRDefault="00F217C9" w:rsidP="004F3148">
      <w:pPr>
        <w:spacing w:line="360" w:lineRule="auto"/>
        <w:jc w:val="center"/>
        <w:rPr>
          <w:sz w:val="22"/>
          <w:lang w:val="en-US"/>
        </w:rPr>
      </w:pPr>
      <w:proofErr w:type="spellStart"/>
      <w:r>
        <w:rPr>
          <w:sz w:val="22"/>
          <w:lang w:val="en-US"/>
        </w:rPr>
        <w:t>Goran</w:t>
      </w:r>
      <w:proofErr w:type="spellEnd"/>
      <w:r>
        <w:rPr>
          <w:sz w:val="22"/>
          <w:lang w:val="en-US"/>
        </w:rPr>
        <w:t xml:space="preserve"> </w:t>
      </w:r>
      <w:proofErr w:type="spellStart"/>
      <w:r>
        <w:rPr>
          <w:sz w:val="22"/>
          <w:lang w:val="en-US"/>
        </w:rPr>
        <w:t>Karanovic</w:t>
      </w:r>
      <w:proofErr w:type="spellEnd"/>
      <w:r>
        <w:rPr>
          <w:sz w:val="22"/>
          <w:lang w:val="en-US"/>
        </w:rPr>
        <w:t>, PhD</w:t>
      </w:r>
      <w:r w:rsidR="004F3148" w:rsidRPr="004F3148">
        <w:rPr>
          <w:rStyle w:val="FootnoteReference"/>
          <w:sz w:val="22"/>
          <w:lang w:val="en-US"/>
        </w:rPr>
        <w:footnoteReference w:id="2"/>
      </w:r>
    </w:p>
    <w:p w:rsidR="003D1ADF" w:rsidRDefault="003D1ADF" w:rsidP="00521052">
      <w:pPr>
        <w:rPr>
          <w:i/>
          <w:sz w:val="22"/>
          <w:lang w:val="en-US"/>
        </w:rPr>
      </w:pPr>
    </w:p>
    <w:p w:rsidR="00521052" w:rsidRDefault="00521052" w:rsidP="00521052">
      <w:pPr>
        <w:rPr>
          <w:b/>
          <w:sz w:val="22"/>
        </w:rPr>
      </w:pPr>
      <w:r>
        <w:rPr>
          <w:b/>
          <w:sz w:val="22"/>
          <w:lang w:val="en-US"/>
        </w:rPr>
        <w:t>Abstract</w:t>
      </w:r>
    </w:p>
    <w:p w:rsidR="00521052" w:rsidRPr="00521052" w:rsidRDefault="00521052" w:rsidP="00521052">
      <w:pPr>
        <w:rPr>
          <w:b/>
          <w:sz w:val="22"/>
        </w:rPr>
      </w:pPr>
    </w:p>
    <w:p w:rsidR="00084B3B" w:rsidRPr="004F3148" w:rsidRDefault="00084B3B" w:rsidP="004F3148">
      <w:pPr>
        <w:ind w:firstLine="567"/>
        <w:jc w:val="both"/>
        <w:rPr>
          <w:i/>
          <w:sz w:val="22"/>
          <w:lang w:val="en-US"/>
        </w:rPr>
      </w:pPr>
      <w:r w:rsidRPr="004F3148">
        <w:rPr>
          <w:i/>
          <w:sz w:val="22"/>
          <w:lang w:val="en-US"/>
        </w:rPr>
        <w:t xml:space="preserve">The bank-centric nature of the financial systems in Croatia and Macedonia, inherited from their previous economic arrangement under the socialist Yugoslav paradigm, was severely tested with the emergence of the Global Financial Crisis of 2007-2009. Both countries had experienced a boom in economic activity at the beginning of the new millennium, thus neglecting the potential dangers which the bank-centric structure posed to the entire economic system. This paper attempts to examine the evolution of debt financing, </w:t>
      </w:r>
      <w:proofErr w:type="spellStart"/>
      <w:r w:rsidRPr="004F3148">
        <w:rPr>
          <w:i/>
          <w:sz w:val="22"/>
        </w:rPr>
        <w:t>given</w:t>
      </w:r>
      <w:proofErr w:type="spellEnd"/>
      <w:r w:rsidRPr="004F3148">
        <w:rPr>
          <w:i/>
          <w:sz w:val="22"/>
        </w:rPr>
        <w:t xml:space="preserve"> </w:t>
      </w:r>
      <w:r w:rsidRPr="004F3148">
        <w:rPr>
          <w:i/>
          <w:sz w:val="22"/>
          <w:lang w:val="en-US"/>
        </w:rPr>
        <w:t>that banks are the primary source of financing the nascent entrepreneurial activity in these two countries.</w:t>
      </w:r>
      <w:r w:rsidR="000F2569" w:rsidRPr="004F3148">
        <w:rPr>
          <w:i/>
          <w:sz w:val="22"/>
          <w:lang w:val="en-US"/>
        </w:rPr>
        <w:t xml:space="preserve"> Taking into consideration the ownership structure of the leading banks and the involvement of their European parent companies in the Wall Street turmoil, the authors research their impact on debt financing patterns in Croatian and Macedonian companies, respectively. This is especially in relation to the structural break in 2008, the time at which the Global Financial Cris</w:t>
      </w:r>
      <w:r w:rsidR="00666725" w:rsidRPr="004F3148">
        <w:rPr>
          <w:i/>
          <w:sz w:val="22"/>
          <w:lang w:val="en-US"/>
        </w:rPr>
        <w:t>i</w:t>
      </w:r>
      <w:r w:rsidR="000F2569" w:rsidRPr="004F3148">
        <w:rPr>
          <w:i/>
          <w:sz w:val="22"/>
          <w:lang w:val="en-US"/>
        </w:rPr>
        <w:t xml:space="preserve">s spilled over in this region. </w:t>
      </w:r>
    </w:p>
    <w:p w:rsidR="00666725" w:rsidRPr="004F3148" w:rsidRDefault="000F2569" w:rsidP="004F3148">
      <w:pPr>
        <w:ind w:firstLine="567"/>
        <w:jc w:val="both"/>
        <w:rPr>
          <w:i/>
          <w:sz w:val="22"/>
          <w:lang w:val="en-US"/>
        </w:rPr>
      </w:pPr>
      <w:r w:rsidRPr="004F3148">
        <w:rPr>
          <w:i/>
          <w:sz w:val="22"/>
          <w:lang w:val="en-US"/>
        </w:rPr>
        <w:t xml:space="preserve">The objective of this study is to compare and contrast the lending behavior of banks to companies and their influence on the further development of the national economies on their way to emerging on the world stage. </w:t>
      </w:r>
      <w:r w:rsidR="00EC15F6" w:rsidRPr="004F3148">
        <w:rPr>
          <w:i/>
          <w:sz w:val="22"/>
          <w:lang w:val="en-US"/>
        </w:rPr>
        <w:t>The economic and financial data for e</w:t>
      </w:r>
      <w:r w:rsidRPr="004F3148">
        <w:rPr>
          <w:i/>
          <w:sz w:val="22"/>
          <w:lang w:val="en-US"/>
        </w:rPr>
        <w:t>ach country will be separately analyzed and the respective results mutually compared, while keeping in mind the different levels of socio</w:t>
      </w:r>
      <w:r w:rsidR="00A96618" w:rsidRPr="004F3148">
        <w:rPr>
          <w:i/>
          <w:sz w:val="22"/>
          <w:lang w:val="en-US"/>
        </w:rPr>
        <w:t xml:space="preserve">-economic development and </w:t>
      </w:r>
      <w:r w:rsidR="00EC15F6" w:rsidRPr="004F3148">
        <w:rPr>
          <w:i/>
          <w:sz w:val="22"/>
          <w:lang w:val="en-US"/>
        </w:rPr>
        <w:t xml:space="preserve">the </w:t>
      </w:r>
      <w:r w:rsidR="00A96618" w:rsidRPr="004F3148">
        <w:rPr>
          <w:i/>
          <w:sz w:val="22"/>
          <w:lang w:val="en-US"/>
        </w:rPr>
        <w:t xml:space="preserve">initial </w:t>
      </w:r>
      <w:r w:rsidR="00EC15F6" w:rsidRPr="004F3148">
        <w:rPr>
          <w:i/>
          <w:sz w:val="22"/>
          <w:lang w:val="en-US"/>
        </w:rPr>
        <w:t xml:space="preserve">stage </w:t>
      </w:r>
      <w:r w:rsidR="00A96618" w:rsidRPr="004F3148">
        <w:rPr>
          <w:i/>
          <w:sz w:val="22"/>
          <w:lang w:val="en-US"/>
        </w:rPr>
        <w:t xml:space="preserve">of their </w:t>
      </w:r>
      <w:r w:rsidR="00EC15F6" w:rsidRPr="004F3148">
        <w:rPr>
          <w:i/>
          <w:sz w:val="22"/>
          <w:lang w:val="en-US"/>
        </w:rPr>
        <w:t xml:space="preserve">model </w:t>
      </w:r>
      <w:r w:rsidR="00A96618" w:rsidRPr="004F3148">
        <w:rPr>
          <w:i/>
          <w:sz w:val="22"/>
          <w:lang w:val="en-US"/>
        </w:rPr>
        <w:t xml:space="preserve">of </w:t>
      </w:r>
      <w:r w:rsidR="00EC15F6" w:rsidRPr="004F3148">
        <w:rPr>
          <w:i/>
          <w:sz w:val="22"/>
          <w:lang w:val="en-US"/>
        </w:rPr>
        <w:t xml:space="preserve">credit </w:t>
      </w:r>
      <w:r w:rsidR="00A96618" w:rsidRPr="004F3148">
        <w:rPr>
          <w:i/>
          <w:sz w:val="22"/>
          <w:lang w:val="en-US"/>
        </w:rPr>
        <w:t>financing to the private sector.</w:t>
      </w:r>
      <w:r w:rsidR="003D1ADF" w:rsidRPr="004F3148">
        <w:rPr>
          <w:i/>
          <w:sz w:val="22"/>
          <w:lang w:val="en-US"/>
        </w:rPr>
        <w:t xml:space="preserve"> </w:t>
      </w:r>
      <w:r w:rsidR="00A96618" w:rsidRPr="004F3148">
        <w:rPr>
          <w:i/>
          <w:sz w:val="22"/>
          <w:lang w:val="en-US"/>
        </w:rPr>
        <w:t>The purpose of this work is to contribute to the growing literature examining the specific lending patterns in segmented markets and identify the key areas which need improvement in both countries.</w:t>
      </w:r>
      <w:r w:rsidR="00EC15F6" w:rsidRPr="004F3148">
        <w:rPr>
          <w:i/>
          <w:sz w:val="22"/>
          <w:lang w:val="en-US"/>
        </w:rPr>
        <w:t xml:space="preserve"> The expected results of the conducted research can be found in the empirical methods such as time series analysis used to examine bank financing patterns to the private sector. </w:t>
      </w:r>
      <w:r w:rsidR="00666725" w:rsidRPr="004F3148">
        <w:rPr>
          <w:i/>
          <w:sz w:val="22"/>
          <w:lang w:val="en-US"/>
        </w:rPr>
        <w:t>Considering the importance of the relationship between credit financing of companies and its influence on the comprehensive development of the fragile and unbalanced economies of the two c</w:t>
      </w:r>
      <w:r w:rsidR="00EC15F6" w:rsidRPr="004F3148">
        <w:rPr>
          <w:i/>
          <w:sz w:val="22"/>
          <w:lang w:val="en-US"/>
        </w:rPr>
        <w:t>ountries under observation, the</w:t>
      </w:r>
      <w:r w:rsidR="00666725" w:rsidRPr="004F3148">
        <w:rPr>
          <w:i/>
          <w:sz w:val="22"/>
          <w:lang w:val="en-US"/>
        </w:rPr>
        <w:t xml:space="preserve"> </w:t>
      </w:r>
      <w:r w:rsidR="00EC15F6" w:rsidRPr="004F3148">
        <w:rPr>
          <w:i/>
          <w:sz w:val="22"/>
          <w:lang w:val="en-US"/>
        </w:rPr>
        <w:t xml:space="preserve">conclusions of this </w:t>
      </w:r>
      <w:r w:rsidR="00666725" w:rsidRPr="004F3148">
        <w:rPr>
          <w:i/>
          <w:sz w:val="22"/>
          <w:lang w:val="en-US"/>
        </w:rPr>
        <w:t xml:space="preserve">study </w:t>
      </w:r>
      <w:r w:rsidR="003D1ADF" w:rsidRPr="004F3148">
        <w:rPr>
          <w:i/>
          <w:sz w:val="22"/>
          <w:lang w:val="en-US"/>
        </w:rPr>
        <w:t>should prove the link</w:t>
      </w:r>
      <w:r w:rsidR="00666725" w:rsidRPr="004F3148">
        <w:rPr>
          <w:i/>
          <w:sz w:val="22"/>
          <w:lang w:val="en-US"/>
        </w:rPr>
        <w:t xml:space="preserve"> </w:t>
      </w:r>
      <w:r w:rsidR="003D1ADF" w:rsidRPr="004F3148">
        <w:rPr>
          <w:i/>
          <w:sz w:val="22"/>
          <w:lang w:val="en-US"/>
        </w:rPr>
        <w:t xml:space="preserve">between bank credit activity and the dynamics of company development, and ultimately the development of the national economies. This paper aims to provide an additional assessment of the impact of the Global Financial Crisis on debt financing and is addressed to the broad </w:t>
      </w:r>
      <w:r w:rsidR="00666725" w:rsidRPr="004F3148">
        <w:rPr>
          <w:i/>
          <w:sz w:val="22"/>
          <w:lang w:val="en-US"/>
        </w:rPr>
        <w:t>scientifi</w:t>
      </w:r>
      <w:r w:rsidR="003D1ADF" w:rsidRPr="004F3148">
        <w:rPr>
          <w:i/>
          <w:sz w:val="22"/>
          <w:lang w:val="en-US"/>
        </w:rPr>
        <w:t>c and professional community</w:t>
      </w:r>
      <w:r w:rsidR="00666725" w:rsidRPr="004F3148">
        <w:rPr>
          <w:i/>
          <w:sz w:val="22"/>
          <w:lang w:val="en-US"/>
        </w:rPr>
        <w:t>.</w:t>
      </w:r>
      <w:r w:rsidR="00EC15F6" w:rsidRPr="004F3148">
        <w:rPr>
          <w:i/>
          <w:sz w:val="22"/>
          <w:lang w:val="en-US"/>
        </w:rPr>
        <w:t xml:space="preserve"> </w:t>
      </w:r>
    </w:p>
    <w:p w:rsidR="00EC15F6" w:rsidRPr="00521052" w:rsidRDefault="00EC15F6" w:rsidP="00EC15F6">
      <w:pPr>
        <w:jc w:val="both"/>
        <w:rPr>
          <w:rFonts w:ascii="Arial" w:hAnsi="Arial" w:cs="Arial"/>
          <w:b/>
          <w:sz w:val="22"/>
          <w:lang w:val="en-US"/>
        </w:rPr>
      </w:pPr>
    </w:p>
    <w:p w:rsidR="00A856F7" w:rsidRDefault="00604AA6" w:rsidP="00084B3B">
      <w:pPr>
        <w:jc w:val="both"/>
        <w:rPr>
          <w:i/>
          <w:sz w:val="22"/>
          <w:lang w:val="en-US"/>
        </w:rPr>
      </w:pPr>
      <w:r w:rsidRPr="00521052">
        <w:rPr>
          <w:b/>
          <w:sz w:val="22"/>
          <w:lang w:val="en-US"/>
        </w:rPr>
        <w:t>Keywords</w:t>
      </w:r>
      <w:r w:rsidRPr="004F3148">
        <w:rPr>
          <w:i/>
          <w:sz w:val="22"/>
          <w:lang w:val="en-US"/>
        </w:rPr>
        <w:t>: financial crisis, debt financing, banks, entrepreneurship</w:t>
      </w:r>
    </w:p>
    <w:p w:rsidR="00A856F7" w:rsidRDefault="00A856F7">
      <w:pPr>
        <w:spacing w:after="200" w:line="276" w:lineRule="auto"/>
        <w:rPr>
          <w:i/>
          <w:sz w:val="22"/>
          <w:lang w:val="en-US"/>
        </w:rPr>
      </w:pPr>
    </w:p>
    <w:p w:rsidR="00E906CF" w:rsidRDefault="00E906CF">
      <w:pPr>
        <w:spacing w:after="200" w:line="276" w:lineRule="auto"/>
        <w:rPr>
          <w:sz w:val="22"/>
          <w:lang w:val="en-US"/>
        </w:rPr>
      </w:pPr>
      <w:r>
        <w:rPr>
          <w:sz w:val="22"/>
          <w:lang w:val="en-US"/>
        </w:rPr>
        <w:br w:type="page"/>
      </w:r>
    </w:p>
    <w:p w:rsidR="00AD7343" w:rsidRDefault="00AD7343" w:rsidP="00E906CF">
      <w:pPr>
        <w:jc w:val="center"/>
        <w:rPr>
          <w:b/>
          <w:szCs w:val="24"/>
          <w:lang w:val="en-US"/>
        </w:rPr>
      </w:pPr>
      <w:r>
        <w:rPr>
          <w:b/>
          <w:szCs w:val="24"/>
          <w:lang w:val="en-US"/>
        </w:rPr>
        <w:lastRenderedPageBreak/>
        <w:t>1. Introduction</w:t>
      </w:r>
    </w:p>
    <w:p w:rsidR="00AD7343" w:rsidRDefault="00AD7343" w:rsidP="00AD7343">
      <w:pPr>
        <w:jc w:val="both"/>
        <w:rPr>
          <w:szCs w:val="24"/>
          <w:lang w:val="en-US"/>
        </w:rPr>
      </w:pPr>
    </w:p>
    <w:p w:rsidR="00B96645" w:rsidRDefault="00B96645" w:rsidP="00AD7343">
      <w:pPr>
        <w:jc w:val="both"/>
        <w:rPr>
          <w:szCs w:val="24"/>
          <w:lang w:val="en-US"/>
        </w:rPr>
      </w:pPr>
    </w:p>
    <w:p w:rsidR="00B96645" w:rsidRDefault="00B96645" w:rsidP="005E180B">
      <w:pPr>
        <w:autoSpaceDE w:val="0"/>
        <w:autoSpaceDN w:val="0"/>
        <w:adjustRightInd w:val="0"/>
        <w:ind w:firstLine="567"/>
        <w:jc w:val="both"/>
        <w:rPr>
          <w:szCs w:val="24"/>
          <w:lang w:val="en-US"/>
        </w:rPr>
      </w:pPr>
      <w:r>
        <w:rPr>
          <w:szCs w:val="24"/>
          <w:lang w:val="en-US"/>
        </w:rPr>
        <w:t>This work involves an analysis of the lending behavior of Croatian and Macedonian banks</w:t>
      </w:r>
      <w:r w:rsidR="00891710">
        <w:rPr>
          <w:szCs w:val="24"/>
          <w:lang w:val="en-US"/>
        </w:rPr>
        <w:t>,</w:t>
      </w:r>
      <w:r>
        <w:rPr>
          <w:szCs w:val="24"/>
          <w:lang w:val="en-US"/>
        </w:rPr>
        <w:t xml:space="preserve"> </w:t>
      </w:r>
      <w:r w:rsidR="00891710">
        <w:rPr>
          <w:szCs w:val="24"/>
          <w:lang w:val="en-US"/>
        </w:rPr>
        <w:t xml:space="preserve">before and after </w:t>
      </w:r>
      <w:r w:rsidR="003C7C69">
        <w:rPr>
          <w:szCs w:val="24"/>
          <w:lang w:val="en-US"/>
        </w:rPr>
        <w:t xml:space="preserve">the </w:t>
      </w:r>
      <w:r w:rsidR="00891710">
        <w:rPr>
          <w:szCs w:val="24"/>
          <w:lang w:val="en-US"/>
        </w:rPr>
        <w:t xml:space="preserve">last </w:t>
      </w:r>
      <w:r w:rsidR="003719B3">
        <w:rPr>
          <w:szCs w:val="24"/>
          <w:lang w:val="en-US"/>
        </w:rPr>
        <w:t xml:space="preserve">global </w:t>
      </w:r>
      <w:r w:rsidR="00891710">
        <w:rPr>
          <w:szCs w:val="24"/>
          <w:lang w:val="en-US"/>
        </w:rPr>
        <w:t xml:space="preserve">financial crisis, </w:t>
      </w:r>
      <w:r>
        <w:rPr>
          <w:szCs w:val="24"/>
          <w:lang w:val="en-US"/>
        </w:rPr>
        <w:t>t</w:t>
      </w:r>
      <w:r w:rsidR="004316BC">
        <w:rPr>
          <w:szCs w:val="24"/>
          <w:lang w:val="en-US"/>
        </w:rPr>
        <w:t>o the companies and influence on</w:t>
      </w:r>
      <w:r>
        <w:rPr>
          <w:szCs w:val="24"/>
          <w:lang w:val="en-US"/>
        </w:rPr>
        <w:t xml:space="preserve"> the global economic development</w:t>
      </w:r>
      <w:r w:rsidR="004316BC">
        <w:rPr>
          <w:szCs w:val="24"/>
          <w:lang w:val="en-US"/>
        </w:rPr>
        <w:t xml:space="preserve"> of these two countries</w:t>
      </w:r>
      <w:r>
        <w:rPr>
          <w:szCs w:val="24"/>
          <w:lang w:val="en-US"/>
        </w:rPr>
        <w:t>.</w:t>
      </w:r>
      <w:r w:rsidR="00891710">
        <w:rPr>
          <w:szCs w:val="24"/>
          <w:lang w:val="en-US"/>
        </w:rPr>
        <w:t xml:space="preserve"> The economies of both</w:t>
      </w:r>
      <w:r w:rsidR="004316BC">
        <w:rPr>
          <w:szCs w:val="24"/>
          <w:lang w:val="en-US"/>
        </w:rPr>
        <w:t xml:space="preserve"> </w:t>
      </w:r>
      <w:r w:rsidR="00891710">
        <w:rPr>
          <w:szCs w:val="24"/>
          <w:lang w:val="en-US"/>
        </w:rPr>
        <w:t>Croatia and Macedonia</w:t>
      </w:r>
      <w:r w:rsidR="004316BC">
        <w:rPr>
          <w:szCs w:val="24"/>
          <w:lang w:val="en-US"/>
        </w:rPr>
        <w:t xml:space="preserve"> were severely tested and</w:t>
      </w:r>
      <w:r w:rsidR="00891710">
        <w:rPr>
          <w:szCs w:val="24"/>
          <w:lang w:val="en-US"/>
        </w:rPr>
        <w:t xml:space="preserve"> may</w:t>
      </w:r>
      <w:r w:rsidR="004316BC">
        <w:rPr>
          <w:szCs w:val="24"/>
          <w:lang w:val="en-US"/>
        </w:rPr>
        <w:t xml:space="preserve"> be</w:t>
      </w:r>
      <w:r w:rsidR="00891710">
        <w:rPr>
          <w:szCs w:val="24"/>
          <w:lang w:val="en-US"/>
        </w:rPr>
        <w:t xml:space="preserve"> sa</w:t>
      </w:r>
      <w:r w:rsidR="004316BC">
        <w:rPr>
          <w:szCs w:val="24"/>
          <w:lang w:val="en-US"/>
        </w:rPr>
        <w:t>id</w:t>
      </w:r>
      <w:r w:rsidR="00891710">
        <w:rPr>
          <w:szCs w:val="24"/>
          <w:lang w:val="en-US"/>
        </w:rPr>
        <w:t xml:space="preserve"> that </w:t>
      </w:r>
      <w:r w:rsidR="003719B3">
        <w:rPr>
          <w:szCs w:val="24"/>
          <w:lang w:val="en-US"/>
        </w:rPr>
        <w:t xml:space="preserve">are </w:t>
      </w:r>
      <w:r w:rsidR="00891710">
        <w:rPr>
          <w:szCs w:val="24"/>
          <w:lang w:val="en-US"/>
        </w:rPr>
        <w:t xml:space="preserve">still </w:t>
      </w:r>
      <w:r w:rsidR="002B318C">
        <w:rPr>
          <w:szCs w:val="24"/>
          <w:lang w:val="en-US"/>
        </w:rPr>
        <w:t>being put to a</w:t>
      </w:r>
      <w:r w:rsidR="00891710">
        <w:rPr>
          <w:szCs w:val="24"/>
          <w:lang w:val="en-US"/>
        </w:rPr>
        <w:t xml:space="preserve"> test</w:t>
      </w:r>
      <w:r w:rsidR="002653FB">
        <w:rPr>
          <w:rFonts w:cs="Times New Roman"/>
          <w:szCs w:val="24"/>
          <w:lang w:val="en-US"/>
        </w:rPr>
        <w:t>—</w:t>
      </w:r>
      <w:r w:rsidR="002653FB" w:rsidRPr="002653FB">
        <w:rPr>
          <w:szCs w:val="24"/>
          <w:lang w:val="en-US"/>
        </w:rPr>
        <w:t xml:space="preserve"> </w:t>
      </w:r>
      <w:r w:rsidR="002653FB">
        <w:rPr>
          <w:szCs w:val="24"/>
          <w:lang w:val="en-US"/>
        </w:rPr>
        <w:t xml:space="preserve">especially knowing the fact that both financial systems of the counties are traditionally bank-centric </w:t>
      </w:r>
      <w:r w:rsidR="002653FB" w:rsidRPr="003719B3">
        <w:rPr>
          <w:noProof/>
          <w:szCs w:val="24"/>
        </w:rPr>
        <w:t>(Sohinger &amp; Horvatin, 2006</w:t>
      </w:r>
      <w:r w:rsidR="002653FB">
        <w:rPr>
          <w:noProof/>
          <w:szCs w:val="24"/>
        </w:rPr>
        <w:t>; Dalić, 2002</w:t>
      </w:r>
      <w:r w:rsidR="00F71175">
        <w:rPr>
          <w:noProof/>
          <w:szCs w:val="24"/>
        </w:rPr>
        <w:t>; Bogoev, 2010</w:t>
      </w:r>
      <w:r w:rsidR="002653FB" w:rsidRPr="003719B3">
        <w:rPr>
          <w:noProof/>
          <w:szCs w:val="24"/>
        </w:rPr>
        <w:t>)</w:t>
      </w:r>
      <w:r w:rsidR="00EC3AC5">
        <w:rPr>
          <w:noProof/>
          <w:szCs w:val="24"/>
        </w:rPr>
        <w:t>.</w:t>
      </w:r>
      <w:r w:rsidR="00F71175">
        <w:rPr>
          <w:noProof/>
          <w:szCs w:val="24"/>
        </w:rPr>
        <w:t xml:space="preserve"> </w:t>
      </w:r>
      <w:r w:rsidR="00EC3AC5">
        <w:rPr>
          <w:noProof/>
          <w:szCs w:val="24"/>
        </w:rPr>
        <w:t>The test is still on</w:t>
      </w:r>
      <w:r w:rsidR="003719B3">
        <w:rPr>
          <w:szCs w:val="24"/>
          <w:lang w:val="en-US"/>
        </w:rPr>
        <w:t xml:space="preserve"> because repercussion</w:t>
      </w:r>
      <w:r w:rsidR="002B318C">
        <w:rPr>
          <w:szCs w:val="24"/>
          <w:lang w:val="en-US"/>
        </w:rPr>
        <w:t>s</w:t>
      </w:r>
      <w:r w:rsidR="003719B3">
        <w:rPr>
          <w:szCs w:val="24"/>
          <w:lang w:val="en-US"/>
        </w:rPr>
        <w:t xml:space="preserve"> of the last global financial crisis are still emerging</w:t>
      </w:r>
      <w:r w:rsidR="002B318C">
        <w:rPr>
          <w:szCs w:val="24"/>
          <w:lang w:val="en-US"/>
        </w:rPr>
        <w:t>, but they are</w:t>
      </w:r>
      <w:r w:rsidR="003719B3">
        <w:rPr>
          <w:szCs w:val="24"/>
          <w:lang w:val="en-US"/>
        </w:rPr>
        <w:t xml:space="preserve"> appearing in different forms and in different intensiti</w:t>
      </w:r>
      <w:r w:rsidR="002653FB">
        <w:rPr>
          <w:szCs w:val="24"/>
          <w:lang w:val="en-US"/>
        </w:rPr>
        <w:t>es and regions</w:t>
      </w:r>
      <w:r w:rsidR="0028082A">
        <w:rPr>
          <w:szCs w:val="24"/>
          <w:lang w:val="en-US"/>
        </w:rPr>
        <w:t>.</w:t>
      </w:r>
      <w:r w:rsidR="002653FB">
        <w:rPr>
          <w:szCs w:val="24"/>
          <w:lang w:val="en-US"/>
        </w:rPr>
        <w:t xml:space="preserve"> </w:t>
      </w:r>
      <w:r w:rsidR="00891710">
        <w:rPr>
          <w:szCs w:val="24"/>
          <w:lang w:val="en-US"/>
        </w:rPr>
        <w:t>Given that both count</w:t>
      </w:r>
      <w:r w:rsidR="002B318C">
        <w:rPr>
          <w:szCs w:val="24"/>
          <w:lang w:val="en-US"/>
        </w:rPr>
        <w:t>r</w:t>
      </w:r>
      <w:r w:rsidR="00891710">
        <w:rPr>
          <w:szCs w:val="24"/>
          <w:lang w:val="en-US"/>
        </w:rPr>
        <w:t>ies ha</w:t>
      </w:r>
      <w:r w:rsidR="002B318C">
        <w:rPr>
          <w:szCs w:val="24"/>
          <w:lang w:val="en-US"/>
        </w:rPr>
        <w:t>d</w:t>
      </w:r>
      <w:r w:rsidR="00891710">
        <w:rPr>
          <w:szCs w:val="24"/>
          <w:lang w:val="en-US"/>
        </w:rPr>
        <w:t xml:space="preserve"> </w:t>
      </w:r>
      <w:r w:rsidR="002B318C">
        <w:rPr>
          <w:szCs w:val="24"/>
          <w:lang w:val="en-US"/>
        </w:rPr>
        <w:t xml:space="preserve">seceded </w:t>
      </w:r>
      <w:r w:rsidR="00891710">
        <w:rPr>
          <w:szCs w:val="24"/>
          <w:lang w:val="en-US"/>
        </w:rPr>
        <w:t>and declare</w:t>
      </w:r>
      <w:r w:rsidR="002B318C">
        <w:rPr>
          <w:szCs w:val="24"/>
          <w:lang w:val="en-US"/>
        </w:rPr>
        <w:t>d</w:t>
      </w:r>
      <w:r w:rsidR="00891710">
        <w:rPr>
          <w:szCs w:val="24"/>
          <w:lang w:val="en-US"/>
        </w:rPr>
        <w:t xml:space="preserve"> their independence from Yugoslavia</w:t>
      </w:r>
      <w:r w:rsidR="0078350D">
        <w:rPr>
          <w:szCs w:val="24"/>
          <w:lang w:val="en-US"/>
        </w:rPr>
        <w:t>,</w:t>
      </w:r>
      <w:r w:rsidR="00891710">
        <w:rPr>
          <w:szCs w:val="24"/>
          <w:lang w:val="en-US"/>
        </w:rPr>
        <w:t xml:space="preserve"> </w:t>
      </w:r>
      <w:r w:rsidR="002653FB">
        <w:rPr>
          <w:szCs w:val="24"/>
          <w:lang w:val="en-US"/>
        </w:rPr>
        <w:t>they</w:t>
      </w:r>
      <w:r w:rsidR="0078350D">
        <w:rPr>
          <w:szCs w:val="24"/>
          <w:lang w:val="en-US"/>
        </w:rPr>
        <w:t xml:space="preserve"> had similarly</w:t>
      </w:r>
      <w:r w:rsidR="002653FB">
        <w:rPr>
          <w:szCs w:val="24"/>
          <w:lang w:val="en-US"/>
        </w:rPr>
        <w:t xml:space="preserve"> </w:t>
      </w:r>
      <w:r w:rsidR="00891710">
        <w:rPr>
          <w:szCs w:val="24"/>
          <w:lang w:val="en-US"/>
        </w:rPr>
        <w:t xml:space="preserve">inherited </w:t>
      </w:r>
      <w:r w:rsidR="0078350D">
        <w:rPr>
          <w:szCs w:val="24"/>
          <w:lang w:val="en-US"/>
        </w:rPr>
        <w:t xml:space="preserve">related </w:t>
      </w:r>
      <w:r w:rsidR="00891710">
        <w:rPr>
          <w:szCs w:val="24"/>
          <w:lang w:val="en-US"/>
        </w:rPr>
        <w:t xml:space="preserve">economic and </w:t>
      </w:r>
      <w:r w:rsidR="003719B3">
        <w:rPr>
          <w:szCs w:val="24"/>
          <w:lang w:val="en-US"/>
        </w:rPr>
        <w:t xml:space="preserve">financial </w:t>
      </w:r>
      <w:r w:rsidR="00891710">
        <w:rPr>
          <w:szCs w:val="24"/>
          <w:lang w:val="en-US"/>
        </w:rPr>
        <w:t>problems.</w:t>
      </w:r>
      <w:r w:rsidR="0028082A">
        <w:rPr>
          <w:szCs w:val="24"/>
          <w:lang w:val="en-US"/>
        </w:rPr>
        <w:t xml:space="preserve"> </w:t>
      </w:r>
      <w:r w:rsidR="0078350D">
        <w:rPr>
          <w:szCs w:val="24"/>
          <w:lang w:val="en-US"/>
        </w:rPr>
        <w:t xml:space="preserve">During the </w:t>
      </w:r>
      <w:r w:rsidR="0028082A">
        <w:rPr>
          <w:szCs w:val="24"/>
          <w:lang w:val="en-US"/>
        </w:rPr>
        <w:t xml:space="preserve">period of </w:t>
      </w:r>
      <w:r w:rsidR="0078350D">
        <w:rPr>
          <w:szCs w:val="24"/>
          <w:lang w:val="en-US"/>
        </w:rPr>
        <w:t xml:space="preserve">the </w:t>
      </w:r>
      <w:r w:rsidR="0028082A">
        <w:rPr>
          <w:szCs w:val="24"/>
          <w:lang w:val="en-US"/>
        </w:rPr>
        <w:t xml:space="preserve">last two decades these two financial and capital systems have developed </w:t>
      </w:r>
      <w:r w:rsidR="005742B2">
        <w:rPr>
          <w:szCs w:val="24"/>
          <w:lang w:val="en-US"/>
        </w:rPr>
        <w:t xml:space="preserve">in </w:t>
      </w:r>
      <w:r w:rsidR="0028082A">
        <w:rPr>
          <w:szCs w:val="24"/>
          <w:lang w:val="en-US"/>
        </w:rPr>
        <w:t>parallel</w:t>
      </w:r>
      <w:r w:rsidR="002653FB">
        <w:rPr>
          <w:szCs w:val="24"/>
          <w:lang w:val="en-US"/>
        </w:rPr>
        <w:t xml:space="preserve">, with </w:t>
      </w:r>
      <w:r w:rsidR="005742B2">
        <w:rPr>
          <w:szCs w:val="24"/>
          <w:lang w:val="en-US"/>
        </w:rPr>
        <w:t xml:space="preserve">the </w:t>
      </w:r>
      <w:r w:rsidR="002653FB">
        <w:rPr>
          <w:szCs w:val="24"/>
          <w:lang w:val="en-US"/>
        </w:rPr>
        <w:t xml:space="preserve">goal </w:t>
      </w:r>
      <w:r w:rsidR="005742B2">
        <w:rPr>
          <w:szCs w:val="24"/>
          <w:lang w:val="en-US"/>
        </w:rPr>
        <w:t xml:space="preserve">of </w:t>
      </w:r>
      <w:r w:rsidR="002653FB">
        <w:rPr>
          <w:szCs w:val="24"/>
          <w:lang w:val="en-US"/>
        </w:rPr>
        <w:t>reach</w:t>
      </w:r>
      <w:r w:rsidR="005742B2">
        <w:rPr>
          <w:szCs w:val="24"/>
          <w:lang w:val="en-US"/>
        </w:rPr>
        <w:t>ing the</w:t>
      </w:r>
      <w:r w:rsidR="002653FB">
        <w:rPr>
          <w:szCs w:val="24"/>
          <w:lang w:val="en-US"/>
        </w:rPr>
        <w:t xml:space="preserve"> </w:t>
      </w:r>
      <w:r w:rsidR="002653FB" w:rsidRPr="002653FB">
        <w:rPr>
          <w:szCs w:val="24"/>
          <w:lang w:val="en-US"/>
        </w:rPr>
        <w:t>desired development</w:t>
      </w:r>
      <w:r w:rsidR="005742B2">
        <w:rPr>
          <w:szCs w:val="24"/>
          <w:lang w:val="en-US"/>
        </w:rPr>
        <w:t xml:space="preserve"> of the </w:t>
      </w:r>
      <w:r w:rsidR="002653FB">
        <w:rPr>
          <w:szCs w:val="24"/>
          <w:lang w:val="en-US"/>
        </w:rPr>
        <w:t xml:space="preserve">idolized </w:t>
      </w:r>
      <w:r w:rsidR="002653FB" w:rsidRPr="002653FB">
        <w:rPr>
          <w:szCs w:val="24"/>
          <w:lang w:val="en-US"/>
        </w:rPr>
        <w:t>western markets</w:t>
      </w:r>
      <w:r w:rsidR="002653FB">
        <w:rPr>
          <w:szCs w:val="24"/>
          <w:lang w:val="en-US"/>
        </w:rPr>
        <w:t>,</w:t>
      </w:r>
      <w:r w:rsidR="0028082A">
        <w:rPr>
          <w:szCs w:val="24"/>
          <w:lang w:val="en-US"/>
        </w:rPr>
        <w:t xml:space="preserve"> but with </w:t>
      </w:r>
      <w:r w:rsidR="005742B2">
        <w:rPr>
          <w:szCs w:val="24"/>
          <w:lang w:val="en-US"/>
        </w:rPr>
        <w:t xml:space="preserve">a </w:t>
      </w:r>
      <w:r w:rsidR="0028082A">
        <w:rPr>
          <w:szCs w:val="24"/>
          <w:lang w:val="en-US"/>
        </w:rPr>
        <w:t>different intensity</w:t>
      </w:r>
      <w:r w:rsidR="005742B2">
        <w:rPr>
          <w:szCs w:val="24"/>
          <w:lang w:val="en-US"/>
        </w:rPr>
        <w:t xml:space="preserve">, from which </w:t>
      </w:r>
      <w:r w:rsidR="0028082A">
        <w:rPr>
          <w:szCs w:val="24"/>
          <w:lang w:val="en-US"/>
        </w:rPr>
        <w:t>different results</w:t>
      </w:r>
      <w:r w:rsidR="005742B2">
        <w:rPr>
          <w:szCs w:val="24"/>
          <w:lang w:val="en-US"/>
        </w:rPr>
        <w:t xml:space="preserve"> are emerging</w:t>
      </w:r>
      <w:r w:rsidR="0028082A">
        <w:rPr>
          <w:szCs w:val="24"/>
          <w:lang w:val="en-US"/>
        </w:rPr>
        <w:t xml:space="preserve">. </w:t>
      </w:r>
      <w:r w:rsidR="005742B2">
        <w:rPr>
          <w:szCs w:val="24"/>
          <w:lang w:val="en-US"/>
        </w:rPr>
        <w:t>Yet</w:t>
      </w:r>
      <w:r w:rsidR="0028082A">
        <w:rPr>
          <w:szCs w:val="24"/>
          <w:lang w:val="en-US"/>
        </w:rPr>
        <w:t xml:space="preserve">, despite </w:t>
      </w:r>
      <w:r w:rsidR="005742B2">
        <w:rPr>
          <w:szCs w:val="24"/>
          <w:lang w:val="en-US"/>
        </w:rPr>
        <w:t xml:space="preserve">the differing </w:t>
      </w:r>
      <w:r w:rsidR="0028082A">
        <w:rPr>
          <w:szCs w:val="24"/>
          <w:lang w:val="en-US"/>
        </w:rPr>
        <w:t xml:space="preserve">development </w:t>
      </w:r>
      <w:r w:rsidR="005742B2">
        <w:rPr>
          <w:szCs w:val="24"/>
          <w:lang w:val="en-US"/>
        </w:rPr>
        <w:t>dynamics, according</w:t>
      </w:r>
      <w:r w:rsidR="0028082A">
        <w:rPr>
          <w:szCs w:val="24"/>
          <w:lang w:val="en-US"/>
        </w:rPr>
        <w:t xml:space="preserve"> to </w:t>
      </w:r>
      <w:proofErr w:type="spellStart"/>
      <w:r w:rsidR="0028082A">
        <w:rPr>
          <w:szCs w:val="24"/>
          <w:lang w:val="en-US"/>
        </w:rPr>
        <w:t>Dalic</w:t>
      </w:r>
      <w:proofErr w:type="spellEnd"/>
      <w:r w:rsidR="0028082A">
        <w:rPr>
          <w:szCs w:val="24"/>
          <w:lang w:val="en-US"/>
        </w:rPr>
        <w:t xml:space="preserve"> (2002); </w:t>
      </w:r>
      <w:proofErr w:type="spellStart"/>
      <w:r w:rsidR="0028082A">
        <w:rPr>
          <w:szCs w:val="24"/>
          <w:lang w:val="en-US"/>
        </w:rPr>
        <w:t>Sohinger</w:t>
      </w:r>
      <w:proofErr w:type="spellEnd"/>
      <w:r w:rsidR="0028082A">
        <w:rPr>
          <w:szCs w:val="24"/>
          <w:lang w:val="en-US"/>
        </w:rPr>
        <w:t xml:space="preserve"> and </w:t>
      </w:r>
      <w:proofErr w:type="spellStart"/>
      <w:r w:rsidR="0028082A">
        <w:rPr>
          <w:szCs w:val="24"/>
          <w:lang w:val="en-US"/>
        </w:rPr>
        <w:t>Horvatin</w:t>
      </w:r>
      <w:proofErr w:type="spellEnd"/>
      <w:r w:rsidR="0028082A">
        <w:rPr>
          <w:szCs w:val="24"/>
          <w:lang w:val="en-US"/>
        </w:rPr>
        <w:t xml:space="preserve"> (2006) </w:t>
      </w:r>
      <w:r w:rsidR="0028082A" w:rsidRPr="0028082A">
        <w:rPr>
          <w:szCs w:val="24"/>
          <w:lang w:val="en-US"/>
        </w:rPr>
        <w:t>t</w:t>
      </w:r>
      <w:r w:rsidR="0028082A" w:rsidRPr="0028082A">
        <w:rPr>
          <w:rFonts w:ascii="Times-New-Roman" w:hAnsi="Times-New-Roman" w:cs="Times-New-Roman"/>
          <w:szCs w:val="24"/>
          <w:lang w:val="en-US"/>
        </w:rPr>
        <w:t xml:space="preserve">he financial systems in the European transition economies </w:t>
      </w:r>
      <w:r w:rsidR="0028082A">
        <w:rPr>
          <w:rFonts w:ascii="Times-New-Roman" w:hAnsi="Times-New-Roman" w:cs="Times-New-Roman"/>
          <w:szCs w:val="24"/>
          <w:lang w:val="en-US"/>
        </w:rPr>
        <w:t xml:space="preserve">are still </w:t>
      </w:r>
      <w:r w:rsidR="0028082A" w:rsidRPr="0028082A">
        <w:rPr>
          <w:rFonts w:ascii="Times-New-Roman" w:hAnsi="Times-New-Roman" w:cs="Times-New-Roman"/>
          <w:szCs w:val="24"/>
          <w:lang w:val="en-US"/>
        </w:rPr>
        <w:t>bank-centric.</w:t>
      </w:r>
      <w:r w:rsidR="005E180B">
        <w:rPr>
          <w:rFonts w:ascii="Times-New-Roman" w:hAnsi="Times-New-Roman" w:cs="Times-New-Roman"/>
          <w:szCs w:val="24"/>
          <w:lang w:val="en-US"/>
        </w:rPr>
        <w:t xml:space="preserve"> </w:t>
      </w:r>
      <w:r w:rsidR="005742B2">
        <w:rPr>
          <w:rFonts w:ascii="Times-New-Roman" w:hAnsi="Times-New-Roman" w:cs="Times-New-Roman"/>
          <w:szCs w:val="24"/>
          <w:lang w:val="en-US"/>
        </w:rPr>
        <w:t>E</w:t>
      </w:r>
      <w:r>
        <w:rPr>
          <w:szCs w:val="24"/>
          <w:lang w:val="en-US"/>
        </w:rPr>
        <w:t xml:space="preserve">ach </w:t>
      </w:r>
      <w:r w:rsidR="005E180B">
        <w:rPr>
          <w:szCs w:val="24"/>
          <w:lang w:val="en-US"/>
        </w:rPr>
        <w:t>economy</w:t>
      </w:r>
      <w:r w:rsidR="005742B2">
        <w:rPr>
          <w:szCs w:val="24"/>
          <w:lang w:val="en-US"/>
        </w:rPr>
        <w:t>’s</w:t>
      </w:r>
      <w:r>
        <w:rPr>
          <w:szCs w:val="24"/>
          <w:lang w:val="en-US"/>
        </w:rPr>
        <w:t xml:space="preserve"> development d</w:t>
      </w:r>
      <w:r w:rsidR="005742B2">
        <w:rPr>
          <w:szCs w:val="24"/>
          <w:lang w:val="en-US"/>
        </w:rPr>
        <w:t xml:space="preserve">epends on the investments cycle and their intensity, </w:t>
      </w:r>
      <w:r w:rsidR="005E180B">
        <w:rPr>
          <w:szCs w:val="24"/>
          <w:lang w:val="en-US"/>
        </w:rPr>
        <w:t xml:space="preserve">in accordance with </w:t>
      </w:r>
      <w:r w:rsidR="005742B2">
        <w:rPr>
          <w:szCs w:val="24"/>
          <w:lang w:val="en-US"/>
        </w:rPr>
        <w:t xml:space="preserve">which it can be </w:t>
      </w:r>
      <w:r w:rsidR="005E180B">
        <w:rPr>
          <w:szCs w:val="24"/>
          <w:lang w:val="en-US"/>
        </w:rPr>
        <w:t>conclude</w:t>
      </w:r>
      <w:r w:rsidR="005742B2">
        <w:rPr>
          <w:szCs w:val="24"/>
          <w:lang w:val="en-US"/>
        </w:rPr>
        <w:t>d</w:t>
      </w:r>
      <w:r w:rsidR="005E180B">
        <w:rPr>
          <w:szCs w:val="24"/>
          <w:lang w:val="en-US"/>
        </w:rPr>
        <w:t xml:space="preserve"> that </w:t>
      </w:r>
      <w:r w:rsidR="008E2FCE">
        <w:rPr>
          <w:szCs w:val="24"/>
          <w:lang w:val="en-US"/>
        </w:rPr>
        <w:t xml:space="preserve">the </w:t>
      </w:r>
      <w:r w:rsidR="005E180B">
        <w:rPr>
          <w:szCs w:val="24"/>
          <w:lang w:val="en-US"/>
        </w:rPr>
        <w:t xml:space="preserve">economic development of Croatia and Macedonia </w:t>
      </w:r>
      <w:r w:rsidR="002653FB">
        <w:rPr>
          <w:szCs w:val="24"/>
          <w:lang w:val="en-US"/>
        </w:rPr>
        <w:t>mainly</w:t>
      </w:r>
      <w:r w:rsidR="005E180B">
        <w:rPr>
          <w:szCs w:val="24"/>
          <w:lang w:val="en-US"/>
        </w:rPr>
        <w:t xml:space="preserve"> depends on the bank</w:t>
      </w:r>
      <w:r w:rsidR="008E2FCE">
        <w:rPr>
          <w:szCs w:val="24"/>
          <w:lang w:val="en-US"/>
        </w:rPr>
        <w:t>s’</w:t>
      </w:r>
      <w:r w:rsidR="005E180B">
        <w:rPr>
          <w:szCs w:val="24"/>
          <w:lang w:val="en-US"/>
        </w:rPr>
        <w:t xml:space="preserve"> credit activity.   </w:t>
      </w:r>
      <w:r>
        <w:rPr>
          <w:szCs w:val="24"/>
          <w:lang w:val="en-US"/>
        </w:rPr>
        <w:t xml:space="preserve"> </w:t>
      </w:r>
    </w:p>
    <w:p w:rsidR="00EA4777" w:rsidRDefault="005E180B" w:rsidP="003719B3">
      <w:pPr>
        <w:jc w:val="both"/>
        <w:rPr>
          <w:szCs w:val="24"/>
          <w:lang w:val="en-US"/>
        </w:rPr>
      </w:pPr>
      <w:r>
        <w:rPr>
          <w:szCs w:val="24"/>
          <w:lang w:val="en-US"/>
        </w:rPr>
        <w:tab/>
        <w:t>The main purpose of this work is to analyze</w:t>
      </w:r>
      <w:r w:rsidR="00347AF5">
        <w:rPr>
          <w:szCs w:val="24"/>
          <w:lang w:val="en-US"/>
        </w:rPr>
        <w:t xml:space="preserve"> the</w:t>
      </w:r>
      <w:r>
        <w:rPr>
          <w:szCs w:val="24"/>
          <w:lang w:val="en-US"/>
        </w:rPr>
        <w:t xml:space="preserve"> role and </w:t>
      </w:r>
      <w:r w:rsidR="00347AF5">
        <w:rPr>
          <w:szCs w:val="24"/>
          <w:lang w:val="en-US"/>
        </w:rPr>
        <w:t xml:space="preserve">the </w:t>
      </w:r>
      <w:r>
        <w:rPr>
          <w:szCs w:val="24"/>
          <w:lang w:val="en-US"/>
        </w:rPr>
        <w:t>impact of the last financial crisis on the bank credit activity</w:t>
      </w:r>
      <w:r w:rsidR="00EA4777">
        <w:rPr>
          <w:szCs w:val="24"/>
          <w:lang w:val="en-US"/>
        </w:rPr>
        <w:t xml:space="preserve"> in Croatia and Macedonia</w:t>
      </w:r>
      <w:r>
        <w:rPr>
          <w:szCs w:val="24"/>
          <w:lang w:val="en-US"/>
        </w:rPr>
        <w:t xml:space="preserve"> </w:t>
      </w:r>
      <w:r w:rsidR="00347AF5">
        <w:rPr>
          <w:szCs w:val="24"/>
          <w:lang w:val="en-US"/>
        </w:rPr>
        <w:t>and its influence on the economic</w:t>
      </w:r>
      <w:r>
        <w:rPr>
          <w:szCs w:val="24"/>
          <w:lang w:val="en-US"/>
        </w:rPr>
        <w:t xml:space="preserve"> development</w:t>
      </w:r>
      <w:r w:rsidR="00EA4777">
        <w:rPr>
          <w:szCs w:val="24"/>
          <w:lang w:val="en-US"/>
        </w:rPr>
        <w:t xml:space="preserve"> of these two countries. </w:t>
      </w:r>
      <w:r w:rsidR="00EC3AC5">
        <w:rPr>
          <w:szCs w:val="24"/>
          <w:lang w:val="en-US"/>
        </w:rPr>
        <w:t xml:space="preserve"> </w:t>
      </w:r>
      <w:r w:rsidR="00975C91">
        <w:rPr>
          <w:szCs w:val="24"/>
          <w:lang w:val="en-US"/>
        </w:rPr>
        <w:t>This w</w:t>
      </w:r>
      <w:r w:rsidR="00EC3AC5">
        <w:rPr>
          <w:szCs w:val="24"/>
          <w:lang w:val="en-US"/>
        </w:rPr>
        <w:t xml:space="preserve">ork </w:t>
      </w:r>
      <w:r w:rsidR="00AA4F53">
        <w:rPr>
          <w:szCs w:val="24"/>
          <w:lang w:val="en-US"/>
        </w:rPr>
        <w:t>contains several analyses of the financial and economic data for both surveyed counties for the period of 2003</w:t>
      </w:r>
      <w:r w:rsidR="00AA4F53">
        <w:rPr>
          <w:rFonts w:cs="Times New Roman"/>
          <w:szCs w:val="24"/>
          <w:lang w:val="en-US"/>
        </w:rPr>
        <w:t>–</w:t>
      </w:r>
      <w:r w:rsidR="00AA4F53">
        <w:rPr>
          <w:szCs w:val="24"/>
          <w:lang w:val="en-US"/>
        </w:rPr>
        <w:t xml:space="preserve">2011. </w:t>
      </w:r>
      <w:r w:rsidR="00EA4777">
        <w:rPr>
          <w:szCs w:val="24"/>
          <w:lang w:val="en-US"/>
        </w:rPr>
        <w:t>Considering that significance of the bank capital activ</w:t>
      </w:r>
      <w:r w:rsidR="00975C91">
        <w:rPr>
          <w:szCs w:val="24"/>
          <w:lang w:val="en-US"/>
        </w:rPr>
        <w:t>ity and their lending behavior</w:t>
      </w:r>
      <w:r w:rsidR="00EA4777">
        <w:rPr>
          <w:szCs w:val="24"/>
          <w:lang w:val="en-US"/>
        </w:rPr>
        <w:t xml:space="preserve"> in these two countries</w:t>
      </w:r>
      <w:r w:rsidR="00C21607">
        <w:rPr>
          <w:szCs w:val="24"/>
          <w:lang w:val="en-US"/>
        </w:rPr>
        <w:t>,</w:t>
      </w:r>
      <w:r w:rsidR="00EA4777">
        <w:rPr>
          <w:szCs w:val="24"/>
          <w:lang w:val="en-US"/>
        </w:rPr>
        <w:t xml:space="preserve"> this study should </w:t>
      </w:r>
      <w:r w:rsidR="009547C9">
        <w:rPr>
          <w:szCs w:val="24"/>
          <w:lang w:val="en-US"/>
        </w:rPr>
        <w:t xml:space="preserve">contribute to a better understanding of the banks as </w:t>
      </w:r>
      <w:r w:rsidR="008806EB">
        <w:rPr>
          <w:szCs w:val="24"/>
          <w:lang w:val="en-US"/>
        </w:rPr>
        <w:t xml:space="preserve">the driving force and the </w:t>
      </w:r>
      <w:r w:rsidR="009547C9">
        <w:rPr>
          <w:szCs w:val="24"/>
          <w:lang w:val="en-US"/>
        </w:rPr>
        <w:t>main source the financial assets</w:t>
      </w:r>
      <w:r w:rsidR="008806EB">
        <w:rPr>
          <w:szCs w:val="24"/>
          <w:lang w:val="en-US"/>
        </w:rPr>
        <w:t xml:space="preserve">. In addition, it </w:t>
      </w:r>
      <w:r w:rsidR="009547C9">
        <w:rPr>
          <w:szCs w:val="24"/>
          <w:lang w:val="en-US"/>
        </w:rPr>
        <w:t>should give a</w:t>
      </w:r>
      <w:r w:rsidR="00EC3AC5">
        <w:rPr>
          <w:szCs w:val="24"/>
          <w:lang w:val="en-US"/>
        </w:rPr>
        <w:t>n</w:t>
      </w:r>
      <w:r w:rsidR="009547C9">
        <w:rPr>
          <w:szCs w:val="24"/>
          <w:lang w:val="en-US"/>
        </w:rPr>
        <w:t xml:space="preserve"> </w:t>
      </w:r>
      <w:r w:rsidR="00EA4777">
        <w:rPr>
          <w:szCs w:val="24"/>
          <w:lang w:val="en-US"/>
        </w:rPr>
        <w:t xml:space="preserve">original </w:t>
      </w:r>
      <w:r w:rsidR="008806EB">
        <w:rPr>
          <w:szCs w:val="24"/>
          <w:lang w:val="en-US"/>
        </w:rPr>
        <w:t xml:space="preserve">and novel </w:t>
      </w:r>
      <w:r w:rsidR="00EA4777">
        <w:rPr>
          <w:szCs w:val="24"/>
          <w:lang w:val="en-US"/>
        </w:rPr>
        <w:t xml:space="preserve">acknowledgement </w:t>
      </w:r>
      <w:r w:rsidR="008806EB">
        <w:rPr>
          <w:szCs w:val="24"/>
          <w:lang w:val="en-US"/>
        </w:rPr>
        <w:t xml:space="preserve">of </w:t>
      </w:r>
      <w:r w:rsidR="002653FB">
        <w:rPr>
          <w:szCs w:val="24"/>
          <w:lang w:val="en-US"/>
        </w:rPr>
        <w:t xml:space="preserve">the </w:t>
      </w:r>
      <w:r w:rsidR="008806EB">
        <w:rPr>
          <w:szCs w:val="24"/>
          <w:lang w:val="en-US"/>
        </w:rPr>
        <w:t xml:space="preserve">important role the </w:t>
      </w:r>
      <w:r w:rsidR="002653FB">
        <w:rPr>
          <w:szCs w:val="24"/>
          <w:lang w:val="en-US"/>
        </w:rPr>
        <w:t>banks</w:t>
      </w:r>
      <w:r w:rsidR="008806EB">
        <w:rPr>
          <w:szCs w:val="24"/>
          <w:lang w:val="en-US"/>
        </w:rPr>
        <w:t xml:space="preserve"> play,</w:t>
      </w:r>
      <w:r w:rsidR="009547C9">
        <w:rPr>
          <w:szCs w:val="24"/>
          <w:lang w:val="en-US"/>
        </w:rPr>
        <w:t xml:space="preserve"> i.e. </w:t>
      </w:r>
      <w:r w:rsidR="002653FB">
        <w:rPr>
          <w:szCs w:val="24"/>
          <w:lang w:val="en-US"/>
        </w:rPr>
        <w:t xml:space="preserve">what influence they </w:t>
      </w:r>
      <w:r w:rsidR="00EA4777">
        <w:rPr>
          <w:szCs w:val="24"/>
          <w:lang w:val="en-US"/>
        </w:rPr>
        <w:t xml:space="preserve">have on </w:t>
      </w:r>
      <w:r w:rsidR="008806EB">
        <w:rPr>
          <w:szCs w:val="24"/>
          <w:lang w:val="en-US"/>
        </w:rPr>
        <w:t>the economic</w:t>
      </w:r>
      <w:r w:rsidR="00EA4777">
        <w:rPr>
          <w:szCs w:val="24"/>
          <w:lang w:val="en-US"/>
        </w:rPr>
        <w:t xml:space="preserve"> development</w:t>
      </w:r>
      <w:r w:rsidR="008806EB">
        <w:rPr>
          <w:szCs w:val="24"/>
          <w:lang w:val="en-US"/>
        </w:rPr>
        <w:t>. Finally, it</w:t>
      </w:r>
      <w:r w:rsidR="00EA4777">
        <w:rPr>
          <w:szCs w:val="24"/>
          <w:lang w:val="en-US"/>
        </w:rPr>
        <w:t xml:space="preserve"> should provide some new ideas and </w:t>
      </w:r>
      <w:r w:rsidR="008E1C7F">
        <w:rPr>
          <w:szCs w:val="24"/>
          <w:lang w:val="en-US"/>
        </w:rPr>
        <w:t xml:space="preserve">a basis </w:t>
      </w:r>
      <w:r w:rsidR="00EA4777">
        <w:rPr>
          <w:szCs w:val="24"/>
          <w:lang w:val="en-US"/>
        </w:rPr>
        <w:t>for future economic development.</w:t>
      </w:r>
    </w:p>
    <w:p w:rsidR="00FC4FA8" w:rsidRDefault="009627DD" w:rsidP="00FC4FA8">
      <w:pPr>
        <w:ind w:firstLine="567"/>
        <w:jc w:val="both"/>
        <w:rPr>
          <w:szCs w:val="24"/>
          <w:lang w:val="en-US"/>
        </w:rPr>
      </w:pPr>
      <w:r>
        <w:rPr>
          <w:szCs w:val="24"/>
          <w:lang w:val="en-US"/>
        </w:rPr>
        <w:t>Both count</w:t>
      </w:r>
      <w:r w:rsidR="00A1414B">
        <w:rPr>
          <w:szCs w:val="24"/>
          <w:lang w:val="en-US"/>
        </w:rPr>
        <w:t>r</w:t>
      </w:r>
      <w:r>
        <w:rPr>
          <w:szCs w:val="24"/>
          <w:lang w:val="en-US"/>
        </w:rPr>
        <w:t xml:space="preserve">ies have carried out, </w:t>
      </w:r>
      <w:r w:rsidR="00A1414B">
        <w:rPr>
          <w:szCs w:val="24"/>
          <w:lang w:val="en-US"/>
        </w:rPr>
        <w:t>during the two-</w:t>
      </w:r>
      <w:r>
        <w:rPr>
          <w:szCs w:val="24"/>
          <w:lang w:val="en-US"/>
        </w:rPr>
        <w:t xml:space="preserve">decade period of transition, privatization of the banking system and as an outcome </w:t>
      </w:r>
      <w:r w:rsidR="00602F6F">
        <w:rPr>
          <w:szCs w:val="24"/>
          <w:lang w:val="en-US"/>
        </w:rPr>
        <w:t xml:space="preserve">of the fact that </w:t>
      </w:r>
      <w:r>
        <w:rPr>
          <w:szCs w:val="24"/>
          <w:lang w:val="en-US"/>
        </w:rPr>
        <w:t>most of the foreign banks have majority share in total assets of all banks. The banking system in both countries is in the hands of foreign bank groups and according to that</w:t>
      </w:r>
      <w:r w:rsidR="0078210D">
        <w:rPr>
          <w:szCs w:val="24"/>
          <w:lang w:val="en-US"/>
        </w:rPr>
        <w:t>,</w:t>
      </w:r>
      <w:r>
        <w:rPr>
          <w:szCs w:val="24"/>
          <w:lang w:val="en-US"/>
        </w:rPr>
        <w:t xml:space="preserve"> </w:t>
      </w:r>
      <w:r w:rsidR="0056209D">
        <w:rPr>
          <w:szCs w:val="24"/>
          <w:lang w:val="en-US"/>
        </w:rPr>
        <w:t xml:space="preserve">the new investment </w:t>
      </w:r>
      <w:r w:rsidR="002653FB">
        <w:rPr>
          <w:szCs w:val="24"/>
          <w:lang w:val="en-US"/>
        </w:rPr>
        <w:t>cycle depends on their financial business politic</w:t>
      </w:r>
      <w:r w:rsidR="0078210D">
        <w:rPr>
          <w:szCs w:val="24"/>
          <w:lang w:val="en-US"/>
        </w:rPr>
        <w:t>s</w:t>
      </w:r>
      <w:r w:rsidR="002653FB">
        <w:rPr>
          <w:szCs w:val="24"/>
          <w:lang w:val="en-US"/>
        </w:rPr>
        <w:t xml:space="preserve">. </w:t>
      </w:r>
      <w:r w:rsidR="008E57E0">
        <w:rPr>
          <w:szCs w:val="24"/>
          <w:lang w:val="en-US"/>
        </w:rPr>
        <w:t xml:space="preserve">Also, </w:t>
      </w:r>
      <w:r w:rsidR="0078210D">
        <w:rPr>
          <w:szCs w:val="24"/>
          <w:lang w:val="en-US"/>
        </w:rPr>
        <w:t xml:space="preserve">the </w:t>
      </w:r>
      <w:r w:rsidR="008E57E0">
        <w:rPr>
          <w:szCs w:val="24"/>
          <w:lang w:val="en-US"/>
        </w:rPr>
        <w:t xml:space="preserve">aim of this paper is to </w:t>
      </w:r>
      <w:r w:rsidR="00FC4FA8">
        <w:rPr>
          <w:szCs w:val="24"/>
          <w:lang w:val="en-US"/>
        </w:rPr>
        <w:t xml:space="preserve">give contributions for solving </w:t>
      </w:r>
      <w:r w:rsidR="008E57E0">
        <w:rPr>
          <w:szCs w:val="24"/>
          <w:lang w:val="en-US"/>
        </w:rPr>
        <w:t xml:space="preserve">the dilemma </w:t>
      </w:r>
      <w:r w:rsidR="00FC4FA8">
        <w:rPr>
          <w:szCs w:val="24"/>
          <w:lang w:val="en-US"/>
        </w:rPr>
        <w:t xml:space="preserve">that </w:t>
      </w:r>
      <w:r w:rsidR="00FC4FA8">
        <w:rPr>
          <w:noProof/>
          <w:szCs w:val="24"/>
        </w:rPr>
        <w:t>Yilmaz and Koyuncu (</w:t>
      </w:r>
      <w:r w:rsidR="00FC4FA8" w:rsidRPr="00FC4FA8">
        <w:rPr>
          <w:noProof/>
          <w:szCs w:val="24"/>
        </w:rPr>
        <w:t>2010)</w:t>
      </w:r>
      <w:r w:rsidR="00FC4FA8">
        <w:rPr>
          <w:szCs w:val="24"/>
          <w:lang w:val="en-US"/>
        </w:rPr>
        <w:t xml:space="preserve"> had defined</w:t>
      </w:r>
      <w:r w:rsidR="0078210D">
        <w:rPr>
          <w:szCs w:val="24"/>
          <w:lang w:val="en-US"/>
        </w:rPr>
        <w:t xml:space="preserve">, concerning the </w:t>
      </w:r>
      <w:r w:rsidR="008E57E0">
        <w:rPr>
          <w:szCs w:val="24"/>
          <w:lang w:val="en-US"/>
        </w:rPr>
        <w:t>relationship between foreign bank participation and banking crises, i.e. do foreign banks contribute to financial stability by stabilizing credit supply or bring financial instability by importing financial shocks on the domestic markets</w:t>
      </w:r>
      <w:r w:rsidR="0078210D">
        <w:rPr>
          <w:szCs w:val="24"/>
          <w:lang w:val="en-US"/>
        </w:rPr>
        <w:t>?</w:t>
      </w:r>
      <w:r w:rsidR="008E57E0">
        <w:rPr>
          <w:szCs w:val="24"/>
          <w:lang w:val="en-US"/>
        </w:rPr>
        <w:t xml:space="preserve">  </w:t>
      </w:r>
    </w:p>
    <w:p w:rsidR="00B96645" w:rsidRPr="00B96645" w:rsidRDefault="009547C9" w:rsidP="009547C9">
      <w:pPr>
        <w:ind w:firstLine="567"/>
        <w:jc w:val="both"/>
        <w:rPr>
          <w:rFonts w:ascii="Century Schoolbook" w:eastAsia="Calibri" w:hAnsi="Century Schoolbook" w:cs="Times New Roman"/>
          <w:sz w:val="20"/>
          <w:szCs w:val="20"/>
          <w:lang w:val="en-US"/>
        </w:rPr>
      </w:pPr>
      <w:r>
        <w:rPr>
          <w:szCs w:val="24"/>
          <w:lang w:val="en-US"/>
        </w:rPr>
        <w:t xml:space="preserve">This work is correlated to recent research and to certain extent it uses well known established scientifically significant factors for the use of debt financing in </w:t>
      </w:r>
      <w:r w:rsidR="0078210D">
        <w:rPr>
          <w:szCs w:val="24"/>
          <w:lang w:val="en-US"/>
        </w:rPr>
        <w:t>the entrepreneurial sector</w:t>
      </w:r>
      <w:r>
        <w:rPr>
          <w:szCs w:val="24"/>
          <w:lang w:val="en-US"/>
        </w:rPr>
        <w:t xml:space="preserve">. The paper has drown extensively </w:t>
      </w:r>
      <w:r w:rsidR="0078210D">
        <w:rPr>
          <w:szCs w:val="24"/>
          <w:lang w:val="en-US"/>
        </w:rPr>
        <w:t xml:space="preserve">on </w:t>
      </w:r>
      <w:r>
        <w:rPr>
          <w:szCs w:val="24"/>
          <w:lang w:val="en-US"/>
        </w:rPr>
        <w:t xml:space="preserve">both scientific and professional literature in the field of finance, which treats debt financing, as well as the lending behavior of the banks in Croatia and Macedonia and their impact on the global economic development of </w:t>
      </w:r>
      <w:r w:rsidR="0078210D">
        <w:rPr>
          <w:szCs w:val="24"/>
          <w:lang w:val="en-US"/>
        </w:rPr>
        <w:t xml:space="preserve">the </w:t>
      </w:r>
      <w:r>
        <w:rPr>
          <w:szCs w:val="24"/>
          <w:lang w:val="en-US"/>
        </w:rPr>
        <w:t>observed counties</w:t>
      </w:r>
      <w:r w:rsidR="0078210D">
        <w:rPr>
          <w:szCs w:val="24"/>
          <w:lang w:val="en-US"/>
        </w:rPr>
        <w:t>.</w:t>
      </w:r>
      <w:r>
        <w:rPr>
          <w:szCs w:val="24"/>
          <w:lang w:val="en-US"/>
        </w:rPr>
        <w:t xml:space="preserve"> </w:t>
      </w:r>
    </w:p>
    <w:p w:rsidR="00AD7343" w:rsidRDefault="00AD7343" w:rsidP="00E906CF">
      <w:pPr>
        <w:jc w:val="center"/>
        <w:rPr>
          <w:b/>
          <w:szCs w:val="24"/>
          <w:lang w:val="en-US"/>
        </w:rPr>
      </w:pPr>
    </w:p>
    <w:p w:rsidR="00BB4490" w:rsidRDefault="00AD7343" w:rsidP="00E906CF">
      <w:pPr>
        <w:jc w:val="center"/>
        <w:rPr>
          <w:b/>
          <w:szCs w:val="24"/>
          <w:lang w:val="en-US"/>
        </w:rPr>
      </w:pPr>
      <w:r>
        <w:rPr>
          <w:b/>
          <w:szCs w:val="24"/>
          <w:lang w:val="en-US"/>
        </w:rPr>
        <w:t>2</w:t>
      </w:r>
      <w:r w:rsidR="00E906CF" w:rsidRPr="00E906CF">
        <w:rPr>
          <w:b/>
          <w:szCs w:val="24"/>
          <w:lang w:val="en-US"/>
        </w:rPr>
        <w:t xml:space="preserve">. </w:t>
      </w:r>
      <w:r w:rsidR="00BB4490">
        <w:rPr>
          <w:b/>
          <w:szCs w:val="24"/>
          <w:lang w:val="en-US"/>
        </w:rPr>
        <w:t xml:space="preserve">Literature review </w:t>
      </w:r>
    </w:p>
    <w:p w:rsidR="006E7724" w:rsidRDefault="006E7724" w:rsidP="006E7724">
      <w:pPr>
        <w:ind w:firstLine="567"/>
        <w:jc w:val="both"/>
        <w:rPr>
          <w:rFonts w:cs="Times New Roman"/>
          <w:szCs w:val="24"/>
          <w:lang w:val="en-US"/>
        </w:rPr>
      </w:pPr>
    </w:p>
    <w:p w:rsidR="000E44EC" w:rsidRPr="00114D0F" w:rsidRDefault="006E7724" w:rsidP="00FA5457">
      <w:pPr>
        <w:ind w:firstLine="567"/>
        <w:jc w:val="both"/>
      </w:pPr>
      <w:r w:rsidRPr="006E7724">
        <w:rPr>
          <w:rFonts w:cs="Times New Roman"/>
          <w:szCs w:val="24"/>
          <w:lang w:val="en-US"/>
        </w:rPr>
        <w:t xml:space="preserve">The academic </w:t>
      </w:r>
      <w:r>
        <w:rPr>
          <w:rFonts w:cs="Times New Roman"/>
          <w:szCs w:val="24"/>
          <w:lang w:val="en-US"/>
        </w:rPr>
        <w:t xml:space="preserve">economic </w:t>
      </w:r>
      <w:r w:rsidRPr="006E7724">
        <w:rPr>
          <w:rFonts w:cs="Times New Roman"/>
          <w:szCs w:val="24"/>
          <w:lang w:val="en-US"/>
        </w:rPr>
        <w:t xml:space="preserve">community </w:t>
      </w:r>
      <w:r>
        <w:rPr>
          <w:rFonts w:cs="Times New Roman"/>
          <w:szCs w:val="24"/>
          <w:lang w:val="en-US"/>
        </w:rPr>
        <w:t>worldwide</w:t>
      </w:r>
      <w:r w:rsidR="00712148">
        <w:rPr>
          <w:rFonts w:cs="Times New Roman"/>
          <w:szCs w:val="24"/>
          <w:lang w:val="en-US"/>
        </w:rPr>
        <w:t xml:space="preserve"> for a long time</w:t>
      </w:r>
      <w:r>
        <w:rPr>
          <w:rFonts w:cs="Times New Roman"/>
          <w:szCs w:val="24"/>
          <w:lang w:val="en-US"/>
        </w:rPr>
        <w:t xml:space="preserve"> </w:t>
      </w:r>
      <w:r w:rsidR="00712148">
        <w:rPr>
          <w:rFonts w:cs="Times New Roman"/>
          <w:szCs w:val="24"/>
          <w:lang w:val="en-US"/>
        </w:rPr>
        <w:t xml:space="preserve">now </w:t>
      </w:r>
      <w:r w:rsidR="008A54D3">
        <w:rPr>
          <w:rFonts w:cs="Times New Roman"/>
          <w:szCs w:val="24"/>
          <w:lang w:val="en-US"/>
        </w:rPr>
        <w:t xml:space="preserve">is </w:t>
      </w:r>
      <w:r>
        <w:rPr>
          <w:rFonts w:cs="Times New Roman"/>
          <w:szCs w:val="24"/>
          <w:lang w:val="en-US"/>
        </w:rPr>
        <w:t xml:space="preserve">examining reasons for </w:t>
      </w:r>
      <w:r w:rsidR="00712148">
        <w:rPr>
          <w:rFonts w:cs="Times New Roman"/>
          <w:szCs w:val="24"/>
          <w:lang w:val="en-US"/>
        </w:rPr>
        <w:t xml:space="preserve">the </w:t>
      </w:r>
      <w:r>
        <w:rPr>
          <w:rFonts w:cs="Times New Roman"/>
          <w:szCs w:val="24"/>
          <w:lang w:val="en-US"/>
        </w:rPr>
        <w:t xml:space="preserve">start of </w:t>
      </w:r>
      <w:r w:rsidR="008A54D3">
        <w:rPr>
          <w:rFonts w:cs="Times New Roman"/>
          <w:szCs w:val="24"/>
          <w:lang w:val="en-US"/>
        </w:rPr>
        <w:t xml:space="preserve">various </w:t>
      </w:r>
      <w:r w:rsidR="00730326">
        <w:rPr>
          <w:rFonts w:cs="Times New Roman"/>
          <w:szCs w:val="24"/>
          <w:lang w:val="en-US"/>
        </w:rPr>
        <w:t>crise</w:t>
      </w:r>
      <w:r>
        <w:rPr>
          <w:rFonts w:cs="Times New Roman"/>
          <w:szCs w:val="24"/>
          <w:lang w:val="en-US"/>
        </w:rPr>
        <w:t>s</w:t>
      </w:r>
      <w:r w:rsidR="008A54D3">
        <w:rPr>
          <w:rFonts w:cs="Times New Roman"/>
          <w:szCs w:val="24"/>
          <w:lang w:val="en-US"/>
        </w:rPr>
        <w:t xml:space="preserve"> that</w:t>
      </w:r>
      <w:r w:rsidR="00712148">
        <w:rPr>
          <w:rFonts w:cs="Times New Roman"/>
          <w:szCs w:val="24"/>
          <w:lang w:val="en-US"/>
        </w:rPr>
        <w:t xml:space="preserve"> have</w:t>
      </w:r>
      <w:r w:rsidR="00A15BEF">
        <w:rPr>
          <w:rFonts w:cs="Times New Roman"/>
          <w:szCs w:val="24"/>
          <w:lang w:val="en-US"/>
        </w:rPr>
        <w:t xml:space="preserve"> emerged through </w:t>
      </w:r>
      <w:r w:rsidR="00712148">
        <w:rPr>
          <w:rFonts w:cs="Times New Roman"/>
          <w:szCs w:val="24"/>
          <w:lang w:val="en-US"/>
        </w:rPr>
        <w:t xml:space="preserve">economic </w:t>
      </w:r>
      <w:r w:rsidR="00A15BEF">
        <w:rPr>
          <w:rFonts w:cs="Times New Roman"/>
          <w:szCs w:val="24"/>
          <w:lang w:val="en-US"/>
        </w:rPr>
        <w:t xml:space="preserve">history and </w:t>
      </w:r>
      <w:r w:rsidR="00730326">
        <w:rPr>
          <w:rFonts w:cs="Times New Roman"/>
          <w:szCs w:val="24"/>
          <w:lang w:val="en-US"/>
        </w:rPr>
        <w:t xml:space="preserve">their </w:t>
      </w:r>
      <w:r w:rsidR="00730326">
        <w:rPr>
          <w:rFonts w:cs="Times New Roman"/>
          <w:szCs w:val="24"/>
          <w:lang w:val="en-US"/>
        </w:rPr>
        <w:lastRenderedPageBreak/>
        <w:t>impacts on the global economy</w:t>
      </w:r>
      <w:r w:rsidR="00A15BEF">
        <w:rPr>
          <w:rFonts w:cs="Times New Roman"/>
          <w:szCs w:val="24"/>
          <w:lang w:val="en-US"/>
        </w:rPr>
        <w:t>.</w:t>
      </w:r>
      <w:r w:rsidR="00A07B3A">
        <w:rPr>
          <w:rFonts w:cs="Times New Roman"/>
          <w:szCs w:val="24"/>
          <w:lang w:val="en-US"/>
        </w:rPr>
        <w:t xml:space="preserve"> The</w:t>
      </w:r>
      <w:r w:rsidR="00A15BEF">
        <w:rPr>
          <w:rFonts w:cs="Times New Roman"/>
          <w:szCs w:val="24"/>
          <w:lang w:val="en-US"/>
        </w:rPr>
        <w:t xml:space="preserve"> </w:t>
      </w:r>
      <w:r w:rsidR="00730326">
        <w:rPr>
          <w:rFonts w:cs="Times New Roman"/>
          <w:szCs w:val="24"/>
          <w:lang w:val="en-US"/>
        </w:rPr>
        <w:t>l</w:t>
      </w:r>
      <w:r w:rsidR="00A15BEF">
        <w:rPr>
          <w:rFonts w:cs="Times New Roman"/>
          <w:szCs w:val="24"/>
          <w:lang w:val="en-US"/>
        </w:rPr>
        <w:t xml:space="preserve">ast financial crisis </w:t>
      </w:r>
      <w:r w:rsidR="00926ED0">
        <w:rPr>
          <w:rFonts w:cs="Times New Roman"/>
          <w:szCs w:val="24"/>
          <w:lang w:val="en-US"/>
        </w:rPr>
        <w:t xml:space="preserve">from </w:t>
      </w:r>
      <w:r w:rsidR="00A15BEF">
        <w:rPr>
          <w:rFonts w:cs="Times New Roman"/>
          <w:szCs w:val="24"/>
          <w:lang w:val="en-US"/>
        </w:rPr>
        <w:t>2007</w:t>
      </w:r>
      <w:r w:rsidR="00926ED0">
        <w:rPr>
          <w:rFonts w:cs="Times New Roman"/>
          <w:szCs w:val="24"/>
          <w:lang w:val="en-US"/>
        </w:rPr>
        <w:t xml:space="preserve">, dubbed the </w:t>
      </w:r>
      <w:r w:rsidR="00A07B3A">
        <w:rPr>
          <w:rFonts w:cs="Times New Roman"/>
          <w:szCs w:val="24"/>
          <w:lang w:val="en-US"/>
        </w:rPr>
        <w:t>“Credit Crisis”</w:t>
      </w:r>
      <w:r w:rsidR="00A15BEF">
        <w:rPr>
          <w:rFonts w:cs="Times New Roman"/>
          <w:szCs w:val="24"/>
          <w:lang w:val="en-US"/>
        </w:rPr>
        <w:t xml:space="preserve"> is one of the </w:t>
      </w:r>
      <w:r w:rsidR="00A07B3A">
        <w:rPr>
          <w:rFonts w:cs="Times New Roman"/>
          <w:szCs w:val="24"/>
          <w:lang w:val="en-US"/>
        </w:rPr>
        <w:t>strongest</w:t>
      </w:r>
      <w:r w:rsidR="00A15BEF">
        <w:rPr>
          <w:rFonts w:cs="Times New Roman"/>
          <w:szCs w:val="24"/>
          <w:lang w:val="en-US"/>
        </w:rPr>
        <w:t xml:space="preserve"> </w:t>
      </w:r>
      <w:r w:rsidR="00A07B3A">
        <w:rPr>
          <w:rFonts w:cs="Times New Roman"/>
          <w:szCs w:val="24"/>
          <w:lang w:val="en-US"/>
        </w:rPr>
        <w:t xml:space="preserve">and deepest financial </w:t>
      </w:r>
      <w:r w:rsidR="00F24C29">
        <w:rPr>
          <w:rFonts w:cs="Times New Roman"/>
          <w:szCs w:val="24"/>
          <w:lang w:val="en-US"/>
        </w:rPr>
        <w:t>crises</w:t>
      </w:r>
      <w:r w:rsidR="00A07B3A">
        <w:rPr>
          <w:rFonts w:cs="Times New Roman"/>
          <w:szCs w:val="24"/>
          <w:lang w:val="en-US"/>
        </w:rPr>
        <w:t xml:space="preserve"> in modern economic history since </w:t>
      </w:r>
      <w:r w:rsidR="00926ED0">
        <w:rPr>
          <w:rFonts w:cs="Times New Roman"/>
          <w:szCs w:val="24"/>
          <w:lang w:val="en-US"/>
        </w:rPr>
        <w:t xml:space="preserve">the </w:t>
      </w:r>
      <w:r w:rsidR="00A07B3A">
        <w:rPr>
          <w:rFonts w:cs="Times New Roman"/>
          <w:szCs w:val="24"/>
          <w:lang w:val="en-US"/>
        </w:rPr>
        <w:t xml:space="preserve">Great Depression </w:t>
      </w:r>
      <w:r w:rsidR="00926ED0">
        <w:rPr>
          <w:rFonts w:cs="Times New Roman"/>
          <w:szCs w:val="24"/>
          <w:lang w:val="en-US"/>
        </w:rPr>
        <w:t xml:space="preserve">of the </w:t>
      </w:r>
      <w:r w:rsidR="00A07B3A">
        <w:rPr>
          <w:rFonts w:cs="Times New Roman"/>
          <w:szCs w:val="24"/>
          <w:lang w:val="en-US"/>
        </w:rPr>
        <w:t>1930s</w:t>
      </w:r>
      <w:r w:rsidR="008A54D3">
        <w:rPr>
          <w:rFonts w:cs="Times New Roman"/>
          <w:szCs w:val="24"/>
          <w:lang w:val="en-US"/>
        </w:rPr>
        <w:t xml:space="preserve">. Since </w:t>
      </w:r>
      <w:r w:rsidR="00926ED0">
        <w:rPr>
          <w:rFonts w:cs="Times New Roman"/>
          <w:szCs w:val="24"/>
          <w:lang w:val="en-US"/>
        </w:rPr>
        <w:t xml:space="preserve">the </w:t>
      </w:r>
      <w:r w:rsidR="009A41DD">
        <w:rPr>
          <w:rFonts w:cs="Times New Roman"/>
          <w:szCs w:val="24"/>
          <w:lang w:val="en-US"/>
        </w:rPr>
        <w:t>“Credit Crisis” has</w:t>
      </w:r>
      <w:r w:rsidR="008A54D3">
        <w:rPr>
          <w:rFonts w:cs="Times New Roman"/>
          <w:szCs w:val="24"/>
          <w:lang w:val="en-US"/>
        </w:rPr>
        <w:t xml:space="preserve"> caused many structural problems and pull</w:t>
      </w:r>
      <w:r w:rsidR="009A41DD">
        <w:rPr>
          <w:rFonts w:cs="Times New Roman"/>
          <w:szCs w:val="24"/>
          <w:lang w:val="en-US"/>
        </w:rPr>
        <w:t>ed the</w:t>
      </w:r>
      <w:r w:rsidR="008A54D3">
        <w:rPr>
          <w:rFonts w:cs="Times New Roman"/>
          <w:szCs w:val="24"/>
          <w:lang w:val="en-US"/>
        </w:rPr>
        <w:t xml:space="preserve"> </w:t>
      </w:r>
      <w:r w:rsidR="00FA5457">
        <w:rPr>
          <w:rFonts w:cs="Times New Roman"/>
          <w:szCs w:val="24"/>
          <w:lang w:val="en-US"/>
        </w:rPr>
        <w:t>global economy in recession</w:t>
      </w:r>
      <w:r w:rsidR="009A41DD">
        <w:rPr>
          <w:rFonts w:cs="Times New Roman"/>
          <w:szCs w:val="24"/>
          <w:lang w:val="en-US"/>
        </w:rPr>
        <w:t>,</w:t>
      </w:r>
      <w:r w:rsidR="00A15BEF">
        <w:rPr>
          <w:rFonts w:cs="Times New Roman"/>
          <w:szCs w:val="24"/>
          <w:lang w:val="en-US"/>
        </w:rPr>
        <w:t xml:space="preserve"> many authors</w:t>
      </w:r>
      <w:r w:rsidR="009A41DD">
        <w:rPr>
          <w:rFonts w:cs="Times New Roman"/>
          <w:szCs w:val="24"/>
          <w:lang w:val="en-US"/>
        </w:rPr>
        <w:t>, such as</w:t>
      </w:r>
      <w:r w:rsidR="00A07B3A">
        <w:rPr>
          <w:rFonts w:cs="Times New Roman"/>
          <w:szCs w:val="24"/>
          <w:lang w:val="en-US"/>
        </w:rPr>
        <w:t xml:space="preserve"> </w:t>
      </w:r>
      <w:r w:rsidR="00A07B3A" w:rsidRPr="004905A1">
        <w:rPr>
          <w:rFonts w:cs="Times New Roman"/>
          <w:noProof/>
          <w:szCs w:val="24"/>
        </w:rPr>
        <w:t>Almunia, Bénétrix, Eicheng, O'Rourke, &amp; Rua, 2009</w:t>
      </w:r>
      <w:r w:rsidR="00A07B3A">
        <w:rPr>
          <w:rFonts w:cs="Times New Roman"/>
          <w:noProof/>
          <w:szCs w:val="24"/>
        </w:rPr>
        <w:t>; Erkens, Hung, &amp; Matos, 2012</w:t>
      </w:r>
      <w:r w:rsidR="00CD15FC">
        <w:rPr>
          <w:rFonts w:cs="Times New Roman"/>
          <w:noProof/>
          <w:szCs w:val="24"/>
        </w:rPr>
        <w:t xml:space="preserve">; </w:t>
      </w:r>
      <w:r w:rsidR="00CD15FC" w:rsidRPr="00CD15FC">
        <w:rPr>
          <w:rFonts w:cs="Times New Roman"/>
          <w:noProof/>
          <w:szCs w:val="24"/>
        </w:rPr>
        <w:t>Claessens, Del</w:t>
      </w:r>
      <w:r w:rsidR="00CD15FC">
        <w:rPr>
          <w:rFonts w:cs="Times New Roman"/>
          <w:noProof/>
          <w:szCs w:val="24"/>
        </w:rPr>
        <w:t xml:space="preserve">l’Ariccia, Igan, &amp; Laeven, 2010; </w:t>
      </w:r>
      <w:r w:rsidR="001A47D9" w:rsidRPr="001A47D9">
        <w:rPr>
          <w:rFonts w:cs="Times New Roman"/>
          <w:noProof/>
          <w:szCs w:val="24"/>
        </w:rPr>
        <w:t>Aiginger, 2010</w:t>
      </w:r>
      <w:r w:rsidR="001A47D9">
        <w:rPr>
          <w:rFonts w:cs="Times New Roman"/>
          <w:noProof/>
          <w:szCs w:val="24"/>
        </w:rPr>
        <w:t xml:space="preserve"> </w:t>
      </w:r>
      <w:r w:rsidR="00FA5457">
        <w:rPr>
          <w:rFonts w:cs="Times New Roman"/>
          <w:szCs w:val="24"/>
          <w:lang w:val="en-US"/>
        </w:rPr>
        <w:t>have analyzed</w:t>
      </w:r>
      <w:r w:rsidR="00712148">
        <w:rPr>
          <w:rFonts w:cs="Times New Roman"/>
          <w:szCs w:val="24"/>
          <w:lang w:val="en-US"/>
        </w:rPr>
        <w:t xml:space="preserve"> </w:t>
      </w:r>
      <w:r w:rsidR="009A41DD">
        <w:rPr>
          <w:rFonts w:cs="Times New Roman"/>
          <w:szCs w:val="24"/>
          <w:lang w:val="en-US"/>
        </w:rPr>
        <w:t xml:space="preserve">various reasons for its </w:t>
      </w:r>
      <w:r w:rsidR="00A07B3A">
        <w:rPr>
          <w:rFonts w:cs="Times New Roman"/>
          <w:szCs w:val="24"/>
          <w:lang w:val="en-US"/>
        </w:rPr>
        <w:t>beginning, the strategies and applied policies</w:t>
      </w:r>
      <w:r w:rsidR="00712148">
        <w:rPr>
          <w:rFonts w:cs="Times New Roman"/>
          <w:szCs w:val="24"/>
          <w:lang w:val="en-US"/>
        </w:rPr>
        <w:t>, impacts</w:t>
      </w:r>
      <w:r w:rsidR="00A07B3A">
        <w:rPr>
          <w:rFonts w:cs="Times New Roman"/>
          <w:szCs w:val="24"/>
          <w:lang w:val="en-US"/>
        </w:rPr>
        <w:t xml:space="preserve"> </w:t>
      </w:r>
      <w:r w:rsidR="00712148">
        <w:rPr>
          <w:rFonts w:cs="Times New Roman"/>
          <w:szCs w:val="24"/>
          <w:lang w:val="en-US"/>
        </w:rPr>
        <w:t xml:space="preserve">and influences </w:t>
      </w:r>
      <w:r w:rsidR="00A07B3A">
        <w:rPr>
          <w:rFonts w:cs="Times New Roman"/>
          <w:szCs w:val="24"/>
          <w:lang w:val="en-US"/>
        </w:rPr>
        <w:t xml:space="preserve">on the </w:t>
      </w:r>
      <w:r w:rsidR="00712148" w:rsidRPr="000E44EC">
        <w:rPr>
          <w:rFonts w:cs="Times New Roman"/>
          <w:szCs w:val="24"/>
          <w:lang w:val="en-US"/>
        </w:rPr>
        <w:t xml:space="preserve">global </w:t>
      </w:r>
      <w:r w:rsidR="00A07B3A" w:rsidRPr="000E44EC">
        <w:rPr>
          <w:rFonts w:cs="Times New Roman"/>
          <w:szCs w:val="24"/>
          <w:lang w:val="en-US"/>
        </w:rPr>
        <w:t xml:space="preserve">economies and future </w:t>
      </w:r>
      <w:r w:rsidR="001A47D9" w:rsidRPr="000E44EC">
        <w:rPr>
          <w:rFonts w:cs="Times New Roman"/>
          <w:szCs w:val="24"/>
          <w:lang w:val="en-US"/>
        </w:rPr>
        <w:t xml:space="preserve">stability and </w:t>
      </w:r>
      <w:r w:rsidR="00A07B3A" w:rsidRPr="000E44EC">
        <w:rPr>
          <w:rFonts w:cs="Times New Roman"/>
          <w:szCs w:val="24"/>
          <w:lang w:val="en-US"/>
        </w:rPr>
        <w:t>development</w:t>
      </w:r>
      <w:r w:rsidR="00FA5457">
        <w:rPr>
          <w:rFonts w:cs="Times New Roman"/>
          <w:szCs w:val="24"/>
          <w:lang w:val="en-US"/>
        </w:rPr>
        <w:t xml:space="preserve"> of the global and local economies</w:t>
      </w:r>
      <w:r w:rsidR="001A47D9" w:rsidRPr="000E44EC">
        <w:rPr>
          <w:rFonts w:cs="Times New Roman"/>
          <w:szCs w:val="24"/>
          <w:lang w:val="en-US"/>
        </w:rPr>
        <w:t>.</w:t>
      </w:r>
      <w:r w:rsidR="003A4F4E">
        <w:rPr>
          <w:rFonts w:cs="Times New Roman"/>
          <w:szCs w:val="24"/>
          <w:lang w:val="en-US"/>
        </w:rPr>
        <w:t xml:space="preserve"> Also numerous authors from </w:t>
      </w:r>
      <w:r w:rsidR="00114D0F">
        <w:rPr>
          <w:rFonts w:cs="Times New Roman"/>
          <w:szCs w:val="24"/>
          <w:lang w:val="en-US"/>
        </w:rPr>
        <w:t>Croatia and Macedonia</w:t>
      </w:r>
      <w:r w:rsidR="003A4F4E">
        <w:rPr>
          <w:rFonts w:cs="Times New Roman"/>
          <w:szCs w:val="24"/>
          <w:lang w:val="en-US"/>
        </w:rPr>
        <w:t xml:space="preserve"> have conducted diverse studies of </w:t>
      </w:r>
      <w:r w:rsidR="00F16F98">
        <w:rPr>
          <w:rFonts w:cs="Times New Roman"/>
          <w:szCs w:val="24"/>
          <w:lang w:val="en-US"/>
        </w:rPr>
        <w:t xml:space="preserve">the </w:t>
      </w:r>
      <w:r w:rsidR="00FA5457">
        <w:rPr>
          <w:rFonts w:cs="Times New Roman"/>
          <w:szCs w:val="24"/>
          <w:lang w:val="en-US"/>
        </w:rPr>
        <w:t xml:space="preserve">“Credit </w:t>
      </w:r>
      <w:r w:rsidR="003A4F4E">
        <w:rPr>
          <w:rFonts w:cs="Times New Roman"/>
          <w:szCs w:val="24"/>
          <w:lang w:val="en-US"/>
        </w:rPr>
        <w:t>Crisis</w:t>
      </w:r>
      <w:r w:rsidR="00FA5457">
        <w:rPr>
          <w:rFonts w:cs="Times New Roman"/>
          <w:szCs w:val="24"/>
          <w:lang w:val="en-US"/>
        </w:rPr>
        <w:t>”</w:t>
      </w:r>
      <w:r w:rsidR="003A4F4E">
        <w:rPr>
          <w:rFonts w:cs="Times New Roman"/>
          <w:szCs w:val="24"/>
          <w:lang w:val="en-US"/>
        </w:rPr>
        <w:t xml:space="preserve"> </w:t>
      </w:r>
      <w:r w:rsidR="00F16F98">
        <w:rPr>
          <w:rFonts w:cs="Times New Roman"/>
          <w:szCs w:val="24"/>
          <w:lang w:val="en-US"/>
        </w:rPr>
        <w:t>examined the impact</w:t>
      </w:r>
      <w:r w:rsidR="00B97930">
        <w:rPr>
          <w:rFonts w:cs="Times New Roman"/>
          <w:szCs w:val="24"/>
          <w:lang w:val="en-US"/>
        </w:rPr>
        <w:t xml:space="preserve"> </w:t>
      </w:r>
      <w:r w:rsidR="00FA5457">
        <w:rPr>
          <w:rFonts w:cs="Times New Roman"/>
          <w:szCs w:val="24"/>
          <w:lang w:val="en-US"/>
        </w:rPr>
        <w:t xml:space="preserve">to the economies </w:t>
      </w:r>
      <w:r w:rsidR="00B97930">
        <w:rPr>
          <w:rFonts w:cs="Times New Roman"/>
          <w:szCs w:val="24"/>
          <w:lang w:val="en-US"/>
        </w:rPr>
        <w:t>that</w:t>
      </w:r>
      <w:r w:rsidR="00012FFD">
        <w:rPr>
          <w:rFonts w:cs="Times New Roman"/>
          <w:szCs w:val="24"/>
          <w:lang w:val="en-US"/>
        </w:rPr>
        <w:t xml:space="preserve"> have emerged from it, including but not limited to </w:t>
      </w:r>
      <w:r w:rsidR="00202D92" w:rsidRPr="00202D92">
        <w:rPr>
          <w:rFonts w:cs="Times New Roman"/>
          <w:noProof/>
          <w:szCs w:val="24"/>
        </w:rPr>
        <w:t>Bexheti, 2010</w:t>
      </w:r>
      <w:r w:rsidR="00202D92">
        <w:rPr>
          <w:rFonts w:cs="Times New Roman"/>
          <w:noProof/>
          <w:szCs w:val="24"/>
        </w:rPr>
        <w:t xml:space="preserve">; </w:t>
      </w:r>
      <w:r w:rsidR="00202D92">
        <w:rPr>
          <w:rFonts w:cs="Belwe Lt BT"/>
          <w:noProof/>
        </w:rPr>
        <w:t>Davcev, 2010;</w:t>
      </w:r>
      <w:r w:rsidR="00E30669">
        <w:rPr>
          <w:rFonts w:cs="Belwe Lt BT"/>
          <w:noProof/>
        </w:rPr>
        <w:t xml:space="preserve"> </w:t>
      </w:r>
      <w:r w:rsidR="00C723A6" w:rsidRPr="00C723A6">
        <w:rPr>
          <w:rFonts w:cs="Times New Roman"/>
          <w:noProof/>
          <w:szCs w:val="24"/>
        </w:rPr>
        <w:t>Bucevska, 2011</w:t>
      </w:r>
      <w:r w:rsidR="00C723A6">
        <w:rPr>
          <w:rFonts w:cs="Times New Roman"/>
          <w:noProof/>
          <w:szCs w:val="24"/>
        </w:rPr>
        <w:t xml:space="preserve">; </w:t>
      </w:r>
      <w:r w:rsidR="00114D0F">
        <w:rPr>
          <w:noProof/>
        </w:rPr>
        <w:t>Zikovic &amp; Aktan, 2009</w:t>
      </w:r>
      <w:r w:rsidR="00114D0F">
        <w:t>;</w:t>
      </w:r>
      <w:r w:rsidR="00114D0F" w:rsidRPr="00114D0F">
        <w:rPr>
          <w:noProof/>
        </w:rPr>
        <w:t xml:space="preserve"> </w:t>
      </w:r>
      <w:r w:rsidR="00114D0F">
        <w:rPr>
          <w:noProof/>
        </w:rPr>
        <w:t>Mihaljek, 2009</w:t>
      </w:r>
      <w:r w:rsidR="00114D0F">
        <w:t xml:space="preserve">; </w:t>
      </w:r>
      <w:r w:rsidR="00114D0F" w:rsidRPr="00C723A6">
        <w:rPr>
          <w:rFonts w:cs="Times New Roman"/>
          <w:noProof/>
          <w:szCs w:val="24"/>
        </w:rPr>
        <w:t>Radosevic, 2012</w:t>
      </w:r>
      <w:r w:rsidR="00B97930">
        <w:rPr>
          <w:rFonts w:cs="Times New Roman"/>
          <w:noProof/>
          <w:szCs w:val="24"/>
        </w:rPr>
        <w:t xml:space="preserve">. </w:t>
      </w:r>
      <w:r w:rsidR="003A4F4E">
        <w:rPr>
          <w:rFonts w:cs="Times New Roman"/>
          <w:szCs w:val="24"/>
          <w:lang w:val="en-US"/>
        </w:rPr>
        <w:t xml:space="preserve">Due to </w:t>
      </w:r>
      <w:r w:rsidR="00F16F98">
        <w:rPr>
          <w:rFonts w:cs="Times New Roman"/>
          <w:szCs w:val="24"/>
          <w:lang w:val="en-US"/>
        </w:rPr>
        <w:t xml:space="preserve">the </w:t>
      </w:r>
      <w:r w:rsidR="003A4F4E">
        <w:rPr>
          <w:rFonts w:cs="Times New Roman"/>
          <w:szCs w:val="24"/>
          <w:lang w:val="en-US"/>
        </w:rPr>
        <w:t xml:space="preserve">spillover of the “Credit Crisis” over the </w:t>
      </w:r>
      <w:r w:rsidR="00F16F98">
        <w:rPr>
          <w:rFonts w:cs="Times New Roman"/>
          <w:szCs w:val="24"/>
          <w:lang w:val="en-US"/>
        </w:rPr>
        <w:t xml:space="preserve">Southeastern </w:t>
      </w:r>
      <w:r w:rsidR="003A4F4E">
        <w:rPr>
          <w:rFonts w:cs="Times New Roman"/>
          <w:szCs w:val="24"/>
          <w:lang w:val="en-US"/>
        </w:rPr>
        <w:t xml:space="preserve">European </w:t>
      </w:r>
      <w:r w:rsidR="00F16F98">
        <w:rPr>
          <w:rFonts w:cs="Times New Roman"/>
          <w:szCs w:val="24"/>
          <w:lang w:val="en-US"/>
        </w:rPr>
        <w:t>region in 2008 and its impact</w:t>
      </w:r>
      <w:r w:rsidR="003A4F4E">
        <w:rPr>
          <w:rFonts w:cs="Times New Roman"/>
          <w:szCs w:val="24"/>
          <w:lang w:val="en-US"/>
        </w:rPr>
        <w:t xml:space="preserve"> to </w:t>
      </w:r>
      <w:r w:rsidR="00F16F98">
        <w:rPr>
          <w:rFonts w:cs="Times New Roman"/>
          <w:szCs w:val="24"/>
          <w:lang w:val="en-US"/>
        </w:rPr>
        <w:t xml:space="preserve">regional </w:t>
      </w:r>
      <w:r w:rsidR="00FA5457">
        <w:rPr>
          <w:rFonts w:cs="Times New Roman"/>
          <w:szCs w:val="24"/>
          <w:lang w:val="en-US"/>
        </w:rPr>
        <w:t>economies</w:t>
      </w:r>
      <w:r w:rsidR="003A4F4E">
        <w:rPr>
          <w:rFonts w:cs="Times New Roman"/>
          <w:szCs w:val="24"/>
          <w:lang w:val="en-US"/>
        </w:rPr>
        <w:t xml:space="preserve"> that is still affecting </w:t>
      </w:r>
      <w:r w:rsidR="00F16F98">
        <w:rPr>
          <w:rFonts w:cs="Times New Roman"/>
          <w:szCs w:val="24"/>
          <w:lang w:val="en-US"/>
        </w:rPr>
        <w:t xml:space="preserve">them, </w:t>
      </w:r>
      <w:r w:rsidR="00FA5457">
        <w:rPr>
          <w:rFonts w:cs="Times New Roman"/>
          <w:szCs w:val="24"/>
          <w:lang w:val="en-US"/>
        </w:rPr>
        <w:t>especially at</w:t>
      </w:r>
      <w:r w:rsidR="00012FFD">
        <w:rPr>
          <w:rFonts w:cs="Times New Roman"/>
          <w:szCs w:val="24"/>
          <w:lang w:val="en-US"/>
        </w:rPr>
        <w:t xml:space="preserve"> the level of entrepreneurial</w:t>
      </w:r>
      <w:r w:rsidR="003A4F4E">
        <w:rPr>
          <w:rFonts w:cs="Times New Roman"/>
          <w:szCs w:val="24"/>
          <w:lang w:val="en-US"/>
        </w:rPr>
        <w:t xml:space="preserve"> activities</w:t>
      </w:r>
      <w:r w:rsidR="00012FFD">
        <w:rPr>
          <w:rFonts w:cs="Times New Roman"/>
          <w:szCs w:val="24"/>
          <w:lang w:val="en-US"/>
        </w:rPr>
        <w:t>, there</w:t>
      </w:r>
      <w:r w:rsidR="003A4F4E">
        <w:rPr>
          <w:rFonts w:cs="Times New Roman"/>
          <w:szCs w:val="24"/>
          <w:lang w:val="en-US"/>
        </w:rPr>
        <w:t xml:space="preserve"> emerges </w:t>
      </w:r>
      <w:r w:rsidR="00012FFD">
        <w:rPr>
          <w:rFonts w:cs="Times New Roman"/>
          <w:szCs w:val="24"/>
          <w:lang w:val="en-US"/>
        </w:rPr>
        <w:t xml:space="preserve">a </w:t>
      </w:r>
      <w:r w:rsidR="003A4F4E">
        <w:rPr>
          <w:rFonts w:cs="Times New Roman"/>
          <w:szCs w:val="24"/>
          <w:lang w:val="en-US"/>
        </w:rPr>
        <w:t>need for deeper analysis</w:t>
      </w:r>
      <w:r w:rsidR="00B97930">
        <w:rPr>
          <w:rFonts w:cs="Times New Roman"/>
          <w:szCs w:val="24"/>
          <w:lang w:val="en-US"/>
        </w:rPr>
        <w:t xml:space="preserve">. It is crucial to emphasize that </w:t>
      </w:r>
      <w:r w:rsidR="00FA5457">
        <w:rPr>
          <w:rFonts w:cs="Times New Roman"/>
          <w:szCs w:val="24"/>
          <w:lang w:val="en-US"/>
        </w:rPr>
        <w:t xml:space="preserve">only few </w:t>
      </w:r>
      <w:r w:rsidR="00B97930">
        <w:rPr>
          <w:rFonts w:cs="Times New Roman"/>
          <w:szCs w:val="24"/>
          <w:lang w:val="en-US"/>
        </w:rPr>
        <w:t xml:space="preserve">detailed </w:t>
      </w:r>
      <w:r w:rsidR="0081458B">
        <w:rPr>
          <w:rFonts w:cs="Times New Roman"/>
          <w:szCs w:val="24"/>
          <w:lang w:val="en-US"/>
        </w:rPr>
        <w:t>empirical analyse</w:t>
      </w:r>
      <w:r w:rsidR="008A54D3">
        <w:rPr>
          <w:rFonts w:cs="Times New Roman"/>
          <w:szCs w:val="24"/>
          <w:lang w:val="en-US"/>
        </w:rPr>
        <w:t xml:space="preserve">s </w:t>
      </w:r>
      <w:r w:rsidR="0081458B">
        <w:rPr>
          <w:rFonts w:cs="Times New Roman"/>
          <w:szCs w:val="24"/>
          <w:lang w:val="en-US"/>
        </w:rPr>
        <w:t>of the crisis impact</w:t>
      </w:r>
      <w:r w:rsidR="00FA5457">
        <w:rPr>
          <w:rFonts w:cs="Times New Roman"/>
          <w:szCs w:val="24"/>
          <w:lang w:val="en-US"/>
        </w:rPr>
        <w:t xml:space="preserve"> on the lending behavior of banks to the companies</w:t>
      </w:r>
      <w:r w:rsidR="0081458B">
        <w:rPr>
          <w:rFonts w:cs="Times New Roman"/>
          <w:szCs w:val="24"/>
          <w:lang w:val="en-US"/>
        </w:rPr>
        <w:t xml:space="preserve"> in </w:t>
      </w:r>
      <w:r w:rsidR="00AD7343">
        <w:rPr>
          <w:rFonts w:cs="Times New Roman"/>
          <w:szCs w:val="24"/>
          <w:lang w:val="en-US"/>
        </w:rPr>
        <w:t>Croatia and Macedonia</w:t>
      </w:r>
      <w:r w:rsidR="0081458B">
        <w:rPr>
          <w:rFonts w:cs="Times New Roman"/>
          <w:szCs w:val="24"/>
          <w:lang w:val="en-US"/>
        </w:rPr>
        <w:t xml:space="preserve"> have so far been conducted</w:t>
      </w:r>
      <w:r w:rsidR="00FA5457">
        <w:rPr>
          <w:rFonts w:cs="Times New Roman"/>
          <w:szCs w:val="24"/>
          <w:lang w:val="en-US"/>
        </w:rPr>
        <w:t xml:space="preserve">. </w:t>
      </w:r>
    </w:p>
    <w:p w:rsidR="000E44EC" w:rsidRDefault="000E44EC" w:rsidP="00CD15FC">
      <w:pPr>
        <w:ind w:firstLine="567"/>
        <w:jc w:val="both"/>
        <w:rPr>
          <w:rFonts w:cs="Times New Roman"/>
          <w:szCs w:val="24"/>
          <w:lang w:val="en-US"/>
        </w:rPr>
      </w:pPr>
    </w:p>
    <w:p w:rsidR="009547C9" w:rsidRDefault="009547C9" w:rsidP="00CD15FC">
      <w:pPr>
        <w:ind w:firstLine="567"/>
        <w:jc w:val="both"/>
        <w:rPr>
          <w:rFonts w:cs="Times New Roman"/>
          <w:szCs w:val="24"/>
          <w:lang w:val="en-US"/>
        </w:rPr>
      </w:pPr>
    </w:p>
    <w:p w:rsidR="00E906CF" w:rsidRPr="00E906CF" w:rsidRDefault="00BB4490" w:rsidP="00E906CF">
      <w:pPr>
        <w:jc w:val="center"/>
        <w:rPr>
          <w:b/>
          <w:szCs w:val="24"/>
          <w:lang w:val="en-US"/>
        </w:rPr>
      </w:pPr>
      <w:r>
        <w:rPr>
          <w:b/>
          <w:szCs w:val="24"/>
          <w:lang w:val="en-US"/>
        </w:rPr>
        <w:t>2. Main Characteristics of the Banking Sectors</w:t>
      </w:r>
      <w:r w:rsidR="00AD7343">
        <w:rPr>
          <w:b/>
          <w:szCs w:val="24"/>
          <w:lang w:val="en-US"/>
        </w:rPr>
        <w:t xml:space="preserve"> of Croatia and Macedonia: </w:t>
      </w:r>
      <w:r w:rsidR="00972A25">
        <w:rPr>
          <w:b/>
          <w:szCs w:val="24"/>
          <w:lang w:val="en-US"/>
        </w:rPr>
        <w:t xml:space="preserve">An </w:t>
      </w:r>
      <w:r w:rsidR="00AD7343">
        <w:rPr>
          <w:b/>
          <w:szCs w:val="24"/>
          <w:lang w:val="en-US"/>
        </w:rPr>
        <w:t>Overview</w:t>
      </w:r>
    </w:p>
    <w:p w:rsidR="00666725" w:rsidRDefault="00666725" w:rsidP="00E906CF">
      <w:pPr>
        <w:jc w:val="both"/>
        <w:rPr>
          <w:lang w:val="en-US"/>
        </w:rPr>
      </w:pPr>
    </w:p>
    <w:p w:rsidR="00F2793E" w:rsidRDefault="00972A25" w:rsidP="00EC3AC5">
      <w:pPr>
        <w:ind w:firstLine="567"/>
        <w:jc w:val="both"/>
        <w:rPr>
          <w:lang w:val="en-US"/>
        </w:rPr>
      </w:pPr>
      <w:r>
        <w:rPr>
          <w:lang w:val="en-US"/>
        </w:rPr>
        <w:t>The f</w:t>
      </w:r>
      <w:r w:rsidR="00EC3AC5">
        <w:rPr>
          <w:lang w:val="en-US"/>
        </w:rPr>
        <w:t xml:space="preserve">inancial </w:t>
      </w:r>
      <w:r w:rsidR="009547C9">
        <w:rPr>
          <w:lang w:val="en-US"/>
        </w:rPr>
        <w:t>sector</w:t>
      </w:r>
      <w:r>
        <w:rPr>
          <w:lang w:val="en-US"/>
        </w:rPr>
        <w:t>s</w:t>
      </w:r>
      <w:r w:rsidR="00EC3AC5">
        <w:rPr>
          <w:lang w:val="en-US"/>
        </w:rPr>
        <w:t xml:space="preserve">, especially </w:t>
      </w:r>
      <w:r>
        <w:rPr>
          <w:lang w:val="en-US"/>
        </w:rPr>
        <w:t xml:space="preserve">the </w:t>
      </w:r>
      <w:r w:rsidR="00EC3AC5">
        <w:rPr>
          <w:lang w:val="en-US"/>
        </w:rPr>
        <w:t>banking sector</w:t>
      </w:r>
      <w:r>
        <w:rPr>
          <w:lang w:val="en-US"/>
        </w:rPr>
        <w:t>s</w:t>
      </w:r>
      <w:r w:rsidR="009547C9">
        <w:rPr>
          <w:lang w:val="en-US"/>
        </w:rPr>
        <w:t xml:space="preserve"> of Croatia and Macedonia </w:t>
      </w:r>
      <w:r w:rsidR="00AA4F53">
        <w:rPr>
          <w:lang w:val="en-US"/>
        </w:rPr>
        <w:t>had</w:t>
      </w:r>
      <w:r w:rsidR="009547C9">
        <w:rPr>
          <w:lang w:val="en-US"/>
        </w:rPr>
        <w:t xml:space="preserve"> </w:t>
      </w:r>
      <w:r>
        <w:rPr>
          <w:lang w:val="en-US"/>
        </w:rPr>
        <w:t xml:space="preserve">the </w:t>
      </w:r>
      <w:r w:rsidR="009547C9">
        <w:rPr>
          <w:lang w:val="en-US"/>
        </w:rPr>
        <w:t xml:space="preserve">same starting position in </w:t>
      </w:r>
      <w:r w:rsidR="00EC3AC5">
        <w:rPr>
          <w:lang w:val="en-US"/>
        </w:rPr>
        <w:t>1991</w:t>
      </w:r>
      <w:r w:rsidR="00EC3AC5">
        <w:rPr>
          <w:rFonts w:cs="Times New Roman"/>
          <w:lang w:val="en-US"/>
        </w:rPr>
        <w:t>—</w:t>
      </w:r>
      <w:r w:rsidR="009547C9">
        <w:rPr>
          <w:lang w:val="en-US"/>
        </w:rPr>
        <w:t>the years of the</w:t>
      </w:r>
      <w:r>
        <w:rPr>
          <w:lang w:val="en-US"/>
        </w:rPr>
        <w:t>ir</w:t>
      </w:r>
      <w:r w:rsidR="009547C9">
        <w:rPr>
          <w:lang w:val="en-US"/>
        </w:rPr>
        <w:t xml:space="preserve"> independence, but as will </w:t>
      </w:r>
      <w:r>
        <w:rPr>
          <w:lang w:val="en-US"/>
        </w:rPr>
        <w:t xml:space="preserve">be seen, their </w:t>
      </w:r>
      <w:r w:rsidR="009547C9">
        <w:rPr>
          <w:lang w:val="en-US"/>
        </w:rPr>
        <w:t>current position is generally similar</w:t>
      </w:r>
      <w:r>
        <w:rPr>
          <w:lang w:val="en-US"/>
        </w:rPr>
        <w:t>, yet</w:t>
      </w:r>
      <w:r w:rsidR="009547C9">
        <w:rPr>
          <w:lang w:val="en-US"/>
        </w:rPr>
        <w:t xml:space="preserve"> with some </w:t>
      </w:r>
      <w:r>
        <w:rPr>
          <w:lang w:val="en-US"/>
        </w:rPr>
        <w:t xml:space="preserve">notable </w:t>
      </w:r>
      <w:r w:rsidR="009547C9">
        <w:rPr>
          <w:lang w:val="en-US"/>
        </w:rPr>
        <w:t>differences.</w:t>
      </w:r>
      <w:r w:rsidR="00EC3AC5">
        <w:rPr>
          <w:lang w:val="en-US"/>
        </w:rPr>
        <w:t xml:space="preserve"> Croatia </w:t>
      </w:r>
      <w:r w:rsidR="00AA4F53">
        <w:rPr>
          <w:lang w:val="en-US"/>
        </w:rPr>
        <w:t>has</w:t>
      </w:r>
      <w:r w:rsidR="00EC3AC5">
        <w:rPr>
          <w:lang w:val="en-US"/>
        </w:rPr>
        <w:t xml:space="preserve"> emerged from Yugoslavia as far </w:t>
      </w:r>
      <w:r>
        <w:rPr>
          <w:lang w:val="en-US"/>
        </w:rPr>
        <w:t xml:space="preserve">more </w:t>
      </w:r>
      <w:r w:rsidR="00EC3AC5">
        <w:rPr>
          <w:lang w:val="en-US"/>
        </w:rPr>
        <w:t xml:space="preserve">economically developed </w:t>
      </w:r>
      <w:r w:rsidR="00F2793E">
        <w:rPr>
          <w:lang w:val="en-US"/>
        </w:rPr>
        <w:t>country</w:t>
      </w:r>
      <w:r w:rsidR="00AA4F53">
        <w:rPr>
          <w:lang w:val="en-US"/>
        </w:rPr>
        <w:t xml:space="preserve"> </w:t>
      </w:r>
      <w:r>
        <w:rPr>
          <w:lang w:val="en-US"/>
        </w:rPr>
        <w:t>tha</w:t>
      </w:r>
      <w:r w:rsidR="00EC3AC5">
        <w:rPr>
          <w:lang w:val="en-US"/>
        </w:rPr>
        <w:t>n Macedonia</w:t>
      </w:r>
      <w:r>
        <w:rPr>
          <w:lang w:val="en-US"/>
        </w:rPr>
        <w:t xml:space="preserve">, </w:t>
      </w:r>
      <w:r w:rsidR="00EC3AC5">
        <w:rPr>
          <w:lang w:val="en-US"/>
        </w:rPr>
        <w:t xml:space="preserve">and </w:t>
      </w:r>
      <w:r>
        <w:rPr>
          <w:lang w:val="en-US"/>
        </w:rPr>
        <w:t xml:space="preserve">this </w:t>
      </w:r>
      <w:r w:rsidR="00EC3AC5">
        <w:rPr>
          <w:lang w:val="en-US"/>
        </w:rPr>
        <w:t xml:space="preserve">different degree of </w:t>
      </w:r>
      <w:r>
        <w:rPr>
          <w:lang w:val="en-US"/>
        </w:rPr>
        <w:t>economic development has had a</w:t>
      </w:r>
      <w:r w:rsidR="00EC3AC5">
        <w:rPr>
          <w:lang w:val="en-US"/>
        </w:rPr>
        <w:t xml:space="preserve"> direct impact </w:t>
      </w:r>
      <w:r>
        <w:rPr>
          <w:lang w:val="en-US"/>
        </w:rPr>
        <w:t xml:space="preserve">on </w:t>
      </w:r>
      <w:r w:rsidR="00EC3AC5">
        <w:rPr>
          <w:lang w:val="en-US"/>
        </w:rPr>
        <w:t xml:space="preserve">the differences that are </w:t>
      </w:r>
      <w:r>
        <w:rPr>
          <w:lang w:val="en-US"/>
        </w:rPr>
        <w:t xml:space="preserve">so obvious </w:t>
      </w:r>
      <w:r w:rsidR="00EC3AC5">
        <w:rPr>
          <w:lang w:val="en-US"/>
        </w:rPr>
        <w:t>today.</w:t>
      </w:r>
      <w:r w:rsidR="00AA4F53">
        <w:rPr>
          <w:lang w:val="en-US"/>
        </w:rPr>
        <w:t xml:space="preserve"> It should be mentioned that Croatia has passed through war</w:t>
      </w:r>
      <w:r>
        <w:rPr>
          <w:lang w:val="en-US"/>
        </w:rPr>
        <w:t>,</w:t>
      </w:r>
      <w:r w:rsidR="00AA4F53">
        <w:rPr>
          <w:lang w:val="en-US"/>
        </w:rPr>
        <w:t xml:space="preserve"> </w:t>
      </w:r>
      <w:r>
        <w:rPr>
          <w:lang w:val="en-US"/>
        </w:rPr>
        <w:t xml:space="preserve">which proved to be a significant obstacle </w:t>
      </w:r>
      <w:r w:rsidR="00AA4F53">
        <w:rPr>
          <w:lang w:val="en-US"/>
        </w:rPr>
        <w:t xml:space="preserve">for </w:t>
      </w:r>
      <w:r>
        <w:rPr>
          <w:lang w:val="en-US"/>
        </w:rPr>
        <w:t xml:space="preserve">an </w:t>
      </w:r>
      <w:r w:rsidR="00AA4F53">
        <w:rPr>
          <w:lang w:val="en-US"/>
        </w:rPr>
        <w:t xml:space="preserve">even greater development of the financial sector and </w:t>
      </w:r>
      <w:r>
        <w:rPr>
          <w:lang w:val="en-US"/>
        </w:rPr>
        <w:t xml:space="preserve">the </w:t>
      </w:r>
      <w:r w:rsidR="00AA4F53">
        <w:rPr>
          <w:lang w:val="en-US"/>
        </w:rPr>
        <w:t xml:space="preserve">economy </w:t>
      </w:r>
      <w:r w:rsidR="00A4749C">
        <w:rPr>
          <w:lang w:val="en-US"/>
        </w:rPr>
        <w:t>in general</w:t>
      </w:r>
      <w:r w:rsidR="00AA4F53">
        <w:rPr>
          <w:lang w:val="en-US"/>
        </w:rPr>
        <w:t>. Also</w:t>
      </w:r>
      <w:r>
        <w:rPr>
          <w:lang w:val="en-US"/>
        </w:rPr>
        <w:t>, during 2001,</w:t>
      </w:r>
      <w:r w:rsidR="00AA4F53">
        <w:rPr>
          <w:lang w:val="en-US"/>
        </w:rPr>
        <w:t xml:space="preserve"> Macedonia </w:t>
      </w:r>
      <w:r>
        <w:rPr>
          <w:lang w:val="en-US"/>
        </w:rPr>
        <w:t xml:space="preserve">experience an internal armed </w:t>
      </w:r>
      <w:r w:rsidR="007D3A77">
        <w:rPr>
          <w:lang w:val="en-US"/>
        </w:rPr>
        <w:t>conflict</w:t>
      </w:r>
      <w:r>
        <w:rPr>
          <w:lang w:val="en-US"/>
        </w:rPr>
        <w:t>, known as the ‘</w:t>
      </w:r>
      <w:r w:rsidR="00A4749C">
        <w:rPr>
          <w:rFonts w:cs="Times New Roman"/>
          <w:lang w:val="en-US"/>
        </w:rPr>
        <w:t>A</w:t>
      </w:r>
      <w:r w:rsidR="00A4749C" w:rsidRPr="00A4749C">
        <w:rPr>
          <w:lang w:val="en-US"/>
        </w:rPr>
        <w:t>lbanian insurgency</w:t>
      </w:r>
      <w:r>
        <w:rPr>
          <w:lang w:val="en-US"/>
        </w:rPr>
        <w:t>’, which</w:t>
      </w:r>
      <w:r w:rsidR="00A4749C">
        <w:rPr>
          <w:lang w:val="en-US"/>
        </w:rPr>
        <w:t xml:space="preserve"> also had a great influence </w:t>
      </w:r>
      <w:r>
        <w:rPr>
          <w:lang w:val="en-US"/>
        </w:rPr>
        <w:t xml:space="preserve">on </w:t>
      </w:r>
      <w:r w:rsidR="00A4749C">
        <w:rPr>
          <w:lang w:val="en-US"/>
        </w:rPr>
        <w:t xml:space="preserve">the </w:t>
      </w:r>
      <w:r>
        <w:rPr>
          <w:lang w:val="en-US"/>
        </w:rPr>
        <w:t xml:space="preserve">success of </w:t>
      </w:r>
      <w:r w:rsidR="00A4749C">
        <w:rPr>
          <w:lang w:val="en-US"/>
        </w:rPr>
        <w:t>furt</w:t>
      </w:r>
      <w:r>
        <w:rPr>
          <w:lang w:val="en-US"/>
        </w:rPr>
        <w:t xml:space="preserve">her, </w:t>
      </w:r>
      <w:r w:rsidR="00F2793E">
        <w:rPr>
          <w:lang w:val="en-US"/>
        </w:rPr>
        <w:t xml:space="preserve">already </w:t>
      </w:r>
      <w:r w:rsidR="00A4749C">
        <w:rPr>
          <w:lang w:val="en-US"/>
        </w:rPr>
        <w:t>started development of the financial sector</w:t>
      </w:r>
      <w:r>
        <w:rPr>
          <w:lang w:val="en-US"/>
        </w:rPr>
        <w:t>,</w:t>
      </w:r>
      <w:r w:rsidR="00A4749C">
        <w:rPr>
          <w:lang w:val="en-US"/>
        </w:rPr>
        <w:t xml:space="preserve"> and </w:t>
      </w:r>
      <w:r>
        <w:rPr>
          <w:lang w:val="en-US"/>
        </w:rPr>
        <w:t xml:space="preserve">the </w:t>
      </w:r>
      <w:r w:rsidR="00A4749C">
        <w:rPr>
          <w:lang w:val="en-US"/>
        </w:rPr>
        <w:t xml:space="preserve">economy in general. </w:t>
      </w:r>
    </w:p>
    <w:p w:rsidR="00604C6B" w:rsidRDefault="005819F6" w:rsidP="00EC3AC5">
      <w:pPr>
        <w:ind w:firstLine="567"/>
        <w:jc w:val="both"/>
        <w:rPr>
          <w:lang w:val="en-US"/>
        </w:rPr>
      </w:pPr>
      <w:r>
        <w:rPr>
          <w:lang w:val="en-US"/>
        </w:rPr>
        <w:t xml:space="preserve">In the analysis of the financial and banking sector it is necessary to highlight the importance of the privatization of banks, and to emphasize their influence </w:t>
      </w:r>
      <w:r w:rsidR="0045691A">
        <w:rPr>
          <w:lang w:val="en-US"/>
        </w:rPr>
        <w:t xml:space="preserve">on </w:t>
      </w:r>
      <w:r>
        <w:rPr>
          <w:lang w:val="en-US"/>
        </w:rPr>
        <w:t xml:space="preserve">the development of the financial sector. Privatization of the banking sector </w:t>
      </w:r>
      <w:r w:rsidR="00604C6B">
        <w:rPr>
          <w:lang w:val="en-US"/>
        </w:rPr>
        <w:t xml:space="preserve">and entry of the banks in foreign ownership on the Croatian financial market </w:t>
      </w:r>
      <w:r>
        <w:rPr>
          <w:lang w:val="en-US"/>
        </w:rPr>
        <w:t xml:space="preserve">started in 1994 and </w:t>
      </w:r>
      <w:r w:rsidR="0045691A">
        <w:rPr>
          <w:lang w:val="en-US"/>
        </w:rPr>
        <w:t xml:space="preserve">since </w:t>
      </w:r>
      <w:r w:rsidR="00604C6B">
        <w:rPr>
          <w:lang w:val="en-US"/>
        </w:rPr>
        <w:t xml:space="preserve">then </w:t>
      </w:r>
      <w:r w:rsidR="0045691A">
        <w:rPr>
          <w:lang w:val="en-US"/>
        </w:rPr>
        <w:t xml:space="preserve">has passed through </w:t>
      </w:r>
      <w:r w:rsidR="00604C6B">
        <w:rPr>
          <w:lang w:val="en-US"/>
        </w:rPr>
        <w:t xml:space="preserve">different </w:t>
      </w:r>
      <w:r w:rsidR="0045691A">
        <w:rPr>
          <w:lang w:val="en-US"/>
        </w:rPr>
        <w:t xml:space="preserve">stages of </w:t>
      </w:r>
      <w:r w:rsidR="00604C6B">
        <w:rPr>
          <w:lang w:val="en-US"/>
        </w:rPr>
        <w:t>intensity and volume</w:t>
      </w:r>
      <w:r w:rsidR="0045691A">
        <w:rPr>
          <w:lang w:val="en-US"/>
        </w:rPr>
        <w:t xml:space="preserve">. It </w:t>
      </w:r>
      <w:r w:rsidR="00604C6B">
        <w:rPr>
          <w:lang w:val="en-US"/>
        </w:rPr>
        <w:t xml:space="preserve">should be emphasized that </w:t>
      </w:r>
      <w:r>
        <w:rPr>
          <w:lang w:val="en-US"/>
        </w:rPr>
        <w:t>this process is still in progress</w:t>
      </w:r>
      <w:r w:rsidR="0045691A">
        <w:rPr>
          <w:lang w:val="en-US"/>
        </w:rPr>
        <w:t>, as can</w:t>
      </w:r>
      <w:r w:rsidR="00604C6B">
        <w:rPr>
          <w:lang w:val="en-US"/>
        </w:rPr>
        <w:t xml:space="preserve"> be seen in </w:t>
      </w:r>
      <w:r w:rsidR="0045691A">
        <w:rPr>
          <w:lang w:val="en-US"/>
        </w:rPr>
        <w:t>T</w:t>
      </w:r>
      <w:r w:rsidR="00604C6B">
        <w:rPr>
          <w:lang w:val="en-US"/>
        </w:rPr>
        <w:t>able 1.</w:t>
      </w:r>
    </w:p>
    <w:p w:rsidR="00604C6B" w:rsidRDefault="00604C6B" w:rsidP="00604C6B">
      <w:pPr>
        <w:jc w:val="both"/>
        <w:rPr>
          <w:lang w:val="en-US"/>
        </w:rPr>
      </w:pPr>
    </w:p>
    <w:p w:rsidR="00604C6B" w:rsidRDefault="00604C6B" w:rsidP="00604C6B">
      <w:pPr>
        <w:jc w:val="both"/>
        <w:rPr>
          <w:lang w:val="en-US"/>
        </w:rPr>
      </w:pPr>
      <w:r>
        <w:rPr>
          <w:lang w:val="en-US"/>
        </w:rPr>
        <w:t>Table 1 Ownership structure of the banks in Croatia in period 2003</w:t>
      </w:r>
      <w:r>
        <w:rPr>
          <w:rFonts w:cs="Times New Roman"/>
          <w:lang w:val="en-US"/>
        </w:rPr>
        <w:t>–</w:t>
      </w:r>
      <w:r>
        <w:rPr>
          <w:lang w:val="en-US"/>
        </w:rPr>
        <w:t xml:space="preserve">2011 </w:t>
      </w:r>
    </w:p>
    <w:tbl>
      <w:tblPr>
        <w:tblW w:w="9079" w:type="dxa"/>
        <w:tblInd w:w="93" w:type="dxa"/>
        <w:tblLook w:val="04A0" w:firstRow="1" w:lastRow="0" w:firstColumn="1" w:lastColumn="0" w:noHBand="0" w:noVBand="1"/>
      </w:tblPr>
      <w:tblGrid>
        <w:gridCol w:w="2422"/>
        <w:gridCol w:w="721"/>
        <w:gridCol w:w="742"/>
        <w:gridCol w:w="742"/>
        <w:gridCol w:w="742"/>
        <w:gridCol w:w="742"/>
        <w:gridCol w:w="742"/>
        <w:gridCol w:w="742"/>
        <w:gridCol w:w="742"/>
        <w:gridCol w:w="742"/>
      </w:tblGrid>
      <w:tr w:rsidR="00A1335A" w:rsidRPr="00604C6B" w:rsidTr="0056703D">
        <w:trPr>
          <w:trHeight w:val="243"/>
        </w:trPr>
        <w:tc>
          <w:tcPr>
            <w:tcW w:w="2422" w:type="dxa"/>
            <w:tcBorders>
              <w:top w:val="single" w:sz="4" w:space="0" w:color="auto"/>
            </w:tcBorders>
            <w:shd w:val="clear" w:color="auto" w:fill="auto"/>
            <w:noWrap/>
            <w:vAlign w:val="bottom"/>
            <w:hideMark/>
          </w:tcPr>
          <w:p w:rsidR="00A1335A" w:rsidRPr="00604C6B" w:rsidRDefault="00A1335A" w:rsidP="00604C6B">
            <w:pPr>
              <w:rPr>
                <w:rFonts w:eastAsia="Times New Roman" w:cs="Times New Roman"/>
                <w:color w:val="000000"/>
                <w:sz w:val="22"/>
                <w:lang w:eastAsia="hr-HR"/>
              </w:rPr>
            </w:pPr>
          </w:p>
        </w:tc>
        <w:tc>
          <w:tcPr>
            <w:tcW w:w="6657" w:type="dxa"/>
            <w:gridSpan w:val="9"/>
            <w:tcBorders>
              <w:top w:val="single" w:sz="4" w:space="0" w:color="auto"/>
            </w:tcBorders>
            <w:shd w:val="clear" w:color="auto" w:fill="auto"/>
            <w:noWrap/>
            <w:vAlign w:val="bottom"/>
          </w:tcPr>
          <w:p w:rsidR="00A1335A" w:rsidRPr="00604C6B" w:rsidRDefault="00A1335A" w:rsidP="00A1335A">
            <w:pPr>
              <w:jc w:val="center"/>
              <w:rPr>
                <w:rFonts w:eastAsia="Times New Roman" w:cs="Times New Roman"/>
                <w:color w:val="000000"/>
                <w:sz w:val="22"/>
                <w:lang w:eastAsia="hr-HR"/>
              </w:rPr>
            </w:pPr>
            <w:proofErr w:type="spellStart"/>
            <w:r>
              <w:rPr>
                <w:rFonts w:eastAsia="Times New Roman" w:cs="Times New Roman"/>
                <w:color w:val="000000"/>
                <w:sz w:val="22"/>
                <w:lang w:eastAsia="hr-HR"/>
              </w:rPr>
              <w:t>Year</w:t>
            </w:r>
            <w:proofErr w:type="spellEnd"/>
          </w:p>
        </w:tc>
      </w:tr>
      <w:tr w:rsidR="00A1335A" w:rsidRPr="00604C6B" w:rsidTr="00C94201">
        <w:trPr>
          <w:trHeight w:val="243"/>
        </w:trPr>
        <w:tc>
          <w:tcPr>
            <w:tcW w:w="2422" w:type="dxa"/>
            <w:tcBorders>
              <w:bottom w:val="single" w:sz="4" w:space="0" w:color="auto"/>
            </w:tcBorders>
            <w:shd w:val="clear" w:color="auto" w:fill="auto"/>
            <w:noWrap/>
            <w:vAlign w:val="bottom"/>
          </w:tcPr>
          <w:p w:rsidR="00A1335A" w:rsidRPr="00C94201" w:rsidRDefault="00A1335A" w:rsidP="00604C6B">
            <w:pPr>
              <w:rPr>
                <w:rFonts w:eastAsia="Times New Roman" w:cs="Times New Roman"/>
                <w:color w:val="000000"/>
                <w:sz w:val="22"/>
                <w:lang w:val="en-US" w:eastAsia="hr-HR"/>
              </w:rPr>
            </w:pPr>
            <w:r w:rsidRPr="00604C6B">
              <w:rPr>
                <w:rFonts w:eastAsia="Times New Roman" w:cs="Times New Roman"/>
                <w:color w:val="000000"/>
                <w:sz w:val="22"/>
                <w:lang w:val="en-US" w:eastAsia="hr-HR"/>
              </w:rPr>
              <w:t>Type of ownership</w:t>
            </w:r>
          </w:p>
        </w:tc>
        <w:tc>
          <w:tcPr>
            <w:tcW w:w="721" w:type="dxa"/>
            <w:tcBorders>
              <w:bottom w:val="single" w:sz="4" w:space="0" w:color="auto"/>
            </w:tcBorders>
            <w:shd w:val="clear" w:color="auto" w:fill="auto"/>
            <w:noWrap/>
            <w:vAlign w:val="bottom"/>
          </w:tcPr>
          <w:p w:rsidR="00A1335A" w:rsidRPr="00604C6B" w:rsidRDefault="00A1335A" w:rsidP="008A2689">
            <w:pPr>
              <w:jc w:val="right"/>
              <w:rPr>
                <w:rFonts w:eastAsia="Times New Roman" w:cs="Times New Roman"/>
                <w:color w:val="000000"/>
                <w:sz w:val="22"/>
                <w:lang w:eastAsia="hr-HR"/>
              </w:rPr>
            </w:pPr>
            <w:r w:rsidRPr="00604C6B">
              <w:rPr>
                <w:rFonts w:eastAsia="Times New Roman" w:cs="Times New Roman"/>
                <w:color w:val="000000"/>
                <w:sz w:val="22"/>
                <w:lang w:eastAsia="hr-HR"/>
              </w:rPr>
              <w:t>2003</w:t>
            </w:r>
          </w:p>
        </w:tc>
        <w:tc>
          <w:tcPr>
            <w:tcW w:w="742" w:type="dxa"/>
            <w:tcBorders>
              <w:bottom w:val="single" w:sz="4" w:space="0" w:color="auto"/>
            </w:tcBorders>
            <w:shd w:val="clear" w:color="auto" w:fill="auto"/>
            <w:noWrap/>
            <w:vAlign w:val="bottom"/>
          </w:tcPr>
          <w:p w:rsidR="00A1335A" w:rsidRPr="00604C6B" w:rsidRDefault="00A1335A" w:rsidP="008A2689">
            <w:pPr>
              <w:jc w:val="right"/>
              <w:rPr>
                <w:rFonts w:eastAsia="Times New Roman" w:cs="Times New Roman"/>
                <w:color w:val="000000"/>
                <w:sz w:val="22"/>
                <w:lang w:eastAsia="hr-HR"/>
              </w:rPr>
            </w:pPr>
            <w:r w:rsidRPr="00604C6B">
              <w:rPr>
                <w:rFonts w:eastAsia="Times New Roman" w:cs="Times New Roman"/>
                <w:color w:val="000000"/>
                <w:sz w:val="22"/>
                <w:lang w:eastAsia="hr-HR"/>
              </w:rPr>
              <w:t>2004</w:t>
            </w:r>
          </w:p>
        </w:tc>
        <w:tc>
          <w:tcPr>
            <w:tcW w:w="742" w:type="dxa"/>
            <w:tcBorders>
              <w:bottom w:val="single" w:sz="4" w:space="0" w:color="auto"/>
            </w:tcBorders>
            <w:shd w:val="clear" w:color="auto" w:fill="auto"/>
            <w:noWrap/>
            <w:vAlign w:val="bottom"/>
          </w:tcPr>
          <w:p w:rsidR="00A1335A" w:rsidRPr="00604C6B" w:rsidRDefault="00A1335A" w:rsidP="008A2689">
            <w:pPr>
              <w:jc w:val="right"/>
              <w:rPr>
                <w:rFonts w:eastAsia="Times New Roman" w:cs="Times New Roman"/>
                <w:color w:val="000000"/>
                <w:sz w:val="22"/>
                <w:lang w:eastAsia="hr-HR"/>
              </w:rPr>
            </w:pPr>
            <w:r w:rsidRPr="00604C6B">
              <w:rPr>
                <w:rFonts w:eastAsia="Times New Roman" w:cs="Times New Roman"/>
                <w:color w:val="000000"/>
                <w:sz w:val="22"/>
                <w:lang w:eastAsia="hr-HR"/>
              </w:rPr>
              <w:t>2005</w:t>
            </w:r>
          </w:p>
        </w:tc>
        <w:tc>
          <w:tcPr>
            <w:tcW w:w="742" w:type="dxa"/>
            <w:tcBorders>
              <w:bottom w:val="single" w:sz="4" w:space="0" w:color="auto"/>
            </w:tcBorders>
            <w:shd w:val="clear" w:color="auto" w:fill="auto"/>
            <w:noWrap/>
            <w:vAlign w:val="bottom"/>
          </w:tcPr>
          <w:p w:rsidR="00A1335A" w:rsidRPr="00604C6B" w:rsidRDefault="00A1335A" w:rsidP="008A2689">
            <w:pPr>
              <w:jc w:val="right"/>
              <w:rPr>
                <w:rFonts w:eastAsia="Times New Roman" w:cs="Times New Roman"/>
                <w:color w:val="000000"/>
                <w:sz w:val="22"/>
                <w:lang w:eastAsia="hr-HR"/>
              </w:rPr>
            </w:pPr>
            <w:r w:rsidRPr="00604C6B">
              <w:rPr>
                <w:rFonts w:eastAsia="Times New Roman" w:cs="Times New Roman"/>
                <w:color w:val="000000"/>
                <w:sz w:val="22"/>
                <w:lang w:eastAsia="hr-HR"/>
              </w:rPr>
              <w:t>2006</w:t>
            </w:r>
          </w:p>
        </w:tc>
        <w:tc>
          <w:tcPr>
            <w:tcW w:w="742" w:type="dxa"/>
            <w:tcBorders>
              <w:bottom w:val="single" w:sz="4" w:space="0" w:color="auto"/>
            </w:tcBorders>
            <w:shd w:val="clear" w:color="auto" w:fill="auto"/>
            <w:noWrap/>
            <w:vAlign w:val="bottom"/>
          </w:tcPr>
          <w:p w:rsidR="00A1335A" w:rsidRPr="00604C6B" w:rsidRDefault="00A1335A" w:rsidP="008A2689">
            <w:pPr>
              <w:jc w:val="right"/>
              <w:rPr>
                <w:rFonts w:eastAsia="Times New Roman" w:cs="Times New Roman"/>
                <w:color w:val="000000"/>
                <w:sz w:val="22"/>
                <w:lang w:eastAsia="hr-HR"/>
              </w:rPr>
            </w:pPr>
            <w:r w:rsidRPr="00604C6B">
              <w:rPr>
                <w:rFonts w:eastAsia="Times New Roman" w:cs="Times New Roman"/>
                <w:color w:val="000000"/>
                <w:sz w:val="22"/>
                <w:lang w:eastAsia="hr-HR"/>
              </w:rPr>
              <w:t>2007</w:t>
            </w:r>
          </w:p>
        </w:tc>
        <w:tc>
          <w:tcPr>
            <w:tcW w:w="742" w:type="dxa"/>
            <w:tcBorders>
              <w:bottom w:val="single" w:sz="4" w:space="0" w:color="auto"/>
            </w:tcBorders>
            <w:shd w:val="clear" w:color="auto" w:fill="auto"/>
            <w:noWrap/>
            <w:vAlign w:val="bottom"/>
          </w:tcPr>
          <w:p w:rsidR="00A1335A" w:rsidRPr="00604C6B" w:rsidRDefault="00A1335A" w:rsidP="008A2689">
            <w:pPr>
              <w:jc w:val="right"/>
              <w:rPr>
                <w:rFonts w:eastAsia="Times New Roman" w:cs="Times New Roman"/>
                <w:color w:val="000000"/>
                <w:sz w:val="22"/>
                <w:lang w:eastAsia="hr-HR"/>
              </w:rPr>
            </w:pPr>
            <w:r w:rsidRPr="00604C6B">
              <w:rPr>
                <w:rFonts w:eastAsia="Times New Roman" w:cs="Times New Roman"/>
                <w:color w:val="000000"/>
                <w:sz w:val="22"/>
                <w:lang w:eastAsia="hr-HR"/>
              </w:rPr>
              <w:t>2008</w:t>
            </w:r>
          </w:p>
        </w:tc>
        <w:tc>
          <w:tcPr>
            <w:tcW w:w="742" w:type="dxa"/>
            <w:tcBorders>
              <w:bottom w:val="single" w:sz="4" w:space="0" w:color="auto"/>
            </w:tcBorders>
            <w:shd w:val="clear" w:color="auto" w:fill="auto"/>
            <w:noWrap/>
            <w:vAlign w:val="bottom"/>
          </w:tcPr>
          <w:p w:rsidR="00A1335A" w:rsidRPr="00604C6B" w:rsidRDefault="00A1335A" w:rsidP="008A2689">
            <w:pPr>
              <w:jc w:val="right"/>
              <w:rPr>
                <w:rFonts w:eastAsia="Times New Roman" w:cs="Times New Roman"/>
                <w:color w:val="000000"/>
                <w:sz w:val="22"/>
                <w:lang w:eastAsia="hr-HR"/>
              </w:rPr>
            </w:pPr>
            <w:r w:rsidRPr="00604C6B">
              <w:rPr>
                <w:rFonts w:eastAsia="Times New Roman" w:cs="Times New Roman"/>
                <w:color w:val="000000"/>
                <w:sz w:val="22"/>
                <w:lang w:eastAsia="hr-HR"/>
              </w:rPr>
              <w:t>2009</w:t>
            </w:r>
          </w:p>
        </w:tc>
        <w:tc>
          <w:tcPr>
            <w:tcW w:w="742" w:type="dxa"/>
            <w:tcBorders>
              <w:bottom w:val="single" w:sz="4" w:space="0" w:color="auto"/>
            </w:tcBorders>
            <w:shd w:val="clear" w:color="auto" w:fill="auto"/>
            <w:noWrap/>
            <w:vAlign w:val="bottom"/>
          </w:tcPr>
          <w:p w:rsidR="00A1335A" w:rsidRPr="00604C6B" w:rsidRDefault="00A1335A" w:rsidP="008A2689">
            <w:pPr>
              <w:jc w:val="right"/>
              <w:rPr>
                <w:rFonts w:eastAsia="Times New Roman" w:cs="Times New Roman"/>
                <w:color w:val="000000"/>
                <w:sz w:val="22"/>
                <w:lang w:eastAsia="hr-HR"/>
              </w:rPr>
            </w:pPr>
            <w:r w:rsidRPr="00604C6B">
              <w:rPr>
                <w:rFonts w:eastAsia="Times New Roman" w:cs="Times New Roman"/>
                <w:color w:val="000000"/>
                <w:sz w:val="22"/>
                <w:lang w:eastAsia="hr-HR"/>
              </w:rPr>
              <w:t>2010</w:t>
            </w:r>
          </w:p>
        </w:tc>
        <w:tc>
          <w:tcPr>
            <w:tcW w:w="742" w:type="dxa"/>
            <w:tcBorders>
              <w:bottom w:val="single" w:sz="4" w:space="0" w:color="auto"/>
            </w:tcBorders>
            <w:shd w:val="clear" w:color="auto" w:fill="auto"/>
            <w:noWrap/>
            <w:vAlign w:val="bottom"/>
          </w:tcPr>
          <w:p w:rsidR="00A1335A" w:rsidRPr="00604C6B" w:rsidRDefault="00A1335A" w:rsidP="008A2689">
            <w:pPr>
              <w:jc w:val="right"/>
              <w:rPr>
                <w:rFonts w:eastAsia="Times New Roman" w:cs="Times New Roman"/>
                <w:color w:val="000000"/>
                <w:sz w:val="22"/>
                <w:lang w:eastAsia="hr-HR"/>
              </w:rPr>
            </w:pPr>
            <w:r w:rsidRPr="00604C6B">
              <w:rPr>
                <w:rFonts w:eastAsia="Times New Roman" w:cs="Times New Roman"/>
                <w:color w:val="000000"/>
                <w:sz w:val="22"/>
                <w:lang w:eastAsia="hr-HR"/>
              </w:rPr>
              <w:t>2011</w:t>
            </w:r>
          </w:p>
        </w:tc>
      </w:tr>
      <w:tr w:rsidR="00A1335A" w:rsidRPr="00604C6B" w:rsidTr="00C94201">
        <w:trPr>
          <w:trHeight w:val="243"/>
        </w:trPr>
        <w:tc>
          <w:tcPr>
            <w:tcW w:w="2422" w:type="dxa"/>
            <w:tcBorders>
              <w:top w:val="single" w:sz="4" w:space="0" w:color="auto"/>
            </w:tcBorders>
            <w:shd w:val="clear" w:color="auto" w:fill="auto"/>
            <w:noWrap/>
            <w:vAlign w:val="bottom"/>
            <w:hideMark/>
          </w:tcPr>
          <w:p w:rsidR="00A1335A" w:rsidRPr="00604C6B" w:rsidRDefault="00A1335A" w:rsidP="00604C6B">
            <w:pPr>
              <w:rPr>
                <w:rFonts w:eastAsia="Times New Roman" w:cs="Times New Roman"/>
                <w:color w:val="000000"/>
                <w:sz w:val="22"/>
                <w:lang w:val="en-US" w:eastAsia="hr-HR"/>
              </w:rPr>
            </w:pPr>
            <w:r w:rsidRPr="00604C6B">
              <w:rPr>
                <w:rFonts w:eastAsia="Times New Roman" w:cs="Times New Roman"/>
                <w:color w:val="000000"/>
                <w:sz w:val="22"/>
                <w:lang w:val="en-US" w:eastAsia="hr-HR"/>
              </w:rPr>
              <w:t>Domestic private banks</w:t>
            </w:r>
          </w:p>
        </w:tc>
        <w:tc>
          <w:tcPr>
            <w:tcW w:w="721" w:type="dxa"/>
            <w:tcBorders>
              <w:top w:val="single" w:sz="4" w:space="0" w:color="auto"/>
            </w:tcBorders>
            <w:shd w:val="clear" w:color="auto" w:fill="auto"/>
            <w:noWrap/>
            <w:vAlign w:val="bottom"/>
          </w:tcPr>
          <w:p w:rsidR="00A1335A" w:rsidRDefault="00A1335A">
            <w:pPr>
              <w:jc w:val="right"/>
              <w:rPr>
                <w:color w:val="000000"/>
                <w:sz w:val="22"/>
              </w:rPr>
            </w:pPr>
            <w:r>
              <w:rPr>
                <w:color w:val="000000"/>
                <w:sz w:val="22"/>
              </w:rPr>
              <w:t>20</w:t>
            </w:r>
          </w:p>
        </w:tc>
        <w:tc>
          <w:tcPr>
            <w:tcW w:w="742" w:type="dxa"/>
            <w:tcBorders>
              <w:top w:val="single" w:sz="4" w:space="0" w:color="auto"/>
            </w:tcBorders>
            <w:shd w:val="clear" w:color="auto" w:fill="auto"/>
            <w:noWrap/>
            <w:vAlign w:val="bottom"/>
          </w:tcPr>
          <w:p w:rsidR="00A1335A" w:rsidRDefault="00A1335A">
            <w:pPr>
              <w:jc w:val="right"/>
              <w:rPr>
                <w:color w:val="000000"/>
                <w:sz w:val="22"/>
              </w:rPr>
            </w:pPr>
            <w:r>
              <w:rPr>
                <w:color w:val="000000"/>
                <w:sz w:val="22"/>
              </w:rPr>
              <w:t>20</w:t>
            </w:r>
          </w:p>
        </w:tc>
        <w:tc>
          <w:tcPr>
            <w:tcW w:w="742" w:type="dxa"/>
            <w:tcBorders>
              <w:top w:val="single" w:sz="4" w:space="0" w:color="auto"/>
            </w:tcBorders>
            <w:shd w:val="clear" w:color="auto" w:fill="auto"/>
            <w:noWrap/>
            <w:vAlign w:val="bottom"/>
          </w:tcPr>
          <w:p w:rsidR="00A1335A" w:rsidRDefault="00A1335A">
            <w:pPr>
              <w:jc w:val="right"/>
              <w:rPr>
                <w:color w:val="000000"/>
                <w:sz w:val="22"/>
              </w:rPr>
            </w:pPr>
            <w:r>
              <w:rPr>
                <w:color w:val="000000"/>
                <w:sz w:val="22"/>
              </w:rPr>
              <w:t>18</w:t>
            </w:r>
          </w:p>
        </w:tc>
        <w:tc>
          <w:tcPr>
            <w:tcW w:w="742" w:type="dxa"/>
            <w:tcBorders>
              <w:top w:val="single" w:sz="4" w:space="0" w:color="auto"/>
            </w:tcBorders>
            <w:shd w:val="clear" w:color="auto" w:fill="auto"/>
            <w:noWrap/>
            <w:vAlign w:val="bottom"/>
          </w:tcPr>
          <w:p w:rsidR="00A1335A" w:rsidRDefault="00A1335A">
            <w:pPr>
              <w:jc w:val="right"/>
              <w:rPr>
                <w:color w:val="000000"/>
                <w:sz w:val="22"/>
              </w:rPr>
            </w:pPr>
            <w:r>
              <w:rPr>
                <w:color w:val="000000"/>
                <w:sz w:val="22"/>
              </w:rPr>
              <w:t>16</w:t>
            </w:r>
          </w:p>
        </w:tc>
        <w:tc>
          <w:tcPr>
            <w:tcW w:w="742" w:type="dxa"/>
            <w:tcBorders>
              <w:top w:val="single" w:sz="4" w:space="0" w:color="auto"/>
            </w:tcBorders>
            <w:shd w:val="clear" w:color="auto" w:fill="auto"/>
            <w:noWrap/>
            <w:vAlign w:val="bottom"/>
          </w:tcPr>
          <w:p w:rsidR="00A1335A" w:rsidRDefault="00A1335A">
            <w:pPr>
              <w:jc w:val="right"/>
              <w:rPr>
                <w:color w:val="000000"/>
                <w:sz w:val="22"/>
              </w:rPr>
            </w:pPr>
            <w:r>
              <w:rPr>
                <w:color w:val="000000"/>
                <w:sz w:val="22"/>
              </w:rPr>
              <w:t>15</w:t>
            </w:r>
          </w:p>
        </w:tc>
        <w:tc>
          <w:tcPr>
            <w:tcW w:w="742" w:type="dxa"/>
            <w:tcBorders>
              <w:top w:val="single" w:sz="4" w:space="0" w:color="auto"/>
            </w:tcBorders>
            <w:shd w:val="clear" w:color="auto" w:fill="auto"/>
            <w:noWrap/>
            <w:vAlign w:val="bottom"/>
          </w:tcPr>
          <w:p w:rsidR="00A1335A" w:rsidRDefault="00A1335A">
            <w:pPr>
              <w:jc w:val="right"/>
              <w:rPr>
                <w:color w:val="000000"/>
                <w:sz w:val="22"/>
              </w:rPr>
            </w:pPr>
            <w:r>
              <w:rPr>
                <w:color w:val="000000"/>
                <w:sz w:val="22"/>
              </w:rPr>
              <w:t>16</w:t>
            </w:r>
          </w:p>
        </w:tc>
        <w:tc>
          <w:tcPr>
            <w:tcW w:w="742" w:type="dxa"/>
            <w:tcBorders>
              <w:top w:val="single" w:sz="4" w:space="0" w:color="auto"/>
            </w:tcBorders>
            <w:shd w:val="clear" w:color="auto" w:fill="auto"/>
            <w:noWrap/>
            <w:vAlign w:val="bottom"/>
          </w:tcPr>
          <w:p w:rsidR="00A1335A" w:rsidRDefault="00A1335A">
            <w:pPr>
              <w:jc w:val="right"/>
              <w:rPr>
                <w:color w:val="000000"/>
                <w:sz w:val="22"/>
              </w:rPr>
            </w:pPr>
            <w:r>
              <w:rPr>
                <w:color w:val="000000"/>
                <w:sz w:val="22"/>
              </w:rPr>
              <w:t>17</w:t>
            </w:r>
          </w:p>
        </w:tc>
        <w:tc>
          <w:tcPr>
            <w:tcW w:w="742" w:type="dxa"/>
            <w:tcBorders>
              <w:top w:val="single" w:sz="4" w:space="0" w:color="auto"/>
            </w:tcBorders>
            <w:shd w:val="clear" w:color="auto" w:fill="auto"/>
            <w:noWrap/>
            <w:vAlign w:val="bottom"/>
          </w:tcPr>
          <w:p w:rsidR="00A1335A" w:rsidRDefault="00A1335A">
            <w:pPr>
              <w:jc w:val="right"/>
              <w:rPr>
                <w:color w:val="000000"/>
                <w:sz w:val="22"/>
              </w:rPr>
            </w:pPr>
            <w:r>
              <w:rPr>
                <w:color w:val="000000"/>
                <w:sz w:val="22"/>
              </w:rPr>
              <w:t>16</w:t>
            </w:r>
          </w:p>
        </w:tc>
        <w:tc>
          <w:tcPr>
            <w:tcW w:w="742" w:type="dxa"/>
            <w:tcBorders>
              <w:top w:val="single" w:sz="4" w:space="0" w:color="auto"/>
            </w:tcBorders>
            <w:shd w:val="clear" w:color="auto" w:fill="auto"/>
            <w:noWrap/>
            <w:vAlign w:val="bottom"/>
          </w:tcPr>
          <w:p w:rsidR="00A1335A" w:rsidRDefault="00A1335A">
            <w:pPr>
              <w:jc w:val="right"/>
              <w:rPr>
                <w:color w:val="000000"/>
                <w:sz w:val="22"/>
              </w:rPr>
            </w:pPr>
            <w:r>
              <w:rPr>
                <w:color w:val="000000"/>
                <w:sz w:val="22"/>
              </w:rPr>
              <w:t>13</w:t>
            </w:r>
          </w:p>
        </w:tc>
      </w:tr>
      <w:tr w:rsidR="00A1335A" w:rsidRPr="00604C6B" w:rsidTr="00C94201">
        <w:trPr>
          <w:trHeight w:val="243"/>
        </w:trPr>
        <w:tc>
          <w:tcPr>
            <w:tcW w:w="2422" w:type="dxa"/>
            <w:shd w:val="clear" w:color="auto" w:fill="auto"/>
            <w:noWrap/>
            <w:vAlign w:val="bottom"/>
            <w:hideMark/>
          </w:tcPr>
          <w:p w:rsidR="00A1335A" w:rsidRPr="00604C6B" w:rsidRDefault="00A1335A" w:rsidP="00604C6B">
            <w:pPr>
              <w:rPr>
                <w:rFonts w:eastAsia="Times New Roman" w:cs="Times New Roman"/>
                <w:color w:val="000000"/>
                <w:sz w:val="22"/>
                <w:lang w:val="en-US" w:eastAsia="hr-HR"/>
              </w:rPr>
            </w:pPr>
            <w:r w:rsidRPr="00604C6B">
              <w:rPr>
                <w:rFonts w:eastAsia="Times New Roman" w:cs="Times New Roman"/>
                <w:color w:val="000000"/>
                <w:sz w:val="22"/>
                <w:lang w:val="en-US" w:eastAsia="hr-HR"/>
              </w:rPr>
              <w:t>State owned banks</w:t>
            </w:r>
          </w:p>
        </w:tc>
        <w:tc>
          <w:tcPr>
            <w:tcW w:w="721" w:type="dxa"/>
            <w:shd w:val="clear" w:color="auto" w:fill="auto"/>
            <w:noWrap/>
            <w:vAlign w:val="bottom"/>
          </w:tcPr>
          <w:p w:rsidR="00A1335A" w:rsidRDefault="00A1335A">
            <w:pPr>
              <w:jc w:val="right"/>
              <w:rPr>
                <w:color w:val="000000"/>
                <w:sz w:val="22"/>
              </w:rPr>
            </w:pPr>
            <w:r>
              <w:rPr>
                <w:color w:val="000000"/>
                <w:sz w:val="22"/>
              </w:rPr>
              <w:t>2</w:t>
            </w:r>
          </w:p>
        </w:tc>
        <w:tc>
          <w:tcPr>
            <w:tcW w:w="742" w:type="dxa"/>
            <w:shd w:val="clear" w:color="auto" w:fill="auto"/>
            <w:noWrap/>
            <w:vAlign w:val="bottom"/>
          </w:tcPr>
          <w:p w:rsidR="00A1335A" w:rsidRDefault="00A1335A">
            <w:pPr>
              <w:jc w:val="right"/>
              <w:rPr>
                <w:color w:val="000000"/>
                <w:sz w:val="22"/>
              </w:rPr>
            </w:pPr>
            <w:r>
              <w:rPr>
                <w:color w:val="000000"/>
                <w:sz w:val="22"/>
              </w:rPr>
              <w:t>2</w:t>
            </w:r>
          </w:p>
        </w:tc>
        <w:tc>
          <w:tcPr>
            <w:tcW w:w="742" w:type="dxa"/>
            <w:shd w:val="clear" w:color="auto" w:fill="auto"/>
            <w:noWrap/>
            <w:vAlign w:val="bottom"/>
          </w:tcPr>
          <w:p w:rsidR="00A1335A" w:rsidRDefault="00A1335A">
            <w:pPr>
              <w:jc w:val="right"/>
              <w:rPr>
                <w:color w:val="000000"/>
                <w:sz w:val="22"/>
              </w:rPr>
            </w:pPr>
            <w:r>
              <w:rPr>
                <w:color w:val="000000"/>
                <w:sz w:val="22"/>
              </w:rPr>
              <w:t>2</w:t>
            </w:r>
          </w:p>
        </w:tc>
        <w:tc>
          <w:tcPr>
            <w:tcW w:w="742" w:type="dxa"/>
            <w:shd w:val="clear" w:color="auto" w:fill="auto"/>
            <w:noWrap/>
            <w:vAlign w:val="bottom"/>
          </w:tcPr>
          <w:p w:rsidR="00A1335A" w:rsidRDefault="00A1335A">
            <w:pPr>
              <w:jc w:val="right"/>
              <w:rPr>
                <w:color w:val="000000"/>
                <w:sz w:val="22"/>
              </w:rPr>
            </w:pPr>
            <w:r>
              <w:rPr>
                <w:color w:val="000000"/>
                <w:sz w:val="22"/>
              </w:rPr>
              <w:t>2</w:t>
            </w:r>
          </w:p>
        </w:tc>
        <w:tc>
          <w:tcPr>
            <w:tcW w:w="742" w:type="dxa"/>
            <w:shd w:val="clear" w:color="auto" w:fill="auto"/>
            <w:noWrap/>
            <w:vAlign w:val="bottom"/>
          </w:tcPr>
          <w:p w:rsidR="00A1335A" w:rsidRDefault="00A1335A">
            <w:pPr>
              <w:jc w:val="right"/>
              <w:rPr>
                <w:color w:val="000000"/>
                <w:sz w:val="22"/>
              </w:rPr>
            </w:pPr>
            <w:r>
              <w:rPr>
                <w:color w:val="000000"/>
                <w:sz w:val="22"/>
              </w:rPr>
              <w:t>2</w:t>
            </w:r>
          </w:p>
        </w:tc>
        <w:tc>
          <w:tcPr>
            <w:tcW w:w="742" w:type="dxa"/>
            <w:shd w:val="clear" w:color="auto" w:fill="auto"/>
            <w:noWrap/>
            <w:vAlign w:val="bottom"/>
          </w:tcPr>
          <w:p w:rsidR="00A1335A" w:rsidRDefault="00A1335A">
            <w:pPr>
              <w:jc w:val="right"/>
              <w:rPr>
                <w:color w:val="000000"/>
                <w:sz w:val="22"/>
              </w:rPr>
            </w:pPr>
            <w:r>
              <w:rPr>
                <w:color w:val="000000"/>
                <w:sz w:val="22"/>
              </w:rPr>
              <w:t>2</w:t>
            </w:r>
          </w:p>
        </w:tc>
        <w:tc>
          <w:tcPr>
            <w:tcW w:w="742" w:type="dxa"/>
            <w:shd w:val="clear" w:color="auto" w:fill="auto"/>
            <w:noWrap/>
            <w:vAlign w:val="bottom"/>
          </w:tcPr>
          <w:p w:rsidR="00A1335A" w:rsidRDefault="00A1335A">
            <w:pPr>
              <w:jc w:val="right"/>
              <w:rPr>
                <w:color w:val="000000"/>
                <w:sz w:val="22"/>
              </w:rPr>
            </w:pPr>
            <w:r>
              <w:rPr>
                <w:color w:val="000000"/>
                <w:sz w:val="22"/>
              </w:rPr>
              <w:t>2</w:t>
            </w:r>
          </w:p>
        </w:tc>
        <w:tc>
          <w:tcPr>
            <w:tcW w:w="742" w:type="dxa"/>
            <w:shd w:val="clear" w:color="auto" w:fill="auto"/>
            <w:noWrap/>
            <w:vAlign w:val="bottom"/>
          </w:tcPr>
          <w:p w:rsidR="00A1335A" w:rsidRDefault="00A1335A">
            <w:pPr>
              <w:jc w:val="right"/>
              <w:rPr>
                <w:color w:val="000000"/>
                <w:sz w:val="22"/>
              </w:rPr>
            </w:pPr>
            <w:r>
              <w:rPr>
                <w:color w:val="000000"/>
                <w:sz w:val="22"/>
              </w:rPr>
              <w:t>2</w:t>
            </w:r>
          </w:p>
        </w:tc>
        <w:tc>
          <w:tcPr>
            <w:tcW w:w="742" w:type="dxa"/>
            <w:shd w:val="clear" w:color="auto" w:fill="auto"/>
            <w:noWrap/>
            <w:vAlign w:val="bottom"/>
          </w:tcPr>
          <w:p w:rsidR="00A1335A" w:rsidRDefault="00A1335A">
            <w:pPr>
              <w:jc w:val="right"/>
              <w:rPr>
                <w:color w:val="000000"/>
                <w:sz w:val="22"/>
              </w:rPr>
            </w:pPr>
            <w:r>
              <w:rPr>
                <w:color w:val="000000"/>
                <w:sz w:val="22"/>
              </w:rPr>
              <w:t>2</w:t>
            </w:r>
          </w:p>
        </w:tc>
      </w:tr>
      <w:tr w:rsidR="00A1335A" w:rsidRPr="00604C6B" w:rsidTr="00C94201">
        <w:trPr>
          <w:trHeight w:val="243"/>
        </w:trPr>
        <w:tc>
          <w:tcPr>
            <w:tcW w:w="2422" w:type="dxa"/>
            <w:tcBorders>
              <w:bottom w:val="single" w:sz="4" w:space="0" w:color="auto"/>
            </w:tcBorders>
            <w:shd w:val="clear" w:color="auto" w:fill="auto"/>
            <w:noWrap/>
            <w:vAlign w:val="bottom"/>
            <w:hideMark/>
          </w:tcPr>
          <w:p w:rsidR="00A1335A" w:rsidRPr="00604C6B" w:rsidRDefault="00A1335A" w:rsidP="00604C6B">
            <w:pPr>
              <w:rPr>
                <w:rFonts w:eastAsia="Times New Roman" w:cs="Times New Roman"/>
                <w:color w:val="000000"/>
                <w:sz w:val="22"/>
                <w:lang w:val="en-US" w:eastAsia="hr-HR"/>
              </w:rPr>
            </w:pPr>
            <w:r w:rsidRPr="00604C6B">
              <w:rPr>
                <w:rFonts w:eastAsia="Times New Roman" w:cs="Times New Roman"/>
                <w:color w:val="000000"/>
                <w:sz w:val="22"/>
                <w:lang w:val="en-US" w:eastAsia="hr-HR"/>
              </w:rPr>
              <w:t>Foreign banks</w:t>
            </w:r>
          </w:p>
        </w:tc>
        <w:tc>
          <w:tcPr>
            <w:tcW w:w="721" w:type="dxa"/>
            <w:tcBorders>
              <w:bottom w:val="single" w:sz="4" w:space="0" w:color="auto"/>
            </w:tcBorders>
            <w:shd w:val="clear" w:color="auto" w:fill="auto"/>
            <w:noWrap/>
            <w:vAlign w:val="bottom"/>
          </w:tcPr>
          <w:p w:rsidR="00A1335A" w:rsidRDefault="00A1335A">
            <w:pPr>
              <w:jc w:val="right"/>
              <w:rPr>
                <w:color w:val="000000"/>
                <w:sz w:val="22"/>
              </w:rPr>
            </w:pPr>
            <w:r>
              <w:rPr>
                <w:color w:val="000000"/>
                <w:sz w:val="22"/>
              </w:rPr>
              <w:t>19</w:t>
            </w:r>
          </w:p>
        </w:tc>
        <w:tc>
          <w:tcPr>
            <w:tcW w:w="742" w:type="dxa"/>
            <w:tcBorders>
              <w:bottom w:val="single" w:sz="4" w:space="0" w:color="auto"/>
            </w:tcBorders>
            <w:shd w:val="clear" w:color="auto" w:fill="auto"/>
            <w:noWrap/>
            <w:vAlign w:val="bottom"/>
          </w:tcPr>
          <w:p w:rsidR="00A1335A" w:rsidRDefault="00A1335A">
            <w:pPr>
              <w:jc w:val="right"/>
              <w:rPr>
                <w:color w:val="000000"/>
                <w:sz w:val="22"/>
              </w:rPr>
            </w:pPr>
            <w:r>
              <w:rPr>
                <w:color w:val="000000"/>
                <w:sz w:val="22"/>
              </w:rPr>
              <w:t>15</w:t>
            </w:r>
          </w:p>
        </w:tc>
        <w:tc>
          <w:tcPr>
            <w:tcW w:w="742" w:type="dxa"/>
            <w:tcBorders>
              <w:bottom w:val="single" w:sz="4" w:space="0" w:color="auto"/>
            </w:tcBorders>
            <w:shd w:val="clear" w:color="auto" w:fill="auto"/>
            <w:noWrap/>
            <w:vAlign w:val="bottom"/>
          </w:tcPr>
          <w:p w:rsidR="00A1335A" w:rsidRDefault="00A1335A">
            <w:pPr>
              <w:jc w:val="right"/>
              <w:rPr>
                <w:color w:val="000000"/>
                <w:sz w:val="22"/>
              </w:rPr>
            </w:pPr>
            <w:r>
              <w:rPr>
                <w:color w:val="000000"/>
                <w:sz w:val="22"/>
              </w:rPr>
              <w:t>14</w:t>
            </w:r>
          </w:p>
        </w:tc>
        <w:tc>
          <w:tcPr>
            <w:tcW w:w="742" w:type="dxa"/>
            <w:tcBorders>
              <w:bottom w:val="single" w:sz="4" w:space="0" w:color="auto"/>
            </w:tcBorders>
            <w:shd w:val="clear" w:color="auto" w:fill="auto"/>
            <w:noWrap/>
            <w:vAlign w:val="bottom"/>
          </w:tcPr>
          <w:p w:rsidR="00A1335A" w:rsidRDefault="00A1335A">
            <w:pPr>
              <w:jc w:val="right"/>
              <w:rPr>
                <w:color w:val="000000"/>
                <w:sz w:val="22"/>
              </w:rPr>
            </w:pPr>
            <w:r>
              <w:rPr>
                <w:color w:val="000000"/>
                <w:sz w:val="22"/>
              </w:rPr>
              <w:t>15</w:t>
            </w:r>
          </w:p>
        </w:tc>
        <w:tc>
          <w:tcPr>
            <w:tcW w:w="742" w:type="dxa"/>
            <w:tcBorders>
              <w:bottom w:val="single" w:sz="4" w:space="0" w:color="auto"/>
            </w:tcBorders>
            <w:shd w:val="clear" w:color="auto" w:fill="auto"/>
            <w:noWrap/>
            <w:vAlign w:val="bottom"/>
          </w:tcPr>
          <w:p w:rsidR="00A1335A" w:rsidRDefault="00A1335A">
            <w:pPr>
              <w:jc w:val="right"/>
              <w:rPr>
                <w:color w:val="000000"/>
                <w:sz w:val="22"/>
              </w:rPr>
            </w:pPr>
            <w:r>
              <w:rPr>
                <w:color w:val="000000"/>
                <w:sz w:val="22"/>
              </w:rPr>
              <w:t>16</w:t>
            </w:r>
          </w:p>
        </w:tc>
        <w:tc>
          <w:tcPr>
            <w:tcW w:w="742" w:type="dxa"/>
            <w:tcBorders>
              <w:bottom w:val="single" w:sz="4" w:space="0" w:color="auto"/>
            </w:tcBorders>
            <w:shd w:val="clear" w:color="auto" w:fill="auto"/>
            <w:noWrap/>
            <w:vAlign w:val="bottom"/>
          </w:tcPr>
          <w:p w:rsidR="00A1335A" w:rsidRDefault="00A1335A">
            <w:pPr>
              <w:jc w:val="right"/>
              <w:rPr>
                <w:color w:val="000000"/>
                <w:sz w:val="22"/>
              </w:rPr>
            </w:pPr>
            <w:r>
              <w:rPr>
                <w:color w:val="000000"/>
                <w:sz w:val="22"/>
              </w:rPr>
              <w:t>16</w:t>
            </w:r>
          </w:p>
        </w:tc>
        <w:tc>
          <w:tcPr>
            <w:tcW w:w="742" w:type="dxa"/>
            <w:tcBorders>
              <w:bottom w:val="single" w:sz="4" w:space="0" w:color="auto"/>
            </w:tcBorders>
            <w:shd w:val="clear" w:color="auto" w:fill="auto"/>
            <w:noWrap/>
            <w:vAlign w:val="bottom"/>
          </w:tcPr>
          <w:p w:rsidR="00A1335A" w:rsidRDefault="00A1335A">
            <w:pPr>
              <w:jc w:val="right"/>
              <w:rPr>
                <w:color w:val="000000"/>
                <w:sz w:val="22"/>
              </w:rPr>
            </w:pPr>
            <w:r>
              <w:rPr>
                <w:color w:val="000000"/>
                <w:sz w:val="22"/>
              </w:rPr>
              <w:t>15</w:t>
            </w:r>
          </w:p>
        </w:tc>
        <w:tc>
          <w:tcPr>
            <w:tcW w:w="742" w:type="dxa"/>
            <w:tcBorders>
              <w:bottom w:val="single" w:sz="4" w:space="0" w:color="auto"/>
            </w:tcBorders>
            <w:shd w:val="clear" w:color="auto" w:fill="auto"/>
            <w:noWrap/>
            <w:vAlign w:val="bottom"/>
          </w:tcPr>
          <w:p w:rsidR="00A1335A" w:rsidRDefault="005E5C1B">
            <w:pPr>
              <w:jc w:val="right"/>
              <w:rPr>
                <w:color w:val="000000"/>
                <w:sz w:val="22"/>
              </w:rPr>
            </w:pPr>
            <w:r>
              <w:rPr>
                <w:color w:val="000000"/>
                <w:sz w:val="22"/>
              </w:rPr>
              <w:t>15</w:t>
            </w:r>
          </w:p>
        </w:tc>
        <w:tc>
          <w:tcPr>
            <w:tcW w:w="742" w:type="dxa"/>
            <w:tcBorders>
              <w:bottom w:val="single" w:sz="4" w:space="0" w:color="auto"/>
            </w:tcBorders>
            <w:shd w:val="clear" w:color="auto" w:fill="auto"/>
            <w:noWrap/>
            <w:vAlign w:val="bottom"/>
          </w:tcPr>
          <w:p w:rsidR="00A1335A" w:rsidRDefault="00A1335A">
            <w:pPr>
              <w:jc w:val="right"/>
              <w:rPr>
                <w:color w:val="000000"/>
                <w:sz w:val="22"/>
              </w:rPr>
            </w:pPr>
            <w:r>
              <w:rPr>
                <w:color w:val="000000"/>
                <w:sz w:val="22"/>
              </w:rPr>
              <w:t>17</w:t>
            </w:r>
          </w:p>
        </w:tc>
      </w:tr>
      <w:tr w:rsidR="00A1335A" w:rsidRPr="00604C6B" w:rsidTr="00C94201">
        <w:trPr>
          <w:trHeight w:val="243"/>
        </w:trPr>
        <w:tc>
          <w:tcPr>
            <w:tcW w:w="2422" w:type="dxa"/>
            <w:tcBorders>
              <w:top w:val="single" w:sz="4" w:space="0" w:color="auto"/>
              <w:bottom w:val="single" w:sz="4" w:space="0" w:color="auto"/>
            </w:tcBorders>
            <w:shd w:val="clear" w:color="auto" w:fill="auto"/>
            <w:noWrap/>
            <w:vAlign w:val="bottom"/>
            <w:hideMark/>
          </w:tcPr>
          <w:p w:rsidR="00A1335A" w:rsidRPr="00604C6B" w:rsidRDefault="00A1335A" w:rsidP="00604C6B">
            <w:pPr>
              <w:rPr>
                <w:rFonts w:eastAsia="Times New Roman" w:cs="Times New Roman"/>
                <w:color w:val="000000"/>
                <w:sz w:val="22"/>
                <w:lang w:eastAsia="hr-HR"/>
              </w:rPr>
            </w:pPr>
            <w:r w:rsidRPr="00604C6B">
              <w:rPr>
                <w:rFonts w:eastAsia="Times New Roman" w:cs="Times New Roman"/>
                <w:color w:val="000000"/>
                <w:sz w:val="22"/>
                <w:lang w:eastAsia="hr-HR"/>
              </w:rPr>
              <w:t>Total</w:t>
            </w:r>
          </w:p>
        </w:tc>
        <w:tc>
          <w:tcPr>
            <w:tcW w:w="721" w:type="dxa"/>
            <w:tcBorders>
              <w:top w:val="single" w:sz="4" w:space="0" w:color="auto"/>
              <w:bottom w:val="single" w:sz="4" w:space="0" w:color="auto"/>
            </w:tcBorders>
            <w:shd w:val="clear" w:color="auto" w:fill="auto"/>
            <w:noWrap/>
            <w:vAlign w:val="bottom"/>
          </w:tcPr>
          <w:p w:rsidR="00A1335A" w:rsidRDefault="00A1335A">
            <w:pPr>
              <w:jc w:val="right"/>
              <w:rPr>
                <w:color w:val="000000"/>
                <w:sz w:val="22"/>
              </w:rPr>
            </w:pPr>
            <w:r>
              <w:rPr>
                <w:color w:val="000000"/>
                <w:sz w:val="22"/>
              </w:rPr>
              <w:t>41</w:t>
            </w:r>
          </w:p>
        </w:tc>
        <w:tc>
          <w:tcPr>
            <w:tcW w:w="742" w:type="dxa"/>
            <w:tcBorders>
              <w:top w:val="single" w:sz="4" w:space="0" w:color="auto"/>
              <w:bottom w:val="single" w:sz="4" w:space="0" w:color="auto"/>
            </w:tcBorders>
            <w:shd w:val="clear" w:color="auto" w:fill="auto"/>
            <w:noWrap/>
            <w:vAlign w:val="bottom"/>
          </w:tcPr>
          <w:p w:rsidR="00A1335A" w:rsidRDefault="00A1335A">
            <w:pPr>
              <w:jc w:val="right"/>
              <w:rPr>
                <w:color w:val="000000"/>
                <w:sz w:val="22"/>
              </w:rPr>
            </w:pPr>
            <w:r>
              <w:rPr>
                <w:color w:val="000000"/>
                <w:sz w:val="22"/>
              </w:rPr>
              <w:t>37</w:t>
            </w:r>
          </w:p>
        </w:tc>
        <w:tc>
          <w:tcPr>
            <w:tcW w:w="742" w:type="dxa"/>
            <w:tcBorders>
              <w:top w:val="single" w:sz="4" w:space="0" w:color="auto"/>
              <w:bottom w:val="single" w:sz="4" w:space="0" w:color="auto"/>
            </w:tcBorders>
            <w:shd w:val="clear" w:color="auto" w:fill="auto"/>
            <w:noWrap/>
            <w:vAlign w:val="bottom"/>
          </w:tcPr>
          <w:p w:rsidR="00A1335A" w:rsidRDefault="00A1335A">
            <w:pPr>
              <w:jc w:val="right"/>
              <w:rPr>
                <w:color w:val="000000"/>
                <w:sz w:val="22"/>
              </w:rPr>
            </w:pPr>
            <w:r>
              <w:rPr>
                <w:color w:val="000000"/>
                <w:sz w:val="22"/>
              </w:rPr>
              <w:t>34</w:t>
            </w:r>
          </w:p>
        </w:tc>
        <w:tc>
          <w:tcPr>
            <w:tcW w:w="742" w:type="dxa"/>
            <w:tcBorders>
              <w:top w:val="single" w:sz="4" w:space="0" w:color="auto"/>
              <w:bottom w:val="single" w:sz="4" w:space="0" w:color="auto"/>
            </w:tcBorders>
            <w:shd w:val="clear" w:color="auto" w:fill="auto"/>
            <w:noWrap/>
            <w:vAlign w:val="bottom"/>
          </w:tcPr>
          <w:p w:rsidR="00A1335A" w:rsidRDefault="00A1335A">
            <w:pPr>
              <w:jc w:val="right"/>
              <w:rPr>
                <w:color w:val="000000"/>
                <w:sz w:val="22"/>
              </w:rPr>
            </w:pPr>
            <w:r>
              <w:rPr>
                <w:color w:val="000000"/>
                <w:sz w:val="22"/>
              </w:rPr>
              <w:t>33</w:t>
            </w:r>
          </w:p>
        </w:tc>
        <w:tc>
          <w:tcPr>
            <w:tcW w:w="742" w:type="dxa"/>
            <w:tcBorders>
              <w:top w:val="single" w:sz="4" w:space="0" w:color="auto"/>
              <w:bottom w:val="single" w:sz="4" w:space="0" w:color="auto"/>
            </w:tcBorders>
            <w:shd w:val="clear" w:color="auto" w:fill="auto"/>
            <w:noWrap/>
            <w:vAlign w:val="bottom"/>
          </w:tcPr>
          <w:p w:rsidR="00A1335A" w:rsidRDefault="00A1335A">
            <w:pPr>
              <w:jc w:val="right"/>
              <w:rPr>
                <w:color w:val="000000"/>
                <w:sz w:val="22"/>
              </w:rPr>
            </w:pPr>
            <w:r>
              <w:rPr>
                <w:color w:val="000000"/>
                <w:sz w:val="22"/>
              </w:rPr>
              <w:t>33</w:t>
            </w:r>
          </w:p>
        </w:tc>
        <w:tc>
          <w:tcPr>
            <w:tcW w:w="742" w:type="dxa"/>
            <w:tcBorders>
              <w:top w:val="single" w:sz="4" w:space="0" w:color="auto"/>
              <w:bottom w:val="single" w:sz="4" w:space="0" w:color="auto"/>
            </w:tcBorders>
            <w:shd w:val="clear" w:color="auto" w:fill="auto"/>
            <w:noWrap/>
            <w:vAlign w:val="bottom"/>
          </w:tcPr>
          <w:p w:rsidR="00A1335A" w:rsidRDefault="00A1335A">
            <w:pPr>
              <w:jc w:val="right"/>
              <w:rPr>
                <w:color w:val="000000"/>
                <w:sz w:val="22"/>
              </w:rPr>
            </w:pPr>
            <w:r>
              <w:rPr>
                <w:color w:val="000000"/>
                <w:sz w:val="22"/>
              </w:rPr>
              <w:t>34</w:t>
            </w:r>
          </w:p>
        </w:tc>
        <w:tc>
          <w:tcPr>
            <w:tcW w:w="742" w:type="dxa"/>
            <w:tcBorders>
              <w:top w:val="single" w:sz="4" w:space="0" w:color="auto"/>
              <w:bottom w:val="single" w:sz="4" w:space="0" w:color="auto"/>
            </w:tcBorders>
            <w:shd w:val="clear" w:color="auto" w:fill="auto"/>
            <w:noWrap/>
            <w:vAlign w:val="bottom"/>
          </w:tcPr>
          <w:p w:rsidR="00A1335A" w:rsidRDefault="00A1335A">
            <w:pPr>
              <w:jc w:val="right"/>
              <w:rPr>
                <w:color w:val="000000"/>
                <w:sz w:val="22"/>
              </w:rPr>
            </w:pPr>
            <w:r>
              <w:rPr>
                <w:color w:val="000000"/>
                <w:sz w:val="22"/>
              </w:rPr>
              <w:t>34</w:t>
            </w:r>
          </w:p>
        </w:tc>
        <w:tc>
          <w:tcPr>
            <w:tcW w:w="742" w:type="dxa"/>
            <w:tcBorders>
              <w:top w:val="single" w:sz="4" w:space="0" w:color="auto"/>
              <w:bottom w:val="single" w:sz="4" w:space="0" w:color="auto"/>
            </w:tcBorders>
            <w:shd w:val="clear" w:color="auto" w:fill="auto"/>
            <w:noWrap/>
            <w:vAlign w:val="bottom"/>
          </w:tcPr>
          <w:p w:rsidR="00A1335A" w:rsidRDefault="005E5C1B">
            <w:pPr>
              <w:jc w:val="right"/>
              <w:rPr>
                <w:color w:val="000000"/>
                <w:sz w:val="22"/>
              </w:rPr>
            </w:pPr>
            <w:r>
              <w:rPr>
                <w:color w:val="000000"/>
                <w:sz w:val="22"/>
              </w:rPr>
              <w:t>33</w:t>
            </w:r>
          </w:p>
        </w:tc>
        <w:tc>
          <w:tcPr>
            <w:tcW w:w="742" w:type="dxa"/>
            <w:tcBorders>
              <w:top w:val="single" w:sz="4" w:space="0" w:color="auto"/>
              <w:bottom w:val="single" w:sz="4" w:space="0" w:color="auto"/>
            </w:tcBorders>
            <w:shd w:val="clear" w:color="auto" w:fill="auto"/>
            <w:noWrap/>
            <w:vAlign w:val="bottom"/>
          </w:tcPr>
          <w:p w:rsidR="00A1335A" w:rsidRDefault="00A1335A">
            <w:pPr>
              <w:jc w:val="right"/>
              <w:rPr>
                <w:color w:val="000000"/>
                <w:sz w:val="22"/>
              </w:rPr>
            </w:pPr>
            <w:r>
              <w:rPr>
                <w:color w:val="000000"/>
                <w:sz w:val="22"/>
              </w:rPr>
              <w:t>32</w:t>
            </w:r>
          </w:p>
        </w:tc>
      </w:tr>
    </w:tbl>
    <w:p w:rsidR="00BB4490" w:rsidRDefault="005819F6" w:rsidP="00B658D3">
      <w:pPr>
        <w:jc w:val="both"/>
        <w:rPr>
          <w:lang w:val="en-US"/>
        </w:rPr>
      </w:pPr>
      <w:r>
        <w:rPr>
          <w:lang w:val="en-US"/>
        </w:rPr>
        <w:t xml:space="preserve"> </w:t>
      </w:r>
    </w:p>
    <w:p w:rsidR="00072EC4" w:rsidRDefault="00C94201" w:rsidP="00B658D3">
      <w:pPr>
        <w:ind w:firstLine="567"/>
        <w:jc w:val="both"/>
        <w:rPr>
          <w:lang w:val="en-US"/>
        </w:rPr>
      </w:pPr>
      <w:r>
        <w:rPr>
          <w:lang w:val="en-US"/>
        </w:rPr>
        <w:t xml:space="preserve">In the </w:t>
      </w:r>
      <w:r w:rsidR="009E7B64">
        <w:rPr>
          <w:lang w:val="en-US"/>
        </w:rPr>
        <w:t>two-</w:t>
      </w:r>
      <w:r>
        <w:rPr>
          <w:lang w:val="en-US"/>
        </w:rPr>
        <w:t>year period of 2003</w:t>
      </w:r>
      <w:r>
        <w:rPr>
          <w:rFonts w:cs="Times New Roman"/>
          <w:lang w:val="en-US"/>
        </w:rPr>
        <w:t>–</w:t>
      </w:r>
      <w:r>
        <w:rPr>
          <w:lang w:val="en-US"/>
        </w:rPr>
        <w:t>2004</w:t>
      </w:r>
      <w:r w:rsidR="009E7B64">
        <w:rPr>
          <w:lang w:val="en-US"/>
        </w:rPr>
        <w:t>, the number</w:t>
      </w:r>
      <w:r>
        <w:rPr>
          <w:lang w:val="en-US"/>
        </w:rPr>
        <w:t xml:space="preserve"> of banks in the domestic ownership was 20, and most of these twenty banks </w:t>
      </w:r>
      <w:r w:rsidR="00140BFB">
        <w:rPr>
          <w:lang w:val="en-US"/>
        </w:rPr>
        <w:t>we</w:t>
      </w:r>
      <w:r>
        <w:rPr>
          <w:lang w:val="en-US"/>
        </w:rPr>
        <w:t xml:space="preserve">re small banks </w:t>
      </w:r>
      <w:r w:rsidR="00140BFB">
        <w:rPr>
          <w:lang w:val="en-US"/>
        </w:rPr>
        <w:t>which had no significa</w:t>
      </w:r>
      <w:r w:rsidR="00174F90">
        <w:rPr>
          <w:lang w:val="en-US"/>
        </w:rPr>
        <w:t xml:space="preserve">nt </w:t>
      </w:r>
      <w:r>
        <w:rPr>
          <w:lang w:val="en-US"/>
        </w:rPr>
        <w:t>impact on the fina</w:t>
      </w:r>
      <w:r w:rsidR="00174F90">
        <w:rPr>
          <w:lang w:val="en-US"/>
        </w:rPr>
        <w:t>ncial market. In the next three-</w:t>
      </w:r>
      <w:r>
        <w:rPr>
          <w:lang w:val="en-US"/>
        </w:rPr>
        <w:t>year period</w:t>
      </w:r>
      <w:r w:rsidR="00174F90">
        <w:rPr>
          <w:lang w:val="en-US"/>
        </w:rPr>
        <w:t xml:space="preserve"> of</w:t>
      </w:r>
      <w:r>
        <w:rPr>
          <w:lang w:val="en-US"/>
        </w:rPr>
        <w:t xml:space="preserve"> 2005</w:t>
      </w:r>
      <w:r>
        <w:rPr>
          <w:rFonts w:cs="Times New Roman"/>
          <w:lang w:val="en-US"/>
        </w:rPr>
        <w:t>–</w:t>
      </w:r>
      <w:r w:rsidR="00072EC4">
        <w:rPr>
          <w:lang w:val="en-US"/>
        </w:rPr>
        <w:t>2007</w:t>
      </w:r>
      <w:r w:rsidR="00174F90">
        <w:rPr>
          <w:lang w:val="en-US"/>
        </w:rPr>
        <w:t>,</w:t>
      </w:r>
      <w:r>
        <w:rPr>
          <w:lang w:val="en-US"/>
        </w:rPr>
        <w:t xml:space="preserve"> the number of banks in domestic ownership decreased at number of 15, and the main reason </w:t>
      </w:r>
      <w:r w:rsidR="00FA1CB1">
        <w:rPr>
          <w:lang w:val="en-US"/>
        </w:rPr>
        <w:t xml:space="preserve">for </w:t>
      </w:r>
      <w:r>
        <w:rPr>
          <w:lang w:val="en-US"/>
        </w:rPr>
        <w:t xml:space="preserve">that </w:t>
      </w:r>
      <w:r w:rsidR="00072EC4">
        <w:rPr>
          <w:lang w:val="en-US"/>
        </w:rPr>
        <w:t xml:space="preserve">reduction was </w:t>
      </w:r>
      <w:r w:rsidR="00FA1CB1">
        <w:rPr>
          <w:lang w:val="en-US"/>
        </w:rPr>
        <w:t xml:space="preserve">the </w:t>
      </w:r>
      <w:r w:rsidR="00072EC4" w:rsidRPr="00072EC4">
        <w:rPr>
          <w:lang w:val="en-US"/>
        </w:rPr>
        <w:t xml:space="preserve">consolidation </w:t>
      </w:r>
      <w:r w:rsidR="00072EC4">
        <w:rPr>
          <w:lang w:val="en-US"/>
        </w:rPr>
        <w:t xml:space="preserve">on the market </w:t>
      </w:r>
      <w:r w:rsidR="00FA1CB1">
        <w:rPr>
          <w:lang w:val="en-US"/>
        </w:rPr>
        <w:t>and ownership takeovers by certain foreign banks</w:t>
      </w:r>
      <w:r w:rsidR="00072EC4">
        <w:rPr>
          <w:lang w:val="en-US"/>
        </w:rPr>
        <w:t xml:space="preserve">. </w:t>
      </w:r>
      <w:r w:rsidR="00FA1CB1">
        <w:rPr>
          <w:lang w:val="en-US"/>
        </w:rPr>
        <w:t>The following three-</w:t>
      </w:r>
      <w:r w:rsidR="00072EC4">
        <w:rPr>
          <w:lang w:val="en-US"/>
        </w:rPr>
        <w:t xml:space="preserve">year period </w:t>
      </w:r>
      <w:r w:rsidR="00FA1CB1">
        <w:rPr>
          <w:lang w:val="en-US"/>
        </w:rPr>
        <w:t xml:space="preserve">of </w:t>
      </w:r>
      <w:r w:rsidR="00072EC4">
        <w:rPr>
          <w:lang w:val="en-US"/>
        </w:rPr>
        <w:t>2008</w:t>
      </w:r>
      <w:r w:rsidR="00072EC4">
        <w:rPr>
          <w:rFonts w:cs="Times New Roman"/>
          <w:lang w:val="en-US"/>
        </w:rPr>
        <w:t>–</w:t>
      </w:r>
      <w:r w:rsidR="00072EC4">
        <w:rPr>
          <w:lang w:val="en-US"/>
        </w:rPr>
        <w:t>2010</w:t>
      </w:r>
      <w:r w:rsidR="00FA1CB1">
        <w:rPr>
          <w:lang w:val="en-US"/>
        </w:rPr>
        <w:t>,</w:t>
      </w:r>
      <w:r w:rsidR="00072EC4">
        <w:rPr>
          <w:lang w:val="en-US"/>
        </w:rPr>
        <w:t xml:space="preserve"> the number of </w:t>
      </w:r>
      <w:r w:rsidR="00FA1CB1">
        <w:rPr>
          <w:lang w:val="en-US"/>
        </w:rPr>
        <w:t>banks had</w:t>
      </w:r>
      <w:r w:rsidR="00072EC4">
        <w:rPr>
          <w:lang w:val="en-US"/>
        </w:rPr>
        <w:t xml:space="preserve"> grown for one in 2009 </w:t>
      </w:r>
      <w:r w:rsidR="00072EC4">
        <w:rPr>
          <w:lang w:val="en-US"/>
        </w:rPr>
        <w:lastRenderedPageBreak/>
        <w:t xml:space="preserve">and fallen for one in 2010. </w:t>
      </w:r>
      <w:r w:rsidR="00B407F5">
        <w:rPr>
          <w:lang w:val="en-US"/>
        </w:rPr>
        <w:t>In the last observed year</w:t>
      </w:r>
      <w:r w:rsidR="00FA1CB1">
        <w:rPr>
          <w:lang w:val="en-US"/>
        </w:rPr>
        <w:t>,</w:t>
      </w:r>
      <w:r w:rsidR="00B407F5">
        <w:rPr>
          <w:lang w:val="en-US"/>
        </w:rPr>
        <w:t xml:space="preserve"> 2011</w:t>
      </w:r>
      <w:r w:rsidR="00FA1CB1">
        <w:rPr>
          <w:lang w:val="en-US"/>
        </w:rPr>
        <w:t>,</w:t>
      </w:r>
      <w:r w:rsidR="00B407F5">
        <w:rPr>
          <w:lang w:val="en-US"/>
        </w:rPr>
        <w:t xml:space="preserve"> the number of </w:t>
      </w:r>
      <w:r w:rsidR="00FA1CB1">
        <w:rPr>
          <w:lang w:val="en-US"/>
        </w:rPr>
        <w:t>domestic private banks had</w:t>
      </w:r>
      <w:r w:rsidR="00B407F5">
        <w:rPr>
          <w:lang w:val="en-US"/>
        </w:rPr>
        <w:t xml:space="preserve"> fallen for the three banks</w:t>
      </w:r>
      <w:r w:rsidR="000A0C81">
        <w:rPr>
          <w:lang w:val="en-US"/>
        </w:rPr>
        <w:t xml:space="preserve">, </w:t>
      </w:r>
      <w:r w:rsidR="00FA1CB1">
        <w:rPr>
          <w:lang w:val="en-US"/>
        </w:rPr>
        <w:t xml:space="preserve">which </w:t>
      </w:r>
      <w:r w:rsidR="000A0C81">
        <w:rPr>
          <w:lang w:val="en-US"/>
        </w:rPr>
        <w:t xml:space="preserve">fall is </w:t>
      </w:r>
      <w:r w:rsidR="00FA1CB1">
        <w:rPr>
          <w:lang w:val="en-US"/>
        </w:rPr>
        <w:t xml:space="preserve">a </w:t>
      </w:r>
      <w:r w:rsidR="000A0C81">
        <w:rPr>
          <w:lang w:val="en-US"/>
        </w:rPr>
        <w:t xml:space="preserve">product of the privatization of two banks by banks in foreign ownership and </w:t>
      </w:r>
      <w:r w:rsidR="00FA1CB1">
        <w:rPr>
          <w:lang w:val="en-US"/>
        </w:rPr>
        <w:t xml:space="preserve">the </w:t>
      </w:r>
      <w:r w:rsidR="000A0C81">
        <w:rPr>
          <w:lang w:val="en-US"/>
        </w:rPr>
        <w:t xml:space="preserve">revocation of license for operation that led to </w:t>
      </w:r>
      <w:r w:rsidR="00FA1CB1">
        <w:rPr>
          <w:lang w:val="en-US"/>
        </w:rPr>
        <w:t xml:space="preserve">a </w:t>
      </w:r>
      <w:r w:rsidR="000A0C81">
        <w:rPr>
          <w:lang w:val="en-US"/>
        </w:rPr>
        <w:t xml:space="preserve">forced liquidation. </w:t>
      </w:r>
      <w:r w:rsidR="00FA1CB1">
        <w:rPr>
          <w:lang w:val="en-US"/>
        </w:rPr>
        <w:t>The o</w:t>
      </w:r>
      <w:r w:rsidR="000A0C81">
        <w:rPr>
          <w:lang w:val="en-US"/>
        </w:rPr>
        <w:t xml:space="preserve">verall fall of </w:t>
      </w:r>
      <w:r w:rsidR="00FA1CB1">
        <w:rPr>
          <w:lang w:val="en-US"/>
        </w:rPr>
        <w:t xml:space="preserve">the </w:t>
      </w:r>
      <w:r w:rsidR="00EC1D9D">
        <w:rPr>
          <w:lang w:val="en-US"/>
        </w:rPr>
        <w:t xml:space="preserve">number of </w:t>
      </w:r>
      <w:r w:rsidR="000A0C81">
        <w:rPr>
          <w:lang w:val="en-US"/>
        </w:rPr>
        <w:t>domestic private banks in the observed nine year period (2003</w:t>
      </w:r>
      <w:r w:rsidR="00EC1D9D">
        <w:rPr>
          <w:rFonts w:cs="Times New Roman"/>
          <w:lang w:val="en-US"/>
        </w:rPr>
        <w:t>–</w:t>
      </w:r>
      <w:r w:rsidR="00EC1D9D">
        <w:rPr>
          <w:lang w:val="en-US"/>
        </w:rPr>
        <w:t xml:space="preserve">2011) is </w:t>
      </w:r>
      <w:r w:rsidR="00FA1CB1">
        <w:rPr>
          <w:lang w:val="en-US"/>
        </w:rPr>
        <w:t xml:space="preserve">the outcome </w:t>
      </w:r>
      <w:r w:rsidR="00EC1D9D">
        <w:rPr>
          <w:lang w:val="en-US"/>
        </w:rPr>
        <w:t xml:space="preserve">of </w:t>
      </w:r>
      <w:r w:rsidR="00FA1CB1">
        <w:rPr>
          <w:lang w:val="en-US"/>
        </w:rPr>
        <w:t xml:space="preserve">a </w:t>
      </w:r>
      <w:r w:rsidR="00EC1D9D">
        <w:rPr>
          <w:lang w:val="en-US"/>
        </w:rPr>
        <w:t xml:space="preserve">process in which private banks have </w:t>
      </w:r>
      <w:r w:rsidR="00B658D3">
        <w:rPr>
          <w:lang w:val="en-US"/>
        </w:rPr>
        <w:t xml:space="preserve">bought domestic banks for the reason of </w:t>
      </w:r>
      <w:r w:rsidR="00EC1D9D">
        <w:rPr>
          <w:lang w:val="en-US"/>
        </w:rPr>
        <w:t xml:space="preserve">strengthening </w:t>
      </w:r>
      <w:r w:rsidR="00B658D3">
        <w:rPr>
          <w:lang w:val="en-US"/>
        </w:rPr>
        <w:t xml:space="preserve">their market positions. </w:t>
      </w:r>
    </w:p>
    <w:p w:rsidR="00244460" w:rsidRDefault="00244460" w:rsidP="00413578">
      <w:pPr>
        <w:ind w:firstLine="567"/>
        <w:jc w:val="both"/>
        <w:rPr>
          <w:lang w:val="en-US"/>
        </w:rPr>
      </w:pPr>
      <w:r>
        <w:rPr>
          <w:lang w:val="en-US"/>
        </w:rPr>
        <w:t>The number</w:t>
      </w:r>
      <w:r w:rsidR="00B824BC">
        <w:rPr>
          <w:lang w:val="en-US"/>
        </w:rPr>
        <w:t xml:space="preserve"> of the state-owned</w:t>
      </w:r>
      <w:r>
        <w:rPr>
          <w:lang w:val="en-US"/>
        </w:rPr>
        <w:t xml:space="preserve"> banks </w:t>
      </w:r>
      <w:r w:rsidR="00B824BC">
        <w:rPr>
          <w:lang w:val="en-US"/>
        </w:rPr>
        <w:t xml:space="preserve">during the </w:t>
      </w:r>
      <w:r>
        <w:rPr>
          <w:lang w:val="en-US"/>
        </w:rPr>
        <w:t xml:space="preserve">analyzed period </w:t>
      </w:r>
      <w:r w:rsidR="00B824BC">
        <w:rPr>
          <w:lang w:val="en-US"/>
        </w:rPr>
        <w:t xml:space="preserve">remained </w:t>
      </w:r>
      <w:r>
        <w:rPr>
          <w:lang w:val="en-US"/>
        </w:rPr>
        <w:t xml:space="preserve">unchanged </w:t>
      </w:r>
      <w:r w:rsidR="00B824BC">
        <w:rPr>
          <w:lang w:val="en-US"/>
        </w:rPr>
        <w:t xml:space="preserve">at </w:t>
      </w:r>
      <w:r>
        <w:rPr>
          <w:lang w:val="en-US"/>
        </w:rPr>
        <w:t xml:space="preserve">two. The two banks that are in state ownership are </w:t>
      </w:r>
      <w:r w:rsidR="00B824BC">
        <w:rPr>
          <w:lang w:val="en-US"/>
        </w:rPr>
        <w:t xml:space="preserve">the </w:t>
      </w:r>
      <w:r>
        <w:rPr>
          <w:lang w:val="en-US"/>
        </w:rPr>
        <w:t>Croatian Bank for Reconstruction and Development</w:t>
      </w:r>
      <w:r w:rsidR="00B824BC">
        <w:rPr>
          <w:lang w:val="en-US"/>
        </w:rPr>
        <w:t>, whose main task is promotion</w:t>
      </w:r>
      <w:r>
        <w:rPr>
          <w:lang w:val="en-US"/>
        </w:rPr>
        <w:t xml:space="preserve"> and development of the Croatian economy</w:t>
      </w:r>
      <w:r w:rsidR="00B824BC">
        <w:rPr>
          <w:lang w:val="en-US"/>
        </w:rPr>
        <w:t>,</w:t>
      </w:r>
      <w:r>
        <w:rPr>
          <w:lang w:val="en-US"/>
        </w:rPr>
        <w:t xml:space="preserve"> and </w:t>
      </w:r>
      <w:r w:rsidR="00B824BC">
        <w:rPr>
          <w:lang w:val="en-US"/>
        </w:rPr>
        <w:t xml:space="preserve">the </w:t>
      </w:r>
      <w:r>
        <w:rPr>
          <w:lang w:val="en-US"/>
        </w:rPr>
        <w:t>Croatian Postal Bank</w:t>
      </w:r>
      <w:r w:rsidR="0034212F">
        <w:rPr>
          <w:lang w:val="en-US"/>
        </w:rPr>
        <w:t xml:space="preserve"> </w:t>
      </w:r>
      <w:r w:rsidR="0034212F">
        <w:rPr>
          <w:rFonts w:cs="Times New Roman"/>
          <w:lang w:val="en-US"/>
        </w:rPr>
        <w:t>(</w:t>
      </w:r>
      <w:proofErr w:type="spellStart"/>
      <w:r>
        <w:rPr>
          <w:lang w:val="en-US"/>
        </w:rPr>
        <w:t>Hrvatska</w:t>
      </w:r>
      <w:proofErr w:type="spellEnd"/>
      <w:r>
        <w:rPr>
          <w:lang w:val="en-US"/>
        </w:rPr>
        <w:t xml:space="preserve"> </w:t>
      </w:r>
      <w:proofErr w:type="spellStart"/>
      <w:r>
        <w:rPr>
          <w:lang w:val="en-US"/>
        </w:rPr>
        <w:t>Postanska</w:t>
      </w:r>
      <w:proofErr w:type="spellEnd"/>
      <w:r>
        <w:rPr>
          <w:lang w:val="en-US"/>
        </w:rPr>
        <w:t xml:space="preserve"> Banka</w:t>
      </w:r>
      <w:r w:rsidR="0034212F">
        <w:rPr>
          <w:lang w:val="en-US"/>
        </w:rPr>
        <w:t>)</w:t>
      </w:r>
      <w:r w:rsidR="00B824BC">
        <w:rPr>
          <w:lang w:val="en-US"/>
        </w:rPr>
        <w:t>, a</w:t>
      </w:r>
      <w:r w:rsidR="0034212F">
        <w:rPr>
          <w:lang w:val="en-US"/>
        </w:rPr>
        <w:t xml:space="preserve"> </w:t>
      </w:r>
      <w:r w:rsidR="00413578">
        <w:rPr>
          <w:lang w:val="en-US"/>
        </w:rPr>
        <w:t>banking organization that is authorized to conduct all banking operations domestically and abroad.</w:t>
      </w:r>
    </w:p>
    <w:p w:rsidR="00413578" w:rsidRDefault="00413578" w:rsidP="00413578">
      <w:pPr>
        <w:ind w:firstLine="567"/>
        <w:jc w:val="both"/>
        <w:rPr>
          <w:lang w:val="en-US"/>
        </w:rPr>
      </w:pPr>
      <w:r>
        <w:rPr>
          <w:lang w:val="en-US"/>
        </w:rPr>
        <w:t xml:space="preserve">The total number of foreign banks in the </w:t>
      </w:r>
      <w:r w:rsidR="00B824BC">
        <w:rPr>
          <w:lang w:val="en-US"/>
        </w:rPr>
        <w:t>2003</w:t>
      </w:r>
      <w:r w:rsidR="00B824BC">
        <w:rPr>
          <w:rFonts w:cs="Times New Roman"/>
          <w:lang w:val="en-US"/>
        </w:rPr>
        <w:t>–</w:t>
      </w:r>
      <w:r w:rsidR="00B824BC">
        <w:rPr>
          <w:lang w:val="en-US"/>
        </w:rPr>
        <w:t xml:space="preserve">2011 </w:t>
      </w:r>
      <w:proofErr w:type="gramStart"/>
      <w:r>
        <w:rPr>
          <w:lang w:val="en-US"/>
        </w:rPr>
        <w:t>period</w:t>
      </w:r>
      <w:proofErr w:type="gramEnd"/>
      <w:r>
        <w:rPr>
          <w:lang w:val="en-US"/>
        </w:rPr>
        <w:t xml:space="preserve"> is reduced</w:t>
      </w:r>
      <w:r w:rsidR="00B824BC">
        <w:rPr>
          <w:lang w:val="en-US"/>
        </w:rPr>
        <w:t xml:space="preserve"> only for two banks, but close</w:t>
      </w:r>
      <w:r>
        <w:rPr>
          <w:lang w:val="en-US"/>
        </w:rPr>
        <w:t xml:space="preserve"> observation of the data from </w:t>
      </w:r>
      <w:r w:rsidR="008A2689">
        <w:rPr>
          <w:lang w:val="en-US"/>
        </w:rPr>
        <w:t>T</w:t>
      </w:r>
      <w:r>
        <w:rPr>
          <w:lang w:val="en-US"/>
        </w:rPr>
        <w:t xml:space="preserve">able 2 indicates that in </w:t>
      </w:r>
      <w:r w:rsidR="008A2689">
        <w:rPr>
          <w:lang w:val="en-US"/>
        </w:rPr>
        <w:t xml:space="preserve">the </w:t>
      </w:r>
      <w:r>
        <w:rPr>
          <w:lang w:val="en-US"/>
        </w:rPr>
        <w:t>year</w:t>
      </w:r>
      <w:r w:rsidR="008A2689">
        <w:rPr>
          <w:lang w:val="en-US"/>
        </w:rPr>
        <w:t>s</w:t>
      </w:r>
      <w:r>
        <w:rPr>
          <w:lang w:val="en-US"/>
        </w:rPr>
        <w:t xml:space="preserve"> 2004 and 2005</w:t>
      </w:r>
      <w:r w:rsidR="008A2689">
        <w:rPr>
          <w:lang w:val="en-US"/>
        </w:rPr>
        <w:t>, the number of banks had</w:t>
      </w:r>
      <w:r>
        <w:rPr>
          <w:lang w:val="en-US"/>
        </w:rPr>
        <w:t xml:space="preserve"> fallen by 5. </w:t>
      </w:r>
      <w:proofErr w:type="gramStart"/>
      <w:r w:rsidR="008A2689">
        <w:rPr>
          <w:lang w:val="en-US"/>
        </w:rPr>
        <w:t xml:space="preserve">As noted, </w:t>
      </w:r>
      <w:r>
        <w:rPr>
          <w:lang w:val="en-US"/>
        </w:rPr>
        <w:t xml:space="preserve">“The reason for this </w:t>
      </w:r>
      <w:r w:rsidR="008A2689">
        <w:rPr>
          <w:lang w:val="en-US"/>
        </w:rPr>
        <w:t xml:space="preserve">is </w:t>
      </w:r>
      <w:r>
        <w:rPr>
          <w:lang w:val="en-US"/>
        </w:rPr>
        <w:t>to be found in the continuation of the consolidation process in the banking sector and merger</w:t>
      </w:r>
      <w:r w:rsidR="008A2689">
        <w:rPr>
          <w:lang w:val="en-US"/>
        </w:rPr>
        <w:t>s</w:t>
      </w:r>
      <w:r>
        <w:rPr>
          <w:lang w:val="en-US"/>
        </w:rPr>
        <w:t xml:space="preserve"> of banks with their parent banks”</w:t>
      </w:r>
      <w:r w:rsidR="004770E3">
        <w:rPr>
          <w:lang w:val="en-US"/>
        </w:rPr>
        <w:t xml:space="preserve"> </w:t>
      </w:r>
      <w:sdt>
        <w:sdtPr>
          <w:rPr>
            <w:lang w:val="en-US"/>
          </w:rPr>
          <w:id w:val="-1740164066"/>
          <w:citation/>
        </w:sdtPr>
        <w:sdtContent>
          <w:r w:rsidR="00A000BF">
            <w:rPr>
              <w:lang w:val="en-US"/>
            </w:rPr>
            <w:fldChar w:fldCharType="begin"/>
          </w:r>
          <w:r w:rsidR="00325D81">
            <w:instrText xml:space="preserve">CITATION Jan04 \p 109 \l 1050 </w:instrText>
          </w:r>
          <w:r w:rsidR="00A000BF">
            <w:rPr>
              <w:lang w:val="en-US"/>
            </w:rPr>
            <w:fldChar w:fldCharType="separate"/>
          </w:r>
          <w:r w:rsidR="00325D81" w:rsidRPr="00325D81">
            <w:rPr>
              <w:noProof/>
            </w:rPr>
            <w:t>(Jankov, 2004, p. 109)</w:t>
          </w:r>
          <w:r w:rsidR="00A000BF">
            <w:rPr>
              <w:lang w:val="en-US"/>
            </w:rPr>
            <w:fldChar w:fldCharType="end"/>
          </w:r>
        </w:sdtContent>
      </w:sdt>
      <w:r w:rsidR="004770E3">
        <w:rPr>
          <w:lang w:val="en-US"/>
        </w:rPr>
        <w:t>.</w:t>
      </w:r>
      <w:proofErr w:type="gramEnd"/>
      <w:r>
        <w:rPr>
          <w:lang w:val="en-US"/>
        </w:rPr>
        <w:t xml:space="preserve"> </w:t>
      </w:r>
      <w:r w:rsidR="004770E3">
        <w:rPr>
          <w:lang w:val="en-US"/>
        </w:rPr>
        <w:t xml:space="preserve">In </w:t>
      </w:r>
      <w:r w:rsidR="0056703D">
        <w:rPr>
          <w:lang w:val="en-US"/>
        </w:rPr>
        <w:t xml:space="preserve">year </w:t>
      </w:r>
      <w:r w:rsidR="004770E3">
        <w:rPr>
          <w:lang w:val="en-US"/>
        </w:rPr>
        <w:t>2006</w:t>
      </w:r>
      <w:r w:rsidR="008A2689">
        <w:rPr>
          <w:lang w:val="en-US"/>
        </w:rPr>
        <w:t>, the</w:t>
      </w:r>
      <w:r w:rsidR="004770E3">
        <w:rPr>
          <w:lang w:val="en-US"/>
        </w:rPr>
        <w:t xml:space="preserve"> number o</w:t>
      </w:r>
      <w:r w:rsidR="008A2689">
        <w:rPr>
          <w:lang w:val="en-US"/>
        </w:rPr>
        <w:t>f banks in foreign ownership had</w:t>
      </w:r>
      <w:r w:rsidR="004770E3">
        <w:rPr>
          <w:lang w:val="en-US"/>
        </w:rPr>
        <w:t xml:space="preserve"> </w:t>
      </w:r>
      <w:r w:rsidR="00880DAC">
        <w:rPr>
          <w:lang w:val="en-US"/>
        </w:rPr>
        <w:t>risen</w:t>
      </w:r>
      <w:r w:rsidR="004770E3">
        <w:rPr>
          <w:lang w:val="en-US"/>
        </w:rPr>
        <w:t xml:space="preserve"> by one</w:t>
      </w:r>
      <w:r w:rsidR="008A2689">
        <w:rPr>
          <w:lang w:val="en-US"/>
        </w:rPr>
        <w:t>, as a result</w:t>
      </w:r>
      <w:r w:rsidR="00BD14EC">
        <w:rPr>
          <w:lang w:val="en-US"/>
        </w:rPr>
        <w:t xml:space="preserve"> what was</w:t>
      </w:r>
      <w:r w:rsidR="004770E3">
        <w:rPr>
          <w:lang w:val="en-US"/>
        </w:rPr>
        <w:t xml:space="preserve"> the effect of the privatization of one domestic private bank</w:t>
      </w:r>
      <w:r w:rsidR="00880DAC">
        <w:rPr>
          <w:lang w:val="en-US"/>
        </w:rPr>
        <w:t xml:space="preserve"> by the bank in private ownership</w:t>
      </w:r>
      <w:r w:rsidR="004770E3">
        <w:rPr>
          <w:lang w:val="en-US"/>
        </w:rPr>
        <w:t>. In period from 2006</w:t>
      </w:r>
      <w:r w:rsidR="004770E3">
        <w:rPr>
          <w:rFonts w:cs="Times New Roman"/>
          <w:lang w:val="en-US"/>
        </w:rPr>
        <w:t>–</w:t>
      </w:r>
      <w:r w:rsidR="004770E3">
        <w:rPr>
          <w:lang w:val="en-US"/>
        </w:rPr>
        <w:t>2011</w:t>
      </w:r>
      <w:r w:rsidR="00880DAC">
        <w:rPr>
          <w:lang w:val="en-US"/>
        </w:rPr>
        <w:t xml:space="preserve"> </w:t>
      </w:r>
      <w:r w:rsidR="004770E3">
        <w:rPr>
          <w:lang w:val="en-US"/>
        </w:rPr>
        <w:t>the</w:t>
      </w:r>
      <w:r w:rsidR="00BD14EC">
        <w:rPr>
          <w:lang w:val="en-US"/>
        </w:rPr>
        <w:t xml:space="preserve"> number of banks in foreign ownership has slightly grown and fall</w:t>
      </w:r>
      <w:r w:rsidR="0056703D">
        <w:rPr>
          <w:lang w:val="en-US"/>
        </w:rPr>
        <w:t xml:space="preserve"> what </w:t>
      </w:r>
      <w:r w:rsidR="00880DAC">
        <w:rPr>
          <w:lang w:val="en-US"/>
        </w:rPr>
        <w:t>were</w:t>
      </w:r>
      <w:r w:rsidR="0056703D">
        <w:rPr>
          <w:lang w:val="en-US"/>
        </w:rPr>
        <w:t xml:space="preserve"> all effect of privatization and consolidation of the banks in foreign ownership.</w:t>
      </w:r>
      <w:r w:rsidR="00BD14EC">
        <w:rPr>
          <w:lang w:val="en-US"/>
        </w:rPr>
        <w:t xml:space="preserve"> </w:t>
      </w:r>
      <w:r w:rsidR="004770E3">
        <w:rPr>
          <w:lang w:val="en-US"/>
        </w:rPr>
        <w:t xml:space="preserve">   </w:t>
      </w:r>
    </w:p>
    <w:p w:rsidR="00F40CD8" w:rsidRDefault="004823BF" w:rsidP="00F40CD8">
      <w:pPr>
        <w:ind w:firstLine="567"/>
        <w:jc w:val="both"/>
        <w:rPr>
          <w:lang w:val="en-US"/>
        </w:rPr>
      </w:pPr>
      <w:r>
        <w:rPr>
          <w:lang w:val="en-US"/>
        </w:rPr>
        <w:t xml:space="preserve">Unlike </w:t>
      </w:r>
      <w:r w:rsidR="00BA5A24">
        <w:rPr>
          <w:lang w:val="en-US"/>
        </w:rPr>
        <w:t xml:space="preserve">the </w:t>
      </w:r>
      <w:r>
        <w:rPr>
          <w:lang w:val="en-US"/>
        </w:rPr>
        <w:t>p</w:t>
      </w:r>
      <w:r w:rsidR="00B658D3">
        <w:rPr>
          <w:lang w:val="en-US"/>
        </w:rPr>
        <w:t xml:space="preserve">rivatization </w:t>
      </w:r>
      <w:r w:rsidR="00F40CD8">
        <w:rPr>
          <w:lang w:val="en-US"/>
        </w:rPr>
        <w:t xml:space="preserve">of </w:t>
      </w:r>
      <w:r w:rsidR="00B658D3">
        <w:rPr>
          <w:lang w:val="en-US"/>
        </w:rPr>
        <w:t xml:space="preserve">the banking sector </w:t>
      </w:r>
      <w:r w:rsidR="0056703D">
        <w:rPr>
          <w:lang w:val="en-US"/>
        </w:rPr>
        <w:t>in</w:t>
      </w:r>
      <w:r w:rsidR="00F40CD8">
        <w:rPr>
          <w:lang w:val="en-US"/>
        </w:rPr>
        <w:t xml:space="preserve"> Croatia</w:t>
      </w:r>
      <w:r w:rsidR="00BA5A24">
        <w:rPr>
          <w:lang w:val="en-US"/>
        </w:rPr>
        <w:t>,</w:t>
      </w:r>
      <w:r w:rsidR="00F40CD8">
        <w:rPr>
          <w:lang w:val="en-US"/>
        </w:rPr>
        <w:t xml:space="preserve"> </w:t>
      </w:r>
      <w:r>
        <w:rPr>
          <w:lang w:val="en-US"/>
        </w:rPr>
        <w:t xml:space="preserve">the entry </w:t>
      </w:r>
      <w:r w:rsidR="00B658D3">
        <w:rPr>
          <w:lang w:val="en-US"/>
        </w:rPr>
        <w:t>of foreign</w:t>
      </w:r>
      <w:r w:rsidR="00BA5A24">
        <w:rPr>
          <w:lang w:val="en-US"/>
        </w:rPr>
        <w:t>- owned</w:t>
      </w:r>
      <w:r w:rsidR="00B658D3">
        <w:rPr>
          <w:lang w:val="en-US"/>
        </w:rPr>
        <w:t xml:space="preserve"> </w:t>
      </w:r>
      <w:r w:rsidR="00D95547">
        <w:rPr>
          <w:lang w:val="en-US"/>
        </w:rPr>
        <w:t xml:space="preserve">banks into </w:t>
      </w:r>
      <w:r w:rsidR="00B658D3">
        <w:rPr>
          <w:lang w:val="en-US"/>
        </w:rPr>
        <w:t xml:space="preserve">the </w:t>
      </w:r>
      <w:r w:rsidR="00D95547">
        <w:rPr>
          <w:lang w:val="en-US"/>
        </w:rPr>
        <w:t>Macedonian</w:t>
      </w:r>
      <w:r w:rsidR="00B658D3">
        <w:rPr>
          <w:lang w:val="en-US"/>
        </w:rPr>
        <w:t xml:space="preserve"> financial</w:t>
      </w:r>
      <w:r w:rsidR="00325D81">
        <w:rPr>
          <w:lang w:val="en-US"/>
        </w:rPr>
        <w:t xml:space="preserve"> and banking</w:t>
      </w:r>
      <w:r w:rsidR="00B658D3">
        <w:rPr>
          <w:lang w:val="en-US"/>
        </w:rPr>
        <w:t xml:space="preserve"> market</w:t>
      </w:r>
      <w:r w:rsidR="00F40CD8">
        <w:rPr>
          <w:lang w:val="en-US"/>
        </w:rPr>
        <w:t xml:space="preserve"> had a</w:t>
      </w:r>
      <w:r>
        <w:rPr>
          <w:lang w:val="en-US"/>
        </w:rPr>
        <w:t xml:space="preserve"> different intensity</w:t>
      </w:r>
      <w:r w:rsidR="00BA5A24">
        <w:rPr>
          <w:lang w:val="en-US"/>
        </w:rPr>
        <w:t>.</w:t>
      </w:r>
      <w:r w:rsidR="00403329">
        <w:rPr>
          <w:lang w:val="en-US"/>
        </w:rPr>
        <w:t xml:space="preserve"> As</w:t>
      </w:r>
      <w:r>
        <w:rPr>
          <w:lang w:val="en-US"/>
        </w:rPr>
        <w:t xml:space="preserve"> Tang, </w:t>
      </w:r>
      <w:proofErr w:type="spellStart"/>
      <w:r>
        <w:rPr>
          <w:lang w:val="en-US"/>
        </w:rPr>
        <w:t>Zoli</w:t>
      </w:r>
      <w:proofErr w:type="spellEnd"/>
      <w:r>
        <w:rPr>
          <w:lang w:val="en-US"/>
        </w:rPr>
        <w:t xml:space="preserve"> and </w:t>
      </w:r>
      <w:proofErr w:type="spellStart"/>
      <w:r>
        <w:rPr>
          <w:lang w:val="en-US"/>
        </w:rPr>
        <w:t>Klyt</w:t>
      </w:r>
      <w:r w:rsidR="00F40CD8">
        <w:rPr>
          <w:lang w:val="en-US"/>
        </w:rPr>
        <w:t>ch</w:t>
      </w:r>
      <w:r>
        <w:rPr>
          <w:lang w:val="en-US"/>
        </w:rPr>
        <w:t>n</w:t>
      </w:r>
      <w:r w:rsidR="00F40CD8">
        <w:rPr>
          <w:lang w:val="en-US"/>
        </w:rPr>
        <w:t>i</w:t>
      </w:r>
      <w:r>
        <w:rPr>
          <w:lang w:val="en-US"/>
        </w:rPr>
        <w:t>kova</w:t>
      </w:r>
      <w:proofErr w:type="spellEnd"/>
      <w:r w:rsidR="00F40CD8">
        <w:rPr>
          <w:lang w:val="en-US"/>
        </w:rPr>
        <w:t xml:space="preserve"> (2000, p. 5) </w:t>
      </w:r>
      <w:r w:rsidR="00403329">
        <w:rPr>
          <w:lang w:val="en-US"/>
        </w:rPr>
        <w:t xml:space="preserve">state, </w:t>
      </w:r>
      <w:r w:rsidR="00F40CD8">
        <w:rPr>
          <w:lang w:val="en-US"/>
        </w:rPr>
        <w:t xml:space="preserve">the number of banks in foreign ownership was </w:t>
      </w:r>
      <w:r w:rsidR="0056703D">
        <w:rPr>
          <w:lang w:val="en-US"/>
        </w:rPr>
        <w:t>three</w:t>
      </w:r>
      <w:r w:rsidR="00F40CD8">
        <w:rPr>
          <w:lang w:val="en-US"/>
        </w:rPr>
        <w:t xml:space="preserve"> of </w:t>
      </w:r>
      <w:r w:rsidR="0056703D">
        <w:rPr>
          <w:lang w:val="en-US"/>
        </w:rPr>
        <w:t>six</w:t>
      </w:r>
      <w:r w:rsidR="00F40CD8">
        <w:rPr>
          <w:lang w:val="en-US"/>
        </w:rPr>
        <w:t xml:space="preserve"> banks</w:t>
      </w:r>
      <w:r w:rsidR="008566E2">
        <w:rPr>
          <w:lang w:val="en-US"/>
        </w:rPr>
        <w:t>, overall</w:t>
      </w:r>
      <w:r w:rsidR="00F40CD8">
        <w:rPr>
          <w:lang w:val="en-US"/>
        </w:rPr>
        <w:t xml:space="preserve">. The </w:t>
      </w:r>
      <w:r w:rsidR="00880DAC">
        <w:rPr>
          <w:lang w:val="en-US"/>
        </w:rPr>
        <w:t xml:space="preserve">privatization </w:t>
      </w:r>
      <w:r w:rsidR="00F40CD8">
        <w:rPr>
          <w:lang w:val="en-US"/>
        </w:rPr>
        <w:t>process of the banking sector in Macedonia ha</w:t>
      </w:r>
      <w:r w:rsidR="008566E2">
        <w:rPr>
          <w:lang w:val="en-US"/>
        </w:rPr>
        <w:t>d</w:t>
      </w:r>
      <w:r w:rsidR="00F40CD8">
        <w:rPr>
          <w:lang w:val="en-US"/>
        </w:rPr>
        <w:t xml:space="preserve"> started earlier and in the </w:t>
      </w:r>
      <w:r w:rsidR="00880DAC">
        <w:rPr>
          <w:lang w:val="en-US"/>
        </w:rPr>
        <w:t xml:space="preserve">first period of </w:t>
      </w:r>
      <w:r w:rsidR="008566E2">
        <w:rPr>
          <w:lang w:val="en-US"/>
        </w:rPr>
        <w:t>19</w:t>
      </w:r>
      <w:r w:rsidR="00880DAC">
        <w:rPr>
          <w:lang w:val="en-US"/>
        </w:rPr>
        <w:t xml:space="preserve">90’s </w:t>
      </w:r>
      <w:r w:rsidR="00325D81">
        <w:rPr>
          <w:lang w:val="en-US"/>
        </w:rPr>
        <w:t xml:space="preserve">of the </w:t>
      </w:r>
      <w:r w:rsidR="00880DAC">
        <w:rPr>
          <w:lang w:val="en-US"/>
        </w:rPr>
        <w:t xml:space="preserve">last century </w:t>
      </w:r>
      <w:r w:rsidR="00F40CD8">
        <w:rPr>
          <w:lang w:val="en-US"/>
        </w:rPr>
        <w:t xml:space="preserve">it was much </w:t>
      </w:r>
      <w:r w:rsidR="00880DAC">
        <w:rPr>
          <w:lang w:val="en-US"/>
        </w:rPr>
        <w:t>effective</w:t>
      </w:r>
      <w:r w:rsidR="00F40CD8">
        <w:rPr>
          <w:lang w:val="en-US"/>
        </w:rPr>
        <w:t xml:space="preserve"> </w:t>
      </w:r>
      <w:r w:rsidR="00880DAC">
        <w:rPr>
          <w:lang w:val="en-US"/>
        </w:rPr>
        <w:t xml:space="preserve">and more </w:t>
      </w:r>
      <w:r w:rsidR="008566E2">
        <w:rPr>
          <w:lang w:val="en-US"/>
        </w:rPr>
        <w:t>comprehensive</w:t>
      </w:r>
      <w:r w:rsidR="00880DAC">
        <w:rPr>
          <w:lang w:val="en-US"/>
        </w:rPr>
        <w:t xml:space="preserve"> </w:t>
      </w:r>
      <w:r w:rsidR="008566E2">
        <w:rPr>
          <w:lang w:val="en-US"/>
        </w:rPr>
        <w:t>than</w:t>
      </w:r>
      <w:r w:rsidR="00F40CD8">
        <w:rPr>
          <w:lang w:val="en-US"/>
        </w:rPr>
        <w:t xml:space="preserve"> in Croatia. </w:t>
      </w:r>
      <w:r w:rsidR="008566E2">
        <w:rPr>
          <w:lang w:val="en-US"/>
        </w:rPr>
        <w:t>T</w:t>
      </w:r>
      <w:r w:rsidR="00F40CD8">
        <w:rPr>
          <w:lang w:val="en-US"/>
        </w:rPr>
        <w:t xml:space="preserve">able 2 </w:t>
      </w:r>
      <w:r w:rsidR="008566E2">
        <w:rPr>
          <w:lang w:val="en-US"/>
        </w:rPr>
        <w:t>presents</w:t>
      </w:r>
      <w:r w:rsidR="00F40CD8">
        <w:rPr>
          <w:lang w:val="en-US"/>
        </w:rPr>
        <w:t xml:space="preserve"> data </w:t>
      </w:r>
      <w:r w:rsidR="00880DAC">
        <w:rPr>
          <w:lang w:val="en-US"/>
        </w:rPr>
        <w:t xml:space="preserve">of </w:t>
      </w:r>
      <w:r w:rsidR="00325D81">
        <w:rPr>
          <w:lang w:val="en-US"/>
        </w:rPr>
        <w:t>the reform</w:t>
      </w:r>
      <w:r w:rsidR="00F40CD8">
        <w:rPr>
          <w:lang w:val="en-US"/>
        </w:rPr>
        <w:t xml:space="preserve"> and privatization process of </w:t>
      </w:r>
      <w:r w:rsidR="008566E2">
        <w:rPr>
          <w:lang w:val="en-US"/>
        </w:rPr>
        <w:t xml:space="preserve">the most </w:t>
      </w:r>
      <w:r w:rsidR="00F40CD8">
        <w:rPr>
          <w:lang w:val="en-US"/>
        </w:rPr>
        <w:t>recent period</w:t>
      </w:r>
      <w:r w:rsidR="00880DAC">
        <w:rPr>
          <w:lang w:val="en-US"/>
        </w:rPr>
        <w:t xml:space="preserve"> 2003</w:t>
      </w:r>
      <w:r w:rsidR="00880DAC">
        <w:rPr>
          <w:rFonts w:cs="Times New Roman"/>
          <w:lang w:val="en-US"/>
        </w:rPr>
        <w:t>–</w:t>
      </w:r>
      <w:r w:rsidR="00880DAC">
        <w:rPr>
          <w:lang w:val="en-US"/>
        </w:rPr>
        <w:t>2011</w:t>
      </w:r>
      <w:r w:rsidR="00F40CD8">
        <w:rPr>
          <w:lang w:val="en-US"/>
        </w:rPr>
        <w:t xml:space="preserve">. </w:t>
      </w:r>
    </w:p>
    <w:p w:rsidR="00F40CD8" w:rsidRDefault="00F40CD8" w:rsidP="00F40CD8">
      <w:pPr>
        <w:jc w:val="both"/>
        <w:rPr>
          <w:lang w:val="en-US"/>
        </w:rPr>
      </w:pPr>
    </w:p>
    <w:p w:rsidR="00F40CD8" w:rsidRDefault="00F40CD8" w:rsidP="00F40CD8">
      <w:pPr>
        <w:jc w:val="both"/>
        <w:rPr>
          <w:lang w:val="en-US"/>
        </w:rPr>
      </w:pPr>
      <w:r>
        <w:rPr>
          <w:lang w:val="en-US"/>
        </w:rPr>
        <w:t>Table 2 Ownership structure of the banks in Macedonia in period 2003</w:t>
      </w:r>
      <w:r>
        <w:rPr>
          <w:rFonts w:cs="Times New Roman"/>
          <w:lang w:val="en-US"/>
        </w:rPr>
        <w:t>–</w:t>
      </w:r>
      <w:r>
        <w:rPr>
          <w:lang w:val="en-US"/>
        </w:rPr>
        <w:t xml:space="preserve">2011 (number of banks) </w:t>
      </w:r>
    </w:p>
    <w:tbl>
      <w:tblPr>
        <w:tblW w:w="9114" w:type="dxa"/>
        <w:tblInd w:w="93" w:type="dxa"/>
        <w:tblLook w:val="04A0" w:firstRow="1" w:lastRow="0" w:firstColumn="1" w:lastColumn="0" w:noHBand="0" w:noVBand="1"/>
      </w:tblPr>
      <w:tblGrid>
        <w:gridCol w:w="2391"/>
        <w:gridCol w:w="747"/>
        <w:gridCol w:w="747"/>
        <w:gridCol w:w="747"/>
        <w:gridCol w:w="747"/>
        <w:gridCol w:w="747"/>
        <w:gridCol w:w="747"/>
        <w:gridCol w:w="747"/>
        <w:gridCol w:w="747"/>
        <w:gridCol w:w="747"/>
      </w:tblGrid>
      <w:tr w:rsidR="0056703D" w:rsidRPr="00F40CD8" w:rsidTr="0056703D">
        <w:trPr>
          <w:trHeight w:val="268"/>
        </w:trPr>
        <w:tc>
          <w:tcPr>
            <w:tcW w:w="2391" w:type="dxa"/>
            <w:tcBorders>
              <w:top w:val="single" w:sz="4" w:space="0" w:color="auto"/>
            </w:tcBorders>
            <w:shd w:val="clear" w:color="auto" w:fill="auto"/>
            <w:noWrap/>
            <w:vAlign w:val="bottom"/>
            <w:hideMark/>
          </w:tcPr>
          <w:p w:rsidR="0056703D" w:rsidRPr="00F40CD8" w:rsidRDefault="0056703D" w:rsidP="008A2689">
            <w:pPr>
              <w:rPr>
                <w:rFonts w:eastAsia="Times New Roman" w:cs="Times New Roman"/>
                <w:color w:val="000000"/>
                <w:sz w:val="22"/>
                <w:lang w:val="en-US" w:eastAsia="hr-HR"/>
              </w:rPr>
            </w:pPr>
          </w:p>
        </w:tc>
        <w:tc>
          <w:tcPr>
            <w:tcW w:w="6723" w:type="dxa"/>
            <w:gridSpan w:val="9"/>
            <w:tcBorders>
              <w:top w:val="single" w:sz="4" w:space="0" w:color="auto"/>
            </w:tcBorders>
            <w:shd w:val="clear" w:color="auto" w:fill="auto"/>
            <w:noWrap/>
            <w:vAlign w:val="bottom"/>
          </w:tcPr>
          <w:p w:rsidR="0056703D" w:rsidRPr="00F40CD8" w:rsidRDefault="0056703D" w:rsidP="008A2689">
            <w:pPr>
              <w:jc w:val="center"/>
              <w:rPr>
                <w:rFonts w:eastAsia="Times New Roman" w:cs="Times New Roman"/>
                <w:color w:val="000000"/>
                <w:sz w:val="22"/>
                <w:lang w:val="en-US" w:eastAsia="hr-HR"/>
              </w:rPr>
            </w:pPr>
            <w:r w:rsidRPr="00F40CD8">
              <w:rPr>
                <w:rFonts w:eastAsia="Times New Roman" w:cs="Times New Roman"/>
                <w:color w:val="000000"/>
                <w:sz w:val="22"/>
                <w:lang w:val="en-US" w:eastAsia="hr-HR"/>
              </w:rPr>
              <w:t>Year</w:t>
            </w:r>
          </w:p>
        </w:tc>
      </w:tr>
      <w:tr w:rsidR="0056703D" w:rsidRPr="00F40CD8" w:rsidTr="008A2689">
        <w:trPr>
          <w:trHeight w:val="268"/>
        </w:trPr>
        <w:tc>
          <w:tcPr>
            <w:tcW w:w="2391" w:type="dxa"/>
            <w:tcBorders>
              <w:bottom w:val="single" w:sz="4" w:space="0" w:color="auto"/>
            </w:tcBorders>
            <w:shd w:val="clear" w:color="auto" w:fill="auto"/>
            <w:noWrap/>
            <w:vAlign w:val="bottom"/>
          </w:tcPr>
          <w:p w:rsidR="0056703D" w:rsidRPr="00F40CD8" w:rsidRDefault="0056703D" w:rsidP="008A2689">
            <w:pPr>
              <w:rPr>
                <w:rFonts w:eastAsia="Times New Roman" w:cs="Times New Roman"/>
                <w:color w:val="000000"/>
                <w:sz w:val="22"/>
                <w:lang w:val="en-US" w:eastAsia="hr-HR"/>
              </w:rPr>
            </w:pPr>
            <w:r w:rsidRPr="00F40CD8">
              <w:rPr>
                <w:rFonts w:eastAsia="Times New Roman" w:cs="Times New Roman"/>
                <w:color w:val="000000"/>
                <w:sz w:val="22"/>
                <w:lang w:val="en-US" w:eastAsia="hr-HR"/>
              </w:rPr>
              <w:t>Type of ownership</w:t>
            </w:r>
          </w:p>
        </w:tc>
        <w:tc>
          <w:tcPr>
            <w:tcW w:w="747" w:type="dxa"/>
            <w:tcBorders>
              <w:bottom w:val="single" w:sz="4" w:space="0" w:color="auto"/>
            </w:tcBorders>
            <w:shd w:val="clear" w:color="auto" w:fill="auto"/>
            <w:noWrap/>
            <w:vAlign w:val="bottom"/>
          </w:tcPr>
          <w:p w:rsidR="0056703D" w:rsidRPr="00F40CD8" w:rsidRDefault="0056703D" w:rsidP="008A2689">
            <w:pPr>
              <w:jc w:val="right"/>
              <w:rPr>
                <w:rFonts w:eastAsia="Times New Roman" w:cs="Times New Roman"/>
                <w:color w:val="000000"/>
                <w:sz w:val="22"/>
                <w:lang w:val="en-US" w:eastAsia="hr-HR"/>
              </w:rPr>
            </w:pPr>
            <w:r w:rsidRPr="00F40CD8">
              <w:rPr>
                <w:rFonts w:eastAsia="Times New Roman" w:cs="Times New Roman"/>
                <w:color w:val="000000"/>
                <w:sz w:val="22"/>
                <w:lang w:val="en-US" w:eastAsia="hr-HR"/>
              </w:rPr>
              <w:t>2003</w:t>
            </w:r>
          </w:p>
        </w:tc>
        <w:tc>
          <w:tcPr>
            <w:tcW w:w="747" w:type="dxa"/>
            <w:tcBorders>
              <w:bottom w:val="single" w:sz="4" w:space="0" w:color="auto"/>
            </w:tcBorders>
            <w:shd w:val="clear" w:color="auto" w:fill="auto"/>
            <w:noWrap/>
            <w:vAlign w:val="bottom"/>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2004</w:t>
            </w:r>
          </w:p>
        </w:tc>
        <w:tc>
          <w:tcPr>
            <w:tcW w:w="747" w:type="dxa"/>
            <w:tcBorders>
              <w:bottom w:val="single" w:sz="4" w:space="0" w:color="auto"/>
            </w:tcBorders>
            <w:shd w:val="clear" w:color="auto" w:fill="auto"/>
            <w:noWrap/>
            <w:vAlign w:val="bottom"/>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2005</w:t>
            </w:r>
          </w:p>
        </w:tc>
        <w:tc>
          <w:tcPr>
            <w:tcW w:w="747" w:type="dxa"/>
            <w:tcBorders>
              <w:bottom w:val="single" w:sz="4" w:space="0" w:color="auto"/>
            </w:tcBorders>
            <w:shd w:val="clear" w:color="auto" w:fill="auto"/>
            <w:noWrap/>
            <w:vAlign w:val="bottom"/>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2006</w:t>
            </w:r>
          </w:p>
        </w:tc>
        <w:tc>
          <w:tcPr>
            <w:tcW w:w="747" w:type="dxa"/>
            <w:tcBorders>
              <w:bottom w:val="single" w:sz="4" w:space="0" w:color="auto"/>
            </w:tcBorders>
            <w:shd w:val="clear" w:color="auto" w:fill="auto"/>
            <w:noWrap/>
            <w:vAlign w:val="bottom"/>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2007</w:t>
            </w:r>
          </w:p>
        </w:tc>
        <w:tc>
          <w:tcPr>
            <w:tcW w:w="747" w:type="dxa"/>
            <w:tcBorders>
              <w:bottom w:val="single" w:sz="4" w:space="0" w:color="auto"/>
            </w:tcBorders>
            <w:shd w:val="clear" w:color="auto" w:fill="auto"/>
            <w:noWrap/>
            <w:vAlign w:val="bottom"/>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2008</w:t>
            </w:r>
          </w:p>
        </w:tc>
        <w:tc>
          <w:tcPr>
            <w:tcW w:w="747" w:type="dxa"/>
            <w:tcBorders>
              <w:bottom w:val="single" w:sz="4" w:space="0" w:color="auto"/>
            </w:tcBorders>
            <w:shd w:val="clear" w:color="auto" w:fill="auto"/>
            <w:noWrap/>
            <w:vAlign w:val="bottom"/>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2009</w:t>
            </w:r>
          </w:p>
        </w:tc>
        <w:tc>
          <w:tcPr>
            <w:tcW w:w="747" w:type="dxa"/>
            <w:tcBorders>
              <w:bottom w:val="single" w:sz="4" w:space="0" w:color="auto"/>
            </w:tcBorders>
            <w:shd w:val="clear" w:color="auto" w:fill="auto"/>
            <w:noWrap/>
            <w:vAlign w:val="bottom"/>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2010</w:t>
            </w:r>
          </w:p>
        </w:tc>
        <w:tc>
          <w:tcPr>
            <w:tcW w:w="747" w:type="dxa"/>
            <w:tcBorders>
              <w:bottom w:val="single" w:sz="4" w:space="0" w:color="auto"/>
            </w:tcBorders>
            <w:shd w:val="clear" w:color="auto" w:fill="auto"/>
            <w:noWrap/>
            <w:vAlign w:val="bottom"/>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2011</w:t>
            </w:r>
          </w:p>
        </w:tc>
      </w:tr>
      <w:tr w:rsidR="0056703D" w:rsidRPr="00F40CD8" w:rsidTr="008A2689">
        <w:trPr>
          <w:trHeight w:val="268"/>
        </w:trPr>
        <w:tc>
          <w:tcPr>
            <w:tcW w:w="2391" w:type="dxa"/>
            <w:tcBorders>
              <w:top w:val="single" w:sz="4" w:space="0" w:color="auto"/>
            </w:tcBorders>
            <w:shd w:val="clear" w:color="auto" w:fill="auto"/>
            <w:noWrap/>
            <w:vAlign w:val="bottom"/>
            <w:hideMark/>
          </w:tcPr>
          <w:p w:rsidR="0056703D" w:rsidRPr="00F40CD8" w:rsidRDefault="0056703D" w:rsidP="008A2689">
            <w:pPr>
              <w:rPr>
                <w:rFonts w:eastAsia="Times New Roman" w:cs="Times New Roman"/>
                <w:color w:val="000000"/>
                <w:sz w:val="22"/>
                <w:lang w:val="en-US" w:eastAsia="hr-HR"/>
              </w:rPr>
            </w:pPr>
            <w:r w:rsidRPr="00F40CD8">
              <w:rPr>
                <w:rFonts w:eastAsia="Times New Roman" w:cs="Times New Roman"/>
                <w:color w:val="000000"/>
                <w:sz w:val="22"/>
                <w:lang w:val="en-US" w:eastAsia="hr-HR"/>
              </w:rPr>
              <w:t>Domestic private banks</w:t>
            </w:r>
          </w:p>
        </w:tc>
        <w:tc>
          <w:tcPr>
            <w:tcW w:w="747" w:type="dxa"/>
            <w:tcBorders>
              <w:top w:val="single" w:sz="4" w:space="0" w:color="auto"/>
            </w:tcBorders>
            <w:shd w:val="clear" w:color="auto" w:fill="auto"/>
            <w:noWrap/>
            <w:vAlign w:val="bottom"/>
            <w:hideMark/>
          </w:tcPr>
          <w:p w:rsidR="0056703D" w:rsidRPr="00F40CD8" w:rsidRDefault="0056703D" w:rsidP="008A2689">
            <w:pPr>
              <w:jc w:val="right"/>
              <w:rPr>
                <w:rFonts w:eastAsia="Times New Roman" w:cs="Times New Roman"/>
                <w:color w:val="000000"/>
                <w:sz w:val="22"/>
                <w:lang w:val="en-US" w:eastAsia="hr-HR"/>
              </w:rPr>
            </w:pPr>
            <w:r w:rsidRPr="00F40CD8">
              <w:rPr>
                <w:rFonts w:eastAsia="Times New Roman" w:cs="Times New Roman"/>
                <w:color w:val="000000"/>
                <w:sz w:val="22"/>
                <w:lang w:val="en-US" w:eastAsia="hr-HR"/>
              </w:rPr>
              <w:t>12</w:t>
            </w:r>
          </w:p>
        </w:tc>
        <w:tc>
          <w:tcPr>
            <w:tcW w:w="747" w:type="dxa"/>
            <w:tcBorders>
              <w:top w:val="single" w:sz="4" w:space="0" w:color="auto"/>
            </w:tcBorders>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12</w:t>
            </w:r>
          </w:p>
        </w:tc>
        <w:tc>
          <w:tcPr>
            <w:tcW w:w="747" w:type="dxa"/>
            <w:tcBorders>
              <w:top w:val="single" w:sz="4" w:space="0" w:color="auto"/>
            </w:tcBorders>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11</w:t>
            </w:r>
          </w:p>
        </w:tc>
        <w:tc>
          <w:tcPr>
            <w:tcW w:w="747" w:type="dxa"/>
            <w:tcBorders>
              <w:top w:val="single" w:sz="4" w:space="0" w:color="auto"/>
            </w:tcBorders>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10</w:t>
            </w:r>
          </w:p>
        </w:tc>
        <w:tc>
          <w:tcPr>
            <w:tcW w:w="747" w:type="dxa"/>
            <w:tcBorders>
              <w:top w:val="single" w:sz="4" w:space="0" w:color="auto"/>
            </w:tcBorders>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9</w:t>
            </w:r>
          </w:p>
        </w:tc>
        <w:tc>
          <w:tcPr>
            <w:tcW w:w="747" w:type="dxa"/>
            <w:tcBorders>
              <w:top w:val="single" w:sz="4" w:space="0" w:color="auto"/>
            </w:tcBorders>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9</w:t>
            </w:r>
          </w:p>
        </w:tc>
        <w:tc>
          <w:tcPr>
            <w:tcW w:w="747" w:type="dxa"/>
            <w:tcBorders>
              <w:top w:val="single" w:sz="4" w:space="0" w:color="auto"/>
            </w:tcBorders>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9</w:t>
            </w:r>
          </w:p>
        </w:tc>
        <w:tc>
          <w:tcPr>
            <w:tcW w:w="747" w:type="dxa"/>
            <w:tcBorders>
              <w:top w:val="single" w:sz="4" w:space="0" w:color="auto"/>
            </w:tcBorders>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9</w:t>
            </w:r>
          </w:p>
        </w:tc>
        <w:tc>
          <w:tcPr>
            <w:tcW w:w="747" w:type="dxa"/>
            <w:tcBorders>
              <w:top w:val="single" w:sz="4" w:space="0" w:color="auto"/>
            </w:tcBorders>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8</w:t>
            </w:r>
          </w:p>
        </w:tc>
      </w:tr>
      <w:tr w:rsidR="0056703D" w:rsidRPr="00F40CD8" w:rsidTr="008A2689">
        <w:trPr>
          <w:trHeight w:val="268"/>
        </w:trPr>
        <w:tc>
          <w:tcPr>
            <w:tcW w:w="2391" w:type="dxa"/>
            <w:shd w:val="clear" w:color="auto" w:fill="auto"/>
            <w:noWrap/>
            <w:vAlign w:val="bottom"/>
            <w:hideMark/>
          </w:tcPr>
          <w:p w:rsidR="0056703D" w:rsidRPr="00F40CD8" w:rsidRDefault="0056703D" w:rsidP="008A2689">
            <w:pPr>
              <w:rPr>
                <w:rFonts w:eastAsia="Times New Roman" w:cs="Times New Roman"/>
                <w:color w:val="000000"/>
                <w:sz w:val="22"/>
                <w:lang w:val="en-US" w:eastAsia="hr-HR"/>
              </w:rPr>
            </w:pPr>
            <w:r w:rsidRPr="00F40CD8">
              <w:rPr>
                <w:rFonts w:eastAsia="Times New Roman" w:cs="Times New Roman"/>
                <w:color w:val="000000"/>
                <w:sz w:val="22"/>
                <w:lang w:val="en-US" w:eastAsia="hr-HR"/>
              </w:rPr>
              <w:t>State owned banks</w:t>
            </w:r>
          </w:p>
        </w:tc>
        <w:tc>
          <w:tcPr>
            <w:tcW w:w="747" w:type="dxa"/>
            <w:shd w:val="clear" w:color="auto" w:fill="auto"/>
            <w:noWrap/>
            <w:vAlign w:val="bottom"/>
            <w:hideMark/>
          </w:tcPr>
          <w:p w:rsidR="0056703D" w:rsidRPr="00F40CD8" w:rsidRDefault="0056703D" w:rsidP="008A2689">
            <w:pPr>
              <w:jc w:val="right"/>
              <w:rPr>
                <w:rFonts w:eastAsia="Times New Roman" w:cs="Times New Roman"/>
                <w:color w:val="000000"/>
                <w:sz w:val="22"/>
                <w:lang w:val="en-US" w:eastAsia="hr-HR"/>
              </w:rPr>
            </w:pPr>
            <w:r w:rsidRPr="00F40CD8">
              <w:rPr>
                <w:rFonts w:eastAsia="Times New Roman" w:cs="Times New Roman"/>
                <w:color w:val="000000"/>
                <w:sz w:val="22"/>
                <w:lang w:val="en-US" w:eastAsia="hr-HR"/>
              </w:rPr>
              <w:t>1</w:t>
            </w:r>
          </w:p>
        </w:tc>
        <w:tc>
          <w:tcPr>
            <w:tcW w:w="747" w:type="dxa"/>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1</w:t>
            </w:r>
          </w:p>
        </w:tc>
        <w:tc>
          <w:tcPr>
            <w:tcW w:w="747" w:type="dxa"/>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1</w:t>
            </w:r>
          </w:p>
        </w:tc>
        <w:tc>
          <w:tcPr>
            <w:tcW w:w="747" w:type="dxa"/>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1</w:t>
            </w:r>
          </w:p>
        </w:tc>
        <w:tc>
          <w:tcPr>
            <w:tcW w:w="747" w:type="dxa"/>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1</w:t>
            </w:r>
          </w:p>
        </w:tc>
        <w:tc>
          <w:tcPr>
            <w:tcW w:w="747" w:type="dxa"/>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1</w:t>
            </w:r>
          </w:p>
        </w:tc>
        <w:tc>
          <w:tcPr>
            <w:tcW w:w="747" w:type="dxa"/>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1</w:t>
            </w:r>
          </w:p>
        </w:tc>
        <w:tc>
          <w:tcPr>
            <w:tcW w:w="747" w:type="dxa"/>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1</w:t>
            </w:r>
          </w:p>
        </w:tc>
        <w:tc>
          <w:tcPr>
            <w:tcW w:w="747" w:type="dxa"/>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1</w:t>
            </w:r>
          </w:p>
        </w:tc>
      </w:tr>
      <w:tr w:rsidR="0056703D" w:rsidRPr="00F40CD8" w:rsidTr="008A2689">
        <w:trPr>
          <w:trHeight w:val="268"/>
        </w:trPr>
        <w:tc>
          <w:tcPr>
            <w:tcW w:w="2391" w:type="dxa"/>
            <w:tcBorders>
              <w:bottom w:val="single" w:sz="4" w:space="0" w:color="auto"/>
            </w:tcBorders>
            <w:shd w:val="clear" w:color="auto" w:fill="auto"/>
            <w:noWrap/>
            <w:vAlign w:val="bottom"/>
            <w:hideMark/>
          </w:tcPr>
          <w:p w:rsidR="0056703D" w:rsidRPr="00F40CD8" w:rsidRDefault="0056703D" w:rsidP="008A2689">
            <w:pPr>
              <w:rPr>
                <w:rFonts w:eastAsia="Times New Roman" w:cs="Times New Roman"/>
                <w:color w:val="000000"/>
                <w:sz w:val="22"/>
                <w:lang w:val="en-US" w:eastAsia="hr-HR"/>
              </w:rPr>
            </w:pPr>
            <w:r w:rsidRPr="00F40CD8">
              <w:rPr>
                <w:rFonts w:eastAsia="Times New Roman" w:cs="Times New Roman"/>
                <w:color w:val="000000"/>
                <w:sz w:val="22"/>
                <w:lang w:val="en-US" w:eastAsia="hr-HR"/>
              </w:rPr>
              <w:t>Foreign banks</w:t>
            </w:r>
          </w:p>
        </w:tc>
        <w:tc>
          <w:tcPr>
            <w:tcW w:w="747" w:type="dxa"/>
            <w:tcBorders>
              <w:bottom w:val="single" w:sz="4" w:space="0" w:color="auto"/>
            </w:tcBorders>
            <w:shd w:val="clear" w:color="auto" w:fill="auto"/>
            <w:noWrap/>
            <w:vAlign w:val="bottom"/>
            <w:hideMark/>
          </w:tcPr>
          <w:p w:rsidR="0056703D" w:rsidRPr="00F40CD8" w:rsidRDefault="0056703D" w:rsidP="008A2689">
            <w:pPr>
              <w:jc w:val="right"/>
              <w:rPr>
                <w:rFonts w:eastAsia="Times New Roman" w:cs="Times New Roman"/>
                <w:color w:val="000000"/>
                <w:sz w:val="22"/>
                <w:lang w:val="en-US" w:eastAsia="hr-HR"/>
              </w:rPr>
            </w:pPr>
            <w:r w:rsidRPr="00F40CD8">
              <w:rPr>
                <w:rFonts w:eastAsia="Times New Roman" w:cs="Times New Roman"/>
                <w:color w:val="000000"/>
                <w:sz w:val="22"/>
                <w:lang w:val="en-US" w:eastAsia="hr-HR"/>
              </w:rPr>
              <w:t>8</w:t>
            </w:r>
          </w:p>
        </w:tc>
        <w:tc>
          <w:tcPr>
            <w:tcW w:w="747" w:type="dxa"/>
            <w:tcBorders>
              <w:bottom w:val="single" w:sz="4" w:space="0" w:color="auto"/>
            </w:tcBorders>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8</w:t>
            </w:r>
          </w:p>
        </w:tc>
        <w:tc>
          <w:tcPr>
            <w:tcW w:w="747" w:type="dxa"/>
            <w:tcBorders>
              <w:bottom w:val="single" w:sz="4" w:space="0" w:color="auto"/>
            </w:tcBorders>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8</w:t>
            </w:r>
          </w:p>
        </w:tc>
        <w:tc>
          <w:tcPr>
            <w:tcW w:w="747" w:type="dxa"/>
            <w:tcBorders>
              <w:bottom w:val="single" w:sz="4" w:space="0" w:color="auto"/>
            </w:tcBorders>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8</w:t>
            </w:r>
          </w:p>
        </w:tc>
        <w:tc>
          <w:tcPr>
            <w:tcW w:w="747" w:type="dxa"/>
            <w:tcBorders>
              <w:bottom w:val="single" w:sz="4" w:space="0" w:color="auto"/>
            </w:tcBorders>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8</w:t>
            </w:r>
          </w:p>
        </w:tc>
        <w:tc>
          <w:tcPr>
            <w:tcW w:w="747" w:type="dxa"/>
            <w:tcBorders>
              <w:bottom w:val="single" w:sz="4" w:space="0" w:color="auto"/>
            </w:tcBorders>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8</w:t>
            </w:r>
          </w:p>
        </w:tc>
        <w:tc>
          <w:tcPr>
            <w:tcW w:w="747" w:type="dxa"/>
            <w:tcBorders>
              <w:bottom w:val="single" w:sz="4" w:space="0" w:color="auto"/>
            </w:tcBorders>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8</w:t>
            </w:r>
          </w:p>
        </w:tc>
        <w:tc>
          <w:tcPr>
            <w:tcW w:w="747" w:type="dxa"/>
            <w:tcBorders>
              <w:bottom w:val="single" w:sz="4" w:space="0" w:color="auto"/>
            </w:tcBorders>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8</w:t>
            </w:r>
          </w:p>
        </w:tc>
        <w:tc>
          <w:tcPr>
            <w:tcW w:w="747" w:type="dxa"/>
            <w:tcBorders>
              <w:bottom w:val="single" w:sz="4" w:space="0" w:color="auto"/>
            </w:tcBorders>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8</w:t>
            </w:r>
          </w:p>
        </w:tc>
      </w:tr>
      <w:tr w:rsidR="0056703D" w:rsidRPr="00F40CD8" w:rsidTr="008A2689">
        <w:trPr>
          <w:trHeight w:val="268"/>
        </w:trPr>
        <w:tc>
          <w:tcPr>
            <w:tcW w:w="2391" w:type="dxa"/>
            <w:tcBorders>
              <w:top w:val="single" w:sz="4" w:space="0" w:color="auto"/>
              <w:bottom w:val="single" w:sz="4" w:space="0" w:color="auto"/>
            </w:tcBorders>
            <w:shd w:val="clear" w:color="auto" w:fill="auto"/>
            <w:noWrap/>
            <w:vAlign w:val="bottom"/>
            <w:hideMark/>
          </w:tcPr>
          <w:p w:rsidR="0056703D" w:rsidRPr="00F40CD8" w:rsidRDefault="0056703D" w:rsidP="008A2689">
            <w:pPr>
              <w:rPr>
                <w:rFonts w:eastAsia="Times New Roman" w:cs="Times New Roman"/>
                <w:color w:val="000000"/>
                <w:sz w:val="22"/>
                <w:lang w:val="en-US" w:eastAsia="hr-HR"/>
              </w:rPr>
            </w:pPr>
            <w:r w:rsidRPr="00F40CD8">
              <w:rPr>
                <w:rFonts w:eastAsia="Times New Roman" w:cs="Times New Roman"/>
                <w:color w:val="000000"/>
                <w:sz w:val="22"/>
                <w:lang w:val="en-US" w:eastAsia="hr-HR"/>
              </w:rPr>
              <w:t>Total</w:t>
            </w:r>
          </w:p>
        </w:tc>
        <w:tc>
          <w:tcPr>
            <w:tcW w:w="747" w:type="dxa"/>
            <w:tcBorders>
              <w:top w:val="single" w:sz="4" w:space="0" w:color="auto"/>
              <w:bottom w:val="single" w:sz="4" w:space="0" w:color="auto"/>
            </w:tcBorders>
            <w:shd w:val="clear" w:color="auto" w:fill="auto"/>
            <w:noWrap/>
            <w:vAlign w:val="bottom"/>
            <w:hideMark/>
          </w:tcPr>
          <w:p w:rsidR="0056703D" w:rsidRPr="00F40CD8" w:rsidRDefault="0056703D" w:rsidP="008A2689">
            <w:pPr>
              <w:jc w:val="right"/>
              <w:rPr>
                <w:rFonts w:eastAsia="Times New Roman" w:cs="Times New Roman"/>
                <w:color w:val="000000"/>
                <w:sz w:val="22"/>
                <w:lang w:val="en-US" w:eastAsia="hr-HR"/>
              </w:rPr>
            </w:pPr>
            <w:r w:rsidRPr="00F40CD8">
              <w:rPr>
                <w:rFonts w:eastAsia="Times New Roman" w:cs="Times New Roman"/>
                <w:color w:val="000000"/>
                <w:sz w:val="22"/>
                <w:lang w:val="en-US" w:eastAsia="hr-HR"/>
              </w:rPr>
              <w:t>21</w:t>
            </w:r>
          </w:p>
        </w:tc>
        <w:tc>
          <w:tcPr>
            <w:tcW w:w="747" w:type="dxa"/>
            <w:tcBorders>
              <w:top w:val="single" w:sz="4" w:space="0" w:color="auto"/>
              <w:bottom w:val="single" w:sz="4" w:space="0" w:color="auto"/>
            </w:tcBorders>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21</w:t>
            </w:r>
          </w:p>
        </w:tc>
        <w:tc>
          <w:tcPr>
            <w:tcW w:w="747" w:type="dxa"/>
            <w:tcBorders>
              <w:top w:val="single" w:sz="4" w:space="0" w:color="auto"/>
              <w:bottom w:val="single" w:sz="4" w:space="0" w:color="auto"/>
            </w:tcBorders>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20</w:t>
            </w:r>
          </w:p>
        </w:tc>
        <w:tc>
          <w:tcPr>
            <w:tcW w:w="747" w:type="dxa"/>
            <w:tcBorders>
              <w:top w:val="single" w:sz="4" w:space="0" w:color="auto"/>
              <w:bottom w:val="single" w:sz="4" w:space="0" w:color="auto"/>
            </w:tcBorders>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19</w:t>
            </w:r>
          </w:p>
        </w:tc>
        <w:tc>
          <w:tcPr>
            <w:tcW w:w="747" w:type="dxa"/>
            <w:tcBorders>
              <w:top w:val="single" w:sz="4" w:space="0" w:color="auto"/>
              <w:bottom w:val="single" w:sz="4" w:space="0" w:color="auto"/>
            </w:tcBorders>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18</w:t>
            </w:r>
          </w:p>
        </w:tc>
        <w:tc>
          <w:tcPr>
            <w:tcW w:w="747" w:type="dxa"/>
            <w:tcBorders>
              <w:top w:val="single" w:sz="4" w:space="0" w:color="auto"/>
              <w:bottom w:val="single" w:sz="4" w:space="0" w:color="auto"/>
            </w:tcBorders>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18</w:t>
            </w:r>
          </w:p>
        </w:tc>
        <w:tc>
          <w:tcPr>
            <w:tcW w:w="747" w:type="dxa"/>
            <w:tcBorders>
              <w:top w:val="single" w:sz="4" w:space="0" w:color="auto"/>
              <w:bottom w:val="single" w:sz="4" w:space="0" w:color="auto"/>
            </w:tcBorders>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18</w:t>
            </w:r>
          </w:p>
        </w:tc>
        <w:tc>
          <w:tcPr>
            <w:tcW w:w="747" w:type="dxa"/>
            <w:tcBorders>
              <w:top w:val="single" w:sz="4" w:space="0" w:color="auto"/>
              <w:bottom w:val="single" w:sz="4" w:space="0" w:color="auto"/>
            </w:tcBorders>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18</w:t>
            </w:r>
          </w:p>
        </w:tc>
        <w:tc>
          <w:tcPr>
            <w:tcW w:w="747" w:type="dxa"/>
            <w:tcBorders>
              <w:top w:val="single" w:sz="4" w:space="0" w:color="auto"/>
              <w:bottom w:val="single" w:sz="4" w:space="0" w:color="auto"/>
            </w:tcBorders>
            <w:shd w:val="clear" w:color="auto" w:fill="auto"/>
            <w:noWrap/>
            <w:vAlign w:val="bottom"/>
            <w:hideMark/>
          </w:tcPr>
          <w:p w:rsidR="0056703D" w:rsidRPr="00F40CD8" w:rsidRDefault="0056703D" w:rsidP="008A2689">
            <w:pPr>
              <w:jc w:val="right"/>
              <w:rPr>
                <w:rFonts w:eastAsia="Times New Roman" w:cs="Times New Roman"/>
                <w:color w:val="000000"/>
                <w:sz w:val="22"/>
                <w:lang w:eastAsia="hr-HR"/>
              </w:rPr>
            </w:pPr>
            <w:r w:rsidRPr="00F40CD8">
              <w:rPr>
                <w:rFonts w:eastAsia="Times New Roman" w:cs="Times New Roman"/>
                <w:color w:val="000000"/>
                <w:sz w:val="22"/>
                <w:lang w:eastAsia="hr-HR"/>
              </w:rPr>
              <w:t>17</w:t>
            </w:r>
          </w:p>
        </w:tc>
      </w:tr>
    </w:tbl>
    <w:p w:rsidR="0056703D" w:rsidRDefault="0056703D" w:rsidP="0056703D">
      <w:pPr>
        <w:jc w:val="both"/>
        <w:rPr>
          <w:lang w:val="en-US"/>
        </w:rPr>
      </w:pPr>
    </w:p>
    <w:p w:rsidR="00325D81" w:rsidRDefault="009B63F7" w:rsidP="009B63F7">
      <w:pPr>
        <w:ind w:firstLine="567"/>
        <w:jc w:val="both"/>
        <w:rPr>
          <w:lang w:val="en-US"/>
        </w:rPr>
      </w:pPr>
      <w:r>
        <w:rPr>
          <w:lang w:val="en-US"/>
        </w:rPr>
        <w:t xml:space="preserve">The total number of domestic private banks in the observed period has declined and in 2011 was eight, </w:t>
      </w:r>
      <w:r w:rsidR="008566E2">
        <w:rPr>
          <w:lang w:val="en-US"/>
        </w:rPr>
        <w:t xml:space="preserve">which number </w:t>
      </w:r>
      <w:r>
        <w:rPr>
          <w:lang w:val="en-US"/>
        </w:rPr>
        <w:t xml:space="preserve">fall </w:t>
      </w:r>
      <w:r w:rsidR="008566E2">
        <w:rPr>
          <w:lang w:val="en-US"/>
        </w:rPr>
        <w:t xml:space="preserve">in </w:t>
      </w:r>
      <w:r>
        <w:rPr>
          <w:lang w:val="en-US"/>
        </w:rPr>
        <w:t xml:space="preserve">banks </w:t>
      </w:r>
      <w:r w:rsidR="00325D81">
        <w:rPr>
          <w:lang w:val="en-US"/>
        </w:rPr>
        <w:t xml:space="preserve">in private ownership </w:t>
      </w:r>
      <w:r w:rsidR="008566E2">
        <w:rPr>
          <w:lang w:val="en-US"/>
        </w:rPr>
        <w:t xml:space="preserve">is a result </w:t>
      </w:r>
      <w:r>
        <w:rPr>
          <w:lang w:val="en-US"/>
        </w:rPr>
        <w:t xml:space="preserve">of </w:t>
      </w:r>
      <w:r w:rsidR="008566E2">
        <w:rPr>
          <w:lang w:val="en-US"/>
        </w:rPr>
        <w:t xml:space="preserve">the </w:t>
      </w:r>
      <w:r>
        <w:rPr>
          <w:lang w:val="en-US"/>
        </w:rPr>
        <w:t xml:space="preserve">consolidation and further privatization of the banking sector. Also, </w:t>
      </w:r>
      <w:r w:rsidR="008566E2">
        <w:rPr>
          <w:lang w:val="en-US"/>
        </w:rPr>
        <w:t xml:space="preserve">the </w:t>
      </w:r>
      <w:r>
        <w:rPr>
          <w:lang w:val="en-US"/>
        </w:rPr>
        <w:t xml:space="preserve">National Bank of </w:t>
      </w:r>
      <w:r w:rsidR="008566E2">
        <w:rPr>
          <w:lang w:val="en-US"/>
        </w:rPr>
        <w:t xml:space="preserve">the </w:t>
      </w:r>
      <w:r>
        <w:rPr>
          <w:lang w:val="en-US"/>
        </w:rPr>
        <w:t>Republic Macedonia in this period revoked operating license for few private banks in major domestic ownership, what also influence on reduction.</w:t>
      </w:r>
    </w:p>
    <w:p w:rsidR="00325D81" w:rsidRDefault="00325D81" w:rsidP="009B63F7">
      <w:pPr>
        <w:ind w:firstLine="567"/>
        <w:jc w:val="both"/>
        <w:rPr>
          <w:lang w:val="en-US"/>
        </w:rPr>
      </w:pPr>
      <w:r>
        <w:rPr>
          <w:lang w:val="en-US"/>
        </w:rPr>
        <w:t xml:space="preserve">Through </w:t>
      </w:r>
      <w:r w:rsidR="00EF4A3A">
        <w:rPr>
          <w:lang w:val="en-US"/>
        </w:rPr>
        <w:t xml:space="preserve">the </w:t>
      </w:r>
      <w:r>
        <w:rPr>
          <w:lang w:val="en-US"/>
        </w:rPr>
        <w:t>wh</w:t>
      </w:r>
      <w:r w:rsidR="00EF4A3A">
        <w:rPr>
          <w:lang w:val="en-US"/>
        </w:rPr>
        <w:t>o</w:t>
      </w:r>
      <w:r>
        <w:rPr>
          <w:lang w:val="en-US"/>
        </w:rPr>
        <w:t>le period</w:t>
      </w:r>
      <w:r w:rsidR="00EF4A3A">
        <w:rPr>
          <w:lang w:val="en-US"/>
        </w:rPr>
        <w:t>,</w:t>
      </w:r>
      <w:r>
        <w:rPr>
          <w:lang w:val="en-US"/>
        </w:rPr>
        <w:t xml:space="preserve"> the number of </w:t>
      </w:r>
      <w:r w:rsidR="00EF4A3A">
        <w:rPr>
          <w:lang w:val="en-US"/>
        </w:rPr>
        <w:t>state-</w:t>
      </w:r>
      <w:r>
        <w:rPr>
          <w:lang w:val="en-US"/>
        </w:rPr>
        <w:t xml:space="preserve">owned bank </w:t>
      </w:r>
      <w:r w:rsidR="00EF4A3A">
        <w:rPr>
          <w:lang w:val="en-US"/>
        </w:rPr>
        <w:t xml:space="preserve">remained the </w:t>
      </w:r>
      <w:r>
        <w:rPr>
          <w:lang w:val="en-US"/>
        </w:rPr>
        <w:t xml:space="preserve">same. The only bank </w:t>
      </w:r>
      <w:r w:rsidR="00EF4A3A">
        <w:rPr>
          <w:lang w:val="en-US"/>
        </w:rPr>
        <w:t xml:space="preserve">remaining </w:t>
      </w:r>
      <w:r>
        <w:rPr>
          <w:lang w:val="en-US"/>
        </w:rPr>
        <w:t xml:space="preserve">in state ownership is </w:t>
      </w:r>
      <w:r w:rsidR="00EF4A3A">
        <w:rPr>
          <w:lang w:val="en-US"/>
        </w:rPr>
        <w:t xml:space="preserve">the </w:t>
      </w:r>
      <w:r>
        <w:rPr>
          <w:lang w:val="en-US"/>
        </w:rPr>
        <w:t>Macedonian Bank for Development Promotion</w:t>
      </w:r>
      <w:r w:rsidR="00EF4A3A">
        <w:rPr>
          <w:lang w:val="en-US"/>
        </w:rPr>
        <w:t>, whose</w:t>
      </w:r>
      <w:r>
        <w:rPr>
          <w:lang w:val="en-US"/>
        </w:rPr>
        <w:t xml:space="preserve"> main goal is to support small and medium enterprises through credits and other formats of support.</w:t>
      </w:r>
    </w:p>
    <w:p w:rsidR="003D0A06" w:rsidRDefault="00CC4289" w:rsidP="009B63F7">
      <w:pPr>
        <w:ind w:firstLine="567"/>
        <w:jc w:val="both"/>
        <w:rPr>
          <w:lang w:val="en-US"/>
        </w:rPr>
      </w:pPr>
      <w:r>
        <w:rPr>
          <w:lang w:val="en-US"/>
        </w:rPr>
        <w:t>It is i</w:t>
      </w:r>
      <w:r w:rsidR="00325D81">
        <w:rPr>
          <w:lang w:val="en-US"/>
        </w:rPr>
        <w:t xml:space="preserve">nteresting </w:t>
      </w:r>
      <w:r>
        <w:rPr>
          <w:lang w:val="en-US"/>
        </w:rPr>
        <w:t>to note that the number</w:t>
      </w:r>
      <w:r w:rsidR="00325D81">
        <w:rPr>
          <w:lang w:val="en-US"/>
        </w:rPr>
        <w:t xml:space="preserve"> of banks in foreign ownership </w:t>
      </w:r>
      <w:r w:rsidR="00207D48">
        <w:rPr>
          <w:lang w:val="en-US"/>
        </w:rPr>
        <w:t xml:space="preserve">remained the </w:t>
      </w:r>
      <w:r w:rsidR="003D0A06">
        <w:rPr>
          <w:lang w:val="en-US"/>
        </w:rPr>
        <w:t>same</w:t>
      </w:r>
      <w:r w:rsidR="00207D48">
        <w:rPr>
          <w:lang w:val="en-US"/>
        </w:rPr>
        <w:t xml:space="preserve"> during the sample period</w:t>
      </w:r>
      <w:r w:rsidR="003D0A06">
        <w:rPr>
          <w:lang w:val="en-US"/>
        </w:rPr>
        <w:t xml:space="preserve">. That is </w:t>
      </w:r>
      <w:r w:rsidR="00207D48">
        <w:rPr>
          <w:lang w:val="en-US"/>
        </w:rPr>
        <w:t xml:space="preserve">a result </w:t>
      </w:r>
      <w:r w:rsidR="003D0A06">
        <w:rPr>
          <w:lang w:val="en-US"/>
        </w:rPr>
        <w:t xml:space="preserve">of </w:t>
      </w:r>
      <w:r w:rsidR="00207D48">
        <w:rPr>
          <w:lang w:val="en-US"/>
        </w:rPr>
        <w:t xml:space="preserve">the </w:t>
      </w:r>
      <w:r w:rsidR="003D0A06">
        <w:rPr>
          <w:lang w:val="en-US"/>
        </w:rPr>
        <w:t xml:space="preserve">previous privatization cycle, </w:t>
      </w:r>
      <w:r w:rsidR="00207D48">
        <w:rPr>
          <w:lang w:val="en-US"/>
        </w:rPr>
        <w:t xml:space="preserve">however </w:t>
      </w:r>
      <w:r w:rsidR="003D0A06">
        <w:rPr>
          <w:lang w:val="en-US"/>
        </w:rPr>
        <w:t>it is necessary to highlight that these banks have consolidate</w:t>
      </w:r>
      <w:r w:rsidR="00207D48">
        <w:rPr>
          <w:lang w:val="en-US"/>
        </w:rPr>
        <w:t>d them</w:t>
      </w:r>
      <w:r w:rsidR="003D0A06">
        <w:rPr>
          <w:lang w:val="en-US"/>
        </w:rPr>
        <w:t>sel</w:t>
      </w:r>
      <w:r w:rsidR="00207D48">
        <w:rPr>
          <w:lang w:val="en-US"/>
        </w:rPr>
        <w:t>ves</w:t>
      </w:r>
      <w:r w:rsidR="003D0A06">
        <w:rPr>
          <w:lang w:val="en-US"/>
        </w:rPr>
        <w:t xml:space="preserve"> by acqui</w:t>
      </w:r>
      <w:r w:rsidR="001836F5">
        <w:rPr>
          <w:lang w:val="en-US"/>
        </w:rPr>
        <w:t xml:space="preserve">ring </w:t>
      </w:r>
      <w:r w:rsidR="003D0A06">
        <w:rPr>
          <w:lang w:val="en-US"/>
        </w:rPr>
        <w:t xml:space="preserve">banks </w:t>
      </w:r>
      <w:r w:rsidR="001836F5">
        <w:rPr>
          <w:lang w:val="en-US"/>
        </w:rPr>
        <w:t xml:space="preserve">with </w:t>
      </w:r>
      <w:r w:rsidR="003D0A06">
        <w:rPr>
          <w:lang w:val="en-US"/>
        </w:rPr>
        <w:t xml:space="preserve">major domestic ownership. </w:t>
      </w:r>
    </w:p>
    <w:p w:rsidR="003D0A06" w:rsidRDefault="003D0A06" w:rsidP="009B63F7">
      <w:pPr>
        <w:ind w:firstLine="567"/>
        <w:jc w:val="both"/>
        <w:rPr>
          <w:lang w:val="en-US"/>
        </w:rPr>
      </w:pPr>
      <w:r>
        <w:rPr>
          <w:lang w:val="en-US"/>
        </w:rPr>
        <w:lastRenderedPageBreak/>
        <w:t xml:space="preserve">For the purpose of comparing </w:t>
      </w:r>
      <w:r w:rsidR="00D37268">
        <w:rPr>
          <w:lang w:val="en-US"/>
        </w:rPr>
        <w:t xml:space="preserve">the </w:t>
      </w:r>
      <w:r>
        <w:rPr>
          <w:lang w:val="en-US"/>
        </w:rPr>
        <w:t xml:space="preserve">dynamics and structure of the bank ownership structure in Croatia and Macedonia the compared data are presented in </w:t>
      </w:r>
      <w:r w:rsidR="00D37268">
        <w:rPr>
          <w:lang w:val="en-US"/>
        </w:rPr>
        <w:t>F</w:t>
      </w:r>
      <w:r>
        <w:rPr>
          <w:lang w:val="en-US"/>
        </w:rPr>
        <w:t>igure 1</w:t>
      </w:r>
      <w:r w:rsidR="00D37268">
        <w:rPr>
          <w:lang w:val="en-US"/>
        </w:rPr>
        <w:t>.</w:t>
      </w:r>
    </w:p>
    <w:p w:rsidR="00325D81" w:rsidRDefault="003D0A06" w:rsidP="003D0A06">
      <w:pPr>
        <w:jc w:val="both"/>
        <w:rPr>
          <w:lang w:val="en-US"/>
        </w:rPr>
      </w:pPr>
      <w:r>
        <w:rPr>
          <w:noProof/>
          <w:lang w:eastAsia="hr-HR"/>
        </w:rPr>
        <w:drawing>
          <wp:inline distT="0" distB="0" distL="0" distR="0" wp14:anchorId="088FE147" wp14:editId="3B11C6EB">
            <wp:extent cx="5745480" cy="2712720"/>
            <wp:effectExtent l="0" t="0" r="26670" b="1143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Pr>
          <w:lang w:val="en-US"/>
        </w:rPr>
        <w:t>Figure 1</w:t>
      </w:r>
      <w:r w:rsidR="00845044">
        <w:rPr>
          <w:lang w:val="en-US"/>
        </w:rPr>
        <w:t xml:space="preserve"> Ownership structure of banks in Croatia and Macedonia</w:t>
      </w:r>
    </w:p>
    <w:p w:rsidR="00325D81" w:rsidRDefault="00325D81" w:rsidP="009B63F7">
      <w:pPr>
        <w:ind w:firstLine="567"/>
        <w:jc w:val="both"/>
        <w:rPr>
          <w:lang w:val="en-US"/>
        </w:rPr>
      </w:pPr>
    </w:p>
    <w:p w:rsidR="00DF1300" w:rsidRDefault="00845044" w:rsidP="009B63F7">
      <w:pPr>
        <w:ind w:firstLine="567"/>
        <w:jc w:val="both"/>
        <w:rPr>
          <w:lang w:val="en-US"/>
        </w:rPr>
      </w:pPr>
      <w:r>
        <w:rPr>
          <w:lang w:val="en-US"/>
        </w:rPr>
        <w:t xml:space="preserve">From the analysis of data </w:t>
      </w:r>
      <w:r w:rsidR="00D37268">
        <w:rPr>
          <w:lang w:val="en-US"/>
        </w:rPr>
        <w:t>in F</w:t>
      </w:r>
      <w:r>
        <w:rPr>
          <w:lang w:val="en-US"/>
        </w:rPr>
        <w:t xml:space="preserve">igure 1 </w:t>
      </w:r>
      <w:r w:rsidR="00D37268">
        <w:rPr>
          <w:lang w:val="en-US"/>
        </w:rPr>
        <w:t xml:space="preserve">it </w:t>
      </w:r>
      <w:r>
        <w:rPr>
          <w:lang w:val="en-US"/>
        </w:rPr>
        <w:t xml:space="preserve">can </w:t>
      </w:r>
      <w:r w:rsidR="00D37268">
        <w:rPr>
          <w:lang w:val="en-US"/>
        </w:rPr>
        <w:t xml:space="preserve">be </w:t>
      </w:r>
      <w:r>
        <w:rPr>
          <w:lang w:val="en-US"/>
        </w:rPr>
        <w:t>conclude</w:t>
      </w:r>
      <w:r w:rsidR="00D37268">
        <w:rPr>
          <w:lang w:val="en-US"/>
        </w:rPr>
        <w:t>d</w:t>
      </w:r>
      <w:r>
        <w:rPr>
          <w:lang w:val="en-US"/>
        </w:rPr>
        <w:t xml:space="preserve"> that number of foreign banks in Croatia and Macedonia is considerably different, although Croatia had started </w:t>
      </w:r>
      <w:r w:rsidR="00D37268">
        <w:rPr>
          <w:lang w:val="en-US"/>
        </w:rPr>
        <w:t xml:space="preserve">the </w:t>
      </w:r>
      <w:r>
        <w:rPr>
          <w:lang w:val="en-US"/>
        </w:rPr>
        <w:t>process of privatization later</w:t>
      </w:r>
      <w:r w:rsidR="00D37268">
        <w:rPr>
          <w:lang w:val="en-US"/>
        </w:rPr>
        <w:t>, even though</w:t>
      </w:r>
      <w:r>
        <w:rPr>
          <w:lang w:val="en-US"/>
        </w:rPr>
        <w:t xml:space="preserve"> the </w:t>
      </w:r>
      <w:r w:rsidR="00D37268">
        <w:rPr>
          <w:lang w:val="en-US"/>
        </w:rPr>
        <w:t xml:space="preserve">market is </w:t>
      </w:r>
      <w:r>
        <w:rPr>
          <w:lang w:val="en-US"/>
        </w:rPr>
        <w:t xml:space="preserve">larger (4.5 million people) than </w:t>
      </w:r>
      <w:r w:rsidR="00D37268">
        <w:rPr>
          <w:lang w:val="en-US"/>
        </w:rPr>
        <w:t xml:space="preserve">that of </w:t>
      </w:r>
      <w:r>
        <w:rPr>
          <w:lang w:val="en-US"/>
        </w:rPr>
        <w:t>Macedonia (2.1 million people)</w:t>
      </w:r>
      <w:r w:rsidR="00D37268">
        <w:rPr>
          <w:lang w:val="en-US"/>
        </w:rPr>
        <w:t>. Also, the more developed economy has a</w:t>
      </w:r>
      <w:r>
        <w:rPr>
          <w:lang w:val="en-US"/>
        </w:rPr>
        <w:t xml:space="preserve"> direct influence on the total number of private banks. </w:t>
      </w:r>
      <w:r w:rsidR="00D37268">
        <w:rPr>
          <w:lang w:val="en-US"/>
        </w:rPr>
        <w:t>Moreover</w:t>
      </w:r>
      <w:r w:rsidR="00DF1300">
        <w:rPr>
          <w:lang w:val="en-US"/>
        </w:rPr>
        <w:t xml:space="preserve">, the later started privatization meaning </w:t>
      </w:r>
      <w:r w:rsidR="00D37268">
        <w:rPr>
          <w:lang w:val="en-US"/>
        </w:rPr>
        <w:t xml:space="preserve">in </w:t>
      </w:r>
      <w:r w:rsidR="00DF1300">
        <w:rPr>
          <w:lang w:val="en-US"/>
        </w:rPr>
        <w:t xml:space="preserve">volume (1998-2002) and </w:t>
      </w:r>
      <w:r w:rsidR="00DF1300" w:rsidRPr="00072EC4">
        <w:rPr>
          <w:lang w:val="en-US"/>
        </w:rPr>
        <w:t xml:space="preserve">consolidation </w:t>
      </w:r>
      <w:r w:rsidR="00DF1300">
        <w:rPr>
          <w:lang w:val="en-US"/>
        </w:rPr>
        <w:t>on the market result</w:t>
      </w:r>
      <w:r w:rsidR="00D37268">
        <w:rPr>
          <w:lang w:val="en-US"/>
        </w:rPr>
        <w:t>ed in</w:t>
      </w:r>
      <w:r w:rsidR="00DF1300">
        <w:rPr>
          <w:lang w:val="en-US"/>
        </w:rPr>
        <w:t xml:space="preserve"> oscillations on Croatian foreign banks in the period 2003</w:t>
      </w:r>
      <w:r w:rsidR="00DF1300">
        <w:rPr>
          <w:rFonts w:cs="Times New Roman"/>
          <w:lang w:val="en-US"/>
        </w:rPr>
        <w:t>–</w:t>
      </w:r>
      <w:r w:rsidR="00DF1300">
        <w:rPr>
          <w:lang w:val="en-US"/>
        </w:rPr>
        <w:t>2011.</w:t>
      </w:r>
    </w:p>
    <w:p w:rsidR="00CD1A22" w:rsidRDefault="009771D4" w:rsidP="009B63F7">
      <w:pPr>
        <w:ind w:firstLine="567"/>
        <w:jc w:val="both"/>
        <w:rPr>
          <w:lang w:val="en-US"/>
        </w:rPr>
      </w:pPr>
      <w:r>
        <w:rPr>
          <w:lang w:val="en-US"/>
        </w:rPr>
        <w:t>T</w:t>
      </w:r>
      <w:r w:rsidR="00D37268">
        <w:rPr>
          <w:lang w:val="en-US"/>
        </w:rPr>
        <w:t>he t</w:t>
      </w:r>
      <w:r>
        <w:rPr>
          <w:lang w:val="en-US"/>
        </w:rPr>
        <w:t>endency</w:t>
      </w:r>
      <w:r w:rsidR="00DF1300">
        <w:rPr>
          <w:lang w:val="en-US"/>
        </w:rPr>
        <w:t xml:space="preserve"> in the number of the domestic private banks </w:t>
      </w:r>
      <w:r>
        <w:rPr>
          <w:lang w:val="en-US"/>
        </w:rPr>
        <w:t>is</w:t>
      </w:r>
      <w:r w:rsidR="00DF1300">
        <w:rPr>
          <w:lang w:val="en-US"/>
        </w:rPr>
        <w:t xml:space="preserve"> the same</w:t>
      </w:r>
      <w:r>
        <w:rPr>
          <w:lang w:val="en-US"/>
        </w:rPr>
        <w:t xml:space="preserve">, </w:t>
      </w:r>
      <w:r w:rsidR="00D37268">
        <w:rPr>
          <w:lang w:val="en-US"/>
        </w:rPr>
        <w:t xml:space="preserve">with a </w:t>
      </w:r>
      <w:r>
        <w:rPr>
          <w:lang w:val="en-US"/>
        </w:rPr>
        <w:t>decreasing</w:t>
      </w:r>
      <w:r w:rsidR="00D37268">
        <w:rPr>
          <w:lang w:val="en-US"/>
        </w:rPr>
        <w:t xml:space="preserve"> slope</w:t>
      </w:r>
      <w:r>
        <w:rPr>
          <w:lang w:val="en-US"/>
        </w:rPr>
        <w:t>,</w:t>
      </w:r>
      <w:r w:rsidR="00DF1300">
        <w:rPr>
          <w:lang w:val="en-US"/>
        </w:rPr>
        <w:t xml:space="preserve"> a</w:t>
      </w:r>
      <w:r w:rsidR="00D37268">
        <w:rPr>
          <w:lang w:val="en-US"/>
        </w:rPr>
        <w:t>s the</w:t>
      </w:r>
      <w:r w:rsidR="00DF1300">
        <w:rPr>
          <w:lang w:val="en-US"/>
        </w:rPr>
        <w:t xml:space="preserve"> Croatian</w:t>
      </w:r>
      <w:r w:rsidR="00D37268">
        <w:rPr>
          <w:lang w:val="en-US"/>
        </w:rPr>
        <w:t>, similarly</w:t>
      </w:r>
      <w:r w:rsidR="00DF1300">
        <w:rPr>
          <w:lang w:val="en-US"/>
        </w:rPr>
        <w:t xml:space="preserve"> as the Macedonian market</w:t>
      </w:r>
      <w:r>
        <w:rPr>
          <w:lang w:val="en-US"/>
        </w:rPr>
        <w:t xml:space="preserve"> in the analyzed period</w:t>
      </w:r>
      <w:r w:rsidR="00DF1300">
        <w:rPr>
          <w:lang w:val="en-US"/>
        </w:rPr>
        <w:t xml:space="preserve"> and the main factor for that process </w:t>
      </w:r>
      <w:r w:rsidR="007A1E14">
        <w:rPr>
          <w:lang w:val="en-US"/>
        </w:rPr>
        <w:t xml:space="preserve">is </w:t>
      </w:r>
      <w:r w:rsidR="0088718A">
        <w:rPr>
          <w:lang w:val="en-US"/>
        </w:rPr>
        <w:t xml:space="preserve">the effort </w:t>
      </w:r>
      <w:r w:rsidR="00DF1300">
        <w:rPr>
          <w:lang w:val="en-US"/>
        </w:rPr>
        <w:t>of the private banks for consolidating their market position and share.</w:t>
      </w:r>
      <w:r w:rsidR="007A1E14">
        <w:rPr>
          <w:lang w:val="en-US"/>
        </w:rPr>
        <w:t xml:space="preserve"> It </w:t>
      </w:r>
      <w:r>
        <w:rPr>
          <w:lang w:val="en-US"/>
        </w:rPr>
        <w:t xml:space="preserve">is </w:t>
      </w:r>
      <w:r w:rsidR="007A1E14">
        <w:rPr>
          <w:lang w:val="en-US"/>
        </w:rPr>
        <w:t xml:space="preserve">also </w:t>
      </w:r>
      <w:r>
        <w:rPr>
          <w:lang w:val="en-US"/>
        </w:rPr>
        <w:t>noticeable that the number of domestic private banks</w:t>
      </w:r>
      <w:r w:rsidR="00DF1300">
        <w:rPr>
          <w:lang w:val="en-US"/>
        </w:rPr>
        <w:t xml:space="preserve"> </w:t>
      </w:r>
      <w:r>
        <w:rPr>
          <w:lang w:val="en-US"/>
        </w:rPr>
        <w:t xml:space="preserve">in Macedonia </w:t>
      </w:r>
      <w:r w:rsidR="007A1E14">
        <w:rPr>
          <w:lang w:val="en-US"/>
        </w:rPr>
        <w:t xml:space="preserve">during </w:t>
      </w:r>
      <w:r>
        <w:rPr>
          <w:lang w:val="en-US"/>
        </w:rPr>
        <w:t xml:space="preserve">the </w:t>
      </w:r>
      <w:r w:rsidR="0088718A">
        <w:rPr>
          <w:lang w:val="en-US"/>
        </w:rPr>
        <w:t xml:space="preserve">whole </w:t>
      </w:r>
      <w:r>
        <w:rPr>
          <w:lang w:val="en-US"/>
        </w:rPr>
        <w:t xml:space="preserve">period </w:t>
      </w:r>
      <w:r w:rsidR="007A1E14">
        <w:rPr>
          <w:lang w:val="en-US"/>
        </w:rPr>
        <w:t xml:space="preserve">is </w:t>
      </w:r>
      <w:r>
        <w:rPr>
          <w:lang w:val="en-US"/>
        </w:rPr>
        <w:t>smaller</w:t>
      </w:r>
      <w:r w:rsidR="0088718A">
        <w:rPr>
          <w:lang w:val="en-US"/>
        </w:rPr>
        <w:t xml:space="preserve"> and in average is 40% of the Croatian domestic private banks. As </w:t>
      </w:r>
      <w:r w:rsidR="00E47E19">
        <w:rPr>
          <w:lang w:val="en-US"/>
        </w:rPr>
        <w:t xml:space="preserve">was </w:t>
      </w:r>
      <w:r w:rsidR="0088718A">
        <w:rPr>
          <w:lang w:val="en-US"/>
        </w:rPr>
        <w:t xml:space="preserve">already </w:t>
      </w:r>
      <w:r w:rsidR="007A1E14">
        <w:rPr>
          <w:lang w:val="en-US"/>
        </w:rPr>
        <w:t>determined</w:t>
      </w:r>
      <w:r w:rsidR="000752BD">
        <w:rPr>
          <w:lang w:val="en-US"/>
        </w:rPr>
        <w:t>,</w:t>
      </w:r>
      <w:r w:rsidR="007A1E14">
        <w:rPr>
          <w:lang w:val="en-US"/>
        </w:rPr>
        <w:t xml:space="preserve"> </w:t>
      </w:r>
      <w:r w:rsidR="00E47E19">
        <w:rPr>
          <w:lang w:val="en-US"/>
        </w:rPr>
        <w:t xml:space="preserve">the </w:t>
      </w:r>
      <w:r w:rsidR="0088718A">
        <w:rPr>
          <w:lang w:val="en-US"/>
        </w:rPr>
        <w:t xml:space="preserve">disproportion </w:t>
      </w:r>
      <w:r w:rsidR="00CD1A22">
        <w:rPr>
          <w:lang w:val="en-US"/>
        </w:rPr>
        <w:t xml:space="preserve">in number of banks </w:t>
      </w:r>
      <w:r w:rsidR="0088718A">
        <w:rPr>
          <w:lang w:val="en-US"/>
        </w:rPr>
        <w:t>is not surprising</w:t>
      </w:r>
      <w:r w:rsidR="00E47E19">
        <w:rPr>
          <w:lang w:val="en-US"/>
        </w:rPr>
        <w:t>,</w:t>
      </w:r>
      <w:r w:rsidR="0088718A">
        <w:rPr>
          <w:lang w:val="en-US"/>
        </w:rPr>
        <w:t xml:space="preserve"> considering the </w:t>
      </w:r>
      <w:r w:rsidR="00E47E19">
        <w:rPr>
          <w:lang w:val="en-US"/>
        </w:rPr>
        <w:t xml:space="preserve">similar </w:t>
      </w:r>
      <w:r w:rsidR="0088718A">
        <w:rPr>
          <w:lang w:val="en-US"/>
        </w:rPr>
        <w:t xml:space="preserve">history </w:t>
      </w:r>
      <w:r w:rsidR="00E47E19">
        <w:rPr>
          <w:lang w:val="en-US"/>
        </w:rPr>
        <w:t xml:space="preserve">and economic development </w:t>
      </w:r>
      <w:r w:rsidR="0088718A">
        <w:rPr>
          <w:lang w:val="en-US"/>
        </w:rPr>
        <w:t>backgrounds of both counties</w:t>
      </w:r>
      <w:r w:rsidR="00F15D44">
        <w:rPr>
          <w:lang w:val="en-US"/>
        </w:rPr>
        <w:t xml:space="preserve">, therefore a </w:t>
      </w:r>
      <w:r w:rsidR="00CD1A22">
        <w:rPr>
          <w:lang w:val="en-US"/>
        </w:rPr>
        <w:t>disproportion in the number of domestic private banks is expected</w:t>
      </w:r>
      <w:r w:rsidR="0088718A">
        <w:rPr>
          <w:lang w:val="en-US"/>
        </w:rPr>
        <w:t>.</w:t>
      </w:r>
    </w:p>
    <w:p w:rsidR="00325D81" w:rsidRDefault="00CD1A22" w:rsidP="009B63F7">
      <w:pPr>
        <w:ind w:firstLine="567"/>
        <w:jc w:val="both"/>
        <w:rPr>
          <w:lang w:val="en-US"/>
        </w:rPr>
      </w:pPr>
      <w:r>
        <w:rPr>
          <w:lang w:val="en-US"/>
        </w:rPr>
        <w:t xml:space="preserve">The number of state banks in </w:t>
      </w:r>
      <w:r w:rsidR="00F15D44">
        <w:rPr>
          <w:lang w:val="en-US"/>
        </w:rPr>
        <w:t xml:space="preserve">the </w:t>
      </w:r>
      <w:r>
        <w:rPr>
          <w:lang w:val="en-US"/>
        </w:rPr>
        <w:t xml:space="preserve">whole period is unchanged. The only difference is that Croatia as </w:t>
      </w:r>
      <w:r w:rsidR="00A71500">
        <w:rPr>
          <w:lang w:val="en-US"/>
        </w:rPr>
        <w:t xml:space="preserve">a </w:t>
      </w:r>
      <w:r>
        <w:rPr>
          <w:lang w:val="en-US"/>
        </w:rPr>
        <w:t xml:space="preserve">state is in </w:t>
      </w:r>
      <w:r w:rsidR="00AF3052">
        <w:rPr>
          <w:lang w:val="en-US"/>
        </w:rPr>
        <w:t>pos</w:t>
      </w:r>
      <w:r w:rsidR="00D833FF">
        <w:rPr>
          <w:lang w:val="en-US"/>
        </w:rPr>
        <w:t>s</w:t>
      </w:r>
      <w:r w:rsidR="00AF3052">
        <w:rPr>
          <w:lang w:val="en-US"/>
        </w:rPr>
        <w:t>es</w:t>
      </w:r>
      <w:r w:rsidR="00A71500">
        <w:rPr>
          <w:lang w:val="en-US"/>
        </w:rPr>
        <w:t>sion</w:t>
      </w:r>
      <w:r>
        <w:rPr>
          <w:lang w:val="en-US"/>
        </w:rPr>
        <w:t xml:space="preserve"> of one universal banking organization</w:t>
      </w:r>
      <w:r w:rsidR="00A67D7A">
        <w:rPr>
          <w:lang w:val="en-US"/>
        </w:rPr>
        <w:t xml:space="preserve"> beside one bank whose main purpose is </w:t>
      </w:r>
      <w:r w:rsidR="00D833FF">
        <w:rPr>
          <w:lang w:val="en-US"/>
        </w:rPr>
        <w:t xml:space="preserve">the </w:t>
      </w:r>
      <w:r w:rsidR="00A67D7A">
        <w:rPr>
          <w:lang w:val="en-US"/>
        </w:rPr>
        <w:t>development of the domestic economy</w:t>
      </w:r>
      <w:r>
        <w:rPr>
          <w:lang w:val="en-US"/>
        </w:rPr>
        <w:t xml:space="preserve">, but judging </w:t>
      </w:r>
      <w:r w:rsidR="00D833FF">
        <w:rPr>
          <w:lang w:val="en-US"/>
        </w:rPr>
        <w:t xml:space="preserve">from a </w:t>
      </w:r>
      <w:r>
        <w:rPr>
          <w:lang w:val="en-US"/>
        </w:rPr>
        <w:t>government</w:t>
      </w:r>
      <w:r w:rsidR="00D833FF">
        <w:rPr>
          <w:lang w:val="en-US"/>
        </w:rPr>
        <w:t>al</w:t>
      </w:r>
      <w:r>
        <w:rPr>
          <w:lang w:val="en-US"/>
        </w:rPr>
        <w:t xml:space="preserve"> announcement</w:t>
      </w:r>
      <w:r w:rsidR="00D833FF">
        <w:rPr>
          <w:lang w:val="en-US"/>
        </w:rPr>
        <w:t>,</w:t>
      </w:r>
      <w:r>
        <w:rPr>
          <w:lang w:val="en-US"/>
        </w:rPr>
        <w:t xml:space="preserve"> it will be sold to private investors</w:t>
      </w:r>
      <w:r w:rsidR="00A67D7A">
        <w:rPr>
          <w:lang w:val="en-US"/>
        </w:rPr>
        <w:t xml:space="preserve">. </w:t>
      </w:r>
      <w:r>
        <w:rPr>
          <w:lang w:val="en-US"/>
        </w:rPr>
        <w:t xml:space="preserve">  </w:t>
      </w:r>
      <w:r w:rsidR="0088718A">
        <w:rPr>
          <w:lang w:val="en-US"/>
        </w:rPr>
        <w:t xml:space="preserve">    </w:t>
      </w:r>
      <w:r w:rsidR="00DF1300">
        <w:rPr>
          <w:lang w:val="en-US"/>
        </w:rPr>
        <w:t xml:space="preserve">  </w:t>
      </w:r>
    </w:p>
    <w:p w:rsidR="0044537D" w:rsidRDefault="005E5C1B" w:rsidP="00072EC4">
      <w:pPr>
        <w:ind w:firstLine="567"/>
        <w:jc w:val="both"/>
        <w:rPr>
          <w:lang w:val="en-US"/>
        </w:rPr>
      </w:pPr>
      <w:r>
        <w:rPr>
          <w:lang w:val="en-US"/>
        </w:rPr>
        <w:t xml:space="preserve">However, in order to </w:t>
      </w:r>
      <w:r w:rsidR="00366E2A">
        <w:rPr>
          <w:lang w:val="en-US"/>
        </w:rPr>
        <w:t>better understand</w:t>
      </w:r>
      <w:r>
        <w:rPr>
          <w:lang w:val="en-US"/>
        </w:rPr>
        <w:t xml:space="preserve"> </w:t>
      </w:r>
      <w:r w:rsidR="00A821D7">
        <w:rPr>
          <w:lang w:val="en-US"/>
        </w:rPr>
        <w:t>these</w:t>
      </w:r>
      <w:r>
        <w:rPr>
          <w:lang w:val="en-US"/>
        </w:rPr>
        <w:t xml:space="preserve"> two markets</w:t>
      </w:r>
      <w:r w:rsidR="00366E2A">
        <w:rPr>
          <w:lang w:val="en-US"/>
        </w:rPr>
        <w:t>, one</w:t>
      </w:r>
      <w:r>
        <w:rPr>
          <w:lang w:val="en-US"/>
        </w:rPr>
        <w:t xml:space="preserve"> must emphasize </w:t>
      </w:r>
      <w:r w:rsidR="00366E2A">
        <w:rPr>
          <w:lang w:val="en-US"/>
        </w:rPr>
        <w:t xml:space="preserve">the following </w:t>
      </w:r>
      <w:r w:rsidR="00F021E9">
        <w:rPr>
          <w:lang w:val="en-US"/>
        </w:rPr>
        <w:t xml:space="preserve">important and significant </w:t>
      </w:r>
      <w:r>
        <w:rPr>
          <w:lang w:val="en-US"/>
        </w:rPr>
        <w:t>fact</w:t>
      </w:r>
      <w:r w:rsidR="00EB0779">
        <w:rPr>
          <w:lang w:val="en-US"/>
        </w:rPr>
        <w:t xml:space="preserve"> about </w:t>
      </w:r>
      <w:r w:rsidR="00366E2A">
        <w:rPr>
          <w:lang w:val="en-US"/>
        </w:rPr>
        <w:t xml:space="preserve">the </w:t>
      </w:r>
      <w:r w:rsidR="00EB0779">
        <w:rPr>
          <w:lang w:val="en-US"/>
        </w:rPr>
        <w:t xml:space="preserve">participation of foreign and domestic banks in total assets of all banks. </w:t>
      </w:r>
      <w:r w:rsidR="00EC36D7">
        <w:rPr>
          <w:lang w:val="en-US"/>
        </w:rPr>
        <w:t xml:space="preserve">In the </w:t>
      </w:r>
      <w:r>
        <w:rPr>
          <w:lang w:val="en-US"/>
        </w:rPr>
        <w:t>Croatian market</w:t>
      </w:r>
      <w:r w:rsidR="00EC36D7">
        <w:rPr>
          <w:lang w:val="en-US"/>
        </w:rPr>
        <w:t>,</w:t>
      </w:r>
      <w:r>
        <w:rPr>
          <w:lang w:val="en-US"/>
        </w:rPr>
        <w:t xml:space="preserve"> banks </w:t>
      </w:r>
      <w:r w:rsidR="00EC36D7">
        <w:rPr>
          <w:lang w:val="en-US"/>
        </w:rPr>
        <w:t xml:space="preserve">with a </w:t>
      </w:r>
      <w:r>
        <w:rPr>
          <w:lang w:val="en-US"/>
        </w:rPr>
        <w:t xml:space="preserve">majority </w:t>
      </w:r>
      <w:r w:rsidR="00EC36D7">
        <w:rPr>
          <w:lang w:val="en-US"/>
        </w:rPr>
        <w:t xml:space="preserve">of </w:t>
      </w:r>
      <w:r>
        <w:rPr>
          <w:lang w:val="en-US"/>
        </w:rPr>
        <w:t xml:space="preserve">foreign ownership </w:t>
      </w:r>
      <w:r w:rsidR="00EC36D7">
        <w:rPr>
          <w:lang w:val="en-US"/>
        </w:rPr>
        <w:t>had</w:t>
      </w:r>
      <w:r>
        <w:rPr>
          <w:lang w:val="en-US"/>
        </w:rPr>
        <w:t xml:space="preserve"> </w:t>
      </w:r>
      <w:r w:rsidR="00EC36D7">
        <w:rPr>
          <w:lang w:val="en-US"/>
        </w:rPr>
        <w:t xml:space="preserve">an </w:t>
      </w:r>
      <w:r w:rsidR="00EF5F51">
        <w:rPr>
          <w:lang w:val="en-US"/>
        </w:rPr>
        <w:t>average share of 90</w:t>
      </w:r>
      <w:r>
        <w:rPr>
          <w:lang w:val="en-US"/>
        </w:rPr>
        <w:t xml:space="preserve">% in total assets of all banks </w:t>
      </w:r>
      <w:r w:rsidR="00EC36D7">
        <w:rPr>
          <w:lang w:val="en-US"/>
        </w:rPr>
        <w:t xml:space="preserve">during the </w:t>
      </w:r>
      <w:r>
        <w:rPr>
          <w:lang w:val="en-US"/>
        </w:rPr>
        <w:t xml:space="preserve">period </w:t>
      </w:r>
      <w:r w:rsidR="00EC36D7">
        <w:rPr>
          <w:lang w:val="en-US"/>
        </w:rPr>
        <w:t xml:space="preserve">of </w:t>
      </w:r>
      <w:r>
        <w:rPr>
          <w:lang w:val="en-US"/>
        </w:rPr>
        <w:t>2003</w:t>
      </w:r>
      <w:r>
        <w:rPr>
          <w:rFonts w:cs="Times New Roman"/>
          <w:lang w:val="en-US"/>
        </w:rPr>
        <w:t>–</w:t>
      </w:r>
      <w:r>
        <w:rPr>
          <w:lang w:val="en-US"/>
        </w:rPr>
        <w:t>2011</w:t>
      </w:r>
      <w:r w:rsidR="00A821D7">
        <w:rPr>
          <w:lang w:val="en-US"/>
        </w:rPr>
        <w:t xml:space="preserve">. </w:t>
      </w:r>
      <w:r w:rsidR="00EC36D7">
        <w:rPr>
          <w:lang w:val="en-US"/>
        </w:rPr>
        <w:t xml:space="preserve">In </w:t>
      </w:r>
      <w:r w:rsidR="00A821D7">
        <w:rPr>
          <w:lang w:val="en-US"/>
        </w:rPr>
        <w:t>the</w:t>
      </w:r>
      <w:r w:rsidR="00EB0779">
        <w:rPr>
          <w:lang w:val="en-US"/>
        </w:rPr>
        <w:t xml:space="preserve"> Macedonian market</w:t>
      </w:r>
      <w:r w:rsidR="00EC36D7">
        <w:rPr>
          <w:lang w:val="en-US"/>
        </w:rPr>
        <w:t>,</w:t>
      </w:r>
      <w:r w:rsidR="00EB0779">
        <w:rPr>
          <w:lang w:val="en-US"/>
        </w:rPr>
        <w:t xml:space="preserve"> banks </w:t>
      </w:r>
      <w:r w:rsidR="00EC36D7">
        <w:rPr>
          <w:lang w:val="en-US"/>
        </w:rPr>
        <w:t xml:space="preserve">with a </w:t>
      </w:r>
      <w:r w:rsidR="00A821D7">
        <w:rPr>
          <w:lang w:val="en-US"/>
        </w:rPr>
        <w:t xml:space="preserve">majority foreign ownership </w:t>
      </w:r>
      <w:r w:rsidR="00E056E7">
        <w:rPr>
          <w:lang w:val="en-US"/>
        </w:rPr>
        <w:t xml:space="preserve">had different dynamic and tendency of average share in total assets of </w:t>
      </w:r>
      <w:r w:rsidR="00EF5F51">
        <w:rPr>
          <w:lang w:val="en-US"/>
        </w:rPr>
        <w:t xml:space="preserve">all </w:t>
      </w:r>
      <w:r w:rsidR="00E056E7">
        <w:rPr>
          <w:lang w:val="en-US"/>
        </w:rPr>
        <w:t xml:space="preserve">banks </w:t>
      </w:r>
      <w:r w:rsidR="00EC36D7">
        <w:rPr>
          <w:lang w:val="en-US"/>
        </w:rPr>
        <w:t xml:space="preserve">during the </w:t>
      </w:r>
      <w:r w:rsidR="00A821D7">
        <w:rPr>
          <w:lang w:val="en-US"/>
        </w:rPr>
        <w:t xml:space="preserve">observed period </w:t>
      </w:r>
      <w:r w:rsidR="00EC36D7">
        <w:rPr>
          <w:lang w:val="en-US"/>
        </w:rPr>
        <w:t>than</w:t>
      </w:r>
      <w:r w:rsidR="00E056E7">
        <w:rPr>
          <w:lang w:val="en-US"/>
        </w:rPr>
        <w:t xml:space="preserve"> banks </w:t>
      </w:r>
      <w:r w:rsidR="00EC36D7">
        <w:rPr>
          <w:lang w:val="en-US"/>
        </w:rPr>
        <w:t xml:space="preserve">in the </w:t>
      </w:r>
      <w:r w:rsidR="00A821D7">
        <w:rPr>
          <w:lang w:val="en-US"/>
        </w:rPr>
        <w:t xml:space="preserve">Croatian market. </w:t>
      </w:r>
      <w:r w:rsidR="00E056E7">
        <w:rPr>
          <w:lang w:val="en-US"/>
        </w:rPr>
        <w:t xml:space="preserve">In </w:t>
      </w:r>
      <w:r w:rsidR="003C38F4">
        <w:rPr>
          <w:lang w:val="en-US"/>
        </w:rPr>
        <w:t>the 2003</w:t>
      </w:r>
      <w:r w:rsidR="003C38F4">
        <w:rPr>
          <w:rFonts w:cs="Times New Roman"/>
          <w:lang w:val="en-US"/>
        </w:rPr>
        <w:t>–</w:t>
      </w:r>
      <w:r w:rsidR="003C38F4">
        <w:rPr>
          <w:lang w:val="en-US"/>
        </w:rPr>
        <w:t xml:space="preserve">2006 </w:t>
      </w:r>
      <w:proofErr w:type="gramStart"/>
      <w:r w:rsidR="00E056E7">
        <w:rPr>
          <w:lang w:val="en-US"/>
        </w:rPr>
        <w:t>period</w:t>
      </w:r>
      <w:proofErr w:type="gramEnd"/>
      <w:r w:rsidR="003C38F4">
        <w:rPr>
          <w:lang w:val="en-US"/>
        </w:rPr>
        <w:t>,</w:t>
      </w:r>
      <w:r w:rsidR="00E056E7">
        <w:rPr>
          <w:lang w:val="en-US"/>
        </w:rPr>
        <w:t xml:space="preserve"> the </w:t>
      </w:r>
      <w:r w:rsidR="00EF5F51">
        <w:rPr>
          <w:lang w:val="en-US"/>
        </w:rPr>
        <w:t xml:space="preserve">average share of the foreign banks in total assets of all banks was 47%. In the </w:t>
      </w:r>
      <w:r w:rsidR="003C38F4">
        <w:rPr>
          <w:lang w:val="en-US"/>
        </w:rPr>
        <w:t>2006</w:t>
      </w:r>
      <w:r w:rsidR="003C38F4">
        <w:rPr>
          <w:rFonts w:cs="Times New Roman"/>
          <w:lang w:val="en-US"/>
        </w:rPr>
        <w:t>–</w:t>
      </w:r>
      <w:r w:rsidR="003C38F4">
        <w:rPr>
          <w:lang w:val="en-US"/>
        </w:rPr>
        <w:t xml:space="preserve">2011 </w:t>
      </w:r>
      <w:proofErr w:type="gramStart"/>
      <w:r w:rsidR="00EF5F51">
        <w:rPr>
          <w:lang w:val="en-US"/>
        </w:rPr>
        <w:t>period</w:t>
      </w:r>
      <w:proofErr w:type="gramEnd"/>
      <w:r w:rsidR="00EF5F51">
        <w:rPr>
          <w:lang w:val="en-US"/>
        </w:rPr>
        <w:t xml:space="preserve"> that percentage has grown up to 90% </w:t>
      </w:r>
      <w:r w:rsidR="003C38F4">
        <w:rPr>
          <w:lang w:val="en-US"/>
        </w:rPr>
        <w:t xml:space="preserve">on </w:t>
      </w:r>
      <w:r w:rsidR="00EF5F51">
        <w:rPr>
          <w:lang w:val="en-US"/>
        </w:rPr>
        <w:t xml:space="preserve">average. These facts signify that in both countries foreign </w:t>
      </w:r>
      <w:r w:rsidR="001D3D1A">
        <w:rPr>
          <w:lang w:val="en-US"/>
        </w:rPr>
        <w:t xml:space="preserve">banks </w:t>
      </w:r>
      <w:r w:rsidR="00EF5F51">
        <w:rPr>
          <w:lang w:val="en-US"/>
        </w:rPr>
        <w:t xml:space="preserve">have </w:t>
      </w:r>
      <w:r w:rsidR="003C38F4">
        <w:rPr>
          <w:lang w:val="en-US"/>
        </w:rPr>
        <w:t xml:space="preserve">attained a </w:t>
      </w:r>
      <w:r w:rsidR="00EF5F51">
        <w:rPr>
          <w:lang w:val="en-US"/>
        </w:rPr>
        <w:t xml:space="preserve">dominant position and </w:t>
      </w:r>
      <w:r w:rsidR="001D3D1A">
        <w:rPr>
          <w:lang w:val="en-US"/>
        </w:rPr>
        <w:t xml:space="preserve">that </w:t>
      </w:r>
      <w:r w:rsidR="00EF5F51">
        <w:rPr>
          <w:lang w:val="en-US"/>
        </w:rPr>
        <w:t xml:space="preserve">they are </w:t>
      </w:r>
      <w:r w:rsidR="003C38F4">
        <w:rPr>
          <w:lang w:val="en-US"/>
        </w:rPr>
        <w:t xml:space="preserve">the </w:t>
      </w:r>
      <w:r w:rsidR="00EF5F51">
        <w:rPr>
          <w:lang w:val="en-US"/>
        </w:rPr>
        <w:t>market makers</w:t>
      </w:r>
      <w:r w:rsidR="008E57E0">
        <w:rPr>
          <w:lang w:val="en-US"/>
        </w:rPr>
        <w:t xml:space="preserve"> </w:t>
      </w:r>
      <w:r w:rsidR="003C38F4">
        <w:rPr>
          <w:lang w:val="en-US"/>
        </w:rPr>
        <w:t xml:space="preserve">with a </w:t>
      </w:r>
      <w:r w:rsidR="008E57E0">
        <w:rPr>
          <w:lang w:val="en-US"/>
        </w:rPr>
        <w:t>huge impact on the GPD</w:t>
      </w:r>
      <w:r w:rsidR="003C38F4">
        <w:rPr>
          <w:lang w:val="en-US"/>
        </w:rPr>
        <w:t>,</w:t>
      </w:r>
      <w:r w:rsidR="008E57E0">
        <w:rPr>
          <w:lang w:val="en-US"/>
        </w:rPr>
        <w:t xml:space="preserve"> especially </w:t>
      </w:r>
      <w:r w:rsidR="003C38F4">
        <w:rPr>
          <w:lang w:val="en-US"/>
        </w:rPr>
        <w:t>i</w:t>
      </w:r>
      <w:r w:rsidR="008E57E0">
        <w:rPr>
          <w:lang w:val="en-US"/>
        </w:rPr>
        <w:t>n the transition counties</w:t>
      </w:r>
      <w:r w:rsidR="00EF5F51">
        <w:rPr>
          <w:lang w:val="en-US"/>
        </w:rPr>
        <w:t>.</w:t>
      </w:r>
    </w:p>
    <w:p w:rsidR="00845044" w:rsidRDefault="007A130D" w:rsidP="00072EC4">
      <w:pPr>
        <w:ind w:firstLine="567"/>
        <w:jc w:val="both"/>
        <w:rPr>
          <w:lang w:val="en-US"/>
        </w:rPr>
      </w:pPr>
      <w:r>
        <w:rPr>
          <w:noProof/>
        </w:rPr>
        <w:lastRenderedPageBreak/>
        <w:t>Jurman analyzes the s</w:t>
      </w:r>
      <w:r w:rsidR="008E57E0">
        <w:rPr>
          <w:noProof/>
        </w:rPr>
        <w:t>ignificance and ovearall influence of banks on the GDP</w:t>
      </w:r>
      <w:r>
        <w:rPr>
          <w:noProof/>
        </w:rPr>
        <w:t xml:space="preserve">, having determined </w:t>
      </w:r>
      <w:r w:rsidR="0044537D">
        <w:rPr>
          <w:lang w:val="en-US"/>
        </w:rPr>
        <w:t xml:space="preserve">that there </w:t>
      </w:r>
      <w:r>
        <w:rPr>
          <w:lang w:val="en-US"/>
        </w:rPr>
        <w:t xml:space="preserve">exists a </w:t>
      </w:r>
      <w:r w:rsidR="0044537D">
        <w:rPr>
          <w:lang w:val="en-US"/>
        </w:rPr>
        <w:t xml:space="preserve">“positive, linear and very close connection between the financial potential and domestic sources of the banks and the Croatian GDP” </w:t>
      </w:r>
      <w:r w:rsidR="0044537D">
        <w:rPr>
          <w:noProof/>
        </w:rPr>
        <w:t>(2009, p. 60).</w:t>
      </w:r>
      <w:r w:rsidR="008E57E0">
        <w:rPr>
          <w:noProof/>
        </w:rPr>
        <w:t xml:space="preserve"> </w:t>
      </w:r>
    </w:p>
    <w:p w:rsidR="000A0C81" w:rsidRDefault="000A0C81" w:rsidP="00072EC4">
      <w:pPr>
        <w:ind w:firstLine="567"/>
        <w:jc w:val="both"/>
        <w:rPr>
          <w:lang w:val="en-US"/>
        </w:rPr>
      </w:pPr>
    </w:p>
    <w:p w:rsidR="00BB4490" w:rsidRPr="00E906CF" w:rsidRDefault="00BB4490" w:rsidP="00BB4490">
      <w:pPr>
        <w:jc w:val="center"/>
        <w:rPr>
          <w:b/>
          <w:szCs w:val="24"/>
          <w:lang w:val="en-US"/>
        </w:rPr>
      </w:pPr>
      <w:r>
        <w:rPr>
          <w:b/>
          <w:szCs w:val="24"/>
          <w:lang w:val="en-US"/>
        </w:rPr>
        <w:t xml:space="preserve">3. Impact of the Global </w:t>
      </w:r>
      <w:r w:rsidR="00AD7343">
        <w:rPr>
          <w:b/>
          <w:szCs w:val="24"/>
          <w:lang w:val="en-US"/>
        </w:rPr>
        <w:t>Financial</w:t>
      </w:r>
      <w:r w:rsidR="006B3EE5">
        <w:rPr>
          <w:b/>
          <w:szCs w:val="24"/>
          <w:lang w:val="en-US"/>
        </w:rPr>
        <w:t xml:space="preserve"> </w:t>
      </w:r>
      <w:r>
        <w:rPr>
          <w:b/>
          <w:szCs w:val="24"/>
          <w:lang w:val="en-US"/>
        </w:rPr>
        <w:t>Crisis on Banks</w:t>
      </w:r>
      <w:r w:rsidR="00606316">
        <w:rPr>
          <w:b/>
          <w:szCs w:val="24"/>
          <w:lang w:val="en-US"/>
        </w:rPr>
        <w:t>’</w:t>
      </w:r>
      <w:r>
        <w:rPr>
          <w:b/>
          <w:szCs w:val="24"/>
          <w:lang w:val="en-US"/>
        </w:rPr>
        <w:t xml:space="preserve"> Investments: A Survey of Croatian and Macedonian Banks</w:t>
      </w:r>
    </w:p>
    <w:p w:rsidR="00BB4490" w:rsidRDefault="00BB4490" w:rsidP="00E906CF">
      <w:pPr>
        <w:jc w:val="both"/>
        <w:rPr>
          <w:lang w:val="en-US"/>
        </w:rPr>
      </w:pPr>
    </w:p>
    <w:p w:rsidR="00BB4490" w:rsidRDefault="00AC10B6" w:rsidP="000D4492">
      <w:pPr>
        <w:ind w:firstLine="567"/>
        <w:jc w:val="both"/>
        <w:rPr>
          <w:lang w:val="en-US"/>
        </w:rPr>
      </w:pPr>
      <w:r>
        <w:rPr>
          <w:lang w:val="en-US"/>
        </w:rPr>
        <w:t xml:space="preserve">Banks </w:t>
      </w:r>
      <w:r w:rsidR="002F37BC">
        <w:rPr>
          <w:lang w:val="en-US"/>
        </w:rPr>
        <w:t xml:space="preserve">in </w:t>
      </w:r>
      <w:r>
        <w:rPr>
          <w:lang w:val="en-US"/>
        </w:rPr>
        <w:t xml:space="preserve">emerging markets </w:t>
      </w:r>
      <w:r w:rsidR="002F37BC">
        <w:rPr>
          <w:lang w:val="en-US"/>
        </w:rPr>
        <w:t xml:space="preserve">such as </w:t>
      </w:r>
      <w:r>
        <w:rPr>
          <w:lang w:val="en-US"/>
        </w:rPr>
        <w:t xml:space="preserve">Croatia and Macedonia have </w:t>
      </w:r>
      <w:r w:rsidR="00E02A13">
        <w:rPr>
          <w:lang w:val="en-US"/>
        </w:rPr>
        <w:t>a main role</w:t>
      </w:r>
      <w:r>
        <w:rPr>
          <w:lang w:val="en-US"/>
        </w:rPr>
        <w:t xml:space="preserve"> in </w:t>
      </w:r>
      <w:r w:rsidR="00E02A13">
        <w:rPr>
          <w:lang w:val="en-US"/>
        </w:rPr>
        <w:t xml:space="preserve">the </w:t>
      </w:r>
      <w:r>
        <w:rPr>
          <w:lang w:val="en-US"/>
        </w:rPr>
        <w:t xml:space="preserve">financing </w:t>
      </w:r>
      <w:r w:rsidR="00E02A13">
        <w:rPr>
          <w:lang w:val="en-US"/>
        </w:rPr>
        <w:t>of the entrepreneurial</w:t>
      </w:r>
      <w:r w:rsidR="000D4492">
        <w:rPr>
          <w:lang w:val="en-US"/>
        </w:rPr>
        <w:t xml:space="preserve"> activity</w:t>
      </w:r>
      <w:r w:rsidR="00E02A13">
        <w:rPr>
          <w:lang w:val="en-US"/>
        </w:rPr>
        <w:t xml:space="preserve">, something </w:t>
      </w:r>
      <w:r w:rsidR="000D4492">
        <w:rPr>
          <w:lang w:val="en-US"/>
        </w:rPr>
        <w:t>especially noticeable</w:t>
      </w:r>
      <w:r w:rsidR="002662FB">
        <w:rPr>
          <w:lang w:val="en-US"/>
        </w:rPr>
        <w:t xml:space="preserve"> through </w:t>
      </w:r>
      <w:r w:rsidR="00606316">
        <w:rPr>
          <w:lang w:val="en-US"/>
        </w:rPr>
        <w:t xml:space="preserve">the </w:t>
      </w:r>
      <w:r w:rsidR="002662FB">
        <w:rPr>
          <w:lang w:val="en-US"/>
        </w:rPr>
        <w:t xml:space="preserve">credit boom </w:t>
      </w:r>
      <w:r w:rsidR="00606316">
        <w:rPr>
          <w:rFonts w:cs="Times New Roman"/>
          <w:lang w:val="en-US"/>
        </w:rPr>
        <w:t xml:space="preserve">and the influence on </w:t>
      </w:r>
      <w:r w:rsidR="00606316">
        <w:rPr>
          <w:lang w:val="en-US"/>
        </w:rPr>
        <w:t xml:space="preserve">investment, as well as to total consumption </w:t>
      </w:r>
      <w:r w:rsidR="002662FB">
        <w:rPr>
          <w:lang w:val="en-US"/>
        </w:rPr>
        <w:t xml:space="preserve">that both countries </w:t>
      </w:r>
      <w:r w:rsidR="00E02A13">
        <w:rPr>
          <w:lang w:val="en-US"/>
        </w:rPr>
        <w:t xml:space="preserve">experienced </w:t>
      </w:r>
      <w:r w:rsidR="002662FB">
        <w:rPr>
          <w:lang w:val="en-US"/>
        </w:rPr>
        <w:t xml:space="preserve">in the </w:t>
      </w:r>
      <w:r w:rsidR="00606316">
        <w:rPr>
          <w:lang w:val="en-US"/>
        </w:rPr>
        <w:t>2001</w:t>
      </w:r>
      <w:r w:rsidR="00606316">
        <w:rPr>
          <w:rFonts w:cs="Times New Roman"/>
          <w:lang w:val="en-US"/>
        </w:rPr>
        <w:t xml:space="preserve">–2007 </w:t>
      </w:r>
      <w:r w:rsidR="002662FB">
        <w:rPr>
          <w:lang w:val="en-US"/>
        </w:rPr>
        <w:t>period</w:t>
      </w:r>
      <w:r w:rsidR="002662FB">
        <w:rPr>
          <w:rFonts w:cs="Times New Roman"/>
          <w:lang w:val="en-US"/>
        </w:rPr>
        <w:t xml:space="preserve">. The capital inflow </w:t>
      </w:r>
      <w:r w:rsidR="00606316">
        <w:rPr>
          <w:rFonts w:cs="Times New Roman"/>
          <w:lang w:val="en-US"/>
        </w:rPr>
        <w:t xml:space="preserve">arrived </w:t>
      </w:r>
      <w:r w:rsidR="002662FB">
        <w:rPr>
          <w:rFonts w:cs="Times New Roman"/>
          <w:lang w:val="en-US"/>
        </w:rPr>
        <w:t xml:space="preserve">mainly from Western </w:t>
      </w:r>
      <w:r w:rsidR="000D4492">
        <w:rPr>
          <w:rFonts w:cs="Times New Roman"/>
          <w:lang w:val="en-US"/>
        </w:rPr>
        <w:t>markets</w:t>
      </w:r>
      <w:r w:rsidR="00051F9C">
        <w:rPr>
          <w:rFonts w:cs="Times New Roman"/>
          <w:lang w:val="en-US"/>
        </w:rPr>
        <w:t>,</w:t>
      </w:r>
      <w:r w:rsidR="000D4492">
        <w:rPr>
          <w:rFonts w:cs="Times New Roman"/>
          <w:lang w:val="en-US"/>
        </w:rPr>
        <w:t xml:space="preserve"> whether through private banks in Croatian and Macedonian market</w:t>
      </w:r>
      <w:r w:rsidR="006718F3">
        <w:rPr>
          <w:rFonts w:cs="Times New Roman"/>
          <w:lang w:val="en-US"/>
        </w:rPr>
        <w:t>s</w:t>
      </w:r>
      <w:r w:rsidR="002662FB">
        <w:rPr>
          <w:rFonts w:cs="Times New Roman"/>
          <w:lang w:val="en-US"/>
        </w:rPr>
        <w:t xml:space="preserve"> or through direct investments. </w:t>
      </w:r>
      <w:r w:rsidR="000D4492">
        <w:rPr>
          <w:rFonts w:cs="Times New Roman"/>
          <w:lang w:val="en-US"/>
        </w:rPr>
        <w:t>T</w:t>
      </w:r>
      <w:r>
        <w:rPr>
          <w:lang w:val="en-US"/>
        </w:rPr>
        <w:t xml:space="preserve">he last Credit crisis </w:t>
      </w:r>
      <w:r w:rsidR="00B64A5A">
        <w:rPr>
          <w:lang w:val="en-US"/>
        </w:rPr>
        <w:t xml:space="preserve">had transpired </w:t>
      </w:r>
      <w:r>
        <w:rPr>
          <w:lang w:val="en-US"/>
        </w:rPr>
        <w:t xml:space="preserve">from the banking system </w:t>
      </w:r>
      <w:r w:rsidR="000D4492">
        <w:rPr>
          <w:lang w:val="en-US"/>
        </w:rPr>
        <w:t xml:space="preserve">of </w:t>
      </w:r>
      <w:r w:rsidR="00B64A5A">
        <w:rPr>
          <w:lang w:val="en-US"/>
        </w:rPr>
        <w:t xml:space="preserve">the </w:t>
      </w:r>
      <w:r>
        <w:rPr>
          <w:lang w:val="en-US"/>
        </w:rPr>
        <w:t>U</w:t>
      </w:r>
      <w:r w:rsidR="00B64A5A">
        <w:rPr>
          <w:lang w:val="en-US"/>
        </w:rPr>
        <w:t xml:space="preserve">nited States during </w:t>
      </w:r>
      <w:r w:rsidR="000D4492">
        <w:rPr>
          <w:lang w:val="en-US"/>
        </w:rPr>
        <w:t xml:space="preserve">July and August 2007 </w:t>
      </w:r>
      <w:r>
        <w:rPr>
          <w:lang w:val="en-US"/>
        </w:rPr>
        <w:t xml:space="preserve">and </w:t>
      </w:r>
      <w:r w:rsidR="00B64A5A">
        <w:rPr>
          <w:lang w:val="en-US"/>
        </w:rPr>
        <w:t xml:space="preserve">had </w:t>
      </w:r>
      <w:r w:rsidR="002662FB">
        <w:rPr>
          <w:lang w:val="en-US"/>
        </w:rPr>
        <w:t xml:space="preserve">spilled over </w:t>
      </w:r>
      <w:r w:rsidR="00B64A5A">
        <w:rPr>
          <w:lang w:val="en-US"/>
        </w:rPr>
        <w:t xml:space="preserve">in </w:t>
      </w:r>
      <w:r>
        <w:rPr>
          <w:lang w:val="en-US"/>
        </w:rPr>
        <w:t>the European banking system</w:t>
      </w:r>
      <w:r w:rsidR="00B64A5A">
        <w:rPr>
          <w:lang w:val="en-US"/>
        </w:rPr>
        <w:t>; it did not hit Southe</w:t>
      </w:r>
      <w:r w:rsidR="000D4492">
        <w:rPr>
          <w:lang w:val="en-US"/>
        </w:rPr>
        <w:t>ast Europe</w:t>
      </w:r>
      <w:r w:rsidR="00B64A5A">
        <w:rPr>
          <w:lang w:val="en-US"/>
        </w:rPr>
        <w:t>, however, until</w:t>
      </w:r>
      <w:r w:rsidR="000D4492">
        <w:rPr>
          <w:lang w:val="en-US"/>
        </w:rPr>
        <w:t xml:space="preserve"> October 2008</w:t>
      </w:r>
      <w:sdt>
        <w:sdtPr>
          <w:rPr>
            <w:lang w:val="en-US"/>
          </w:rPr>
          <w:id w:val="261881432"/>
          <w:citation/>
        </w:sdtPr>
        <w:sdtContent>
          <w:r w:rsidR="000D4492">
            <w:rPr>
              <w:lang w:val="en-US"/>
            </w:rPr>
            <w:fldChar w:fldCharType="begin"/>
          </w:r>
          <w:r w:rsidR="000D4492">
            <w:instrText xml:space="preserve"> CITATION Ber10 \l 1050 </w:instrText>
          </w:r>
          <w:r w:rsidR="000D4492">
            <w:rPr>
              <w:lang w:val="en-US"/>
            </w:rPr>
            <w:fldChar w:fldCharType="separate"/>
          </w:r>
          <w:r w:rsidR="000D4492">
            <w:rPr>
              <w:noProof/>
            </w:rPr>
            <w:t xml:space="preserve"> </w:t>
          </w:r>
          <w:r w:rsidR="000D4492" w:rsidRPr="000D4492">
            <w:rPr>
              <w:noProof/>
            </w:rPr>
            <w:t>(Berglöf, Korniyenko, Plek, &amp; Zettelmeyer, 2010)</w:t>
          </w:r>
          <w:r w:rsidR="000D4492">
            <w:rPr>
              <w:lang w:val="en-US"/>
            </w:rPr>
            <w:fldChar w:fldCharType="end"/>
          </w:r>
        </w:sdtContent>
      </w:sdt>
      <w:r w:rsidR="000D4492">
        <w:rPr>
          <w:lang w:val="en-US"/>
        </w:rPr>
        <w:t>.</w:t>
      </w:r>
      <w:r>
        <w:rPr>
          <w:lang w:val="en-US"/>
        </w:rPr>
        <w:t xml:space="preserve"> </w:t>
      </w:r>
    </w:p>
    <w:p w:rsidR="003D01F6" w:rsidRDefault="000D478A" w:rsidP="000D4492">
      <w:pPr>
        <w:ind w:firstLine="567"/>
        <w:jc w:val="both"/>
        <w:rPr>
          <w:lang w:val="en-US"/>
        </w:rPr>
      </w:pPr>
      <w:r>
        <w:rPr>
          <w:lang w:val="en-US"/>
        </w:rPr>
        <w:t xml:space="preserve">For better understanding </w:t>
      </w:r>
      <w:r w:rsidR="00775232">
        <w:rPr>
          <w:lang w:val="en-US"/>
        </w:rPr>
        <w:t>of that particular phenomenon, the Table 3</w:t>
      </w:r>
      <w:r>
        <w:rPr>
          <w:lang w:val="en-US"/>
        </w:rPr>
        <w:t xml:space="preserve"> </w:t>
      </w:r>
      <w:r w:rsidR="00775232">
        <w:rPr>
          <w:lang w:val="en-US"/>
        </w:rPr>
        <w:t>presents</w:t>
      </w:r>
      <w:r>
        <w:rPr>
          <w:lang w:val="en-US"/>
        </w:rPr>
        <w:t xml:space="preserve"> credit activity</w:t>
      </w:r>
      <w:r w:rsidR="00775232">
        <w:rPr>
          <w:lang w:val="en-US"/>
        </w:rPr>
        <w:t xml:space="preserve">, </w:t>
      </w:r>
      <w:r>
        <w:rPr>
          <w:lang w:val="en-US"/>
        </w:rPr>
        <w:t xml:space="preserve">lending behavior </w:t>
      </w:r>
      <w:r w:rsidR="00775232">
        <w:rPr>
          <w:lang w:val="en-US"/>
        </w:rPr>
        <w:t xml:space="preserve">and crisis influence in bank investments in both countries. </w:t>
      </w:r>
    </w:p>
    <w:p w:rsidR="003D01F6" w:rsidRDefault="003D01F6" w:rsidP="003D01F6">
      <w:pPr>
        <w:jc w:val="both"/>
        <w:rPr>
          <w:lang w:val="en-US"/>
        </w:rPr>
      </w:pPr>
    </w:p>
    <w:p w:rsidR="00BB4490" w:rsidRDefault="006D048D" w:rsidP="00E906CF">
      <w:pPr>
        <w:jc w:val="both"/>
        <w:rPr>
          <w:lang w:val="en-US"/>
        </w:rPr>
      </w:pPr>
      <w:r>
        <w:rPr>
          <w:lang w:val="en-US"/>
        </w:rPr>
        <w:t>Table 3 Bank loan</w:t>
      </w:r>
      <w:r w:rsidR="003D01F6">
        <w:rPr>
          <w:lang w:val="en-US"/>
        </w:rPr>
        <w:t xml:space="preserve"> structure in Croatia and Macedonia</w:t>
      </w:r>
    </w:p>
    <w:tbl>
      <w:tblPr>
        <w:tblStyle w:val="TableGrid"/>
        <w:tblW w:w="92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875"/>
        <w:gridCol w:w="818"/>
        <w:gridCol w:w="818"/>
        <w:gridCol w:w="818"/>
        <w:gridCol w:w="963"/>
        <w:gridCol w:w="963"/>
        <w:gridCol w:w="963"/>
        <w:gridCol w:w="963"/>
        <w:gridCol w:w="963"/>
        <w:gridCol w:w="1060"/>
      </w:tblGrid>
      <w:tr w:rsidR="00BD577A" w:rsidRPr="00BD577A" w:rsidTr="003D01F6">
        <w:tc>
          <w:tcPr>
            <w:tcW w:w="9204" w:type="dxa"/>
            <w:gridSpan w:val="10"/>
            <w:tcBorders>
              <w:top w:val="single" w:sz="4" w:space="0" w:color="auto"/>
              <w:bottom w:val="single" w:sz="4" w:space="0" w:color="auto"/>
            </w:tcBorders>
          </w:tcPr>
          <w:p w:rsidR="00BD577A" w:rsidRPr="00BD577A" w:rsidRDefault="00BD577A" w:rsidP="00BD577A">
            <w:pPr>
              <w:jc w:val="center"/>
              <w:rPr>
                <w:rFonts w:eastAsia="Calibri" w:cs="Times New Roman"/>
                <w:sz w:val="22"/>
                <w:lang w:val="en-US"/>
              </w:rPr>
            </w:pPr>
            <w:r w:rsidRPr="00BD577A">
              <w:rPr>
                <w:rFonts w:eastAsia="Calibri" w:cs="Times New Roman"/>
                <w:sz w:val="22"/>
                <w:lang w:val="en-US"/>
              </w:rPr>
              <w:t>Macedonia</w:t>
            </w:r>
          </w:p>
        </w:tc>
      </w:tr>
      <w:tr w:rsidR="00BD577A" w:rsidRPr="00BD577A" w:rsidTr="003D01F6">
        <w:tc>
          <w:tcPr>
            <w:tcW w:w="9204" w:type="dxa"/>
            <w:gridSpan w:val="10"/>
            <w:tcBorders>
              <w:top w:val="single" w:sz="4" w:space="0" w:color="auto"/>
              <w:bottom w:val="single" w:sz="4" w:space="0" w:color="auto"/>
            </w:tcBorders>
          </w:tcPr>
          <w:p w:rsidR="00BD577A" w:rsidRPr="00BD577A" w:rsidRDefault="00BD577A" w:rsidP="00BD577A">
            <w:pPr>
              <w:jc w:val="both"/>
              <w:rPr>
                <w:rFonts w:eastAsia="Calibri" w:cs="Times New Roman"/>
                <w:sz w:val="22"/>
                <w:lang w:val="en-US"/>
              </w:rPr>
            </w:pPr>
            <w:r w:rsidRPr="00BD577A">
              <w:rPr>
                <w:rFonts w:eastAsia="Calibri" w:cs="Times New Roman"/>
                <w:sz w:val="22"/>
                <w:lang w:val="en-US"/>
              </w:rPr>
              <w:t>Loans to enterprises</w:t>
            </w:r>
          </w:p>
        </w:tc>
      </w:tr>
      <w:tr w:rsidR="00BD577A" w:rsidRPr="00BD577A" w:rsidTr="003D01F6">
        <w:tc>
          <w:tcPr>
            <w:tcW w:w="818" w:type="dxa"/>
            <w:tcBorders>
              <w:top w:val="single" w:sz="4" w:space="0" w:color="auto"/>
              <w:bottom w:val="single" w:sz="4" w:space="0" w:color="auto"/>
            </w:tcBorders>
            <w:vAlign w:val="bottom"/>
          </w:tcPr>
          <w:p w:rsidR="00BD577A" w:rsidRPr="00BD577A" w:rsidRDefault="00BD577A" w:rsidP="00BD577A">
            <w:pPr>
              <w:jc w:val="center"/>
              <w:rPr>
                <w:rFonts w:eastAsia="Calibri" w:cs="Times New Roman"/>
                <w:color w:val="000000"/>
                <w:sz w:val="22"/>
                <w:lang w:val="en-US"/>
              </w:rPr>
            </w:pPr>
            <w:r w:rsidRPr="00BD577A">
              <w:rPr>
                <w:rFonts w:eastAsia="Calibri" w:cs="Times New Roman"/>
                <w:color w:val="000000"/>
                <w:sz w:val="22"/>
                <w:lang w:val="en-US"/>
              </w:rPr>
              <w:t>Year</w:t>
            </w:r>
          </w:p>
        </w:tc>
        <w:tc>
          <w:tcPr>
            <w:tcW w:w="829" w:type="dxa"/>
            <w:tcBorders>
              <w:top w:val="single" w:sz="4" w:space="0" w:color="auto"/>
              <w:bottom w:val="single" w:sz="4" w:space="0" w:color="auto"/>
            </w:tcBorders>
            <w:vAlign w:val="bottom"/>
          </w:tcPr>
          <w:p w:rsidR="00BD577A" w:rsidRPr="00BD577A" w:rsidRDefault="00BD577A" w:rsidP="00BD577A">
            <w:pPr>
              <w:jc w:val="right"/>
              <w:rPr>
                <w:rFonts w:eastAsia="Calibri" w:cs="Times New Roman"/>
                <w:color w:val="000000"/>
                <w:sz w:val="22"/>
                <w:lang w:val="en-US"/>
              </w:rPr>
            </w:pPr>
            <w:r w:rsidRPr="00BD577A">
              <w:rPr>
                <w:rFonts w:eastAsia="Calibri" w:cs="Times New Roman"/>
                <w:color w:val="000000"/>
                <w:sz w:val="22"/>
                <w:lang w:val="en-US"/>
              </w:rPr>
              <w:t>2003</w:t>
            </w:r>
          </w:p>
        </w:tc>
        <w:tc>
          <w:tcPr>
            <w:tcW w:w="827" w:type="dxa"/>
            <w:tcBorders>
              <w:top w:val="single" w:sz="4" w:space="0" w:color="auto"/>
              <w:bottom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2004</w:t>
            </w:r>
          </w:p>
        </w:tc>
        <w:tc>
          <w:tcPr>
            <w:tcW w:w="827" w:type="dxa"/>
            <w:tcBorders>
              <w:top w:val="single" w:sz="4" w:space="0" w:color="auto"/>
              <w:bottom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2005</w:t>
            </w:r>
          </w:p>
        </w:tc>
        <w:tc>
          <w:tcPr>
            <w:tcW w:w="968" w:type="dxa"/>
            <w:tcBorders>
              <w:top w:val="single" w:sz="4" w:space="0" w:color="auto"/>
              <w:bottom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2006</w:t>
            </w:r>
          </w:p>
        </w:tc>
        <w:tc>
          <w:tcPr>
            <w:tcW w:w="968" w:type="dxa"/>
            <w:tcBorders>
              <w:top w:val="single" w:sz="4" w:space="0" w:color="auto"/>
              <w:bottom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2007</w:t>
            </w:r>
          </w:p>
        </w:tc>
        <w:tc>
          <w:tcPr>
            <w:tcW w:w="968" w:type="dxa"/>
            <w:tcBorders>
              <w:top w:val="single" w:sz="4" w:space="0" w:color="auto"/>
              <w:bottom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2008</w:t>
            </w:r>
          </w:p>
        </w:tc>
        <w:tc>
          <w:tcPr>
            <w:tcW w:w="968" w:type="dxa"/>
            <w:tcBorders>
              <w:top w:val="single" w:sz="4" w:space="0" w:color="auto"/>
              <w:bottom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2009</w:t>
            </w:r>
          </w:p>
        </w:tc>
        <w:tc>
          <w:tcPr>
            <w:tcW w:w="968" w:type="dxa"/>
            <w:tcBorders>
              <w:top w:val="single" w:sz="4" w:space="0" w:color="auto"/>
              <w:bottom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2010</w:t>
            </w:r>
          </w:p>
        </w:tc>
        <w:tc>
          <w:tcPr>
            <w:tcW w:w="1063" w:type="dxa"/>
            <w:tcBorders>
              <w:top w:val="single" w:sz="4" w:space="0" w:color="auto"/>
              <w:bottom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2011</w:t>
            </w:r>
          </w:p>
        </w:tc>
      </w:tr>
      <w:tr w:rsidR="00BD577A" w:rsidRPr="00BD577A" w:rsidTr="003D01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18" w:type="dxa"/>
            <w:tcBorders>
              <w:top w:val="single" w:sz="4" w:space="0" w:color="auto"/>
              <w:left w:val="nil"/>
              <w:bottom w:val="nil"/>
              <w:right w:val="nil"/>
            </w:tcBorders>
          </w:tcPr>
          <w:p w:rsidR="00BD577A" w:rsidRPr="00BD577A" w:rsidRDefault="00BD577A" w:rsidP="00BD577A">
            <w:pPr>
              <w:jc w:val="both"/>
              <w:rPr>
                <w:rFonts w:eastAsia="Calibri" w:cs="Times New Roman"/>
                <w:sz w:val="22"/>
                <w:lang w:val="en-US"/>
              </w:rPr>
            </w:pPr>
            <w:r w:rsidRPr="00BD577A">
              <w:rPr>
                <w:rFonts w:eastAsia="Calibri" w:cs="Times New Roman"/>
                <w:sz w:val="22"/>
                <w:lang w:val="en-US"/>
              </w:rPr>
              <w:t xml:space="preserve">In </w:t>
            </w:r>
            <w:proofErr w:type="spellStart"/>
            <w:r w:rsidRPr="00BD577A">
              <w:rPr>
                <w:rFonts w:eastAsia="Calibri" w:cs="Times New Roman"/>
                <w:sz w:val="22"/>
                <w:lang w:val="en-US"/>
              </w:rPr>
              <w:t>Denars</w:t>
            </w:r>
            <w:proofErr w:type="spellEnd"/>
          </w:p>
        </w:tc>
        <w:tc>
          <w:tcPr>
            <w:tcW w:w="829" w:type="dxa"/>
            <w:tcBorders>
              <w:top w:val="single" w:sz="4" w:space="0" w:color="auto"/>
              <w:left w:val="nil"/>
              <w:bottom w:val="nil"/>
              <w:right w:val="nil"/>
            </w:tcBorders>
            <w:vAlign w:val="bottom"/>
          </w:tcPr>
          <w:p w:rsidR="00BD577A" w:rsidRPr="00BD577A" w:rsidRDefault="00BD577A" w:rsidP="00BD577A">
            <w:pPr>
              <w:jc w:val="right"/>
              <w:rPr>
                <w:rFonts w:eastAsia="Calibri" w:cs="Times New Roman"/>
                <w:color w:val="000000"/>
                <w:sz w:val="22"/>
                <w:lang w:val="en-US"/>
              </w:rPr>
            </w:pPr>
            <w:r w:rsidRPr="00BD577A">
              <w:rPr>
                <w:rFonts w:eastAsia="Calibri" w:cs="Times New Roman"/>
                <w:color w:val="000000"/>
                <w:sz w:val="22"/>
                <w:lang w:val="en-US"/>
              </w:rPr>
              <w:t xml:space="preserve">           405.076    </w:t>
            </w:r>
          </w:p>
        </w:tc>
        <w:tc>
          <w:tcPr>
            <w:tcW w:w="827" w:type="dxa"/>
            <w:tcBorders>
              <w:top w:val="single" w:sz="4" w:space="0" w:color="auto"/>
              <w:left w:val="nil"/>
              <w:bottom w:val="nil"/>
              <w:right w:val="nil"/>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467.950    </w:t>
            </w:r>
          </w:p>
        </w:tc>
        <w:tc>
          <w:tcPr>
            <w:tcW w:w="827" w:type="dxa"/>
            <w:tcBorders>
              <w:top w:val="single" w:sz="4" w:space="0" w:color="auto"/>
              <w:left w:val="nil"/>
              <w:bottom w:val="nil"/>
              <w:right w:val="nil"/>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537.861    </w:t>
            </w:r>
          </w:p>
        </w:tc>
        <w:tc>
          <w:tcPr>
            <w:tcW w:w="968" w:type="dxa"/>
            <w:tcBorders>
              <w:top w:val="single" w:sz="4" w:space="0" w:color="auto"/>
              <w:left w:val="nil"/>
              <w:bottom w:val="nil"/>
              <w:right w:val="nil"/>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643.407    </w:t>
            </w:r>
          </w:p>
        </w:tc>
        <w:tc>
          <w:tcPr>
            <w:tcW w:w="968" w:type="dxa"/>
            <w:tcBorders>
              <w:top w:val="single" w:sz="4" w:space="0" w:color="auto"/>
              <w:left w:val="nil"/>
              <w:bottom w:val="nil"/>
              <w:right w:val="nil"/>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817.882    </w:t>
            </w:r>
          </w:p>
        </w:tc>
        <w:tc>
          <w:tcPr>
            <w:tcW w:w="968" w:type="dxa"/>
            <w:tcBorders>
              <w:top w:val="single" w:sz="4" w:space="0" w:color="auto"/>
              <w:left w:val="nil"/>
              <w:bottom w:val="nil"/>
              <w:right w:val="nil"/>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1.099.011    </w:t>
            </w:r>
          </w:p>
        </w:tc>
        <w:tc>
          <w:tcPr>
            <w:tcW w:w="968" w:type="dxa"/>
            <w:tcBorders>
              <w:top w:val="single" w:sz="4" w:space="0" w:color="auto"/>
              <w:left w:val="nil"/>
              <w:bottom w:val="nil"/>
              <w:right w:val="nil"/>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1.244.309    </w:t>
            </w:r>
          </w:p>
        </w:tc>
        <w:tc>
          <w:tcPr>
            <w:tcW w:w="968" w:type="dxa"/>
            <w:tcBorders>
              <w:top w:val="single" w:sz="4" w:space="0" w:color="auto"/>
              <w:left w:val="nil"/>
              <w:bottom w:val="nil"/>
              <w:right w:val="nil"/>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1.334.737    </w:t>
            </w:r>
          </w:p>
        </w:tc>
        <w:tc>
          <w:tcPr>
            <w:tcW w:w="1063" w:type="dxa"/>
            <w:tcBorders>
              <w:top w:val="single" w:sz="4" w:space="0" w:color="auto"/>
              <w:left w:val="nil"/>
              <w:bottom w:val="nil"/>
              <w:right w:val="nil"/>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6.550.233    </w:t>
            </w:r>
          </w:p>
        </w:tc>
      </w:tr>
      <w:tr w:rsidR="00BD577A" w:rsidRPr="00BD577A" w:rsidTr="003D01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18" w:type="dxa"/>
            <w:tcBorders>
              <w:top w:val="nil"/>
              <w:left w:val="nil"/>
              <w:bottom w:val="nil"/>
              <w:right w:val="nil"/>
            </w:tcBorders>
          </w:tcPr>
          <w:p w:rsidR="00BD577A" w:rsidRPr="00BD577A" w:rsidRDefault="00BD577A" w:rsidP="00775232">
            <w:pPr>
              <w:jc w:val="both"/>
              <w:rPr>
                <w:rFonts w:eastAsia="Calibri" w:cs="Times New Roman"/>
                <w:sz w:val="22"/>
                <w:lang w:val="en-US"/>
              </w:rPr>
            </w:pPr>
            <w:r w:rsidRPr="00BD577A">
              <w:rPr>
                <w:rFonts w:eastAsia="Calibri" w:cs="Times New Roman"/>
                <w:sz w:val="22"/>
                <w:lang w:val="en-US"/>
              </w:rPr>
              <w:t xml:space="preserve">In Foreign </w:t>
            </w:r>
            <w:r w:rsidR="00775232">
              <w:rPr>
                <w:rFonts w:eastAsia="Calibri" w:cs="Times New Roman"/>
                <w:sz w:val="22"/>
                <w:lang w:val="en-US"/>
              </w:rPr>
              <w:t>Currency</w:t>
            </w:r>
          </w:p>
        </w:tc>
        <w:tc>
          <w:tcPr>
            <w:tcW w:w="829" w:type="dxa"/>
            <w:tcBorders>
              <w:top w:val="nil"/>
              <w:left w:val="nil"/>
              <w:bottom w:val="nil"/>
              <w:right w:val="nil"/>
            </w:tcBorders>
            <w:vAlign w:val="bottom"/>
          </w:tcPr>
          <w:p w:rsidR="00BD577A" w:rsidRPr="00BD577A" w:rsidRDefault="00BD577A" w:rsidP="00BD577A">
            <w:pPr>
              <w:jc w:val="right"/>
              <w:rPr>
                <w:rFonts w:eastAsia="Calibri" w:cs="Times New Roman"/>
                <w:color w:val="000000"/>
                <w:sz w:val="22"/>
                <w:lang w:val="en-US"/>
              </w:rPr>
            </w:pPr>
            <w:r w:rsidRPr="00BD577A">
              <w:rPr>
                <w:rFonts w:eastAsia="Calibri" w:cs="Times New Roman"/>
                <w:color w:val="000000"/>
                <w:sz w:val="22"/>
                <w:lang w:val="en-US"/>
              </w:rPr>
              <w:t xml:space="preserve">           327.367    </w:t>
            </w:r>
          </w:p>
        </w:tc>
        <w:tc>
          <w:tcPr>
            <w:tcW w:w="827" w:type="dxa"/>
            <w:tcBorders>
              <w:top w:val="nil"/>
              <w:left w:val="nil"/>
              <w:bottom w:val="nil"/>
              <w:right w:val="nil"/>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368.930    </w:t>
            </w:r>
          </w:p>
        </w:tc>
        <w:tc>
          <w:tcPr>
            <w:tcW w:w="827" w:type="dxa"/>
            <w:tcBorders>
              <w:top w:val="nil"/>
              <w:left w:val="nil"/>
              <w:bottom w:val="nil"/>
              <w:right w:val="nil"/>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367.943    </w:t>
            </w:r>
          </w:p>
        </w:tc>
        <w:tc>
          <w:tcPr>
            <w:tcW w:w="968" w:type="dxa"/>
            <w:tcBorders>
              <w:top w:val="nil"/>
              <w:left w:val="nil"/>
              <w:bottom w:val="nil"/>
              <w:right w:val="nil"/>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410.976    </w:t>
            </w:r>
          </w:p>
        </w:tc>
        <w:tc>
          <w:tcPr>
            <w:tcW w:w="968" w:type="dxa"/>
            <w:tcBorders>
              <w:top w:val="nil"/>
              <w:left w:val="nil"/>
              <w:bottom w:val="nil"/>
              <w:right w:val="nil"/>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516.034    </w:t>
            </w:r>
          </w:p>
        </w:tc>
        <w:tc>
          <w:tcPr>
            <w:tcW w:w="968" w:type="dxa"/>
            <w:tcBorders>
              <w:top w:val="nil"/>
              <w:left w:val="nil"/>
              <w:bottom w:val="nil"/>
              <w:right w:val="nil"/>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718.374    </w:t>
            </w:r>
          </w:p>
        </w:tc>
        <w:tc>
          <w:tcPr>
            <w:tcW w:w="968" w:type="dxa"/>
            <w:tcBorders>
              <w:top w:val="nil"/>
              <w:left w:val="nil"/>
              <w:bottom w:val="nil"/>
              <w:right w:val="nil"/>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828.944    </w:t>
            </w:r>
          </w:p>
        </w:tc>
        <w:tc>
          <w:tcPr>
            <w:tcW w:w="968" w:type="dxa"/>
            <w:tcBorders>
              <w:top w:val="nil"/>
              <w:left w:val="nil"/>
              <w:bottom w:val="nil"/>
              <w:right w:val="nil"/>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872.138    </w:t>
            </w:r>
          </w:p>
        </w:tc>
        <w:tc>
          <w:tcPr>
            <w:tcW w:w="1063" w:type="dxa"/>
            <w:tcBorders>
              <w:top w:val="nil"/>
              <w:left w:val="nil"/>
              <w:bottom w:val="nil"/>
              <w:right w:val="nil"/>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4.410.706    </w:t>
            </w:r>
          </w:p>
        </w:tc>
      </w:tr>
      <w:tr w:rsidR="00BD577A" w:rsidRPr="00BD577A" w:rsidTr="003D01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18" w:type="dxa"/>
            <w:tcBorders>
              <w:top w:val="nil"/>
              <w:left w:val="nil"/>
              <w:bottom w:val="single" w:sz="4" w:space="0" w:color="auto"/>
              <w:right w:val="nil"/>
            </w:tcBorders>
          </w:tcPr>
          <w:p w:rsidR="00BD577A" w:rsidRPr="00BD577A" w:rsidRDefault="00BD577A" w:rsidP="00BD577A">
            <w:pPr>
              <w:jc w:val="both"/>
              <w:rPr>
                <w:rFonts w:eastAsia="Calibri" w:cs="Times New Roman"/>
                <w:sz w:val="22"/>
                <w:lang w:val="en-US"/>
              </w:rPr>
            </w:pPr>
            <w:r w:rsidRPr="00BD577A">
              <w:rPr>
                <w:rFonts w:eastAsia="Calibri" w:cs="Times New Roman"/>
                <w:sz w:val="22"/>
                <w:lang w:val="en-US"/>
              </w:rPr>
              <w:t>Total</w:t>
            </w:r>
          </w:p>
        </w:tc>
        <w:tc>
          <w:tcPr>
            <w:tcW w:w="829" w:type="dxa"/>
            <w:tcBorders>
              <w:top w:val="nil"/>
              <w:left w:val="nil"/>
              <w:bottom w:val="single" w:sz="4" w:space="0" w:color="auto"/>
              <w:right w:val="nil"/>
            </w:tcBorders>
            <w:vAlign w:val="bottom"/>
          </w:tcPr>
          <w:p w:rsidR="00BD577A" w:rsidRPr="00BD577A" w:rsidRDefault="00BD577A" w:rsidP="00BD577A">
            <w:pPr>
              <w:jc w:val="right"/>
              <w:rPr>
                <w:rFonts w:eastAsia="Calibri" w:cs="Times New Roman"/>
                <w:color w:val="000000"/>
                <w:sz w:val="22"/>
                <w:lang w:val="en-US"/>
              </w:rPr>
            </w:pPr>
            <w:r w:rsidRPr="00BD577A">
              <w:rPr>
                <w:rFonts w:eastAsia="Calibri" w:cs="Times New Roman"/>
                <w:color w:val="000000"/>
                <w:sz w:val="22"/>
                <w:lang w:val="en-US"/>
              </w:rPr>
              <w:t xml:space="preserve">           732.443    </w:t>
            </w:r>
          </w:p>
        </w:tc>
        <w:tc>
          <w:tcPr>
            <w:tcW w:w="827" w:type="dxa"/>
            <w:tcBorders>
              <w:top w:val="nil"/>
              <w:left w:val="nil"/>
              <w:bottom w:val="single" w:sz="4" w:space="0" w:color="auto"/>
              <w:right w:val="nil"/>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836.880    </w:t>
            </w:r>
          </w:p>
        </w:tc>
        <w:tc>
          <w:tcPr>
            <w:tcW w:w="827" w:type="dxa"/>
            <w:tcBorders>
              <w:top w:val="nil"/>
              <w:left w:val="nil"/>
              <w:bottom w:val="single" w:sz="4" w:space="0" w:color="auto"/>
              <w:right w:val="nil"/>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905.804    </w:t>
            </w:r>
          </w:p>
        </w:tc>
        <w:tc>
          <w:tcPr>
            <w:tcW w:w="968" w:type="dxa"/>
            <w:tcBorders>
              <w:top w:val="nil"/>
              <w:left w:val="nil"/>
              <w:bottom w:val="single" w:sz="4" w:space="0" w:color="auto"/>
              <w:right w:val="nil"/>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1.054.383    </w:t>
            </w:r>
          </w:p>
        </w:tc>
        <w:tc>
          <w:tcPr>
            <w:tcW w:w="968" w:type="dxa"/>
            <w:tcBorders>
              <w:top w:val="nil"/>
              <w:left w:val="nil"/>
              <w:bottom w:val="single" w:sz="4" w:space="0" w:color="auto"/>
              <w:right w:val="nil"/>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1.333.916    </w:t>
            </w:r>
          </w:p>
        </w:tc>
        <w:tc>
          <w:tcPr>
            <w:tcW w:w="968" w:type="dxa"/>
            <w:tcBorders>
              <w:top w:val="nil"/>
              <w:left w:val="nil"/>
              <w:bottom w:val="single" w:sz="4" w:space="0" w:color="auto"/>
              <w:right w:val="nil"/>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1.817.385    </w:t>
            </w:r>
          </w:p>
        </w:tc>
        <w:tc>
          <w:tcPr>
            <w:tcW w:w="968" w:type="dxa"/>
            <w:tcBorders>
              <w:top w:val="nil"/>
              <w:left w:val="nil"/>
              <w:bottom w:val="single" w:sz="4" w:space="0" w:color="auto"/>
              <w:right w:val="nil"/>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2.073.253    </w:t>
            </w:r>
          </w:p>
        </w:tc>
        <w:tc>
          <w:tcPr>
            <w:tcW w:w="968" w:type="dxa"/>
            <w:tcBorders>
              <w:top w:val="nil"/>
              <w:left w:val="nil"/>
              <w:bottom w:val="single" w:sz="4" w:space="0" w:color="auto"/>
              <w:right w:val="nil"/>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2.206.875    </w:t>
            </w:r>
          </w:p>
        </w:tc>
        <w:tc>
          <w:tcPr>
            <w:tcW w:w="1063" w:type="dxa"/>
            <w:tcBorders>
              <w:top w:val="nil"/>
              <w:left w:val="nil"/>
              <w:bottom w:val="single" w:sz="4" w:space="0" w:color="auto"/>
              <w:right w:val="nil"/>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10.960.938    </w:t>
            </w:r>
          </w:p>
        </w:tc>
      </w:tr>
      <w:tr w:rsidR="00BD577A" w:rsidRPr="00BD577A" w:rsidTr="003D01F6">
        <w:tc>
          <w:tcPr>
            <w:tcW w:w="9204" w:type="dxa"/>
            <w:gridSpan w:val="10"/>
            <w:tcBorders>
              <w:top w:val="single" w:sz="4" w:space="0" w:color="auto"/>
              <w:bottom w:val="single" w:sz="4" w:space="0" w:color="auto"/>
            </w:tcBorders>
          </w:tcPr>
          <w:p w:rsidR="00BD577A" w:rsidRPr="00BD577A" w:rsidRDefault="00BD577A" w:rsidP="00BD577A">
            <w:pPr>
              <w:rPr>
                <w:rFonts w:eastAsia="Calibri" w:cs="Times New Roman"/>
                <w:sz w:val="22"/>
                <w:lang w:val="en-US"/>
              </w:rPr>
            </w:pPr>
            <w:r w:rsidRPr="00BD577A">
              <w:rPr>
                <w:rFonts w:eastAsia="Calibri" w:cs="Times New Roman"/>
                <w:sz w:val="22"/>
                <w:lang w:val="en-US"/>
              </w:rPr>
              <w:t>Loans to households</w:t>
            </w:r>
          </w:p>
        </w:tc>
      </w:tr>
      <w:tr w:rsidR="00BD577A" w:rsidRPr="00BD577A" w:rsidTr="003D01F6">
        <w:tc>
          <w:tcPr>
            <w:tcW w:w="818" w:type="dxa"/>
            <w:tcBorders>
              <w:top w:val="single" w:sz="4" w:space="0" w:color="auto"/>
            </w:tcBorders>
          </w:tcPr>
          <w:p w:rsidR="00BD577A" w:rsidRPr="00BD577A" w:rsidRDefault="00BD577A" w:rsidP="00BD577A">
            <w:pPr>
              <w:jc w:val="both"/>
              <w:rPr>
                <w:rFonts w:eastAsia="Calibri" w:cs="Times New Roman"/>
                <w:sz w:val="22"/>
                <w:lang w:val="en-US"/>
              </w:rPr>
            </w:pPr>
            <w:r w:rsidRPr="00BD577A">
              <w:rPr>
                <w:rFonts w:eastAsia="Calibri" w:cs="Times New Roman"/>
                <w:sz w:val="22"/>
                <w:lang w:val="en-US"/>
              </w:rPr>
              <w:t xml:space="preserve">In </w:t>
            </w:r>
            <w:proofErr w:type="spellStart"/>
            <w:r w:rsidRPr="00BD577A">
              <w:rPr>
                <w:rFonts w:eastAsia="Calibri" w:cs="Times New Roman"/>
                <w:sz w:val="22"/>
                <w:lang w:val="en-US"/>
              </w:rPr>
              <w:t>Denars</w:t>
            </w:r>
            <w:proofErr w:type="spellEnd"/>
          </w:p>
        </w:tc>
        <w:tc>
          <w:tcPr>
            <w:tcW w:w="829" w:type="dxa"/>
            <w:tcBorders>
              <w:top w:val="single" w:sz="4" w:space="0" w:color="auto"/>
            </w:tcBorders>
            <w:vAlign w:val="bottom"/>
          </w:tcPr>
          <w:p w:rsidR="00BD577A" w:rsidRPr="00BD577A" w:rsidRDefault="00BD577A" w:rsidP="00BD577A">
            <w:pPr>
              <w:jc w:val="right"/>
              <w:rPr>
                <w:rFonts w:eastAsia="Calibri" w:cs="Times New Roman"/>
                <w:sz w:val="22"/>
                <w:lang w:val="en-US"/>
              </w:rPr>
            </w:pPr>
            <w:r w:rsidRPr="00BD577A">
              <w:rPr>
                <w:rFonts w:eastAsia="Calibri" w:cs="Times New Roman"/>
                <w:sz w:val="22"/>
                <w:lang w:val="en-US"/>
              </w:rPr>
              <w:t>98.910</w:t>
            </w:r>
          </w:p>
        </w:tc>
        <w:tc>
          <w:tcPr>
            <w:tcW w:w="827" w:type="dxa"/>
            <w:tcBorders>
              <w:top w:val="single" w:sz="4" w:space="0" w:color="auto"/>
            </w:tcBorders>
            <w:vAlign w:val="bottom"/>
          </w:tcPr>
          <w:p w:rsidR="00BD577A" w:rsidRPr="00BD577A" w:rsidRDefault="00BD577A" w:rsidP="00BD577A">
            <w:pPr>
              <w:jc w:val="right"/>
              <w:rPr>
                <w:rFonts w:eastAsia="Calibri" w:cs="Times New Roman"/>
                <w:sz w:val="22"/>
              </w:rPr>
            </w:pPr>
            <w:r w:rsidRPr="00BD577A">
              <w:rPr>
                <w:rFonts w:eastAsia="Calibri" w:cs="Times New Roman"/>
                <w:sz w:val="22"/>
              </w:rPr>
              <w:t>158.323</w:t>
            </w:r>
          </w:p>
        </w:tc>
        <w:tc>
          <w:tcPr>
            <w:tcW w:w="827" w:type="dxa"/>
            <w:tcBorders>
              <w:top w:val="single" w:sz="4" w:space="0" w:color="auto"/>
            </w:tcBorders>
            <w:vAlign w:val="bottom"/>
          </w:tcPr>
          <w:p w:rsidR="00BD577A" w:rsidRPr="00BD577A" w:rsidRDefault="00BD577A" w:rsidP="00BD577A">
            <w:pPr>
              <w:jc w:val="right"/>
              <w:rPr>
                <w:rFonts w:eastAsia="Calibri" w:cs="Times New Roman"/>
                <w:sz w:val="22"/>
              </w:rPr>
            </w:pPr>
            <w:r w:rsidRPr="00BD577A">
              <w:rPr>
                <w:rFonts w:eastAsia="Calibri" w:cs="Times New Roman"/>
                <w:sz w:val="22"/>
              </w:rPr>
              <w:t>234.977</w:t>
            </w:r>
          </w:p>
        </w:tc>
        <w:tc>
          <w:tcPr>
            <w:tcW w:w="968" w:type="dxa"/>
            <w:tcBorders>
              <w:top w:val="single" w:sz="4" w:space="0" w:color="auto"/>
            </w:tcBorders>
            <w:vAlign w:val="bottom"/>
          </w:tcPr>
          <w:p w:rsidR="00BD577A" w:rsidRPr="00BD577A" w:rsidRDefault="00BD577A" w:rsidP="00BD577A">
            <w:pPr>
              <w:jc w:val="right"/>
              <w:rPr>
                <w:rFonts w:eastAsia="Calibri" w:cs="Times New Roman"/>
                <w:sz w:val="22"/>
              </w:rPr>
            </w:pPr>
            <w:r w:rsidRPr="00BD577A">
              <w:rPr>
                <w:rFonts w:eastAsia="Calibri" w:cs="Times New Roman"/>
                <w:sz w:val="22"/>
              </w:rPr>
              <w:t>315.773</w:t>
            </w:r>
          </w:p>
        </w:tc>
        <w:tc>
          <w:tcPr>
            <w:tcW w:w="968" w:type="dxa"/>
            <w:tcBorders>
              <w:top w:val="single" w:sz="4" w:space="0" w:color="auto"/>
            </w:tcBorders>
            <w:vAlign w:val="bottom"/>
          </w:tcPr>
          <w:p w:rsidR="00BD577A" w:rsidRPr="00BD577A" w:rsidRDefault="00BD577A" w:rsidP="00BD577A">
            <w:pPr>
              <w:jc w:val="right"/>
              <w:rPr>
                <w:rFonts w:eastAsia="Calibri" w:cs="Times New Roman"/>
                <w:sz w:val="22"/>
              </w:rPr>
            </w:pPr>
            <w:r w:rsidRPr="00BD577A">
              <w:rPr>
                <w:rFonts w:eastAsia="Calibri" w:cs="Times New Roman"/>
                <w:sz w:val="22"/>
              </w:rPr>
              <w:t>474.322</w:t>
            </w:r>
          </w:p>
        </w:tc>
        <w:tc>
          <w:tcPr>
            <w:tcW w:w="968" w:type="dxa"/>
            <w:tcBorders>
              <w:top w:val="single" w:sz="4" w:space="0" w:color="auto"/>
            </w:tcBorders>
            <w:vAlign w:val="bottom"/>
          </w:tcPr>
          <w:p w:rsidR="00BD577A" w:rsidRPr="00BD577A" w:rsidRDefault="00BD577A" w:rsidP="00BD577A">
            <w:pPr>
              <w:jc w:val="right"/>
              <w:rPr>
                <w:rFonts w:eastAsia="Calibri" w:cs="Times New Roman"/>
                <w:sz w:val="22"/>
              </w:rPr>
            </w:pPr>
            <w:r w:rsidRPr="00BD577A">
              <w:rPr>
                <w:rFonts w:eastAsia="Calibri" w:cs="Times New Roman"/>
                <w:sz w:val="22"/>
              </w:rPr>
              <w:t>701.923</w:t>
            </w:r>
          </w:p>
        </w:tc>
        <w:tc>
          <w:tcPr>
            <w:tcW w:w="968" w:type="dxa"/>
            <w:tcBorders>
              <w:top w:val="single" w:sz="4" w:space="0" w:color="auto"/>
            </w:tcBorders>
            <w:vAlign w:val="bottom"/>
          </w:tcPr>
          <w:p w:rsidR="00BD577A" w:rsidRPr="00BD577A" w:rsidRDefault="00BD577A" w:rsidP="00BD577A">
            <w:pPr>
              <w:jc w:val="right"/>
              <w:rPr>
                <w:rFonts w:eastAsia="Calibri" w:cs="Times New Roman"/>
                <w:sz w:val="22"/>
              </w:rPr>
            </w:pPr>
            <w:r w:rsidRPr="00BD577A">
              <w:rPr>
                <w:rFonts w:eastAsia="Calibri" w:cs="Times New Roman"/>
                <w:sz w:val="22"/>
              </w:rPr>
              <w:t>813.450</w:t>
            </w:r>
          </w:p>
        </w:tc>
        <w:tc>
          <w:tcPr>
            <w:tcW w:w="968" w:type="dxa"/>
            <w:tcBorders>
              <w:top w:val="single" w:sz="4" w:space="0" w:color="auto"/>
            </w:tcBorders>
            <w:vAlign w:val="bottom"/>
          </w:tcPr>
          <w:p w:rsidR="00BD577A" w:rsidRPr="00BD577A" w:rsidRDefault="00BD577A" w:rsidP="00BD577A">
            <w:pPr>
              <w:jc w:val="right"/>
              <w:rPr>
                <w:rFonts w:eastAsia="Calibri" w:cs="Times New Roman"/>
                <w:sz w:val="22"/>
              </w:rPr>
            </w:pPr>
            <w:r w:rsidRPr="00BD577A">
              <w:rPr>
                <w:rFonts w:eastAsia="Calibri" w:cs="Times New Roman"/>
                <w:sz w:val="22"/>
              </w:rPr>
              <w:t>835.143</w:t>
            </w:r>
          </w:p>
        </w:tc>
        <w:tc>
          <w:tcPr>
            <w:tcW w:w="1063" w:type="dxa"/>
            <w:tcBorders>
              <w:top w:val="single" w:sz="4" w:space="0" w:color="auto"/>
            </w:tcBorders>
            <w:vAlign w:val="bottom"/>
          </w:tcPr>
          <w:p w:rsidR="00BD577A" w:rsidRPr="00BD577A" w:rsidRDefault="00BD577A" w:rsidP="00BD577A">
            <w:pPr>
              <w:jc w:val="right"/>
              <w:rPr>
                <w:rFonts w:eastAsia="Calibri" w:cs="Times New Roman"/>
                <w:sz w:val="22"/>
              </w:rPr>
            </w:pPr>
            <w:r w:rsidRPr="00BD577A">
              <w:rPr>
                <w:rFonts w:eastAsia="Calibri" w:cs="Times New Roman"/>
                <w:sz w:val="22"/>
              </w:rPr>
              <w:t>877.042</w:t>
            </w:r>
          </w:p>
        </w:tc>
      </w:tr>
      <w:tr w:rsidR="00BD577A" w:rsidRPr="00BD577A" w:rsidTr="003D01F6">
        <w:tc>
          <w:tcPr>
            <w:tcW w:w="818" w:type="dxa"/>
          </w:tcPr>
          <w:p w:rsidR="00BD577A" w:rsidRPr="00BD577A" w:rsidRDefault="003D01F6" w:rsidP="00BD577A">
            <w:pPr>
              <w:jc w:val="both"/>
              <w:rPr>
                <w:rFonts w:eastAsia="Calibri" w:cs="Times New Roman"/>
                <w:sz w:val="22"/>
                <w:lang w:val="en-US"/>
              </w:rPr>
            </w:pPr>
            <w:r>
              <w:rPr>
                <w:rFonts w:eastAsia="Calibri" w:cs="Times New Roman"/>
                <w:sz w:val="22"/>
                <w:lang w:val="en-US"/>
              </w:rPr>
              <w:t xml:space="preserve">In Foreign </w:t>
            </w:r>
            <w:r w:rsidR="00775232">
              <w:rPr>
                <w:rFonts w:eastAsia="Calibri" w:cs="Times New Roman"/>
                <w:sz w:val="22"/>
                <w:lang w:val="en-US"/>
              </w:rPr>
              <w:t>Currency</w:t>
            </w:r>
          </w:p>
        </w:tc>
        <w:tc>
          <w:tcPr>
            <w:tcW w:w="829" w:type="dxa"/>
            <w:vAlign w:val="bottom"/>
          </w:tcPr>
          <w:p w:rsidR="00BD577A" w:rsidRPr="00BD577A" w:rsidRDefault="00BD577A" w:rsidP="00BD577A">
            <w:pPr>
              <w:jc w:val="right"/>
              <w:rPr>
                <w:rFonts w:eastAsia="Calibri" w:cs="Times New Roman"/>
                <w:sz w:val="22"/>
                <w:lang w:val="en-US"/>
              </w:rPr>
            </w:pPr>
            <w:r w:rsidRPr="00BD577A">
              <w:rPr>
                <w:rFonts w:eastAsia="Calibri" w:cs="Times New Roman"/>
                <w:sz w:val="22"/>
                <w:lang w:val="en-US"/>
              </w:rPr>
              <w:t>205</w:t>
            </w:r>
          </w:p>
        </w:tc>
        <w:tc>
          <w:tcPr>
            <w:tcW w:w="827" w:type="dxa"/>
            <w:vAlign w:val="bottom"/>
          </w:tcPr>
          <w:p w:rsidR="00BD577A" w:rsidRPr="00BD577A" w:rsidRDefault="00BD577A" w:rsidP="00BD577A">
            <w:pPr>
              <w:jc w:val="right"/>
              <w:rPr>
                <w:rFonts w:eastAsia="Calibri" w:cs="Times New Roman"/>
                <w:sz w:val="22"/>
              </w:rPr>
            </w:pPr>
            <w:r w:rsidRPr="00BD577A">
              <w:rPr>
                <w:rFonts w:eastAsia="Calibri" w:cs="Times New Roman"/>
                <w:sz w:val="22"/>
              </w:rPr>
              <w:t>1.930</w:t>
            </w:r>
          </w:p>
        </w:tc>
        <w:tc>
          <w:tcPr>
            <w:tcW w:w="827" w:type="dxa"/>
            <w:vAlign w:val="bottom"/>
          </w:tcPr>
          <w:p w:rsidR="00BD577A" w:rsidRPr="00BD577A" w:rsidRDefault="00BD577A" w:rsidP="00BD577A">
            <w:pPr>
              <w:jc w:val="right"/>
              <w:rPr>
                <w:rFonts w:eastAsia="Calibri" w:cs="Times New Roman"/>
                <w:sz w:val="22"/>
              </w:rPr>
            </w:pPr>
            <w:r w:rsidRPr="00BD577A">
              <w:rPr>
                <w:rFonts w:eastAsia="Calibri" w:cs="Times New Roman"/>
                <w:sz w:val="22"/>
              </w:rPr>
              <w:t>6.579</w:t>
            </w:r>
          </w:p>
        </w:tc>
        <w:tc>
          <w:tcPr>
            <w:tcW w:w="968" w:type="dxa"/>
            <w:vAlign w:val="bottom"/>
          </w:tcPr>
          <w:p w:rsidR="00BD577A" w:rsidRPr="00BD577A" w:rsidRDefault="00BD577A" w:rsidP="00BD577A">
            <w:pPr>
              <w:jc w:val="right"/>
              <w:rPr>
                <w:rFonts w:eastAsia="Calibri" w:cs="Times New Roman"/>
                <w:sz w:val="22"/>
              </w:rPr>
            </w:pPr>
            <w:r w:rsidRPr="00BD577A">
              <w:rPr>
                <w:rFonts w:eastAsia="Calibri" w:cs="Times New Roman"/>
                <w:sz w:val="22"/>
              </w:rPr>
              <w:t>15.699</w:t>
            </w:r>
          </w:p>
        </w:tc>
        <w:tc>
          <w:tcPr>
            <w:tcW w:w="968" w:type="dxa"/>
            <w:vAlign w:val="bottom"/>
          </w:tcPr>
          <w:p w:rsidR="00BD577A" w:rsidRPr="00BD577A" w:rsidRDefault="00BD577A" w:rsidP="00BD577A">
            <w:pPr>
              <w:jc w:val="right"/>
              <w:rPr>
                <w:rFonts w:eastAsia="Calibri" w:cs="Times New Roman"/>
                <w:sz w:val="22"/>
              </w:rPr>
            </w:pPr>
            <w:r w:rsidRPr="00BD577A">
              <w:rPr>
                <w:rFonts w:eastAsia="Calibri" w:cs="Times New Roman"/>
                <w:sz w:val="22"/>
              </w:rPr>
              <w:t>23.456</w:t>
            </w:r>
          </w:p>
        </w:tc>
        <w:tc>
          <w:tcPr>
            <w:tcW w:w="968" w:type="dxa"/>
            <w:vAlign w:val="bottom"/>
          </w:tcPr>
          <w:p w:rsidR="00BD577A" w:rsidRPr="00BD577A" w:rsidRDefault="00BD577A" w:rsidP="00BD577A">
            <w:pPr>
              <w:jc w:val="right"/>
              <w:rPr>
                <w:rFonts w:eastAsia="Calibri" w:cs="Times New Roman"/>
                <w:sz w:val="22"/>
              </w:rPr>
            </w:pPr>
            <w:r w:rsidRPr="00BD577A">
              <w:rPr>
                <w:rFonts w:eastAsia="Calibri" w:cs="Times New Roman"/>
                <w:sz w:val="22"/>
              </w:rPr>
              <w:t>43.282</w:t>
            </w:r>
          </w:p>
        </w:tc>
        <w:tc>
          <w:tcPr>
            <w:tcW w:w="968" w:type="dxa"/>
            <w:vAlign w:val="bottom"/>
          </w:tcPr>
          <w:p w:rsidR="00BD577A" w:rsidRPr="00BD577A" w:rsidRDefault="00BD577A" w:rsidP="00BD577A">
            <w:pPr>
              <w:jc w:val="right"/>
              <w:rPr>
                <w:rFonts w:eastAsia="Calibri" w:cs="Times New Roman"/>
                <w:sz w:val="22"/>
              </w:rPr>
            </w:pPr>
            <w:r w:rsidRPr="00BD577A">
              <w:rPr>
                <w:rFonts w:eastAsia="Calibri" w:cs="Times New Roman"/>
                <w:sz w:val="22"/>
              </w:rPr>
              <w:t>48.821</w:t>
            </w:r>
          </w:p>
        </w:tc>
        <w:tc>
          <w:tcPr>
            <w:tcW w:w="968" w:type="dxa"/>
            <w:vAlign w:val="bottom"/>
          </w:tcPr>
          <w:p w:rsidR="00BD577A" w:rsidRPr="00BD577A" w:rsidRDefault="00BD577A" w:rsidP="00BD577A">
            <w:pPr>
              <w:jc w:val="right"/>
              <w:rPr>
                <w:rFonts w:eastAsia="Calibri" w:cs="Times New Roman"/>
                <w:sz w:val="22"/>
              </w:rPr>
            </w:pPr>
            <w:r w:rsidRPr="00BD577A">
              <w:rPr>
                <w:rFonts w:eastAsia="Calibri" w:cs="Times New Roman"/>
                <w:sz w:val="22"/>
              </w:rPr>
              <w:t>51.336</w:t>
            </w:r>
          </w:p>
        </w:tc>
        <w:tc>
          <w:tcPr>
            <w:tcW w:w="1063" w:type="dxa"/>
            <w:vAlign w:val="bottom"/>
          </w:tcPr>
          <w:p w:rsidR="00BD577A" w:rsidRPr="00BD577A" w:rsidRDefault="00BD577A" w:rsidP="00BD577A">
            <w:pPr>
              <w:jc w:val="right"/>
              <w:rPr>
                <w:rFonts w:eastAsia="Calibri" w:cs="Times New Roman"/>
                <w:sz w:val="22"/>
              </w:rPr>
            </w:pPr>
            <w:r w:rsidRPr="00BD577A">
              <w:rPr>
                <w:rFonts w:eastAsia="Calibri" w:cs="Times New Roman"/>
                <w:sz w:val="22"/>
              </w:rPr>
              <w:t>71.597</w:t>
            </w:r>
          </w:p>
        </w:tc>
      </w:tr>
      <w:tr w:rsidR="00BD577A" w:rsidRPr="00BD577A" w:rsidTr="003D01F6">
        <w:tc>
          <w:tcPr>
            <w:tcW w:w="818" w:type="dxa"/>
            <w:tcBorders>
              <w:bottom w:val="single" w:sz="4" w:space="0" w:color="auto"/>
            </w:tcBorders>
          </w:tcPr>
          <w:p w:rsidR="00BD577A" w:rsidRPr="00BD577A" w:rsidRDefault="00BD577A" w:rsidP="00BD577A">
            <w:pPr>
              <w:jc w:val="both"/>
              <w:rPr>
                <w:rFonts w:eastAsia="Calibri" w:cs="Times New Roman"/>
                <w:sz w:val="22"/>
                <w:lang w:val="en-US"/>
              </w:rPr>
            </w:pPr>
            <w:r w:rsidRPr="00BD577A">
              <w:rPr>
                <w:rFonts w:eastAsia="Calibri" w:cs="Times New Roman"/>
                <w:sz w:val="22"/>
                <w:lang w:val="en-US"/>
              </w:rPr>
              <w:t>Total</w:t>
            </w:r>
          </w:p>
        </w:tc>
        <w:tc>
          <w:tcPr>
            <w:tcW w:w="829" w:type="dxa"/>
            <w:tcBorders>
              <w:bottom w:val="single" w:sz="4" w:space="0" w:color="auto"/>
            </w:tcBorders>
            <w:vAlign w:val="bottom"/>
          </w:tcPr>
          <w:p w:rsidR="00BD577A" w:rsidRPr="00BD577A" w:rsidRDefault="00BD577A" w:rsidP="00BD577A">
            <w:pPr>
              <w:jc w:val="right"/>
              <w:rPr>
                <w:rFonts w:eastAsia="Calibri" w:cs="Times New Roman"/>
                <w:sz w:val="22"/>
                <w:lang w:val="en-US"/>
              </w:rPr>
            </w:pPr>
            <w:r w:rsidRPr="00BD577A">
              <w:rPr>
                <w:rFonts w:eastAsia="Calibri" w:cs="Times New Roman"/>
                <w:sz w:val="22"/>
                <w:lang w:val="en-US"/>
              </w:rPr>
              <w:t>99.115</w:t>
            </w:r>
          </w:p>
        </w:tc>
        <w:tc>
          <w:tcPr>
            <w:tcW w:w="827" w:type="dxa"/>
            <w:tcBorders>
              <w:bottom w:val="single" w:sz="4" w:space="0" w:color="auto"/>
            </w:tcBorders>
            <w:vAlign w:val="bottom"/>
          </w:tcPr>
          <w:p w:rsidR="00BD577A" w:rsidRPr="00BD577A" w:rsidRDefault="00BD577A" w:rsidP="00BD577A">
            <w:pPr>
              <w:jc w:val="right"/>
              <w:rPr>
                <w:rFonts w:eastAsia="Calibri" w:cs="Times New Roman"/>
                <w:sz w:val="22"/>
              </w:rPr>
            </w:pPr>
            <w:r w:rsidRPr="00BD577A">
              <w:rPr>
                <w:rFonts w:eastAsia="Calibri" w:cs="Times New Roman"/>
                <w:sz w:val="22"/>
              </w:rPr>
              <w:t>160.253</w:t>
            </w:r>
          </w:p>
        </w:tc>
        <w:tc>
          <w:tcPr>
            <w:tcW w:w="827" w:type="dxa"/>
            <w:tcBorders>
              <w:bottom w:val="single" w:sz="4" w:space="0" w:color="auto"/>
            </w:tcBorders>
            <w:vAlign w:val="bottom"/>
          </w:tcPr>
          <w:p w:rsidR="00BD577A" w:rsidRPr="00BD577A" w:rsidRDefault="00BD577A" w:rsidP="00BD577A">
            <w:pPr>
              <w:jc w:val="right"/>
              <w:rPr>
                <w:rFonts w:eastAsia="Calibri" w:cs="Times New Roman"/>
                <w:sz w:val="22"/>
              </w:rPr>
            </w:pPr>
            <w:r w:rsidRPr="00BD577A">
              <w:rPr>
                <w:rFonts w:eastAsia="Calibri" w:cs="Times New Roman"/>
                <w:sz w:val="22"/>
              </w:rPr>
              <w:t>241.556</w:t>
            </w:r>
          </w:p>
        </w:tc>
        <w:tc>
          <w:tcPr>
            <w:tcW w:w="968" w:type="dxa"/>
            <w:tcBorders>
              <w:bottom w:val="single" w:sz="4" w:space="0" w:color="auto"/>
            </w:tcBorders>
            <w:vAlign w:val="bottom"/>
          </w:tcPr>
          <w:p w:rsidR="00BD577A" w:rsidRPr="00BD577A" w:rsidRDefault="00BD577A" w:rsidP="00BD577A">
            <w:pPr>
              <w:jc w:val="right"/>
              <w:rPr>
                <w:rFonts w:eastAsia="Calibri" w:cs="Times New Roman"/>
                <w:sz w:val="22"/>
              </w:rPr>
            </w:pPr>
            <w:r w:rsidRPr="00BD577A">
              <w:rPr>
                <w:rFonts w:eastAsia="Calibri" w:cs="Times New Roman"/>
                <w:sz w:val="22"/>
              </w:rPr>
              <w:t>331.472</w:t>
            </w:r>
          </w:p>
        </w:tc>
        <w:tc>
          <w:tcPr>
            <w:tcW w:w="968" w:type="dxa"/>
            <w:tcBorders>
              <w:bottom w:val="single" w:sz="4" w:space="0" w:color="auto"/>
            </w:tcBorders>
            <w:vAlign w:val="bottom"/>
          </w:tcPr>
          <w:p w:rsidR="00BD577A" w:rsidRPr="00BD577A" w:rsidRDefault="00BD577A" w:rsidP="00BD577A">
            <w:pPr>
              <w:jc w:val="right"/>
              <w:rPr>
                <w:rFonts w:eastAsia="Calibri" w:cs="Times New Roman"/>
                <w:sz w:val="22"/>
              </w:rPr>
            </w:pPr>
            <w:r w:rsidRPr="00BD577A">
              <w:rPr>
                <w:rFonts w:eastAsia="Calibri" w:cs="Times New Roman"/>
                <w:sz w:val="22"/>
              </w:rPr>
              <w:t>497.778</w:t>
            </w:r>
          </w:p>
        </w:tc>
        <w:tc>
          <w:tcPr>
            <w:tcW w:w="968" w:type="dxa"/>
            <w:tcBorders>
              <w:bottom w:val="single" w:sz="4" w:space="0" w:color="auto"/>
            </w:tcBorders>
            <w:vAlign w:val="bottom"/>
          </w:tcPr>
          <w:p w:rsidR="00BD577A" w:rsidRPr="00BD577A" w:rsidRDefault="00BD577A" w:rsidP="00BD577A">
            <w:pPr>
              <w:jc w:val="right"/>
              <w:rPr>
                <w:rFonts w:eastAsia="Calibri" w:cs="Times New Roman"/>
                <w:sz w:val="22"/>
              </w:rPr>
            </w:pPr>
            <w:r w:rsidRPr="00BD577A">
              <w:rPr>
                <w:rFonts w:eastAsia="Calibri" w:cs="Times New Roman"/>
                <w:sz w:val="22"/>
              </w:rPr>
              <w:t>745.205</w:t>
            </w:r>
          </w:p>
        </w:tc>
        <w:tc>
          <w:tcPr>
            <w:tcW w:w="968" w:type="dxa"/>
            <w:tcBorders>
              <w:bottom w:val="single" w:sz="4" w:space="0" w:color="auto"/>
            </w:tcBorders>
            <w:vAlign w:val="bottom"/>
          </w:tcPr>
          <w:p w:rsidR="00BD577A" w:rsidRPr="00BD577A" w:rsidRDefault="00BD577A" w:rsidP="00BD577A">
            <w:pPr>
              <w:jc w:val="right"/>
              <w:rPr>
                <w:rFonts w:eastAsia="Calibri" w:cs="Times New Roman"/>
                <w:sz w:val="22"/>
              </w:rPr>
            </w:pPr>
            <w:r w:rsidRPr="00BD577A">
              <w:rPr>
                <w:rFonts w:eastAsia="Calibri" w:cs="Times New Roman"/>
                <w:sz w:val="22"/>
              </w:rPr>
              <w:t>862.271</w:t>
            </w:r>
          </w:p>
        </w:tc>
        <w:tc>
          <w:tcPr>
            <w:tcW w:w="968" w:type="dxa"/>
            <w:tcBorders>
              <w:bottom w:val="single" w:sz="4" w:space="0" w:color="auto"/>
            </w:tcBorders>
            <w:vAlign w:val="bottom"/>
          </w:tcPr>
          <w:p w:rsidR="00BD577A" w:rsidRPr="00BD577A" w:rsidRDefault="00BD577A" w:rsidP="00BD577A">
            <w:pPr>
              <w:jc w:val="right"/>
              <w:rPr>
                <w:rFonts w:eastAsia="Calibri" w:cs="Times New Roman"/>
                <w:sz w:val="22"/>
              </w:rPr>
            </w:pPr>
            <w:r w:rsidRPr="00BD577A">
              <w:rPr>
                <w:rFonts w:eastAsia="Calibri" w:cs="Times New Roman"/>
                <w:sz w:val="22"/>
              </w:rPr>
              <w:t>886.479</w:t>
            </w:r>
          </w:p>
        </w:tc>
        <w:tc>
          <w:tcPr>
            <w:tcW w:w="1063" w:type="dxa"/>
            <w:tcBorders>
              <w:bottom w:val="single" w:sz="4" w:space="0" w:color="auto"/>
            </w:tcBorders>
            <w:vAlign w:val="bottom"/>
          </w:tcPr>
          <w:p w:rsidR="00BD577A" w:rsidRPr="00BD577A" w:rsidRDefault="00BD577A" w:rsidP="00BD577A">
            <w:pPr>
              <w:jc w:val="right"/>
              <w:rPr>
                <w:rFonts w:eastAsia="Calibri" w:cs="Times New Roman"/>
                <w:sz w:val="22"/>
              </w:rPr>
            </w:pPr>
            <w:r w:rsidRPr="00BD577A">
              <w:rPr>
                <w:rFonts w:eastAsia="Calibri" w:cs="Times New Roman"/>
                <w:sz w:val="22"/>
              </w:rPr>
              <w:t>948.639</w:t>
            </w:r>
          </w:p>
        </w:tc>
      </w:tr>
      <w:tr w:rsidR="00BD577A" w:rsidRPr="00BD577A" w:rsidTr="003D01F6">
        <w:tc>
          <w:tcPr>
            <w:tcW w:w="9204" w:type="dxa"/>
            <w:gridSpan w:val="10"/>
            <w:tcBorders>
              <w:top w:val="single" w:sz="4" w:space="0" w:color="auto"/>
              <w:bottom w:val="single" w:sz="4" w:space="0" w:color="auto"/>
            </w:tcBorders>
          </w:tcPr>
          <w:p w:rsidR="00BD577A" w:rsidRPr="00BD577A" w:rsidRDefault="00BD577A" w:rsidP="00BD577A">
            <w:pPr>
              <w:jc w:val="center"/>
              <w:rPr>
                <w:rFonts w:eastAsia="Calibri" w:cs="Times New Roman"/>
                <w:sz w:val="22"/>
                <w:lang w:val="en-US"/>
              </w:rPr>
            </w:pPr>
            <w:r w:rsidRPr="00BD577A">
              <w:rPr>
                <w:rFonts w:eastAsia="Calibri" w:cs="Times New Roman"/>
                <w:sz w:val="22"/>
                <w:lang w:val="en-US"/>
              </w:rPr>
              <w:t>Croatia</w:t>
            </w:r>
          </w:p>
        </w:tc>
      </w:tr>
      <w:tr w:rsidR="00BD577A" w:rsidRPr="00BD577A" w:rsidTr="003D01F6">
        <w:tc>
          <w:tcPr>
            <w:tcW w:w="9204" w:type="dxa"/>
            <w:gridSpan w:val="10"/>
            <w:tcBorders>
              <w:top w:val="single" w:sz="4" w:space="0" w:color="auto"/>
              <w:bottom w:val="single" w:sz="4" w:space="0" w:color="auto"/>
            </w:tcBorders>
          </w:tcPr>
          <w:p w:rsidR="00BD577A" w:rsidRPr="00BD577A" w:rsidRDefault="00BD577A" w:rsidP="00BD577A">
            <w:pPr>
              <w:jc w:val="both"/>
              <w:rPr>
                <w:rFonts w:eastAsia="Calibri" w:cs="Times New Roman"/>
                <w:sz w:val="22"/>
                <w:lang w:val="en-US"/>
              </w:rPr>
            </w:pPr>
            <w:r w:rsidRPr="00BD577A">
              <w:rPr>
                <w:rFonts w:eastAsia="Calibri" w:cs="Times New Roman"/>
                <w:sz w:val="22"/>
                <w:lang w:val="en-US"/>
              </w:rPr>
              <w:t>Loans to enterprises</w:t>
            </w:r>
          </w:p>
        </w:tc>
      </w:tr>
      <w:tr w:rsidR="00BD577A" w:rsidRPr="00BD577A" w:rsidTr="003D01F6">
        <w:tc>
          <w:tcPr>
            <w:tcW w:w="818" w:type="dxa"/>
            <w:tcBorders>
              <w:top w:val="single" w:sz="4" w:space="0" w:color="auto"/>
            </w:tcBorders>
          </w:tcPr>
          <w:p w:rsidR="008B0EF1" w:rsidRPr="00BD577A" w:rsidRDefault="00BD577A" w:rsidP="008B0EF1">
            <w:pPr>
              <w:jc w:val="both"/>
              <w:rPr>
                <w:rFonts w:eastAsia="Calibri" w:cs="Times New Roman"/>
                <w:sz w:val="22"/>
                <w:lang w:val="en-US"/>
              </w:rPr>
            </w:pPr>
            <w:r w:rsidRPr="00BD577A">
              <w:rPr>
                <w:rFonts w:eastAsia="Calibri" w:cs="Times New Roman"/>
                <w:sz w:val="22"/>
                <w:lang w:val="en-US"/>
              </w:rPr>
              <w:t xml:space="preserve">In </w:t>
            </w:r>
            <w:r w:rsidR="008B0EF1" w:rsidRPr="003D01F6">
              <w:rPr>
                <w:rFonts w:eastAsia="Calibri" w:cs="Times New Roman"/>
                <w:sz w:val="22"/>
                <w:lang w:val="en-US"/>
              </w:rPr>
              <w:t>Kuna</w:t>
            </w:r>
          </w:p>
        </w:tc>
        <w:tc>
          <w:tcPr>
            <w:tcW w:w="829" w:type="dxa"/>
            <w:tcBorders>
              <w:top w:val="single" w:sz="4" w:space="0" w:color="auto"/>
            </w:tcBorders>
            <w:vAlign w:val="bottom"/>
          </w:tcPr>
          <w:p w:rsidR="00BD577A" w:rsidRPr="00BD577A" w:rsidRDefault="00BD577A" w:rsidP="00BD577A">
            <w:pPr>
              <w:jc w:val="right"/>
              <w:rPr>
                <w:rFonts w:eastAsia="Calibri" w:cs="Times New Roman"/>
                <w:color w:val="000000"/>
                <w:sz w:val="22"/>
                <w:lang w:val="en-US"/>
              </w:rPr>
            </w:pPr>
            <w:r w:rsidRPr="00BD577A">
              <w:rPr>
                <w:rFonts w:eastAsia="Calibri" w:cs="Times New Roman"/>
                <w:color w:val="000000"/>
                <w:sz w:val="22"/>
                <w:lang w:val="en-US"/>
              </w:rPr>
              <w:t xml:space="preserve">           461.859    </w:t>
            </w:r>
          </w:p>
        </w:tc>
        <w:tc>
          <w:tcPr>
            <w:tcW w:w="827" w:type="dxa"/>
            <w:tcBorders>
              <w:top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485.993    </w:t>
            </w:r>
          </w:p>
        </w:tc>
        <w:tc>
          <w:tcPr>
            <w:tcW w:w="827" w:type="dxa"/>
            <w:tcBorders>
              <w:top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542.031    </w:t>
            </w:r>
          </w:p>
        </w:tc>
        <w:tc>
          <w:tcPr>
            <w:tcW w:w="968" w:type="dxa"/>
            <w:tcBorders>
              <w:top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676.473    </w:t>
            </w:r>
          </w:p>
        </w:tc>
        <w:tc>
          <w:tcPr>
            <w:tcW w:w="968" w:type="dxa"/>
            <w:tcBorders>
              <w:top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843.331    </w:t>
            </w:r>
          </w:p>
        </w:tc>
        <w:tc>
          <w:tcPr>
            <w:tcW w:w="968" w:type="dxa"/>
            <w:tcBorders>
              <w:top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937.604    </w:t>
            </w:r>
          </w:p>
        </w:tc>
        <w:tc>
          <w:tcPr>
            <w:tcW w:w="968" w:type="dxa"/>
            <w:tcBorders>
              <w:top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979.661    </w:t>
            </w:r>
          </w:p>
        </w:tc>
        <w:tc>
          <w:tcPr>
            <w:tcW w:w="968" w:type="dxa"/>
            <w:tcBorders>
              <w:top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1.009.523    </w:t>
            </w:r>
          </w:p>
        </w:tc>
        <w:tc>
          <w:tcPr>
            <w:tcW w:w="1063" w:type="dxa"/>
            <w:tcBorders>
              <w:top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1.089.712    </w:t>
            </w:r>
          </w:p>
        </w:tc>
      </w:tr>
      <w:tr w:rsidR="00BD577A" w:rsidRPr="00BD577A" w:rsidTr="003D01F6">
        <w:tc>
          <w:tcPr>
            <w:tcW w:w="818" w:type="dxa"/>
          </w:tcPr>
          <w:p w:rsidR="00BD577A" w:rsidRPr="00BD577A" w:rsidRDefault="00BD577A" w:rsidP="00BD577A">
            <w:pPr>
              <w:jc w:val="both"/>
              <w:rPr>
                <w:rFonts w:eastAsia="Calibri" w:cs="Times New Roman"/>
                <w:sz w:val="22"/>
                <w:lang w:val="en-US"/>
              </w:rPr>
            </w:pPr>
            <w:r w:rsidRPr="00BD577A">
              <w:rPr>
                <w:rFonts w:eastAsia="Calibri" w:cs="Times New Roman"/>
                <w:sz w:val="22"/>
                <w:lang w:val="en-US"/>
              </w:rPr>
              <w:t xml:space="preserve">In Foreign </w:t>
            </w:r>
            <w:r w:rsidR="00775232">
              <w:rPr>
                <w:rFonts w:eastAsia="Calibri" w:cs="Times New Roman"/>
                <w:sz w:val="22"/>
                <w:lang w:val="en-US"/>
              </w:rPr>
              <w:t>Currency</w:t>
            </w:r>
          </w:p>
        </w:tc>
        <w:tc>
          <w:tcPr>
            <w:tcW w:w="829" w:type="dxa"/>
            <w:vAlign w:val="bottom"/>
          </w:tcPr>
          <w:p w:rsidR="00BD577A" w:rsidRPr="00BD577A" w:rsidRDefault="00BD577A" w:rsidP="00BD577A">
            <w:pPr>
              <w:jc w:val="right"/>
              <w:rPr>
                <w:rFonts w:eastAsia="Calibri" w:cs="Times New Roman"/>
                <w:color w:val="000000"/>
                <w:sz w:val="22"/>
                <w:lang w:val="en-US"/>
              </w:rPr>
            </w:pPr>
            <w:r w:rsidRPr="00BD577A">
              <w:rPr>
                <w:rFonts w:eastAsia="Calibri" w:cs="Times New Roman"/>
                <w:color w:val="000000"/>
                <w:sz w:val="22"/>
                <w:lang w:val="en-US"/>
              </w:rPr>
              <w:t xml:space="preserve">           116.222    </w:t>
            </w:r>
          </w:p>
        </w:tc>
        <w:tc>
          <w:tcPr>
            <w:tcW w:w="827" w:type="dxa"/>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124.604    </w:t>
            </w:r>
          </w:p>
        </w:tc>
        <w:tc>
          <w:tcPr>
            <w:tcW w:w="827" w:type="dxa"/>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138.841    </w:t>
            </w:r>
          </w:p>
        </w:tc>
        <w:tc>
          <w:tcPr>
            <w:tcW w:w="968" w:type="dxa"/>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161.816    </w:t>
            </w:r>
          </w:p>
        </w:tc>
        <w:tc>
          <w:tcPr>
            <w:tcW w:w="968" w:type="dxa"/>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157.116    </w:t>
            </w:r>
          </w:p>
        </w:tc>
        <w:tc>
          <w:tcPr>
            <w:tcW w:w="968" w:type="dxa"/>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153.675    </w:t>
            </w:r>
          </w:p>
        </w:tc>
        <w:tc>
          <w:tcPr>
            <w:tcW w:w="968" w:type="dxa"/>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196.066    </w:t>
            </w:r>
          </w:p>
        </w:tc>
        <w:tc>
          <w:tcPr>
            <w:tcW w:w="968" w:type="dxa"/>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237.821    </w:t>
            </w:r>
          </w:p>
        </w:tc>
        <w:tc>
          <w:tcPr>
            <w:tcW w:w="1063" w:type="dxa"/>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265.242    </w:t>
            </w:r>
          </w:p>
        </w:tc>
      </w:tr>
      <w:tr w:rsidR="00BD577A" w:rsidRPr="00BD577A" w:rsidTr="003D01F6">
        <w:tc>
          <w:tcPr>
            <w:tcW w:w="818" w:type="dxa"/>
            <w:tcBorders>
              <w:bottom w:val="single" w:sz="4" w:space="0" w:color="auto"/>
            </w:tcBorders>
          </w:tcPr>
          <w:p w:rsidR="00BD577A" w:rsidRPr="00BD577A" w:rsidRDefault="00BD577A" w:rsidP="00BD577A">
            <w:pPr>
              <w:jc w:val="both"/>
              <w:rPr>
                <w:rFonts w:eastAsia="Calibri" w:cs="Times New Roman"/>
                <w:sz w:val="22"/>
                <w:lang w:val="en-US"/>
              </w:rPr>
            </w:pPr>
            <w:r w:rsidRPr="00BD577A">
              <w:rPr>
                <w:rFonts w:eastAsia="Calibri" w:cs="Times New Roman"/>
                <w:sz w:val="22"/>
                <w:lang w:val="en-US"/>
              </w:rPr>
              <w:t>Total</w:t>
            </w:r>
          </w:p>
        </w:tc>
        <w:tc>
          <w:tcPr>
            <w:tcW w:w="829" w:type="dxa"/>
            <w:tcBorders>
              <w:bottom w:val="single" w:sz="4" w:space="0" w:color="auto"/>
            </w:tcBorders>
            <w:vAlign w:val="bottom"/>
          </w:tcPr>
          <w:p w:rsidR="00BD577A" w:rsidRPr="00BD577A" w:rsidRDefault="00BD577A" w:rsidP="00BD577A">
            <w:pPr>
              <w:jc w:val="right"/>
              <w:rPr>
                <w:rFonts w:eastAsia="Calibri" w:cs="Times New Roman"/>
                <w:color w:val="000000"/>
                <w:sz w:val="22"/>
                <w:lang w:val="en-US"/>
              </w:rPr>
            </w:pPr>
            <w:r w:rsidRPr="00BD577A">
              <w:rPr>
                <w:rFonts w:eastAsia="Calibri" w:cs="Times New Roman"/>
                <w:color w:val="000000"/>
                <w:sz w:val="22"/>
                <w:lang w:val="en-US"/>
              </w:rPr>
              <w:t xml:space="preserve">           578.081    </w:t>
            </w:r>
          </w:p>
        </w:tc>
        <w:tc>
          <w:tcPr>
            <w:tcW w:w="827" w:type="dxa"/>
            <w:tcBorders>
              <w:bottom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610.597    </w:t>
            </w:r>
          </w:p>
        </w:tc>
        <w:tc>
          <w:tcPr>
            <w:tcW w:w="827" w:type="dxa"/>
            <w:tcBorders>
              <w:bottom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680.872    </w:t>
            </w:r>
          </w:p>
        </w:tc>
        <w:tc>
          <w:tcPr>
            <w:tcW w:w="968" w:type="dxa"/>
            <w:tcBorders>
              <w:bottom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838.289    </w:t>
            </w:r>
          </w:p>
        </w:tc>
        <w:tc>
          <w:tcPr>
            <w:tcW w:w="968" w:type="dxa"/>
            <w:tcBorders>
              <w:bottom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1.000.448    </w:t>
            </w:r>
          </w:p>
        </w:tc>
        <w:tc>
          <w:tcPr>
            <w:tcW w:w="968" w:type="dxa"/>
            <w:tcBorders>
              <w:bottom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1.091.279    </w:t>
            </w:r>
          </w:p>
        </w:tc>
        <w:tc>
          <w:tcPr>
            <w:tcW w:w="968" w:type="dxa"/>
            <w:tcBorders>
              <w:bottom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1.175.728    </w:t>
            </w:r>
          </w:p>
        </w:tc>
        <w:tc>
          <w:tcPr>
            <w:tcW w:w="968" w:type="dxa"/>
            <w:tcBorders>
              <w:bottom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1.247.344    </w:t>
            </w:r>
          </w:p>
        </w:tc>
        <w:tc>
          <w:tcPr>
            <w:tcW w:w="1063" w:type="dxa"/>
            <w:tcBorders>
              <w:bottom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1.354.954    </w:t>
            </w:r>
          </w:p>
        </w:tc>
      </w:tr>
      <w:tr w:rsidR="00BD577A" w:rsidRPr="00BD577A" w:rsidTr="003D01F6">
        <w:tc>
          <w:tcPr>
            <w:tcW w:w="9204" w:type="dxa"/>
            <w:gridSpan w:val="10"/>
            <w:tcBorders>
              <w:top w:val="single" w:sz="4" w:space="0" w:color="auto"/>
              <w:bottom w:val="single" w:sz="4" w:space="0" w:color="auto"/>
            </w:tcBorders>
          </w:tcPr>
          <w:p w:rsidR="00BD577A" w:rsidRPr="00BD577A" w:rsidRDefault="00BD577A" w:rsidP="00BD577A">
            <w:pPr>
              <w:jc w:val="both"/>
              <w:rPr>
                <w:rFonts w:eastAsia="Calibri" w:cs="Times New Roman"/>
                <w:sz w:val="22"/>
                <w:lang w:val="en-US"/>
              </w:rPr>
            </w:pPr>
            <w:r w:rsidRPr="00BD577A">
              <w:rPr>
                <w:rFonts w:eastAsia="Calibri" w:cs="Times New Roman"/>
                <w:sz w:val="22"/>
                <w:lang w:val="en-US"/>
              </w:rPr>
              <w:t>Loans to households</w:t>
            </w:r>
          </w:p>
        </w:tc>
      </w:tr>
      <w:tr w:rsidR="00BD577A" w:rsidRPr="00BD577A" w:rsidTr="003D01F6">
        <w:tc>
          <w:tcPr>
            <w:tcW w:w="818" w:type="dxa"/>
            <w:tcBorders>
              <w:top w:val="single" w:sz="4" w:space="0" w:color="auto"/>
            </w:tcBorders>
          </w:tcPr>
          <w:p w:rsidR="00BD577A" w:rsidRPr="00BD577A" w:rsidRDefault="00BD577A" w:rsidP="008B0EF1">
            <w:pPr>
              <w:jc w:val="both"/>
              <w:rPr>
                <w:rFonts w:eastAsia="Calibri" w:cs="Times New Roman"/>
                <w:sz w:val="22"/>
                <w:lang w:val="en-US"/>
              </w:rPr>
            </w:pPr>
            <w:r w:rsidRPr="00BD577A">
              <w:rPr>
                <w:rFonts w:eastAsia="Calibri" w:cs="Times New Roman"/>
                <w:sz w:val="22"/>
                <w:lang w:val="en-US"/>
              </w:rPr>
              <w:t xml:space="preserve">In </w:t>
            </w:r>
            <w:r w:rsidR="008B0EF1" w:rsidRPr="003D01F6">
              <w:rPr>
                <w:rFonts w:eastAsia="Calibri" w:cs="Times New Roman"/>
                <w:sz w:val="22"/>
                <w:lang w:val="en-US"/>
              </w:rPr>
              <w:t>Kuna</w:t>
            </w:r>
          </w:p>
        </w:tc>
        <w:tc>
          <w:tcPr>
            <w:tcW w:w="829" w:type="dxa"/>
            <w:tcBorders>
              <w:top w:val="single" w:sz="4" w:space="0" w:color="auto"/>
            </w:tcBorders>
            <w:vAlign w:val="bottom"/>
          </w:tcPr>
          <w:p w:rsidR="00BD577A" w:rsidRPr="00BD577A" w:rsidRDefault="00BD577A" w:rsidP="00BD577A">
            <w:pPr>
              <w:jc w:val="right"/>
              <w:rPr>
                <w:rFonts w:eastAsia="Calibri" w:cs="Times New Roman"/>
                <w:color w:val="000000"/>
                <w:sz w:val="22"/>
                <w:lang w:val="en-US"/>
              </w:rPr>
            </w:pPr>
            <w:r w:rsidRPr="00BD577A">
              <w:rPr>
                <w:rFonts w:eastAsia="Calibri" w:cs="Times New Roman"/>
                <w:color w:val="000000"/>
                <w:sz w:val="22"/>
                <w:lang w:val="en-US"/>
              </w:rPr>
              <w:t xml:space="preserve">           597.312    </w:t>
            </w:r>
          </w:p>
        </w:tc>
        <w:tc>
          <w:tcPr>
            <w:tcW w:w="827" w:type="dxa"/>
            <w:tcBorders>
              <w:top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706.011    </w:t>
            </w:r>
          </w:p>
        </w:tc>
        <w:tc>
          <w:tcPr>
            <w:tcW w:w="827" w:type="dxa"/>
            <w:tcBorders>
              <w:top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849.094    </w:t>
            </w:r>
          </w:p>
        </w:tc>
        <w:tc>
          <w:tcPr>
            <w:tcW w:w="968" w:type="dxa"/>
            <w:tcBorders>
              <w:top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1.043.028    </w:t>
            </w:r>
          </w:p>
        </w:tc>
        <w:tc>
          <w:tcPr>
            <w:tcW w:w="968" w:type="dxa"/>
            <w:tcBorders>
              <w:top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1.260.733    </w:t>
            </w:r>
          </w:p>
        </w:tc>
        <w:tc>
          <w:tcPr>
            <w:tcW w:w="968" w:type="dxa"/>
            <w:tcBorders>
              <w:top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1.436.782    </w:t>
            </w:r>
          </w:p>
        </w:tc>
        <w:tc>
          <w:tcPr>
            <w:tcW w:w="968" w:type="dxa"/>
            <w:tcBorders>
              <w:top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1.488.971    </w:t>
            </w:r>
          </w:p>
        </w:tc>
        <w:tc>
          <w:tcPr>
            <w:tcW w:w="968" w:type="dxa"/>
            <w:tcBorders>
              <w:top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1.485.992    </w:t>
            </w:r>
          </w:p>
        </w:tc>
        <w:tc>
          <w:tcPr>
            <w:tcW w:w="1063" w:type="dxa"/>
            <w:tcBorders>
              <w:top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1.530.172    </w:t>
            </w:r>
          </w:p>
        </w:tc>
      </w:tr>
      <w:tr w:rsidR="00BD577A" w:rsidRPr="00BD577A" w:rsidTr="003D01F6">
        <w:tc>
          <w:tcPr>
            <w:tcW w:w="818" w:type="dxa"/>
          </w:tcPr>
          <w:p w:rsidR="00BD577A" w:rsidRPr="00BD577A" w:rsidRDefault="00BD577A" w:rsidP="00BD577A">
            <w:pPr>
              <w:jc w:val="both"/>
              <w:rPr>
                <w:rFonts w:eastAsia="Calibri" w:cs="Times New Roman"/>
                <w:sz w:val="22"/>
                <w:lang w:val="en-US"/>
              </w:rPr>
            </w:pPr>
            <w:r w:rsidRPr="00BD577A">
              <w:rPr>
                <w:rFonts w:eastAsia="Calibri" w:cs="Times New Roman"/>
                <w:sz w:val="22"/>
                <w:lang w:val="en-US"/>
              </w:rPr>
              <w:t xml:space="preserve">In Foreign </w:t>
            </w:r>
            <w:r w:rsidR="00775232">
              <w:rPr>
                <w:rFonts w:eastAsia="Calibri" w:cs="Times New Roman"/>
                <w:sz w:val="22"/>
                <w:lang w:val="en-US"/>
              </w:rPr>
              <w:t>Currency</w:t>
            </w:r>
          </w:p>
        </w:tc>
        <w:tc>
          <w:tcPr>
            <w:tcW w:w="829" w:type="dxa"/>
            <w:vAlign w:val="bottom"/>
          </w:tcPr>
          <w:p w:rsidR="00BD577A" w:rsidRPr="00BD577A" w:rsidRDefault="00BD577A" w:rsidP="00BD577A">
            <w:pPr>
              <w:jc w:val="right"/>
              <w:rPr>
                <w:rFonts w:eastAsia="Calibri" w:cs="Times New Roman"/>
                <w:color w:val="000000"/>
                <w:sz w:val="22"/>
                <w:lang w:val="en-US"/>
              </w:rPr>
            </w:pPr>
            <w:r w:rsidRPr="00BD577A">
              <w:rPr>
                <w:rFonts w:eastAsia="Calibri" w:cs="Times New Roman"/>
                <w:color w:val="000000"/>
                <w:sz w:val="22"/>
                <w:lang w:val="en-US"/>
              </w:rPr>
              <w:t xml:space="preserve">              1.456    </w:t>
            </w:r>
          </w:p>
        </w:tc>
        <w:tc>
          <w:tcPr>
            <w:tcW w:w="827" w:type="dxa"/>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2.528    </w:t>
            </w:r>
          </w:p>
        </w:tc>
        <w:tc>
          <w:tcPr>
            <w:tcW w:w="827" w:type="dxa"/>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4.100    </w:t>
            </w:r>
          </w:p>
        </w:tc>
        <w:tc>
          <w:tcPr>
            <w:tcW w:w="968" w:type="dxa"/>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4.622    </w:t>
            </w:r>
          </w:p>
        </w:tc>
        <w:tc>
          <w:tcPr>
            <w:tcW w:w="968" w:type="dxa"/>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4.447    </w:t>
            </w:r>
          </w:p>
        </w:tc>
        <w:tc>
          <w:tcPr>
            <w:tcW w:w="968" w:type="dxa"/>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4.051    </w:t>
            </w:r>
          </w:p>
        </w:tc>
        <w:tc>
          <w:tcPr>
            <w:tcW w:w="968" w:type="dxa"/>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3.908    </w:t>
            </w:r>
          </w:p>
        </w:tc>
        <w:tc>
          <w:tcPr>
            <w:tcW w:w="968" w:type="dxa"/>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4.023    </w:t>
            </w:r>
          </w:p>
        </w:tc>
        <w:tc>
          <w:tcPr>
            <w:tcW w:w="1063" w:type="dxa"/>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              4.100    </w:t>
            </w:r>
          </w:p>
        </w:tc>
      </w:tr>
      <w:tr w:rsidR="00BD577A" w:rsidRPr="00BD577A" w:rsidTr="003D01F6">
        <w:trPr>
          <w:trHeight w:val="58"/>
        </w:trPr>
        <w:tc>
          <w:tcPr>
            <w:tcW w:w="818" w:type="dxa"/>
            <w:tcBorders>
              <w:bottom w:val="single" w:sz="4" w:space="0" w:color="auto"/>
            </w:tcBorders>
          </w:tcPr>
          <w:p w:rsidR="00BD577A" w:rsidRPr="00BD577A" w:rsidRDefault="00BD577A" w:rsidP="00BD577A">
            <w:pPr>
              <w:jc w:val="both"/>
              <w:rPr>
                <w:rFonts w:eastAsia="Calibri" w:cs="Times New Roman"/>
                <w:sz w:val="22"/>
              </w:rPr>
            </w:pPr>
            <w:r w:rsidRPr="00BD577A">
              <w:rPr>
                <w:rFonts w:eastAsia="Calibri" w:cs="Times New Roman"/>
                <w:sz w:val="22"/>
                <w:lang w:val="en-US"/>
              </w:rPr>
              <w:t>Total</w:t>
            </w:r>
          </w:p>
        </w:tc>
        <w:tc>
          <w:tcPr>
            <w:tcW w:w="829" w:type="dxa"/>
            <w:tcBorders>
              <w:bottom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598.768 </w:t>
            </w:r>
          </w:p>
        </w:tc>
        <w:tc>
          <w:tcPr>
            <w:tcW w:w="827" w:type="dxa"/>
            <w:tcBorders>
              <w:bottom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708.539    </w:t>
            </w:r>
          </w:p>
        </w:tc>
        <w:tc>
          <w:tcPr>
            <w:tcW w:w="827" w:type="dxa"/>
            <w:tcBorders>
              <w:bottom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853.194    </w:t>
            </w:r>
          </w:p>
        </w:tc>
        <w:tc>
          <w:tcPr>
            <w:tcW w:w="968" w:type="dxa"/>
            <w:tcBorders>
              <w:bottom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1.047.650    </w:t>
            </w:r>
          </w:p>
        </w:tc>
        <w:tc>
          <w:tcPr>
            <w:tcW w:w="968" w:type="dxa"/>
            <w:tcBorders>
              <w:bottom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1.265.180    </w:t>
            </w:r>
          </w:p>
        </w:tc>
        <w:tc>
          <w:tcPr>
            <w:tcW w:w="968" w:type="dxa"/>
            <w:tcBorders>
              <w:bottom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1.440.833    </w:t>
            </w:r>
          </w:p>
        </w:tc>
        <w:tc>
          <w:tcPr>
            <w:tcW w:w="968" w:type="dxa"/>
            <w:tcBorders>
              <w:bottom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1.492.879    </w:t>
            </w:r>
          </w:p>
        </w:tc>
        <w:tc>
          <w:tcPr>
            <w:tcW w:w="968" w:type="dxa"/>
            <w:tcBorders>
              <w:bottom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1.490.015    </w:t>
            </w:r>
          </w:p>
        </w:tc>
        <w:tc>
          <w:tcPr>
            <w:tcW w:w="1063" w:type="dxa"/>
            <w:tcBorders>
              <w:bottom w:val="single" w:sz="4" w:space="0" w:color="auto"/>
            </w:tcBorders>
            <w:vAlign w:val="bottom"/>
          </w:tcPr>
          <w:p w:rsidR="00BD577A" w:rsidRPr="00BD577A" w:rsidRDefault="00BD577A" w:rsidP="00BD577A">
            <w:pPr>
              <w:jc w:val="right"/>
              <w:rPr>
                <w:rFonts w:eastAsia="Calibri" w:cs="Times New Roman"/>
                <w:color w:val="000000"/>
                <w:sz w:val="22"/>
              </w:rPr>
            </w:pPr>
            <w:r w:rsidRPr="00BD577A">
              <w:rPr>
                <w:rFonts w:eastAsia="Calibri" w:cs="Times New Roman"/>
                <w:color w:val="000000"/>
                <w:sz w:val="22"/>
              </w:rPr>
              <w:t xml:space="preserve">1.534.271 </w:t>
            </w:r>
          </w:p>
        </w:tc>
      </w:tr>
    </w:tbl>
    <w:p w:rsidR="00AC3DDF" w:rsidRDefault="00AC3DDF" w:rsidP="00E906CF">
      <w:pPr>
        <w:jc w:val="both"/>
        <w:rPr>
          <w:lang w:val="en-US"/>
        </w:rPr>
      </w:pPr>
    </w:p>
    <w:p w:rsidR="00C95DF5" w:rsidRDefault="00C95DF5" w:rsidP="00C95DF5">
      <w:pPr>
        <w:ind w:firstLine="567"/>
        <w:jc w:val="both"/>
        <w:rPr>
          <w:lang w:val="en-US"/>
        </w:rPr>
      </w:pPr>
      <w:r>
        <w:rPr>
          <w:lang w:val="en-US"/>
        </w:rPr>
        <w:t>Analyzing the data from Table 3 and Figure 2, it can be concluded that the “Credit crisis” did not have a large impact on lending behavior of Macedonian banks, as it has seen a continued trend of growth of investments in households at the detriment to investments to enterprises to the total amount of loans. The period of 2008</w:t>
      </w:r>
      <w:r>
        <w:rPr>
          <w:rFonts w:cs="Times New Roman"/>
          <w:lang w:val="en-US"/>
        </w:rPr>
        <w:t>–</w:t>
      </w:r>
      <w:r>
        <w:rPr>
          <w:lang w:val="en-US"/>
        </w:rPr>
        <w:t xml:space="preserve">2010 </w:t>
      </w:r>
      <w:r w:rsidR="00852306">
        <w:rPr>
          <w:lang w:val="en-US"/>
        </w:rPr>
        <w:t>is marked</w:t>
      </w:r>
      <w:r>
        <w:rPr>
          <w:lang w:val="en-US"/>
        </w:rPr>
        <w:t xml:space="preserve"> </w:t>
      </w:r>
      <w:r w:rsidR="00852306">
        <w:rPr>
          <w:lang w:val="en-US"/>
        </w:rPr>
        <w:t xml:space="preserve">by </w:t>
      </w:r>
      <w:r>
        <w:rPr>
          <w:lang w:val="en-US"/>
        </w:rPr>
        <w:t xml:space="preserve">slow growth of the total amount of bank loans, and </w:t>
      </w:r>
      <w:r w:rsidR="00D20FC9">
        <w:rPr>
          <w:lang w:val="en-US"/>
        </w:rPr>
        <w:t xml:space="preserve">it </w:t>
      </w:r>
      <w:r>
        <w:rPr>
          <w:lang w:val="en-US"/>
        </w:rPr>
        <w:t xml:space="preserve">may </w:t>
      </w:r>
      <w:r w:rsidR="00D20FC9">
        <w:rPr>
          <w:lang w:val="en-US"/>
        </w:rPr>
        <w:t>be said</w:t>
      </w:r>
      <w:r>
        <w:rPr>
          <w:lang w:val="en-US"/>
        </w:rPr>
        <w:t xml:space="preserve"> that the financial crisis </w:t>
      </w:r>
      <w:r w:rsidR="00D20FC9">
        <w:rPr>
          <w:lang w:val="en-US"/>
        </w:rPr>
        <w:t xml:space="preserve">has had an </w:t>
      </w:r>
      <w:r>
        <w:rPr>
          <w:lang w:val="en-US"/>
        </w:rPr>
        <w:t xml:space="preserve">impact </w:t>
      </w:r>
      <w:r w:rsidR="00D20FC9">
        <w:rPr>
          <w:lang w:val="en-US"/>
        </w:rPr>
        <w:t xml:space="preserve">on </w:t>
      </w:r>
      <w:r>
        <w:rPr>
          <w:lang w:val="en-US"/>
        </w:rPr>
        <w:t xml:space="preserve">that behavior. </w:t>
      </w:r>
      <w:r w:rsidR="00D20FC9">
        <w:rPr>
          <w:lang w:val="en-US"/>
        </w:rPr>
        <w:t>The p</w:t>
      </w:r>
      <w:r>
        <w:rPr>
          <w:lang w:val="en-US"/>
        </w:rPr>
        <w:t xml:space="preserve">eriod </w:t>
      </w:r>
      <w:r w:rsidR="008B5026">
        <w:rPr>
          <w:lang w:val="en-US"/>
        </w:rPr>
        <w:t xml:space="preserve">of </w:t>
      </w:r>
      <w:r>
        <w:rPr>
          <w:lang w:val="en-US"/>
        </w:rPr>
        <w:t>2003</w:t>
      </w:r>
      <w:r>
        <w:rPr>
          <w:rFonts w:cs="Times New Roman"/>
          <w:lang w:val="en-US"/>
        </w:rPr>
        <w:t>–</w:t>
      </w:r>
      <w:r>
        <w:rPr>
          <w:lang w:val="en-US"/>
        </w:rPr>
        <w:t xml:space="preserve">2009 </w:t>
      </w:r>
      <w:r w:rsidR="008B5026">
        <w:rPr>
          <w:lang w:val="en-US"/>
        </w:rPr>
        <w:t xml:space="preserve">was </w:t>
      </w:r>
      <w:r>
        <w:rPr>
          <w:lang w:val="en-US"/>
        </w:rPr>
        <w:t xml:space="preserve">characterized </w:t>
      </w:r>
      <w:r w:rsidR="008B5026">
        <w:rPr>
          <w:lang w:val="en-US"/>
        </w:rPr>
        <w:t xml:space="preserve">by </w:t>
      </w:r>
      <w:r>
        <w:rPr>
          <w:lang w:val="en-US"/>
        </w:rPr>
        <w:t xml:space="preserve">the decreasing share of bank loans to enterprises. </w:t>
      </w:r>
      <w:r w:rsidR="008B5026">
        <w:rPr>
          <w:lang w:val="en-US"/>
        </w:rPr>
        <w:t>A f</w:t>
      </w:r>
      <w:r>
        <w:rPr>
          <w:lang w:val="en-US"/>
        </w:rPr>
        <w:t xml:space="preserve">all </w:t>
      </w:r>
      <w:r w:rsidR="008B5026">
        <w:rPr>
          <w:lang w:val="en-US"/>
        </w:rPr>
        <w:t xml:space="preserve">of </w:t>
      </w:r>
      <w:r>
        <w:rPr>
          <w:lang w:val="en-US"/>
        </w:rPr>
        <w:t>80% in 2003 to 59% in 2009 in total loan amount can be attributed to the reduction and privatization of domestic banks. But in 2011</w:t>
      </w:r>
      <w:r w:rsidR="00DD4577">
        <w:rPr>
          <w:lang w:val="en-US"/>
        </w:rPr>
        <w:t>,</w:t>
      </w:r>
      <w:r>
        <w:rPr>
          <w:lang w:val="en-US"/>
        </w:rPr>
        <w:t xml:space="preserve"> the bank investments</w:t>
      </w:r>
      <w:r w:rsidR="00DD4577">
        <w:rPr>
          <w:lang w:val="en-US"/>
        </w:rPr>
        <w:t xml:space="preserve">, i.e. </w:t>
      </w:r>
      <w:r>
        <w:rPr>
          <w:lang w:val="en-US"/>
        </w:rPr>
        <w:t xml:space="preserve">loans </w:t>
      </w:r>
      <w:r w:rsidR="00DD4577">
        <w:rPr>
          <w:lang w:val="en-US"/>
        </w:rPr>
        <w:t xml:space="preserve">to enterprises denominated in Macedonian </w:t>
      </w:r>
      <w:proofErr w:type="spellStart"/>
      <w:r w:rsidR="00DD4577">
        <w:rPr>
          <w:lang w:val="en-US"/>
        </w:rPr>
        <w:t>Denas</w:t>
      </w:r>
      <w:proofErr w:type="spellEnd"/>
      <w:r w:rsidR="00DD4577">
        <w:rPr>
          <w:lang w:val="en-US"/>
        </w:rPr>
        <w:t xml:space="preserve"> had</w:t>
      </w:r>
      <w:r>
        <w:rPr>
          <w:lang w:val="en-US"/>
        </w:rPr>
        <w:t xml:space="preserve"> </w:t>
      </w:r>
      <w:r w:rsidR="00DD4577">
        <w:rPr>
          <w:lang w:val="en-US"/>
        </w:rPr>
        <w:t xml:space="preserve">exploded </w:t>
      </w:r>
      <w:r>
        <w:rPr>
          <w:lang w:val="en-US"/>
        </w:rPr>
        <w:t>and banks had invested funds in</w:t>
      </w:r>
      <w:r w:rsidR="00DD4577">
        <w:rPr>
          <w:lang w:val="en-US"/>
        </w:rPr>
        <w:t xml:space="preserve"> the</w:t>
      </w:r>
      <w:r>
        <w:rPr>
          <w:lang w:val="en-US"/>
        </w:rPr>
        <w:t xml:space="preserve"> equivalent of 32</w:t>
      </w:r>
      <w:proofErr w:type="gramStart"/>
      <w:r>
        <w:rPr>
          <w:lang w:val="en-US"/>
        </w:rPr>
        <w:t>,8</w:t>
      </w:r>
      <w:proofErr w:type="gramEnd"/>
      <w:r>
        <w:rPr>
          <w:lang w:val="en-US"/>
        </w:rPr>
        <w:t xml:space="preserve"> million </w:t>
      </w:r>
      <w:r w:rsidR="00DD4577">
        <w:rPr>
          <w:lang w:val="en-US"/>
        </w:rPr>
        <w:t xml:space="preserve">US Dollars, </w:t>
      </w:r>
      <w:r>
        <w:rPr>
          <w:lang w:val="en-US"/>
        </w:rPr>
        <w:t xml:space="preserve">or in total amount of investments in that year </w:t>
      </w:r>
      <w:r w:rsidR="00DD4577">
        <w:rPr>
          <w:lang w:val="en-US"/>
        </w:rPr>
        <w:t xml:space="preserve">it partakes with </w:t>
      </w:r>
      <w:r>
        <w:rPr>
          <w:lang w:val="en-US"/>
        </w:rPr>
        <w:t xml:space="preserve">over 70%. That growth can be credited to the effect of the government central bank decisions that have been taken in </w:t>
      </w:r>
      <w:r w:rsidR="00ED2CD7">
        <w:rPr>
          <w:lang w:val="en-US"/>
        </w:rPr>
        <w:t xml:space="preserve">the </w:t>
      </w:r>
      <w:r>
        <w:rPr>
          <w:lang w:val="en-US"/>
        </w:rPr>
        <w:t xml:space="preserve">previous two year period for securing and stabilizing the market. </w:t>
      </w:r>
      <w:r w:rsidR="00ED2CD7">
        <w:rPr>
          <w:lang w:val="en-US"/>
        </w:rPr>
        <w:t xml:space="preserve">Similarly to </w:t>
      </w:r>
      <w:r>
        <w:rPr>
          <w:lang w:val="en-US"/>
        </w:rPr>
        <w:t>banks in Macedonia</w:t>
      </w:r>
      <w:r w:rsidR="00ED2CD7">
        <w:rPr>
          <w:lang w:val="en-US"/>
        </w:rPr>
        <w:t>,</w:t>
      </w:r>
      <w:r>
        <w:rPr>
          <w:lang w:val="en-US"/>
        </w:rPr>
        <w:t xml:space="preserve"> banks in Croatia also did not </w:t>
      </w:r>
      <w:r w:rsidR="00ED2CD7">
        <w:rPr>
          <w:lang w:val="en-US"/>
        </w:rPr>
        <w:t>change</w:t>
      </w:r>
      <w:r>
        <w:rPr>
          <w:lang w:val="en-US"/>
        </w:rPr>
        <w:t xml:space="preserve"> their lending behavior despite </w:t>
      </w:r>
      <w:r w:rsidR="00ED2CD7">
        <w:rPr>
          <w:lang w:val="en-US"/>
        </w:rPr>
        <w:t xml:space="preserve">the </w:t>
      </w:r>
      <w:r>
        <w:rPr>
          <w:lang w:val="en-US"/>
        </w:rPr>
        <w:t>crisis. The average participation of total bank loans to enterprises in the period of 2003</w:t>
      </w:r>
      <w:r>
        <w:rPr>
          <w:rFonts w:cs="Times New Roman"/>
          <w:lang w:val="en-US"/>
        </w:rPr>
        <w:t xml:space="preserve">–2008 had </w:t>
      </w:r>
      <w:r w:rsidR="00222B20">
        <w:rPr>
          <w:rFonts w:cs="Times New Roman"/>
          <w:lang w:val="en-US"/>
        </w:rPr>
        <w:t xml:space="preserve">a </w:t>
      </w:r>
      <w:r>
        <w:rPr>
          <w:rFonts w:cs="Times New Roman"/>
          <w:lang w:val="en-US"/>
        </w:rPr>
        <w:t xml:space="preserve">decreasing tendency, form 49% to 43%, </w:t>
      </w:r>
      <w:r w:rsidR="00222B20">
        <w:rPr>
          <w:rFonts w:cs="Times New Roman"/>
          <w:lang w:val="en-US"/>
        </w:rPr>
        <w:t xml:space="preserve">which increased </w:t>
      </w:r>
      <w:r>
        <w:rPr>
          <w:rFonts w:cs="Times New Roman"/>
          <w:lang w:val="en-US"/>
        </w:rPr>
        <w:t xml:space="preserve">in </w:t>
      </w:r>
      <w:r w:rsidR="00222B20">
        <w:rPr>
          <w:rFonts w:cs="Times New Roman"/>
          <w:lang w:val="en-US"/>
        </w:rPr>
        <w:t xml:space="preserve">the </w:t>
      </w:r>
      <w:r>
        <w:rPr>
          <w:rFonts w:cs="Times New Roman"/>
          <w:lang w:val="en-US"/>
        </w:rPr>
        <w:t>period of 2009–2011 slightly to the 47%. That relation of bank loans to households and loans to enterprises is not surprising given that by bank privatization the ma</w:t>
      </w:r>
      <w:r w:rsidR="0021128C">
        <w:rPr>
          <w:rFonts w:cs="Times New Roman"/>
          <w:lang w:val="en-US"/>
        </w:rPr>
        <w:t>j</w:t>
      </w:r>
      <w:r>
        <w:rPr>
          <w:rFonts w:cs="Times New Roman"/>
          <w:lang w:val="en-US"/>
        </w:rPr>
        <w:t>or</w:t>
      </w:r>
      <w:r w:rsidR="0021128C">
        <w:rPr>
          <w:rFonts w:cs="Times New Roman"/>
          <w:lang w:val="en-US"/>
        </w:rPr>
        <w:t>ity</w:t>
      </w:r>
      <w:r>
        <w:rPr>
          <w:rFonts w:cs="Times New Roman"/>
          <w:lang w:val="en-US"/>
        </w:rPr>
        <w:t xml:space="preserve"> of the bank market is </w:t>
      </w:r>
      <w:r w:rsidR="0021128C">
        <w:rPr>
          <w:rFonts w:cs="Times New Roman"/>
          <w:lang w:val="en-US"/>
        </w:rPr>
        <w:t xml:space="preserve">in </w:t>
      </w:r>
      <w:r>
        <w:rPr>
          <w:rFonts w:cs="Times New Roman"/>
          <w:lang w:val="en-US"/>
        </w:rPr>
        <w:t>control of private banks.</w:t>
      </w:r>
    </w:p>
    <w:p w:rsidR="00C95DF5" w:rsidRDefault="006D2868" w:rsidP="00C95DF5">
      <w:pPr>
        <w:ind w:firstLine="567"/>
        <w:jc w:val="both"/>
        <w:rPr>
          <w:lang w:val="en-US"/>
        </w:rPr>
      </w:pPr>
      <w:r>
        <w:rPr>
          <w:lang w:val="en-US"/>
        </w:rPr>
        <w:t>In addition, one must emphasize</w:t>
      </w:r>
      <w:r w:rsidR="00C95DF5">
        <w:rPr>
          <w:lang w:val="en-US"/>
        </w:rPr>
        <w:t xml:space="preserve"> that </w:t>
      </w:r>
      <w:r>
        <w:rPr>
          <w:lang w:val="en-US"/>
        </w:rPr>
        <w:t xml:space="preserve">the </w:t>
      </w:r>
      <w:r w:rsidR="00C95DF5">
        <w:rPr>
          <w:lang w:val="en-US"/>
        </w:rPr>
        <w:t xml:space="preserve">analyzed amount of </w:t>
      </w:r>
      <w:r>
        <w:rPr>
          <w:lang w:val="en-US"/>
        </w:rPr>
        <w:t>bank</w:t>
      </w:r>
      <w:r w:rsidR="00C95DF5">
        <w:rPr>
          <w:lang w:val="en-US"/>
        </w:rPr>
        <w:t xml:space="preserve"> loans in both countries are presented in national currency and that Croatian Kuna had </w:t>
      </w:r>
      <w:r>
        <w:rPr>
          <w:lang w:val="en-US"/>
        </w:rPr>
        <w:t>an average foreign ex</w:t>
      </w:r>
      <w:r w:rsidR="00C95DF5">
        <w:rPr>
          <w:lang w:val="en-US"/>
        </w:rPr>
        <w:t xml:space="preserve">change rate </w:t>
      </w:r>
      <w:r>
        <w:rPr>
          <w:lang w:val="en-US"/>
        </w:rPr>
        <w:t xml:space="preserve">during the </w:t>
      </w:r>
      <w:r w:rsidR="00C95DF5">
        <w:rPr>
          <w:lang w:val="en-US"/>
        </w:rPr>
        <w:t xml:space="preserve">observed period </w:t>
      </w:r>
      <w:r>
        <w:rPr>
          <w:lang w:val="en-US"/>
        </w:rPr>
        <w:t xml:space="preserve">ranging from </w:t>
      </w:r>
      <w:r w:rsidR="00C95DF5">
        <w:rPr>
          <w:lang w:val="en-US"/>
        </w:rPr>
        <w:t>6</w:t>
      </w:r>
      <w:proofErr w:type="gramStart"/>
      <w:r w:rsidR="00C95DF5">
        <w:rPr>
          <w:lang w:val="en-US"/>
        </w:rPr>
        <w:t>,7</w:t>
      </w:r>
      <w:proofErr w:type="gramEnd"/>
      <w:r w:rsidR="00C95DF5">
        <w:rPr>
          <w:lang w:val="en-US"/>
        </w:rPr>
        <w:t xml:space="preserve"> to 4,9 </w:t>
      </w:r>
      <w:r>
        <w:rPr>
          <w:lang w:val="en-US"/>
        </w:rPr>
        <w:t xml:space="preserve">per </w:t>
      </w:r>
      <w:r w:rsidR="00C95DF5">
        <w:rPr>
          <w:lang w:val="en-US"/>
        </w:rPr>
        <w:t xml:space="preserve">1 </w:t>
      </w:r>
      <w:r>
        <w:rPr>
          <w:lang w:val="en-US"/>
        </w:rPr>
        <w:t>US D</w:t>
      </w:r>
      <w:r w:rsidR="00C95DF5">
        <w:rPr>
          <w:lang w:val="en-US"/>
        </w:rPr>
        <w:t xml:space="preserve">ollar, and that </w:t>
      </w:r>
      <w:r>
        <w:rPr>
          <w:lang w:val="en-US"/>
        </w:rPr>
        <w:t xml:space="preserve">the </w:t>
      </w:r>
      <w:r w:rsidR="00C95DF5">
        <w:rPr>
          <w:lang w:val="en-US"/>
        </w:rPr>
        <w:t xml:space="preserve">Macedonian </w:t>
      </w:r>
      <w:proofErr w:type="spellStart"/>
      <w:r w:rsidR="00C95DF5">
        <w:rPr>
          <w:lang w:val="en-US"/>
        </w:rPr>
        <w:t>Denar</w:t>
      </w:r>
      <w:r w:rsidR="00F217C9">
        <w:rPr>
          <w:lang w:val="en-US"/>
        </w:rPr>
        <w:t>s</w:t>
      </w:r>
      <w:proofErr w:type="spellEnd"/>
      <w:r w:rsidR="00C95DF5">
        <w:rPr>
          <w:lang w:val="en-US"/>
        </w:rPr>
        <w:t xml:space="preserve"> had </w:t>
      </w:r>
      <w:r>
        <w:rPr>
          <w:lang w:val="en-US"/>
        </w:rPr>
        <w:t xml:space="preserve">an </w:t>
      </w:r>
      <w:r w:rsidR="00C95DF5">
        <w:rPr>
          <w:lang w:val="en-US"/>
        </w:rPr>
        <w:t xml:space="preserve">average </w:t>
      </w:r>
      <w:r>
        <w:rPr>
          <w:lang w:val="en-US"/>
        </w:rPr>
        <w:t xml:space="preserve">foreign exchange </w:t>
      </w:r>
      <w:r w:rsidR="00C95DF5">
        <w:rPr>
          <w:lang w:val="en-US"/>
        </w:rPr>
        <w:t xml:space="preserve">rate </w:t>
      </w:r>
      <w:r>
        <w:rPr>
          <w:lang w:val="en-US"/>
        </w:rPr>
        <w:t xml:space="preserve">ranging from </w:t>
      </w:r>
      <w:r w:rsidR="00C95DF5">
        <w:rPr>
          <w:lang w:val="en-US"/>
        </w:rPr>
        <w:t xml:space="preserve">54,3 to 44,1 </w:t>
      </w:r>
      <w:r>
        <w:rPr>
          <w:lang w:val="en-US"/>
        </w:rPr>
        <w:t xml:space="preserve">per </w:t>
      </w:r>
      <w:r w:rsidR="00C95DF5">
        <w:rPr>
          <w:lang w:val="en-US"/>
        </w:rPr>
        <w:t xml:space="preserve">1 </w:t>
      </w:r>
      <w:r>
        <w:rPr>
          <w:lang w:val="en-US"/>
        </w:rPr>
        <w:t>US D</w:t>
      </w:r>
      <w:r w:rsidR="00C95DF5">
        <w:rPr>
          <w:lang w:val="en-US"/>
        </w:rPr>
        <w:t xml:space="preserve">ollar. For </w:t>
      </w:r>
      <w:r w:rsidR="00D835EA">
        <w:rPr>
          <w:lang w:val="en-US"/>
        </w:rPr>
        <w:t xml:space="preserve">the purpose of </w:t>
      </w:r>
      <w:r w:rsidR="00C95DF5">
        <w:rPr>
          <w:lang w:val="en-US"/>
        </w:rPr>
        <w:t>comparing the total loan amounts that banks in both countries ha</w:t>
      </w:r>
      <w:r w:rsidR="00D835EA">
        <w:rPr>
          <w:lang w:val="en-US"/>
        </w:rPr>
        <w:t>d</w:t>
      </w:r>
      <w:r w:rsidR="00C95DF5">
        <w:rPr>
          <w:lang w:val="en-US"/>
        </w:rPr>
        <w:t xml:space="preserve"> invested</w:t>
      </w:r>
      <w:r w:rsidR="00D835EA">
        <w:rPr>
          <w:lang w:val="en-US"/>
        </w:rPr>
        <w:t>,</w:t>
      </w:r>
      <w:r w:rsidR="00C95DF5">
        <w:rPr>
          <w:lang w:val="en-US"/>
        </w:rPr>
        <w:t xml:space="preserve"> the amounts expressed through national currencies are calculated in US </w:t>
      </w:r>
      <w:r w:rsidR="00D835EA">
        <w:rPr>
          <w:lang w:val="en-US"/>
        </w:rPr>
        <w:t>D</w:t>
      </w:r>
      <w:r w:rsidR="00C95DF5">
        <w:rPr>
          <w:lang w:val="en-US"/>
        </w:rPr>
        <w:t>ollars by official exchange rate used from World Bank data</w:t>
      </w:r>
      <w:r w:rsidR="00C95DF5" w:rsidRPr="002B3F8B">
        <w:rPr>
          <w:rFonts w:cs="Times New Roman"/>
          <w:szCs w:val="24"/>
          <w:lang w:val="en-US"/>
        </w:rPr>
        <w:t xml:space="preserve">. </w:t>
      </w:r>
      <w:r w:rsidR="00C95DF5">
        <w:rPr>
          <w:rFonts w:cs="Times New Roman"/>
          <w:szCs w:val="24"/>
          <w:lang w:val="en-US"/>
        </w:rPr>
        <w:t>The official exchange rate “</w:t>
      </w:r>
      <w:r w:rsidR="00C95DF5" w:rsidRPr="002B3F8B">
        <w:rPr>
          <w:rFonts w:cs="Times New Roman"/>
          <w:color w:val="000000"/>
          <w:szCs w:val="24"/>
          <w:lang w:val="en-US"/>
        </w:rPr>
        <w:t>is calculated as an annual average based on monthly averages (local currency units relative to the U.S. dollar)</w:t>
      </w:r>
      <w:r w:rsidR="00C95DF5">
        <w:rPr>
          <w:rFonts w:cs="Times New Roman"/>
          <w:color w:val="000000"/>
          <w:szCs w:val="24"/>
          <w:lang w:val="en-US"/>
        </w:rPr>
        <w:t xml:space="preserve">” </w:t>
      </w:r>
      <w:sdt>
        <w:sdtPr>
          <w:rPr>
            <w:rFonts w:cs="Times New Roman"/>
            <w:color w:val="000000"/>
            <w:szCs w:val="24"/>
            <w:lang w:val="en-US"/>
          </w:rPr>
          <w:id w:val="1010490576"/>
          <w:citation/>
        </w:sdtPr>
        <w:sdtContent>
          <w:r w:rsidR="00C95DF5">
            <w:rPr>
              <w:rFonts w:cs="Times New Roman"/>
              <w:color w:val="000000"/>
              <w:szCs w:val="24"/>
              <w:lang w:val="en-US"/>
            </w:rPr>
            <w:fldChar w:fldCharType="begin"/>
          </w:r>
          <w:r w:rsidR="00C95DF5">
            <w:rPr>
              <w:rFonts w:cs="Times New Roman"/>
              <w:color w:val="000000"/>
              <w:szCs w:val="24"/>
            </w:rPr>
            <w:instrText xml:space="preserve"> CITATION The12 \l 1050 </w:instrText>
          </w:r>
          <w:r w:rsidR="00C95DF5">
            <w:rPr>
              <w:rFonts w:cs="Times New Roman"/>
              <w:color w:val="000000"/>
              <w:szCs w:val="24"/>
              <w:lang w:val="en-US"/>
            </w:rPr>
            <w:fldChar w:fldCharType="separate"/>
          </w:r>
          <w:r w:rsidR="00C95DF5" w:rsidRPr="002B3F8B">
            <w:rPr>
              <w:rFonts w:cs="Times New Roman"/>
              <w:noProof/>
              <w:color w:val="000000"/>
              <w:szCs w:val="24"/>
            </w:rPr>
            <w:t>(The World Bank, 2012)</w:t>
          </w:r>
          <w:r w:rsidR="00C95DF5">
            <w:rPr>
              <w:rFonts w:cs="Times New Roman"/>
              <w:color w:val="000000"/>
              <w:szCs w:val="24"/>
              <w:lang w:val="en-US"/>
            </w:rPr>
            <w:fldChar w:fldCharType="end"/>
          </w:r>
        </w:sdtContent>
      </w:sdt>
      <w:r w:rsidR="00C95DF5" w:rsidRPr="002B3F8B">
        <w:rPr>
          <w:rFonts w:cs="Times New Roman"/>
          <w:color w:val="000000"/>
          <w:szCs w:val="24"/>
          <w:lang w:val="en-US"/>
        </w:rPr>
        <w:t>.</w:t>
      </w:r>
    </w:p>
    <w:p w:rsidR="00BD577A" w:rsidRDefault="00BD577A" w:rsidP="00E906CF">
      <w:pPr>
        <w:jc w:val="both"/>
        <w:rPr>
          <w:noProof/>
          <w:lang w:eastAsia="hr-HR"/>
        </w:rPr>
      </w:pPr>
    </w:p>
    <w:p w:rsidR="00AC3DDF" w:rsidRDefault="00AC3DDF" w:rsidP="00E906CF">
      <w:pPr>
        <w:jc w:val="both"/>
        <w:rPr>
          <w:noProof/>
          <w:lang w:eastAsia="hr-HR"/>
        </w:rPr>
      </w:pPr>
    </w:p>
    <w:p w:rsidR="00C0394F" w:rsidRDefault="00C0394F" w:rsidP="00C0394F">
      <w:pPr>
        <w:jc w:val="both"/>
        <w:rPr>
          <w:lang w:val="en-US"/>
        </w:rPr>
      </w:pPr>
      <w:r>
        <w:rPr>
          <w:lang w:val="en-US"/>
        </w:rPr>
        <w:t>Table 4 Croatian and Macedonian bank loans structure in dollars</w:t>
      </w:r>
      <w:r>
        <w:rPr>
          <w:rFonts w:cs="Times New Roman"/>
          <w:lang w:val="en-US"/>
        </w:rPr>
        <w:t>—</w:t>
      </w:r>
      <w:r>
        <w:rPr>
          <w:lang w:val="en-US"/>
        </w:rPr>
        <w:t xml:space="preserve">total amounts </w:t>
      </w:r>
    </w:p>
    <w:tbl>
      <w:tblPr>
        <w:tblStyle w:val="TableGrid"/>
        <w:tblW w:w="90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27"/>
        <w:gridCol w:w="805"/>
        <w:gridCol w:w="197"/>
        <w:gridCol w:w="620"/>
        <w:gridCol w:w="179"/>
        <w:gridCol w:w="636"/>
        <w:gridCol w:w="163"/>
        <w:gridCol w:w="652"/>
        <w:gridCol w:w="147"/>
        <w:gridCol w:w="807"/>
        <w:gridCol w:w="91"/>
        <w:gridCol w:w="863"/>
        <w:gridCol w:w="35"/>
        <w:gridCol w:w="919"/>
        <w:gridCol w:w="26"/>
        <w:gridCol w:w="928"/>
        <w:gridCol w:w="17"/>
        <w:gridCol w:w="937"/>
        <w:gridCol w:w="8"/>
        <w:gridCol w:w="1013"/>
        <w:gridCol w:w="29"/>
      </w:tblGrid>
      <w:tr w:rsidR="00C0394F" w:rsidRPr="00BD577A" w:rsidTr="005A1981">
        <w:trPr>
          <w:gridAfter w:val="1"/>
          <w:wAfter w:w="27" w:type="dxa"/>
          <w:trHeight w:val="254"/>
        </w:trPr>
        <w:tc>
          <w:tcPr>
            <w:tcW w:w="9072" w:type="dxa"/>
            <w:gridSpan w:val="20"/>
            <w:tcBorders>
              <w:top w:val="single" w:sz="4" w:space="0" w:color="auto"/>
              <w:bottom w:val="single" w:sz="4" w:space="0" w:color="auto"/>
            </w:tcBorders>
          </w:tcPr>
          <w:p w:rsidR="00C0394F" w:rsidRPr="00BD577A" w:rsidRDefault="00C0394F" w:rsidP="005A1981">
            <w:pPr>
              <w:jc w:val="center"/>
              <w:rPr>
                <w:rFonts w:eastAsia="Calibri" w:cs="Times New Roman"/>
                <w:sz w:val="22"/>
                <w:lang w:val="en-US"/>
              </w:rPr>
            </w:pPr>
            <w:r w:rsidRPr="00BD577A">
              <w:rPr>
                <w:rFonts w:eastAsia="Calibri" w:cs="Times New Roman"/>
                <w:sz w:val="22"/>
                <w:lang w:val="en-US"/>
              </w:rPr>
              <w:t>Macedonia</w:t>
            </w:r>
          </w:p>
        </w:tc>
      </w:tr>
      <w:tr w:rsidR="00C0394F" w:rsidRPr="00BD577A" w:rsidTr="005A1981">
        <w:trPr>
          <w:gridAfter w:val="1"/>
          <w:wAfter w:w="27" w:type="dxa"/>
          <w:trHeight w:val="254"/>
        </w:trPr>
        <w:tc>
          <w:tcPr>
            <w:tcW w:w="9072" w:type="dxa"/>
            <w:gridSpan w:val="20"/>
            <w:tcBorders>
              <w:top w:val="single" w:sz="4" w:space="0" w:color="auto"/>
              <w:bottom w:val="single" w:sz="4" w:space="0" w:color="auto"/>
            </w:tcBorders>
          </w:tcPr>
          <w:p w:rsidR="00C0394F" w:rsidRPr="00BD577A" w:rsidRDefault="00C0394F" w:rsidP="005A1981">
            <w:pPr>
              <w:jc w:val="both"/>
              <w:rPr>
                <w:rFonts w:eastAsia="Calibri" w:cs="Times New Roman"/>
                <w:sz w:val="22"/>
                <w:lang w:val="en-US"/>
              </w:rPr>
            </w:pPr>
            <w:r w:rsidRPr="00BD577A">
              <w:rPr>
                <w:rFonts w:eastAsia="Calibri" w:cs="Times New Roman"/>
                <w:sz w:val="22"/>
                <w:lang w:val="en-US"/>
              </w:rPr>
              <w:t>Loans to enterprises</w:t>
            </w:r>
            <w:r>
              <w:rPr>
                <w:rFonts w:eastAsia="Calibri" w:cs="Times New Roman"/>
                <w:sz w:val="22"/>
                <w:lang w:val="en-US"/>
              </w:rPr>
              <w:t xml:space="preserve"> </w:t>
            </w:r>
          </w:p>
        </w:tc>
      </w:tr>
      <w:tr w:rsidR="00C0394F" w:rsidRPr="00BD577A" w:rsidTr="00F217C9">
        <w:trPr>
          <w:gridAfter w:val="1"/>
          <w:wAfter w:w="29" w:type="dxa"/>
          <w:trHeight w:val="58"/>
        </w:trPr>
        <w:tc>
          <w:tcPr>
            <w:tcW w:w="1031" w:type="dxa"/>
            <w:gridSpan w:val="3"/>
            <w:tcBorders>
              <w:top w:val="single" w:sz="4" w:space="0" w:color="auto"/>
              <w:bottom w:val="single" w:sz="4" w:space="0" w:color="auto"/>
            </w:tcBorders>
            <w:vAlign w:val="bottom"/>
          </w:tcPr>
          <w:p w:rsidR="00C0394F" w:rsidRPr="00BD577A" w:rsidRDefault="00C0394F" w:rsidP="005A1981">
            <w:pPr>
              <w:jc w:val="center"/>
              <w:rPr>
                <w:rFonts w:eastAsia="Calibri" w:cs="Times New Roman"/>
                <w:color w:val="000000"/>
                <w:sz w:val="22"/>
                <w:lang w:val="en-US"/>
              </w:rPr>
            </w:pPr>
            <w:r w:rsidRPr="00BD577A">
              <w:rPr>
                <w:rFonts w:eastAsia="Calibri" w:cs="Times New Roman"/>
                <w:color w:val="000000"/>
                <w:sz w:val="22"/>
                <w:lang w:val="en-US"/>
              </w:rPr>
              <w:t>Year</w:t>
            </w:r>
          </w:p>
        </w:tc>
        <w:tc>
          <w:tcPr>
            <w:tcW w:w="799" w:type="dxa"/>
            <w:gridSpan w:val="2"/>
            <w:tcBorders>
              <w:top w:val="single" w:sz="4" w:space="0" w:color="auto"/>
              <w:bottom w:val="single" w:sz="4" w:space="0" w:color="auto"/>
            </w:tcBorders>
            <w:vAlign w:val="bottom"/>
          </w:tcPr>
          <w:p w:rsidR="00C0394F" w:rsidRPr="00BD577A" w:rsidRDefault="00C0394F" w:rsidP="005A1981">
            <w:pPr>
              <w:jc w:val="right"/>
              <w:rPr>
                <w:rFonts w:eastAsia="Calibri" w:cs="Times New Roman"/>
                <w:color w:val="000000"/>
                <w:sz w:val="22"/>
                <w:lang w:val="en-US"/>
              </w:rPr>
            </w:pPr>
            <w:r w:rsidRPr="00BD577A">
              <w:rPr>
                <w:rFonts w:eastAsia="Calibri" w:cs="Times New Roman"/>
                <w:color w:val="000000"/>
                <w:sz w:val="22"/>
                <w:lang w:val="en-US"/>
              </w:rPr>
              <w:t>2003</w:t>
            </w:r>
          </w:p>
        </w:tc>
        <w:tc>
          <w:tcPr>
            <w:tcW w:w="799" w:type="dxa"/>
            <w:gridSpan w:val="2"/>
            <w:tcBorders>
              <w:top w:val="single" w:sz="4" w:space="0" w:color="auto"/>
              <w:bottom w:val="single" w:sz="4" w:space="0" w:color="auto"/>
            </w:tcBorders>
            <w:vAlign w:val="bottom"/>
          </w:tcPr>
          <w:p w:rsidR="00C0394F" w:rsidRPr="00BD577A" w:rsidRDefault="00C0394F" w:rsidP="005A1981">
            <w:pPr>
              <w:jc w:val="right"/>
              <w:rPr>
                <w:rFonts w:eastAsia="Calibri" w:cs="Times New Roman"/>
                <w:color w:val="000000"/>
                <w:sz w:val="22"/>
              </w:rPr>
            </w:pPr>
            <w:r w:rsidRPr="00BD577A">
              <w:rPr>
                <w:rFonts w:eastAsia="Calibri" w:cs="Times New Roman"/>
                <w:color w:val="000000"/>
                <w:sz w:val="22"/>
              </w:rPr>
              <w:t>2004</w:t>
            </w:r>
          </w:p>
        </w:tc>
        <w:tc>
          <w:tcPr>
            <w:tcW w:w="799" w:type="dxa"/>
            <w:gridSpan w:val="2"/>
            <w:tcBorders>
              <w:top w:val="single" w:sz="4" w:space="0" w:color="auto"/>
              <w:bottom w:val="single" w:sz="4" w:space="0" w:color="auto"/>
            </w:tcBorders>
            <w:vAlign w:val="bottom"/>
          </w:tcPr>
          <w:p w:rsidR="00C0394F" w:rsidRPr="00BD577A" w:rsidRDefault="00C0394F" w:rsidP="005A1981">
            <w:pPr>
              <w:jc w:val="right"/>
              <w:rPr>
                <w:rFonts w:eastAsia="Calibri" w:cs="Times New Roman"/>
                <w:color w:val="000000"/>
                <w:sz w:val="22"/>
              </w:rPr>
            </w:pPr>
            <w:r w:rsidRPr="00BD577A">
              <w:rPr>
                <w:rFonts w:eastAsia="Calibri" w:cs="Times New Roman"/>
                <w:color w:val="000000"/>
                <w:sz w:val="22"/>
              </w:rPr>
              <w:t>2005</w:t>
            </w:r>
          </w:p>
        </w:tc>
        <w:tc>
          <w:tcPr>
            <w:tcW w:w="898" w:type="dxa"/>
            <w:gridSpan w:val="2"/>
            <w:tcBorders>
              <w:top w:val="single" w:sz="4" w:space="0" w:color="auto"/>
              <w:bottom w:val="single" w:sz="4" w:space="0" w:color="auto"/>
            </w:tcBorders>
            <w:vAlign w:val="bottom"/>
          </w:tcPr>
          <w:p w:rsidR="00C0394F" w:rsidRPr="00BD577A" w:rsidRDefault="00C0394F" w:rsidP="005A1981">
            <w:pPr>
              <w:jc w:val="right"/>
              <w:rPr>
                <w:rFonts w:eastAsia="Calibri" w:cs="Times New Roman"/>
                <w:color w:val="000000"/>
                <w:sz w:val="22"/>
              </w:rPr>
            </w:pPr>
            <w:r w:rsidRPr="00BD577A">
              <w:rPr>
                <w:rFonts w:eastAsia="Calibri" w:cs="Times New Roman"/>
                <w:color w:val="000000"/>
                <w:sz w:val="22"/>
              </w:rPr>
              <w:t>2006</w:t>
            </w:r>
          </w:p>
        </w:tc>
        <w:tc>
          <w:tcPr>
            <w:tcW w:w="898" w:type="dxa"/>
            <w:gridSpan w:val="2"/>
            <w:tcBorders>
              <w:top w:val="single" w:sz="4" w:space="0" w:color="auto"/>
              <w:bottom w:val="single" w:sz="4" w:space="0" w:color="auto"/>
            </w:tcBorders>
            <w:vAlign w:val="bottom"/>
          </w:tcPr>
          <w:p w:rsidR="00C0394F" w:rsidRPr="00BD577A" w:rsidRDefault="00C0394F" w:rsidP="005A1981">
            <w:pPr>
              <w:jc w:val="right"/>
              <w:rPr>
                <w:rFonts w:eastAsia="Calibri" w:cs="Times New Roman"/>
                <w:color w:val="000000"/>
                <w:sz w:val="22"/>
              </w:rPr>
            </w:pPr>
            <w:r w:rsidRPr="00BD577A">
              <w:rPr>
                <w:rFonts w:eastAsia="Calibri" w:cs="Times New Roman"/>
                <w:color w:val="000000"/>
                <w:sz w:val="22"/>
              </w:rPr>
              <w:t>2007</w:t>
            </w:r>
          </w:p>
        </w:tc>
        <w:tc>
          <w:tcPr>
            <w:tcW w:w="945" w:type="dxa"/>
            <w:gridSpan w:val="2"/>
            <w:tcBorders>
              <w:top w:val="single" w:sz="4" w:space="0" w:color="auto"/>
              <w:bottom w:val="single" w:sz="4" w:space="0" w:color="auto"/>
            </w:tcBorders>
            <w:vAlign w:val="bottom"/>
          </w:tcPr>
          <w:p w:rsidR="00C0394F" w:rsidRPr="00BD577A" w:rsidRDefault="00C0394F" w:rsidP="005A1981">
            <w:pPr>
              <w:jc w:val="right"/>
              <w:rPr>
                <w:rFonts w:eastAsia="Calibri" w:cs="Times New Roman"/>
                <w:color w:val="000000"/>
                <w:sz w:val="22"/>
              </w:rPr>
            </w:pPr>
            <w:r w:rsidRPr="00BD577A">
              <w:rPr>
                <w:rFonts w:eastAsia="Calibri" w:cs="Times New Roman"/>
                <w:color w:val="000000"/>
                <w:sz w:val="22"/>
              </w:rPr>
              <w:t>2008</w:t>
            </w:r>
          </w:p>
        </w:tc>
        <w:tc>
          <w:tcPr>
            <w:tcW w:w="945" w:type="dxa"/>
            <w:gridSpan w:val="2"/>
            <w:tcBorders>
              <w:top w:val="single" w:sz="4" w:space="0" w:color="auto"/>
              <w:bottom w:val="single" w:sz="4" w:space="0" w:color="auto"/>
            </w:tcBorders>
            <w:vAlign w:val="bottom"/>
          </w:tcPr>
          <w:p w:rsidR="00C0394F" w:rsidRPr="00BD577A" w:rsidRDefault="00C0394F" w:rsidP="005A1981">
            <w:pPr>
              <w:jc w:val="right"/>
              <w:rPr>
                <w:rFonts w:eastAsia="Calibri" w:cs="Times New Roman"/>
                <w:color w:val="000000"/>
                <w:sz w:val="22"/>
              </w:rPr>
            </w:pPr>
            <w:r w:rsidRPr="00BD577A">
              <w:rPr>
                <w:rFonts w:eastAsia="Calibri" w:cs="Times New Roman"/>
                <w:color w:val="000000"/>
                <w:sz w:val="22"/>
              </w:rPr>
              <w:t>2009</w:t>
            </w:r>
          </w:p>
        </w:tc>
        <w:tc>
          <w:tcPr>
            <w:tcW w:w="945" w:type="dxa"/>
            <w:gridSpan w:val="2"/>
            <w:tcBorders>
              <w:top w:val="single" w:sz="4" w:space="0" w:color="auto"/>
              <w:bottom w:val="single" w:sz="4" w:space="0" w:color="auto"/>
            </w:tcBorders>
            <w:vAlign w:val="bottom"/>
          </w:tcPr>
          <w:p w:rsidR="00C0394F" w:rsidRPr="00BD577A" w:rsidRDefault="00C0394F" w:rsidP="005A1981">
            <w:pPr>
              <w:jc w:val="right"/>
              <w:rPr>
                <w:rFonts w:eastAsia="Calibri" w:cs="Times New Roman"/>
                <w:color w:val="000000"/>
                <w:sz w:val="22"/>
              </w:rPr>
            </w:pPr>
            <w:r w:rsidRPr="00BD577A">
              <w:rPr>
                <w:rFonts w:eastAsia="Calibri" w:cs="Times New Roman"/>
                <w:color w:val="000000"/>
                <w:sz w:val="22"/>
              </w:rPr>
              <w:t>2010</w:t>
            </w:r>
          </w:p>
        </w:tc>
        <w:tc>
          <w:tcPr>
            <w:tcW w:w="1011" w:type="dxa"/>
            <w:tcBorders>
              <w:top w:val="single" w:sz="4" w:space="0" w:color="auto"/>
              <w:bottom w:val="single" w:sz="4" w:space="0" w:color="auto"/>
            </w:tcBorders>
            <w:vAlign w:val="bottom"/>
          </w:tcPr>
          <w:p w:rsidR="00C0394F" w:rsidRPr="00BD577A" w:rsidRDefault="00C0394F" w:rsidP="005A1981">
            <w:pPr>
              <w:jc w:val="right"/>
              <w:rPr>
                <w:rFonts w:eastAsia="Calibri" w:cs="Times New Roman"/>
                <w:color w:val="000000"/>
                <w:sz w:val="22"/>
              </w:rPr>
            </w:pPr>
            <w:r w:rsidRPr="00BD577A">
              <w:rPr>
                <w:rFonts w:eastAsia="Calibri" w:cs="Times New Roman"/>
                <w:color w:val="000000"/>
                <w:sz w:val="22"/>
              </w:rPr>
              <w:t>2011</w:t>
            </w:r>
          </w:p>
        </w:tc>
      </w:tr>
      <w:tr w:rsidR="00C0394F" w:rsidRPr="00CA1AB4" w:rsidTr="00F217C9">
        <w:trPr>
          <w:gridAfter w:val="1"/>
          <w:wAfter w:w="29" w:type="dxa"/>
          <w:trHeight w:val="254"/>
        </w:trPr>
        <w:tc>
          <w:tcPr>
            <w:tcW w:w="1031" w:type="dxa"/>
            <w:gridSpan w:val="3"/>
            <w:tcBorders>
              <w:top w:val="single" w:sz="4" w:space="0" w:color="auto"/>
            </w:tcBorders>
          </w:tcPr>
          <w:p w:rsidR="00C0394F" w:rsidRPr="00BD577A" w:rsidRDefault="00C0394F" w:rsidP="005A1981">
            <w:pPr>
              <w:jc w:val="both"/>
              <w:rPr>
                <w:rFonts w:eastAsia="Calibri" w:cs="Times New Roman"/>
                <w:sz w:val="22"/>
                <w:lang w:val="en-US"/>
              </w:rPr>
            </w:pPr>
            <w:r>
              <w:rPr>
                <w:rFonts w:eastAsia="Calibri" w:cs="Times New Roman"/>
                <w:sz w:val="22"/>
                <w:lang w:val="en-US"/>
              </w:rPr>
              <w:t xml:space="preserve">In </w:t>
            </w:r>
            <w:proofErr w:type="spellStart"/>
            <w:r>
              <w:rPr>
                <w:rFonts w:eastAsia="Calibri" w:cs="Times New Roman"/>
                <w:sz w:val="22"/>
                <w:lang w:val="en-US"/>
              </w:rPr>
              <w:t>Denar</w:t>
            </w:r>
            <w:proofErr w:type="spellEnd"/>
          </w:p>
        </w:tc>
        <w:tc>
          <w:tcPr>
            <w:tcW w:w="799" w:type="dxa"/>
            <w:gridSpan w:val="2"/>
            <w:tcBorders>
              <w:top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405.076</w:t>
            </w:r>
          </w:p>
        </w:tc>
        <w:tc>
          <w:tcPr>
            <w:tcW w:w="799" w:type="dxa"/>
            <w:gridSpan w:val="2"/>
            <w:tcBorders>
              <w:top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467.950</w:t>
            </w:r>
          </w:p>
        </w:tc>
        <w:tc>
          <w:tcPr>
            <w:tcW w:w="799" w:type="dxa"/>
            <w:gridSpan w:val="2"/>
            <w:tcBorders>
              <w:top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537.861</w:t>
            </w:r>
          </w:p>
        </w:tc>
        <w:tc>
          <w:tcPr>
            <w:tcW w:w="898" w:type="dxa"/>
            <w:gridSpan w:val="2"/>
            <w:tcBorders>
              <w:top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643.407</w:t>
            </w:r>
          </w:p>
        </w:tc>
        <w:tc>
          <w:tcPr>
            <w:tcW w:w="898" w:type="dxa"/>
            <w:gridSpan w:val="2"/>
            <w:tcBorders>
              <w:top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817.882</w:t>
            </w:r>
          </w:p>
        </w:tc>
        <w:tc>
          <w:tcPr>
            <w:tcW w:w="945" w:type="dxa"/>
            <w:gridSpan w:val="2"/>
            <w:tcBorders>
              <w:top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1.099.011</w:t>
            </w:r>
          </w:p>
        </w:tc>
        <w:tc>
          <w:tcPr>
            <w:tcW w:w="945" w:type="dxa"/>
            <w:gridSpan w:val="2"/>
            <w:tcBorders>
              <w:top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1.244.309</w:t>
            </w:r>
          </w:p>
        </w:tc>
        <w:tc>
          <w:tcPr>
            <w:tcW w:w="945" w:type="dxa"/>
            <w:gridSpan w:val="2"/>
            <w:tcBorders>
              <w:top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1.334.739</w:t>
            </w:r>
          </w:p>
        </w:tc>
        <w:tc>
          <w:tcPr>
            <w:tcW w:w="1011" w:type="dxa"/>
            <w:tcBorders>
              <w:top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2.340.588</w:t>
            </w:r>
          </w:p>
        </w:tc>
      </w:tr>
      <w:tr w:rsidR="00C0394F" w:rsidRPr="00CA1AB4" w:rsidTr="00F217C9">
        <w:trPr>
          <w:gridAfter w:val="1"/>
          <w:wAfter w:w="29" w:type="dxa"/>
          <w:trHeight w:val="254"/>
        </w:trPr>
        <w:tc>
          <w:tcPr>
            <w:tcW w:w="1031" w:type="dxa"/>
            <w:gridSpan w:val="3"/>
            <w:tcBorders>
              <w:bottom w:val="single" w:sz="4" w:space="0" w:color="auto"/>
            </w:tcBorders>
          </w:tcPr>
          <w:p w:rsidR="00C0394F" w:rsidRPr="00BD577A" w:rsidRDefault="00C0394F" w:rsidP="005A1981">
            <w:pPr>
              <w:jc w:val="both"/>
              <w:rPr>
                <w:rFonts w:eastAsia="Calibri" w:cs="Times New Roman"/>
                <w:sz w:val="22"/>
                <w:lang w:val="en-US"/>
              </w:rPr>
            </w:pPr>
            <w:r>
              <w:rPr>
                <w:rFonts w:eastAsia="Calibri" w:cs="Times New Roman"/>
                <w:sz w:val="22"/>
                <w:lang w:val="en-US"/>
              </w:rPr>
              <w:t>In Dollar</w:t>
            </w:r>
          </w:p>
        </w:tc>
        <w:tc>
          <w:tcPr>
            <w:tcW w:w="799"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7.457</w:t>
            </w:r>
          </w:p>
        </w:tc>
        <w:tc>
          <w:tcPr>
            <w:tcW w:w="799"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9.471</w:t>
            </w:r>
          </w:p>
        </w:tc>
        <w:tc>
          <w:tcPr>
            <w:tcW w:w="799"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10.914</w:t>
            </w:r>
          </w:p>
        </w:tc>
        <w:tc>
          <w:tcPr>
            <w:tcW w:w="898"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13.184</w:t>
            </w:r>
          </w:p>
        </w:tc>
        <w:tc>
          <w:tcPr>
            <w:tcW w:w="898"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18.285</w:t>
            </w:r>
          </w:p>
        </w:tc>
        <w:tc>
          <w:tcPr>
            <w:tcW w:w="945"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26.250</w:t>
            </w:r>
          </w:p>
        </w:tc>
        <w:tc>
          <w:tcPr>
            <w:tcW w:w="945"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28.215</w:t>
            </w:r>
          </w:p>
        </w:tc>
        <w:tc>
          <w:tcPr>
            <w:tcW w:w="945"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28.713</w:t>
            </w:r>
          </w:p>
        </w:tc>
        <w:tc>
          <w:tcPr>
            <w:tcW w:w="1011" w:type="dxa"/>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52.918</w:t>
            </w:r>
          </w:p>
        </w:tc>
      </w:tr>
      <w:tr w:rsidR="00C0394F" w:rsidRPr="00CA1AB4" w:rsidTr="00F217C9">
        <w:trPr>
          <w:gridAfter w:val="1"/>
          <w:wAfter w:w="27" w:type="dxa"/>
          <w:trHeight w:val="254"/>
        </w:trPr>
        <w:tc>
          <w:tcPr>
            <w:tcW w:w="9072" w:type="dxa"/>
            <w:gridSpan w:val="20"/>
            <w:tcBorders>
              <w:top w:val="single" w:sz="4" w:space="0" w:color="auto"/>
              <w:bottom w:val="single" w:sz="4" w:space="0" w:color="auto"/>
            </w:tcBorders>
          </w:tcPr>
          <w:p w:rsidR="00C0394F" w:rsidRPr="00CA1AB4" w:rsidRDefault="00C0394F" w:rsidP="005A1981">
            <w:pPr>
              <w:rPr>
                <w:rFonts w:cs="Times New Roman"/>
                <w:sz w:val="22"/>
              </w:rPr>
            </w:pPr>
            <w:r w:rsidRPr="00CA1AB4">
              <w:rPr>
                <w:rFonts w:eastAsia="Calibri" w:cs="Times New Roman"/>
                <w:sz w:val="22"/>
                <w:lang w:val="en-US"/>
              </w:rPr>
              <w:t>Loans to households</w:t>
            </w:r>
          </w:p>
        </w:tc>
      </w:tr>
      <w:tr w:rsidR="00C0394F" w:rsidRPr="00CA1AB4" w:rsidTr="00F217C9">
        <w:trPr>
          <w:gridAfter w:val="1"/>
          <w:wAfter w:w="29" w:type="dxa"/>
          <w:trHeight w:val="241"/>
        </w:trPr>
        <w:tc>
          <w:tcPr>
            <w:tcW w:w="1031" w:type="dxa"/>
            <w:gridSpan w:val="3"/>
            <w:tcBorders>
              <w:top w:val="single" w:sz="4" w:space="0" w:color="auto"/>
            </w:tcBorders>
          </w:tcPr>
          <w:p w:rsidR="00C0394F" w:rsidRPr="00BD577A" w:rsidRDefault="00C0394F" w:rsidP="005A1981">
            <w:pPr>
              <w:jc w:val="both"/>
              <w:rPr>
                <w:rFonts w:eastAsia="Calibri" w:cs="Times New Roman"/>
                <w:sz w:val="22"/>
                <w:lang w:val="en-US"/>
              </w:rPr>
            </w:pPr>
            <w:r>
              <w:rPr>
                <w:rFonts w:eastAsia="Calibri" w:cs="Times New Roman"/>
                <w:sz w:val="22"/>
                <w:lang w:val="en-US"/>
              </w:rPr>
              <w:t xml:space="preserve">In </w:t>
            </w:r>
            <w:proofErr w:type="spellStart"/>
            <w:r>
              <w:rPr>
                <w:rFonts w:eastAsia="Calibri" w:cs="Times New Roman"/>
                <w:sz w:val="22"/>
                <w:lang w:val="en-US"/>
              </w:rPr>
              <w:t>Denar</w:t>
            </w:r>
            <w:proofErr w:type="spellEnd"/>
          </w:p>
        </w:tc>
        <w:tc>
          <w:tcPr>
            <w:tcW w:w="799" w:type="dxa"/>
            <w:gridSpan w:val="2"/>
            <w:tcBorders>
              <w:top w:val="single" w:sz="4" w:space="0" w:color="auto"/>
            </w:tcBorders>
            <w:vAlign w:val="bottom"/>
          </w:tcPr>
          <w:p w:rsidR="00C0394F" w:rsidRPr="00CA1AB4" w:rsidRDefault="00C0394F" w:rsidP="005A1981">
            <w:pPr>
              <w:jc w:val="right"/>
              <w:rPr>
                <w:rFonts w:eastAsia="Calibri" w:cs="Times New Roman"/>
                <w:sz w:val="22"/>
                <w:lang w:val="en-US"/>
              </w:rPr>
            </w:pPr>
            <w:r w:rsidRPr="00CA1AB4">
              <w:rPr>
                <w:rFonts w:eastAsia="Calibri" w:cs="Times New Roman"/>
                <w:sz w:val="22"/>
                <w:lang w:val="en-US"/>
              </w:rPr>
              <w:t>99.115</w:t>
            </w:r>
          </w:p>
        </w:tc>
        <w:tc>
          <w:tcPr>
            <w:tcW w:w="799" w:type="dxa"/>
            <w:gridSpan w:val="2"/>
            <w:tcBorders>
              <w:top w:val="single" w:sz="4" w:space="0" w:color="auto"/>
            </w:tcBorders>
            <w:vAlign w:val="bottom"/>
          </w:tcPr>
          <w:p w:rsidR="00C0394F" w:rsidRPr="00CA1AB4" w:rsidRDefault="00C0394F" w:rsidP="005A1981">
            <w:pPr>
              <w:jc w:val="right"/>
              <w:rPr>
                <w:rFonts w:eastAsia="Calibri" w:cs="Times New Roman"/>
                <w:sz w:val="22"/>
              </w:rPr>
            </w:pPr>
            <w:r w:rsidRPr="00CA1AB4">
              <w:rPr>
                <w:rFonts w:eastAsia="Calibri" w:cs="Times New Roman"/>
                <w:sz w:val="22"/>
              </w:rPr>
              <w:t>160.253</w:t>
            </w:r>
          </w:p>
        </w:tc>
        <w:tc>
          <w:tcPr>
            <w:tcW w:w="799" w:type="dxa"/>
            <w:gridSpan w:val="2"/>
            <w:tcBorders>
              <w:top w:val="single" w:sz="4" w:space="0" w:color="auto"/>
            </w:tcBorders>
            <w:vAlign w:val="bottom"/>
          </w:tcPr>
          <w:p w:rsidR="00C0394F" w:rsidRPr="00CA1AB4" w:rsidRDefault="00C0394F" w:rsidP="005A1981">
            <w:pPr>
              <w:jc w:val="right"/>
              <w:rPr>
                <w:rFonts w:eastAsia="Calibri" w:cs="Times New Roman"/>
                <w:sz w:val="22"/>
              </w:rPr>
            </w:pPr>
            <w:r w:rsidRPr="00CA1AB4">
              <w:rPr>
                <w:rFonts w:eastAsia="Calibri" w:cs="Times New Roman"/>
                <w:sz w:val="22"/>
              </w:rPr>
              <w:t>241.556</w:t>
            </w:r>
          </w:p>
        </w:tc>
        <w:tc>
          <w:tcPr>
            <w:tcW w:w="898" w:type="dxa"/>
            <w:gridSpan w:val="2"/>
            <w:tcBorders>
              <w:top w:val="single" w:sz="4" w:space="0" w:color="auto"/>
            </w:tcBorders>
            <w:vAlign w:val="bottom"/>
          </w:tcPr>
          <w:p w:rsidR="00C0394F" w:rsidRPr="00CA1AB4" w:rsidRDefault="00C0394F" w:rsidP="005A1981">
            <w:pPr>
              <w:jc w:val="right"/>
              <w:rPr>
                <w:rFonts w:eastAsia="Calibri" w:cs="Times New Roman"/>
                <w:sz w:val="22"/>
              </w:rPr>
            </w:pPr>
            <w:r w:rsidRPr="00CA1AB4">
              <w:rPr>
                <w:rFonts w:eastAsia="Calibri" w:cs="Times New Roman"/>
                <w:sz w:val="22"/>
              </w:rPr>
              <w:t>331.472</w:t>
            </w:r>
          </w:p>
        </w:tc>
        <w:tc>
          <w:tcPr>
            <w:tcW w:w="898" w:type="dxa"/>
            <w:gridSpan w:val="2"/>
            <w:tcBorders>
              <w:top w:val="single" w:sz="4" w:space="0" w:color="auto"/>
            </w:tcBorders>
            <w:vAlign w:val="bottom"/>
          </w:tcPr>
          <w:p w:rsidR="00C0394F" w:rsidRPr="00CA1AB4" w:rsidRDefault="00C0394F" w:rsidP="005A1981">
            <w:pPr>
              <w:jc w:val="right"/>
              <w:rPr>
                <w:rFonts w:eastAsia="Calibri" w:cs="Times New Roman"/>
                <w:sz w:val="22"/>
              </w:rPr>
            </w:pPr>
            <w:r w:rsidRPr="00CA1AB4">
              <w:rPr>
                <w:rFonts w:eastAsia="Calibri" w:cs="Times New Roman"/>
                <w:sz w:val="22"/>
              </w:rPr>
              <w:t>497.778</w:t>
            </w:r>
          </w:p>
        </w:tc>
        <w:tc>
          <w:tcPr>
            <w:tcW w:w="945" w:type="dxa"/>
            <w:gridSpan w:val="2"/>
            <w:tcBorders>
              <w:top w:val="single" w:sz="4" w:space="0" w:color="auto"/>
            </w:tcBorders>
            <w:vAlign w:val="bottom"/>
          </w:tcPr>
          <w:p w:rsidR="00C0394F" w:rsidRPr="00CA1AB4" w:rsidRDefault="00C0394F" w:rsidP="005A1981">
            <w:pPr>
              <w:jc w:val="right"/>
              <w:rPr>
                <w:rFonts w:eastAsia="Calibri" w:cs="Times New Roman"/>
                <w:sz w:val="22"/>
              </w:rPr>
            </w:pPr>
            <w:r w:rsidRPr="00CA1AB4">
              <w:rPr>
                <w:rFonts w:eastAsia="Calibri" w:cs="Times New Roman"/>
                <w:sz w:val="22"/>
              </w:rPr>
              <w:t>745.205</w:t>
            </w:r>
          </w:p>
        </w:tc>
        <w:tc>
          <w:tcPr>
            <w:tcW w:w="945" w:type="dxa"/>
            <w:gridSpan w:val="2"/>
            <w:tcBorders>
              <w:top w:val="single" w:sz="4" w:space="0" w:color="auto"/>
            </w:tcBorders>
            <w:vAlign w:val="bottom"/>
          </w:tcPr>
          <w:p w:rsidR="00C0394F" w:rsidRPr="00CA1AB4" w:rsidRDefault="00C0394F" w:rsidP="005A1981">
            <w:pPr>
              <w:jc w:val="right"/>
              <w:rPr>
                <w:rFonts w:eastAsia="Calibri" w:cs="Times New Roman"/>
                <w:sz w:val="22"/>
              </w:rPr>
            </w:pPr>
            <w:r w:rsidRPr="00CA1AB4">
              <w:rPr>
                <w:rFonts w:eastAsia="Calibri" w:cs="Times New Roman"/>
                <w:sz w:val="22"/>
              </w:rPr>
              <w:t>862.271</w:t>
            </w:r>
          </w:p>
        </w:tc>
        <w:tc>
          <w:tcPr>
            <w:tcW w:w="945" w:type="dxa"/>
            <w:gridSpan w:val="2"/>
            <w:tcBorders>
              <w:top w:val="single" w:sz="4" w:space="0" w:color="auto"/>
            </w:tcBorders>
            <w:vAlign w:val="bottom"/>
          </w:tcPr>
          <w:p w:rsidR="00C0394F" w:rsidRPr="00CA1AB4" w:rsidRDefault="00C0394F" w:rsidP="005A1981">
            <w:pPr>
              <w:jc w:val="right"/>
              <w:rPr>
                <w:rFonts w:eastAsia="Calibri" w:cs="Times New Roman"/>
                <w:sz w:val="22"/>
              </w:rPr>
            </w:pPr>
            <w:r w:rsidRPr="00CA1AB4">
              <w:rPr>
                <w:rFonts w:eastAsia="Calibri" w:cs="Times New Roman"/>
                <w:sz w:val="22"/>
              </w:rPr>
              <w:t>886.479</w:t>
            </w:r>
          </w:p>
        </w:tc>
        <w:tc>
          <w:tcPr>
            <w:tcW w:w="1011" w:type="dxa"/>
            <w:tcBorders>
              <w:top w:val="single" w:sz="4" w:space="0" w:color="auto"/>
            </w:tcBorders>
            <w:vAlign w:val="bottom"/>
          </w:tcPr>
          <w:p w:rsidR="00C0394F" w:rsidRPr="00CA1AB4" w:rsidRDefault="00C0394F" w:rsidP="005A1981">
            <w:pPr>
              <w:jc w:val="right"/>
              <w:rPr>
                <w:rFonts w:eastAsia="Calibri" w:cs="Times New Roman"/>
                <w:sz w:val="22"/>
              </w:rPr>
            </w:pPr>
            <w:r w:rsidRPr="00CA1AB4">
              <w:rPr>
                <w:rFonts w:eastAsia="Calibri" w:cs="Times New Roman"/>
                <w:sz w:val="22"/>
              </w:rPr>
              <w:t>948.639</w:t>
            </w:r>
          </w:p>
        </w:tc>
      </w:tr>
      <w:tr w:rsidR="00C0394F" w:rsidRPr="00CA1AB4" w:rsidTr="00F217C9">
        <w:trPr>
          <w:gridAfter w:val="1"/>
          <w:wAfter w:w="29" w:type="dxa"/>
          <w:trHeight w:val="254"/>
        </w:trPr>
        <w:tc>
          <w:tcPr>
            <w:tcW w:w="1031" w:type="dxa"/>
            <w:gridSpan w:val="3"/>
            <w:tcBorders>
              <w:bottom w:val="single" w:sz="4" w:space="0" w:color="auto"/>
            </w:tcBorders>
          </w:tcPr>
          <w:p w:rsidR="00C0394F" w:rsidRPr="00BD577A" w:rsidRDefault="00C0394F" w:rsidP="005A1981">
            <w:pPr>
              <w:jc w:val="both"/>
              <w:rPr>
                <w:rFonts w:eastAsia="Calibri" w:cs="Times New Roman"/>
                <w:sz w:val="22"/>
                <w:lang w:val="en-US"/>
              </w:rPr>
            </w:pPr>
            <w:r>
              <w:rPr>
                <w:rFonts w:eastAsia="Calibri" w:cs="Times New Roman"/>
                <w:sz w:val="22"/>
                <w:lang w:val="en-US"/>
              </w:rPr>
              <w:t>In Dollar</w:t>
            </w:r>
          </w:p>
        </w:tc>
        <w:tc>
          <w:tcPr>
            <w:tcW w:w="799"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1.825</w:t>
            </w:r>
          </w:p>
        </w:tc>
        <w:tc>
          <w:tcPr>
            <w:tcW w:w="799"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3.243</w:t>
            </w:r>
          </w:p>
        </w:tc>
        <w:tc>
          <w:tcPr>
            <w:tcW w:w="799"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4.901</w:t>
            </w:r>
          </w:p>
        </w:tc>
        <w:tc>
          <w:tcPr>
            <w:tcW w:w="898"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6.792</w:t>
            </w:r>
          </w:p>
        </w:tc>
        <w:tc>
          <w:tcPr>
            <w:tcW w:w="898"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11.129</w:t>
            </w:r>
          </w:p>
        </w:tc>
        <w:tc>
          <w:tcPr>
            <w:tcW w:w="945"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17.799</w:t>
            </w:r>
          </w:p>
        </w:tc>
        <w:tc>
          <w:tcPr>
            <w:tcW w:w="945"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19.552</w:t>
            </w:r>
          </w:p>
        </w:tc>
        <w:tc>
          <w:tcPr>
            <w:tcW w:w="945"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19.070</w:t>
            </w:r>
          </w:p>
        </w:tc>
        <w:tc>
          <w:tcPr>
            <w:tcW w:w="1011" w:type="dxa"/>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21.447</w:t>
            </w:r>
          </w:p>
        </w:tc>
      </w:tr>
      <w:tr w:rsidR="00C0394F" w:rsidRPr="00CA1AB4" w:rsidTr="005A1981">
        <w:trPr>
          <w:gridAfter w:val="1"/>
          <w:wAfter w:w="27" w:type="dxa"/>
          <w:trHeight w:val="254"/>
        </w:trPr>
        <w:tc>
          <w:tcPr>
            <w:tcW w:w="9072" w:type="dxa"/>
            <w:gridSpan w:val="20"/>
            <w:tcBorders>
              <w:top w:val="single" w:sz="4" w:space="0" w:color="auto"/>
              <w:bottom w:val="single" w:sz="4" w:space="0" w:color="auto"/>
            </w:tcBorders>
          </w:tcPr>
          <w:p w:rsidR="00C0394F" w:rsidRPr="00CA1AB4" w:rsidRDefault="00C0394F" w:rsidP="005A1981">
            <w:pPr>
              <w:jc w:val="center"/>
              <w:rPr>
                <w:rFonts w:eastAsia="Calibri" w:cs="Times New Roman"/>
                <w:sz w:val="22"/>
              </w:rPr>
            </w:pPr>
            <w:r w:rsidRPr="00CA1AB4">
              <w:rPr>
                <w:rFonts w:eastAsia="Calibri" w:cs="Times New Roman"/>
                <w:sz w:val="22"/>
                <w:lang w:val="en-US"/>
              </w:rPr>
              <w:t>Croatia</w:t>
            </w:r>
          </w:p>
        </w:tc>
      </w:tr>
      <w:tr w:rsidR="00C0394F" w:rsidRPr="00CA1AB4" w:rsidTr="005A1981">
        <w:trPr>
          <w:gridAfter w:val="1"/>
          <w:wAfter w:w="29" w:type="dxa"/>
          <w:trHeight w:val="254"/>
        </w:trPr>
        <w:tc>
          <w:tcPr>
            <w:tcW w:w="1830" w:type="dxa"/>
            <w:gridSpan w:val="5"/>
            <w:tcBorders>
              <w:top w:val="single" w:sz="4" w:space="0" w:color="auto"/>
              <w:bottom w:val="single" w:sz="4" w:space="0" w:color="auto"/>
            </w:tcBorders>
          </w:tcPr>
          <w:p w:rsidR="00C0394F" w:rsidRPr="00CA1AB4" w:rsidRDefault="00C0394F" w:rsidP="005A1981">
            <w:pPr>
              <w:jc w:val="right"/>
              <w:rPr>
                <w:rFonts w:eastAsia="Calibri" w:cs="Times New Roman"/>
                <w:sz w:val="22"/>
                <w:lang w:val="en-US"/>
              </w:rPr>
            </w:pPr>
            <w:r w:rsidRPr="00CA1AB4">
              <w:rPr>
                <w:rFonts w:eastAsia="Calibri" w:cs="Times New Roman"/>
                <w:sz w:val="22"/>
                <w:lang w:val="en-US"/>
              </w:rPr>
              <w:t>Loans to enterprises</w:t>
            </w:r>
          </w:p>
        </w:tc>
        <w:tc>
          <w:tcPr>
            <w:tcW w:w="799" w:type="dxa"/>
            <w:gridSpan w:val="2"/>
            <w:tcBorders>
              <w:top w:val="single" w:sz="4" w:space="0" w:color="auto"/>
              <w:bottom w:val="single" w:sz="4" w:space="0" w:color="auto"/>
            </w:tcBorders>
            <w:vAlign w:val="bottom"/>
          </w:tcPr>
          <w:p w:rsidR="00C0394F" w:rsidRPr="00CA1AB4" w:rsidRDefault="00C0394F" w:rsidP="005A1981">
            <w:pPr>
              <w:jc w:val="right"/>
              <w:rPr>
                <w:rFonts w:eastAsia="Calibri" w:cs="Times New Roman"/>
                <w:sz w:val="22"/>
              </w:rPr>
            </w:pPr>
          </w:p>
        </w:tc>
        <w:tc>
          <w:tcPr>
            <w:tcW w:w="799" w:type="dxa"/>
            <w:gridSpan w:val="2"/>
            <w:tcBorders>
              <w:top w:val="single" w:sz="4" w:space="0" w:color="auto"/>
              <w:bottom w:val="single" w:sz="4" w:space="0" w:color="auto"/>
            </w:tcBorders>
            <w:vAlign w:val="bottom"/>
          </w:tcPr>
          <w:p w:rsidR="00C0394F" w:rsidRPr="00CA1AB4" w:rsidRDefault="00C0394F" w:rsidP="005A1981">
            <w:pPr>
              <w:jc w:val="right"/>
              <w:rPr>
                <w:rFonts w:eastAsia="Calibri" w:cs="Times New Roman"/>
                <w:sz w:val="22"/>
              </w:rPr>
            </w:pPr>
          </w:p>
        </w:tc>
        <w:tc>
          <w:tcPr>
            <w:tcW w:w="898" w:type="dxa"/>
            <w:gridSpan w:val="2"/>
            <w:tcBorders>
              <w:top w:val="single" w:sz="4" w:space="0" w:color="auto"/>
              <w:bottom w:val="single" w:sz="4" w:space="0" w:color="auto"/>
            </w:tcBorders>
            <w:vAlign w:val="bottom"/>
          </w:tcPr>
          <w:p w:rsidR="00C0394F" w:rsidRPr="00CA1AB4" w:rsidRDefault="00C0394F" w:rsidP="005A1981">
            <w:pPr>
              <w:jc w:val="right"/>
              <w:rPr>
                <w:rFonts w:eastAsia="Calibri" w:cs="Times New Roman"/>
                <w:sz w:val="22"/>
              </w:rPr>
            </w:pPr>
          </w:p>
        </w:tc>
        <w:tc>
          <w:tcPr>
            <w:tcW w:w="898" w:type="dxa"/>
            <w:gridSpan w:val="2"/>
            <w:tcBorders>
              <w:top w:val="single" w:sz="4" w:space="0" w:color="auto"/>
              <w:bottom w:val="single" w:sz="4" w:space="0" w:color="auto"/>
            </w:tcBorders>
            <w:vAlign w:val="bottom"/>
          </w:tcPr>
          <w:p w:rsidR="00C0394F" w:rsidRPr="00CA1AB4" w:rsidRDefault="00C0394F" w:rsidP="005A1981">
            <w:pPr>
              <w:jc w:val="right"/>
              <w:rPr>
                <w:rFonts w:eastAsia="Calibri" w:cs="Times New Roman"/>
                <w:sz w:val="22"/>
              </w:rPr>
            </w:pPr>
          </w:p>
        </w:tc>
        <w:tc>
          <w:tcPr>
            <w:tcW w:w="945" w:type="dxa"/>
            <w:gridSpan w:val="2"/>
            <w:tcBorders>
              <w:top w:val="single" w:sz="4" w:space="0" w:color="auto"/>
              <w:bottom w:val="single" w:sz="4" w:space="0" w:color="auto"/>
            </w:tcBorders>
            <w:vAlign w:val="bottom"/>
          </w:tcPr>
          <w:p w:rsidR="00C0394F" w:rsidRPr="00CA1AB4" w:rsidRDefault="00C0394F" w:rsidP="005A1981">
            <w:pPr>
              <w:jc w:val="right"/>
              <w:rPr>
                <w:rFonts w:eastAsia="Calibri" w:cs="Times New Roman"/>
                <w:sz w:val="22"/>
              </w:rPr>
            </w:pPr>
          </w:p>
        </w:tc>
        <w:tc>
          <w:tcPr>
            <w:tcW w:w="945" w:type="dxa"/>
            <w:gridSpan w:val="2"/>
            <w:tcBorders>
              <w:top w:val="single" w:sz="4" w:space="0" w:color="auto"/>
              <w:bottom w:val="single" w:sz="4" w:space="0" w:color="auto"/>
            </w:tcBorders>
            <w:vAlign w:val="bottom"/>
          </w:tcPr>
          <w:p w:rsidR="00C0394F" w:rsidRPr="00CA1AB4" w:rsidRDefault="00C0394F" w:rsidP="005A1981">
            <w:pPr>
              <w:jc w:val="right"/>
              <w:rPr>
                <w:rFonts w:eastAsia="Calibri" w:cs="Times New Roman"/>
                <w:sz w:val="22"/>
              </w:rPr>
            </w:pPr>
          </w:p>
        </w:tc>
        <w:tc>
          <w:tcPr>
            <w:tcW w:w="945" w:type="dxa"/>
            <w:gridSpan w:val="2"/>
            <w:tcBorders>
              <w:top w:val="single" w:sz="4" w:space="0" w:color="auto"/>
              <w:bottom w:val="single" w:sz="4" w:space="0" w:color="auto"/>
            </w:tcBorders>
            <w:vAlign w:val="bottom"/>
          </w:tcPr>
          <w:p w:rsidR="00C0394F" w:rsidRPr="00CA1AB4" w:rsidRDefault="00C0394F" w:rsidP="005A1981">
            <w:pPr>
              <w:jc w:val="right"/>
              <w:rPr>
                <w:rFonts w:eastAsia="Calibri" w:cs="Times New Roman"/>
                <w:sz w:val="22"/>
              </w:rPr>
            </w:pPr>
          </w:p>
        </w:tc>
        <w:tc>
          <w:tcPr>
            <w:tcW w:w="1011" w:type="dxa"/>
            <w:tcBorders>
              <w:top w:val="single" w:sz="4" w:space="0" w:color="auto"/>
              <w:bottom w:val="single" w:sz="4" w:space="0" w:color="auto"/>
            </w:tcBorders>
            <w:vAlign w:val="bottom"/>
          </w:tcPr>
          <w:p w:rsidR="00C0394F" w:rsidRPr="00CA1AB4" w:rsidRDefault="00C0394F" w:rsidP="005A1981">
            <w:pPr>
              <w:jc w:val="right"/>
              <w:rPr>
                <w:rFonts w:eastAsia="Calibri" w:cs="Times New Roman"/>
                <w:sz w:val="22"/>
              </w:rPr>
            </w:pPr>
          </w:p>
        </w:tc>
      </w:tr>
      <w:tr w:rsidR="00C0394F" w:rsidTr="00F217C9">
        <w:tblPrEx>
          <w:tblCellMar>
            <w:left w:w="0" w:type="dxa"/>
            <w:right w:w="0" w:type="dxa"/>
          </w:tblCellMar>
        </w:tblPrEx>
        <w:trPr>
          <w:gridBefore w:val="1"/>
          <w:wBefore w:w="28" w:type="dxa"/>
          <w:trHeight w:val="68"/>
        </w:trPr>
        <w:tc>
          <w:tcPr>
            <w:tcW w:w="806" w:type="dxa"/>
          </w:tcPr>
          <w:p w:rsidR="00C0394F" w:rsidRPr="00BD577A" w:rsidRDefault="00C0394F" w:rsidP="005A1981">
            <w:pPr>
              <w:jc w:val="both"/>
              <w:rPr>
                <w:rFonts w:eastAsia="Calibri" w:cs="Times New Roman"/>
                <w:sz w:val="22"/>
                <w:lang w:val="en-US"/>
              </w:rPr>
            </w:pPr>
            <w:r>
              <w:rPr>
                <w:rFonts w:eastAsia="Calibri" w:cs="Times New Roman"/>
                <w:sz w:val="22"/>
                <w:lang w:val="en-US"/>
              </w:rPr>
              <w:t>In Kuna</w:t>
            </w:r>
          </w:p>
        </w:tc>
        <w:tc>
          <w:tcPr>
            <w:tcW w:w="817" w:type="dxa"/>
            <w:gridSpan w:val="2"/>
            <w:vAlign w:val="center"/>
          </w:tcPr>
          <w:p w:rsidR="00C0394F" w:rsidRPr="00CA1AB4" w:rsidRDefault="00C0394F" w:rsidP="005A1981">
            <w:pPr>
              <w:jc w:val="right"/>
              <w:rPr>
                <w:rFonts w:cs="Times New Roman"/>
                <w:sz w:val="22"/>
              </w:rPr>
            </w:pPr>
            <w:r w:rsidRPr="00CA1AB4">
              <w:rPr>
                <w:rFonts w:cs="Times New Roman"/>
                <w:sz w:val="22"/>
              </w:rPr>
              <w:t>578.081</w:t>
            </w:r>
          </w:p>
        </w:tc>
        <w:tc>
          <w:tcPr>
            <w:tcW w:w="815" w:type="dxa"/>
            <w:gridSpan w:val="2"/>
            <w:vAlign w:val="center"/>
          </w:tcPr>
          <w:p w:rsidR="00C0394F" w:rsidRPr="00CA1AB4" w:rsidRDefault="00C0394F" w:rsidP="005A1981">
            <w:pPr>
              <w:jc w:val="right"/>
              <w:rPr>
                <w:rFonts w:cs="Times New Roman"/>
                <w:sz w:val="22"/>
              </w:rPr>
            </w:pPr>
            <w:r w:rsidRPr="00CA1AB4">
              <w:rPr>
                <w:rFonts w:cs="Times New Roman"/>
                <w:sz w:val="22"/>
              </w:rPr>
              <w:t>610.597</w:t>
            </w:r>
          </w:p>
        </w:tc>
        <w:tc>
          <w:tcPr>
            <w:tcW w:w="815" w:type="dxa"/>
            <w:gridSpan w:val="2"/>
            <w:vAlign w:val="center"/>
          </w:tcPr>
          <w:p w:rsidR="00C0394F" w:rsidRPr="00CA1AB4" w:rsidRDefault="00C0394F" w:rsidP="005A1981">
            <w:pPr>
              <w:jc w:val="right"/>
              <w:rPr>
                <w:rFonts w:cs="Times New Roman"/>
                <w:sz w:val="22"/>
              </w:rPr>
            </w:pPr>
            <w:r w:rsidRPr="00CA1AB4">
              <w:rPr>
                <w:rFonts w:cs="Times New Roman"/>
                <w:sz w:val="22"/>
              </w:rPr>
              <w:t>680.872</w:t>
            </w:r>
          </w:p>
        </w:tc>
        <w:tc>
          <w:tcPr>
            <w:tcW w:w="954" w:type="dxa"/>
            <w:gridSpan w:val="2"/>
            <w:vAlign w:val="center"/>
          </w:tcPr>
          <w:p w:rsidR="00C0394F" w:rsidRPr="00CA1AB4" w:rsidRDefault="00C0394F" w:rsidP="005A1981">
            <w:pPr>
              <w:jc w:val="right"/>
              <w:rPr>
                <w:rFonts w:cs="Times New Roman"/>
                <w:sz w:val="22"/>
              </w:rPr>
            </w:pPr>
            <w:r w:rsidRPr="00CA1AB4">
              <w:rPr>
                <w:rFonts w:cs="Times New Roman"/>
                <w:sz w:val="22"/>
              </w:rPr>
              <w:t>838.289</w:t>
            </w:r>
          </w:p>
        </w:tc>
        <w:tc>
          <w:tcPr>
            <w:tcW w:w="954" w:type="dxa"/>
            <w:gridSpan w:val="2"/>
            <w:vAlign w:val="center"/>
          </w:tcPr>
          <w:p w:rsidR="00C0394F" w:rsidRPr="00CA1AB4" w:rsidRDefault="00C0394F" w:rsidP="005A1981">
            <w:pPr>
              <w:jc w:val="right"/>
              <w:rPr>
                <w:rFonts w:cs="Times New Roman"/>
                <w:sz w:val="22"/>
              </w:rPr>
            </w:pPr>
            <w:r w:rsidRPr="00CA1AB4">
              <w:rPr>
                <w:rFonts w:cs="Times New Roman"/>
                <w:sz w:val="22"/>
              </w:rPr>
              <w:t>1.000.448</w:t>
            </w:r>
          </w:p>
        </w:tc>
        <w:tc>
          <w:tcPr>
            <w:tcW w:w="954" w:type="dxa"/>
            <w:gridSpan w:val="2"/>
            <w:vAlign w:val="center"/>
          </w:tcPr>
          <w:p w:rsidR="00C0394F" w:rsidRPr="00CA1AB4" w:rsidRDefault="00C0394F" w:rsidP="005A1981">
            <w:pPr>
              <w:jc w:val="right"/>
              <w:rPr>
                <w:rFonts w:cs="Times New Roman"/>
                <w:sz w:val="22"/>
              </w:rPr>
            </w:pPr>
            <w:r w:rsidRPr="00CA1AB4">
              <w:rPr>
                <w:rFonts w:cs="Times New Roman"/>
                <w:sz w:val="22"/>
              </w:rPr>
              <w:t>1.091.279</w:t>
            </w:r>
          </w:p>
        </w:tc>
        <w:tc>
          <w:tcPr>
            <w:tcW w:w="954" w:type="dxa"/>
            <w:gridSpan w:val="2"/>
            <w:vAlign w:val="center"/>
          </w:tcPr>
          <w:p w:rsidR="00C0394F" w:rsidRPr="00CA1AB4" w:rsidRDefault="00C0394F" w:rsidP="005A1981">
            <w:pPr>
              <w:jc w:val="right"/>
              <w:rPr>
                <w:rFonts w:cs="Times New Roman"/>
                <w:sz w:val="22"/>
              </w:rPr>
            </w:pPr>
            <w:r w:rsidRPr="00CA1AB4">
              <w:rPr>
                <w:rFonts w:cs="Times New Roman"/>
                <w:sz w:val="22"/>
              </w:rPr>
              <w:t>1.175.728</w:t>
            </w:r>
          </w:p>
        </w:tc>
        <w:tc>
          <w:tcPr>
            <w:tcW w:w="954" w:type="dxa"/>
            <w:gridSpan w:val="2"/>
            <w:vAlign w:val="center"/>
          </w:tcPr>
          <w:p w:rsidR="00C0394F" w:rsidRPr="00CA1AB4" w:rsidRDefault="00C0394F" w:rsidP="005A1981">
            <w:pPr>
              <w:jc w:val="right"/>
              <w:rPr>
                <w:rFonts w:cs="Times New Roman"/>
                <w:sz w:val="22"/>
              </w:rPr>
            </w:pPr>
            <w:r w:rsidRPr="00CA1AB4">
              <w:rPr>
                <w:rFonts w:cs="Times New Roman"/>
                <w:sz w:val="22"/>
              </w:rPr>
              <w:t>1.247.344</w:t>
            </w:r>
          </w:p>
        </w:tc>
        <w:tc>
          <w:tcPr>
            <w:tcW w:w="1048" w:type="dxa"/>
            <w:gridSpan w:val="3"/>
            <w:vAlign w:val="center"/>
          </w:tcPr>
          <w:p w:rsidR="00C0394F" w:rsidRPr="00CA1AB4" w:rsidRDefault="00C0394F" w:rsidP="005A1981">
            <w:pPr>
              <w:jc w:val="right"/>
              <w:rPr>
                <w:rFonts w:cs="Times New Roman"/>
                <w:sz w:val="22"/>
              </w:rPr>
            </w:pPr>
            <w:r w:rsidRPr="00CA1AB4">
              <w:rPr>
                <w:rFonts w:cs="Times New Roman"/>
                <w:sz w:val="22"/>
              </w:rPr>
              <w:t>1.354.954</w:t>
            </w:r>
          </w:p>
        </w:tc>
      </w:tr>
      <w:tr w:rsidR="00C0394F" w:rsidTr="00F217C9">
        <w:tblPrEx>
          <w:tblCellMar>
            <w:left w:w="0" w:type="dxa"/>
            <w:right w:w="0" w:type="dxa"/>
          </w:tblCellMar>
        </w:tblPrEx>
        <w:trPr>
          <w:gridBefore w:val="1"/>
          <w:wBefore w:w="28" w:type="dxa"/>
          <w:trHeight w:val="68"/>
        </w:trPr>
        <w:tc>
          <w:tcPr>
            <w:tcW w:w="806" w:type="dxa"/>
            <w:tcBorders>
              <w:bottom w:val="single" w:sz="4" w:space="0" w:color="auto"/>
            </w:tcBorders>
          </w:tcPr>
          <w:p w:rsidR="00C0394F" w:rsidRPr="00BD577A" w:rsidRDefault="00C0394F" w:rsidP="005A1981">
            <w:pPr>
              <w:jc w:val="both"/>
              <w:rPr>
                <w:rFonts w:eastAsia="Calibri" w:cs="Times New Roman"/>
                <w:sz w:val="22"/>
                <w:lang w:val="en-US"/>
              </w:rPr>
            </w:pPr>
            <w:r>
              <w:rPr>
                <w:rFonts w:eastAsia="Calibri" w:cs="Times New Roman"/>
                <w:sz w:val="22"/>
                <w:lang w:val="en-US"/>
              </w:rPr>
              <w:t>In Dollar</w:t>
            </w:r>
          </w:p>
        </w:tc>
        <w:tc>
          <w:tcPr>
            <w:tcW w:w="817"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86.217</w:t>
            </w:r>
          </w:p>
        </w:tc>
        <w:tc>
          <w:tcPr>
            <w:tcW w:w="815"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101.187</w:t>
            </w:r>
          </w:p>
        </w:tc>
        <w:tc>
          <w:tcPr>
            <w:tcW w:w="815"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114.447</w:t>
            </w:r>
          </w:p>
        </w:tc>
        <w:tc>
          <w:tcPr>
            <w:tcW w:w="954"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143.597</w:t>
            </w:r>
          </w:p>
        </w:tc>
        <w:tc>
          <w:tcPr>
            <w:tcW w:w="954"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186.493</w:t>
            </w:r>
          </w:p>
        </w:tc>
        <w:tc>
          <w:tcPr>
            <w:tcW w:w="954"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221.129</w:t>
            </w:r>
          </w:p>
        </w:tc>
        <w:tc>
          <w:tcPr>
            <w:tcW w:w="954"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222.509</w:t>
            </w:r>
          </w:p>
        </w:tc>
        <w:tc>
          <w:tcPr>
            <w:tcW w:w="954"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226.872</w:t>
            </w:r>
          </w:p>
        </w:tc>
        <w:tc>
          <w:tcPr>
            <w:tcW w:w="1048" w:type="dxa"/>
            <w:gridSpan w:val="3"/>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253.553</w:t>
            </w:r>
          </w:p>
        </w:tc>
      </w:tr>
      <w:tr w:rsidR="00C0394F" w:rsidRPr="00CA1AB4" w:rsidTr="005A1981">
        <w:trPr>
          <w:gridAfter w:val="1"/>
          <w:wAfter w:w="27" w:type="dxa"/>
          <w:trHeight w:val="254"/>
        </w:trPr>
        <w:tc>
          <w:tcPr>
            <w:tcW w:w="9072" w:type="dxa"/>
            <w:gridSpan w:val="20"/>
            <w:tcBorders>
              <w:top w:val="single" w:sz="4" w:space="0" w:color="auto"/>
              <w:bottom w:val="single" w:sz="4" w:space="0" w:color="auto"/>
            </w:tcBorders>
          </w:tcPr>
          <w:p w:rsidR="00C0394F" w:rsidRPr="00CA1AB4" w:rsidRDefault="00C0394F" w:rsidP="005A1981">
            <w:pPr>
              <w:rPr>
                <w:rFonts w:cs="Times New Roman"/>
                <w:sz w:val="22"/>
              </w:rPr>
            </w:pPr>
            <w:r w:rsidRPr="00CA1AB4">
              <w:rPr>
                <w:rFonts w:eastAsia="Calibri" w:cs="Times New Roman"/>
                <w:sz w:val="22"/>
                <w:lang w:val="en-US"/>
              </w:rPr>
              <w:t>Loans to households</w:t>
            </w:r>
          </w:p>
        </w:tc>
      </w:tr>
      <w:tr w:rsidR="00C0394F" w:rsidRPr="00BD577A" w:rsidTr="00F217C9">
        <w:tblPrEx>
          <w:tblCellMar>
            <w:left w:w="0" w:type="dxa"/>
            <w:right w:w="0" w:type="dxa"/>
          </w:tblCellMar>
        </w:tblPrEx>
        <w:trPr>
          <w:gridBefore w:val="1"/>
          <w:wBefore w:w="28" w:type="dxa"/>
          <w:trHeight w:val="58"/>
        </w:trPr>
        <w:tc>
          <w:tcPr>
            <w:tcW w:w="806" w:type="dxa"/>
          </w:tcPr>
          <w:p w:rsidR="00C0394F" w:rsidRPr="00BD577A" w:rsidRDefault="00C0394F" w:rsidP="005A1981">
            <w:pPr>
              <w:jc w:val="both"/>
              <w:rPr>
                <w:rFonts w:eastAsia="Calibri" w:cs="Times New Roman"/>
                <w:sz w:val="22"/>
              </w:rPr>
            </w:pPr>
            <w:r>
              <w:rPr>
                <w:rFonts w:eastAsia="Calibri" w:cs="Times New Roman"/>
                <w:sz w:val="22"/>
                <w:lang w:val="en-US"/>
              </w:rPr>
              <w:t>In Kuna</w:t>
            </w:r>
          </w:p>
        </w:tc>
        <w:tc>
          <w:tcPr>
            <w:tcW w:w="817" w:type="dxa"/>
            <w:gridSpan w:val="2"/>
            <w:vAlign w:val="bottom"/>
          </w:tcPr>
          <w:p w:rsidR="00C0394F" w:rsidRPr="00CA1AB4" w:rsidRDefault="00C0394F" w:rsidP="005A1981">
            <w:pPr>
              <w:jc w:val="right"/>
              <w:rPr>
                <w:rFonts w:eastAsia="Calibri" w:cs="Times New Roman"/>
                <w:sz w:val="22"/>
              </w:rPr>
            </w:pPr>
            <w:r w:rsidRPr="00CA1AB4">
              <w:rPr>
                <w:rFonts w:eastAsia="Calibri" w:cs="Times New Roman"/>
                <w:sz w:val="22"/>
              </w:rPr>
              <w:t xml:space="preserve">598.768 </w:t>
            </w:r>
          </w:p>
        </w:tc>
        <w:tc>
          <w:tcPr>
            <w:tcW w:w="815" w:type="dxa"/>
            <w:gridSpan w:val="2"/>
            <w:vAlign w:val="bottom"/>
          </w:tcPr>
          <w:p w:rsidR="00C0394F" w:rsidRPr="00CA1AB4" w:rsidRDefault="00C0394F" w:rsidP="005A1981">
            <w:pPr>
              <w:jc w:val="right"/>
              <w:rPr>
                <w:rFonts w:eastAsia="Calibri" w:cs="Times New Roman"/>
                <w:sz w:val="22"/>
              </w:rPr>
            </w:pPr>
            <w:r w:rsidRPr="00CA1AB4">
              <w:rPr>
                <w:rFonts w:eastAsia="Calibri" w:cs="Times New Roman"/>
                <w:sz w:val="22"/>
              </w:rPr>
              <w:t xml:space="preserve">708.539    </w:t>
            </w:r>
          </w:p>
        </w:tc>
        <w:tc>
          <w:tcPr>
            <w:tcW w:w="815" w:type="dxa"/>
            <w:gridSpan w:val="2"/>
            <w:vAlign w:val="bottom"/>
          </w:tcPr>
          <w:p w:rsidR="00C0394F" w:rsidRPr="00CA1AB4" w:rsidRDefault="00C0394F" w:rsidP="005A1981">
            <w:pPr>
              <w:jc w:val="right"/>
              <w:rPr>
                <w:rFonts w:eastAsia="Calibri" w:cs="Times New Roman"/>
                <w:sz w:val="22"/>
              </w:rPr>
            </w:pPr>
            <w:r w:rsidRPr="00CA1AB4">
              <w:rPr>
                <w:rFonts w:eastAsia="Calibri" w:cs="Times New Roman"/>
                <w:sz w:val="22"/>
              </w:rPr>
              <w:t xml:space="preserve">853.194    </w:t>
            </w:r>
          </w:p>
        </w:tc>
        <w:tc>
          <w:tcPr>
            <w:tcW w:w="954" w:type="dxa"/>
            <w:gridSpan w:val="2"/>
            <w:vAlign w:val="bottom"/>
          </w:tcPr>
          <w:p w:rsidR="00C0394F" w:rsidRPr="00CA1AB4" w:rsidRDefault="00C0394F" w:rsidP="005A1981">
            <w:pPr>
              <w:jc w:val="right"/>
              <w:rPr>
                <w:rFonts w:eastAsia="Calibri" w:cs="Times New Roman"/>
                <w:sz w:val="22"/>
              </w:rPr>
            </w:pPr>
            <w:r w:rsidRPr="00CA1AB4">
              <w:rPr>
                <w:rFonts w:eastAsia="Calibri" w:cs="Times New Roman"/>
                <w:sz w:val="22"/>
              </w:rPr>
              <w:t xml:space="preserve">1.047.650    </w:t>
            </w:r>
          </w:p>
        </w:tc>
        <w:tc>
          <w:tcPr>
            <w:tcW w:w="954" w:type="dxa"/>
            <w:gridSpan w:val="2"/>
            <w:vAlign w:val="bottom"/>
          </w:tcPr>
          <w:p w:rsidR="00C0394F" w:rsidRPr="00CA1AB4" w:rsidRDefault="00C0394F" w:rsidP="005A1981">
            <w:pPr>
              <w:jc w:val="right"/>
              <w:rPr>
                <w:rFonts w:eastAsia="Calibri" w:cs="Times New Roman"/>
                <w:sz w:val="22"/>
              </w:rPr>
            </w:pPr>
            <w:r w:rsidRPr="00CA1AB4">
              <w:rPr>
                <w:rFonts w:eastAsia="Calibri" w:cs="Times New Roman"/>
                <w:sz w:val="22"/>
              </w:rPr>
              <w:t xml:space="preserve">1.265.180    </w:t>
            </w:r>
          </w:p>
        </w:tc>
        <w:tc>
          <w:tcPr>
            <w:tcW w:w="954" w:type="dxa"/>
            <w:gridSpan w:val="2"/>
            <w:vAlign w:val="bottom"/>
          </w:tcPr>
          <w:p w:rsidR="00C0394F" w:rsidRPr="00CA1AB4" w:rsidRDefault="00C0394F" w:rsidP="005A1981">
            <w:pPr>
              <w:jc w:val="right"/>
              <w:rPr>
                <w:rFonts w:eastAsia="Calibri" w:cs="Times New Roman"/>
                <w:sz w:val="22"/>
              </w:rPr>
            </w:pPr>
            <w:r w:rsidRPr="00CA1AB4">
              <w:rPr>
                <w:rFonts w:eastAsia="Calibri" w:cs="Times New Roman"/>
                <w:sz w:val="22"/>
              </w:rPr>
              <w:t xml:space="preserve">1.440.833    </w:t>
            </w:r>
          </w:p>
        </w:tc>
        <w:tc>
          <w:tcPr>
            <w:tcW w:w="954" w:type="dxa"/>
            <w:gridSpan w:val="2"/>
            <w:vAlign w:val="bottom"/>
          </w:tcPr>
          <w:p w:rsidR="00C0394F" w:rsidRPr="00CA1AB4" w:rsidRDefault="00C0394F" w:rsidP="005A1981">
            <w:pPr>
              <w:jc w:val="right"/>
              <w:rPr>
                <w:rFonts w:eastAsia="Calibri" w:cs="Times New Roman"/>
                <w:sz w:val="22"/>
              </w:rPr>
            </w:pPr>
            <w:r w:rsidRPr="00CA1AB4">
              <w:rPr>
                <w:rFonts w:eastAsia="Calibri" w:cs="Times New Roman"/>
                <w:sz w:val="22"/>
              </w:rPr>
              <w:t xml:space="preserve">1.492.879    </w:t>
            </w:r>
          </w:p>
        </w:tc>
        <w:tc>
          <w:tcPr>
            <w:tcW w:w="954" w:type="dxa"/>
            <w:gridSpan w:val="2"/>
            <w:vAlign w:val="bottom"/>
          </w:tcPr>
          <w:p w:rsidR="00C0394F" w:rsidRPr="00CA1AB4" w:rsidRDefault="00C0394F" w:rsidP="005A1981">
            <w:pPr>
              <w:jc w:val="right"/>
              <w:rPr>
                <w:rFonts w:eastAsia="Calibri" w:cs="Times New Roman"/>
                <w:sz w:val="22"/>
              </w:rPr>
            </w:pPr>
            <w:r w:rsidRPr="00CA1AB4">
              <w:rPr>
                <w:rFonts w:eastAsia="Calibri" w:cs="Times New Roman"/>
                <w:sz w:val="22"/>
              </w:rPr>
              <w:t xml:space="preserve">1.490.015    </w:t>
            </w:r>
          </w:p>
        </w:tc>
        <w:tc>
          <w:tcPr>
            <w:tcW w:w="1048" w:type="dxa"/>
            <w:gridSpan w:val="3"/>
            <w:vAlign w:val="bottom"/>
          </w:tcPr>
          <w:p w:rsidR="00C0394F" w:rsidRPr="00CA1AB4" w:rsidRDefault="00C0394F" w:rsidP="005A1981">
            <w:pPr>
              <w:jc w:val="right"/>
              <w:rPr>
                <w:rFonts w:eastAsia="Calibri" w:cs="Times New Roman"/>
                <w:sz w:val="22"/>
              </w:rPr>
            </w:pPr>
            <w:r w:rsidRPr="00CA1AB4">
              <w:rPr>
                <w:rFonts w:eastAsia="Calibri" w:cs="Times New Roman"/>
                <w:sz w:val="22"/>
              </w:rPr>
              <w:t xml:space="preserve">1.534.271 </w:t>
            </w:r>
          </w:p>
        </w:tc>
      </w:tr>
      <w:tr w:rsidR="00C0394F" w:rsidRPr="00BD577A" w:rsidTr="00F217C9">
        <w:tblPrEx>
          <w:tblCellMar>
            <w:left w:w="0" w:type="dxa"/>
            <w:right w:w="0" w:type="dxa"/>
          </w:tblCellMar>
        </w:tblPrEx>
        <w:trPr>
          <w:gridBefore w:val="1"/>
          <w:wBefore w:w="28" w:type="dxa"/>
          <w:trHeight w:val="58"/>
        </w:trPr>
        <w:tc>
          <w:tcPr>
            <w:tcW w:w="806" w:type="dxa"/>
            <w:tcBorders>
              <w:bottom w:val="single" w:sz="4" w:space="0" w:color="auto"/>
            </w:tcBorders>
          </w:tcPr>
          <w:p w:rsidR="00C0394F" w:rsidRPr="00BD577A" w:rsidRDefault="00C0394F" w:rsidP="005A1981">
            <w:pPr>
              <w:jc w:val="both"/>
              <w:rPr>
                <w:rFonts w:eastAsia="Calibri" w:cs="Times New Roman"/>
                <w:sz w:val="22"/>
                <w:lang w:val="en-US"/>
              </w:rPr>
            </w:pPr>
            <w:r>
              <w:rPr>
                <w:rFonts w:eastAsia="Calibri" w:cs="Times New Roman"/>
                <w:sz w:val="22"/>
                <w:lang w:val="en-US"/>
              </w:rPr>
              <w:t>In Dollar</w:t>
            </w:r>
          </w:p>
        </w:tc>
        <w:tc>
          <w:tcPr>
            <w:tcW w:w="817"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89.302</w:t>
            </w:r>
          </w:p>
        </w:tc>
        <w:tc>
          <w:tcPr>
            <w:tcW w:w="815"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117.418</w:t>
            </w:r>
          </w:p>
        </w:tc>
        <w:tc>
          <w:tcPr>
            <w:tcW w:w="815"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143.412</w:t>
            </w:r>
          </w:p>
        </w:tc>
        <w:tc>
          <w:tcPr>
            <w:tcW w:w="954"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179.460</w:t>
            </w:r>
          </w:p>
        </w:tc>
        <w:tc>
          <w:tcPr>
            <w:tcW w:w="954"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235.841</w:t>
            </w:r>
          </w:p>
        </w:tc>
        <w:tc>
          <w:tcPr>
            <w:tcW w:w="954"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291.960</w:t>
            </w:r>
          </w:p>
        </w:tc>
        <w:tc>
          <w:tcPr>
            <w:tcW w:w="954"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282.531</w:t>
            </w:r>
          </w:p>
        </w:tc>
        <w:tc>
          <w:tcPr>
            <w:tcW w:w="954" w:type="dxa"/>
            <w:gridSpan w:val="2"/>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271.010</w:t>
            </w:r>
          </w:p>
        </w:tc>
        <w:tc>
          <w:tcPr>
            <w:tcW w:w="1048" w:type="dxa"/>
            <w:gridSpan w:val="3"/>
            <w:tcBorders>
              <w:bottom w:val="single" w:sz="4" w:space="0" w:color="auto"/>
            </w:tcBorders>
            <w:vAlign w:val="center"/>
          </w:tcPr>
          <w:p w:rsidR="00C0394F" w:rsidRPr="00CA1AB4" w:rsidRDefault="00C0394F" w:rsidP="005A1981">
            <w:pPr>
              <w:jc w:val="right"/>
              <w:rPr>
                <w:rFonts w:cs="Times New Roman"/>
                <w:sz w:val="22"/>
              </w:rPr>
            </w:pPr>
            <w:r w:rsidRPr="00CA1AB4">
              <w:rPr>
                <w:rFonts w:cs="Times New Roman"/>
                <w:sz w:val="22"/>
              </w:rPr>
              <w:t>287.109</w:t>
            </w:r>
          </w:p>
        </w:tc>
      </w:tr>
    </w:tbl>
    <w:p w:rsidR="00C0394F" w:rsidRDefault="00C0394F" w:rsidP="00C0394F">
      <w:pPr>
        <w:jc w:val="both"/>
        <w:rPr>
          <w:lang w:val="en-US"/>
        </w:rPr>
      </w:pPr>
    </w:p>
    <w:p w:rsidR="00C0394F" w:rsidRDefault="006D048D" w:rsidP="00C0394F">
      <w:pPr>
        <w:ind w:firstLine="567"/>
        <w:jc w:val="both"/>
        <w:rPr>
          <w:lang w:val="en-US"/>
        </w:rPr>
      </w:pPr>
      <w:r>
        <w:rPr>
          <w:lang w:val="en-US"/>
        </w:rPr>
        <w:t>From</w:t>
      </w:r>
      <w:r w:rsidR="00C0394F">
        <w:rPr>
          <w:lang w:val="en-US"/>
        </w:rPr>
        <w:t xml:space="preserve"> data presented in </w:t>
      </w:r>
      <w:r>
        <w:rPr>
          <w:lang w:val="en-US"/>
        </w:rPr>
        <w:t>T</w:t>
      </w:r>
      <w:r w:rsidR="00C0394F">
        <w:rPr>
          <w:lang w:val="en-US"/>
        </w:rPr>
        <w:t xml:space="preserve">able 4 it can </w:t>
      </w:r>
      <w:r>
        <w:rPr>
          <w:lang w:val="en-US"/>
        </w:rPr>
        <w:t>be concluded that the bank loan</w:t>
      </w:r>
      <w:r w:rsidR="00C0394F">
        <w:rPr>
          <w:lang w:val="en-US"/>
        </w:rPr>
        <w:t xml:space="preserve"> amounts between Croatian and Macedonian banks are in significant </w:t>
      </w:r>
      <w:r>
        <w:rPr>
          <w:lang w:val="en-US"/>
        </w:rPr>
        <w:t>disparity. The overall development</w:t>
      </w:r>
      <w:r w:rsidR="00C0394F">
        <w:rPr>
          <w:lang w:val="en-US"/>
        </w:rPr>
        <w:t xml:space="preserve"> of the Croatian economy and especially </w:t>
      </w:r>
      <w:r>
        <w:rPr>
          <w:lang w:val="en-US"/>
        </w:rPr>
        <w:t xml:space="preserve">the </w:t>
      </w:r>
      <w:r w:rsidR="00C0394F">
        <w:rPr>
          <w:lang w:val="en-US"/>
        </w:rPr>
        <w:t>bank market has</w:t>
      </w:r>
      <w:r w:rsidR="006D2A14">
        <w:rPr>
          <w:lang w:val="en-US"/>
        </w:rPr>
        <w:t xml:space="preserve"> had an</w:t>
      </w:r>
      <w:r w:rsidR="00C0394F">
        <w:rPr>
          <w:lang w:val="en-US"/>
        </w:rPr>
        <w:t xml:space="preserve"> impact on the total loans amount in the observed period. In the period 2003</w:t>
      </w:r>
      <w:r w:rsidR="00C0394F">
        <w:rPr>
          <w:rFonts w:cs="Times New Roman"/>
          <w:lang w:val="en-US"/>
        </w:rPr>
        <w:t>–</w:t>
      </w:r>
      <w:r w:rsidR="00C0394F">
        <w:rPr>
          <w:lang w:val="en-US"/>
        </w:rPr>
        <w:t xml:space="preserve">2010 </w:t>
      </w:r>
      <w:r w:rsidR="006D2A14">
        <w:rPr>
          <w:lang w:val="en-US"/>
        </w:rPr>
        <w:t>Croatian banks had</w:t>
      </w:r>
      <w:r w:rsidR="00C0394F">
        <w:rPr>
          <w:lang w:val="en-US"/>
        </w:rPr>
        <w:t xml:space="preserve"> invested to enterprises </w:t>
      </w:r>
      <w:r w:rsidR="00C0394F">
        <w:rPr>
          <w:lang w:val="en-US"/>
        </w:rPr>
        <w:lastRenderedPageBreak/>
        <w:t>t</w:t>
      </w:r>
      <w:r w:rsidR="006D2A14">
        <w:rPr>
          <w:lang w:val="en-US"/>
        </w:rPr>
        <w:t>h</w:t>
      </w:r>
      <w:r w:rsidR="00C0394F">
        <w:rPr>
          <w:lang w:val="en-US"/>
        </w:rPr>
        <w:t>rough loans in average ten to eight times more tha</w:t>
      </w:r>
      <w:r w:rsidR="006D2A14">
        <w:rPr>
          <w:lang w:val="en-US"/>
        </w:rPr>
        <w:t>n</w:t>
      </w:r>
      <w:r w:rsidR="00C0394F">
        <w:rPr>
          <w:lang w:val="en-US"/>
        </w:rPr>
        <w:t xml:space="preserve"> Macedonian banks </w:t>
      </w:r>
      <w:r w:rsidR="006D2A14">
        <w:rPr>
          <w:lang w:val="en-US"/>
        </w:rPr>
        <w:t xml:space="preserve">had, while </w:t>
      </w:r>
      <w:r w:rsidR="00C0394F">
        <w:rPr>
          <w:lang w:val="en-US"/>
        </w:rPr>
        <w:t xml:space="preserve">in 2011 </w:t>
      </w:r>
      <w:r w:rsidR="006D2A14">
        <w:rPr>
          <w:lang w:val="en-US"/>
        </w:rPr>
        <w:t xml:space="preserve">it was </w:t>
      </w:r>
      <w:r w:rsidR="00C0394F">
        <w:rPr>
          <w:lang w:val="en-US"/>
        </w:rPr>
        <w:t>five times more as household banks had invested through loans</w:t>
      </w:r>
      <w:r w:rsidR="006D2A14">
        <w:rPr>
          <w:lang w:val="en-US"/>
        </w:rPr>
        <w:t>,</w:t>
      </w:r>
      <w:r w:rsidR="00C0394F">
        <w:rPr>
          <w:lang w:val="en-US"/>
        </w:rPr>
        <w:t xml:space="preserve"> in 2003 almost fifty times more</w:t>
      </w:r>
      <w:r w:rsidR="006D2A14">
        <w:rPr>
          <w:lang w:val="en-US"/>
        </w:rPr>
        <w:t>,</w:t>
      </w:r>
      <w:r w:rsidR="00C0394F">
        <w:rPr>
          <w:lang w:val="en-US"/>
        </w:rPr>
        <w:t xml:space="preserve"> in 2004 thirty-six times more</w:t>
      </w:r>
      <w:r w:rsidR="006D2A14">
        <w:rPr>
          <w:lang w:val="en-US"/>
        </w:rPr>
        <w:t>,</w:t>
      </w:r>
      <w:r w:rsidR="00C0394F">
        <w:rPr>
          <w:lang w:val="en-US"/>
        </w:rPr>
        <w:t xml:space="preserve"> in 2005 thirty</w:t>
      </w:r>
      <w:r w:rsidR="006D2A14">
        <w:rPr>
          <w:lang w:val="en-US"/>
        </w:rPr>
        <w:t xml:space="preserve"> times,</w:t>
      </w:r>
      <w:r w:rsidR="00C0394F">
        <w:rPr>
          <w:lang w:val="en-US"/>
        </w:rPr>
        <w:t xml:space="preserve"> in 2006 twenty-five times</w:t>
      </w:r>
      <w:r w:rsidR="006D2A14">
        <w:rPr>
          <w:lang w:val="en-US"/>
        </w:rPr>
        <w:t>,</w:t>
      </w:r>
      <w:r w:rsidR="00C0394F">
        <w:rPr>
          <w:lang w:val="en-US"/>
        </w:rPr>
        <w:t xml:space="preserve"> in 2007 twenty times more</w:t>
      </w:r>
      <w:r w:rsidR="006D2A14">
        <w:rPr>
          <w:lang w:val="en-US"/>
        </w:rPr>
        <w:t>,</w:t>
      </w:r>
      <w:r w:rsidR="00C0394F">
        <w:rPr>
          <w:lang w:val="en-US"/>
        </w:rPr>
        <w:t xml:space="preserve"> and </w:t>
      </w:r>
      <w:r w:rsidR="006D2A14">
        <w:rPr>
          <w:lang w:val="en-US"/>
        </w:rPr>
        <w:t xml:space="preserve">finally </w:t>
      </w:r>
      <w:r w:rsidR="00C0394F">
        <w:rPr>
          <w:lang w:val="en-US"/>
        </w:rPr>
        <w:t xml:space="preserve">in 2011 14 times more. </w:t>
      </w:r>
    </w:p>
    <w:p w:rsidR="00C0394F" w:rsidRDefault="00C0394F" w:rsidP="00C0394F">
      <w:pPr>
        <w:ind w:firstLine="567"/>
        <w:jc w:val="both"/>
        <w:rPr>
          <w:lang w:val="en-US"/>
        </w:rPr>
      </w:pPr>
      <w:r>
        <w:rPr>
          <w:lang w:val="en-US"/>
        </w:rPr>
        <w:t xml:space="preserve">From </w:t>
      </w:r>
      <w:r w:rsidR="006D2A14">
        <w:rPr>
          <w:lang w:val="en-US"/>
        </w:rPr>
        <w:t xml:space="preserve">the </w:t>
      </w:r>
      <w:r>
        <w:rPr>
          <w:lang w:val="en-US"/>
        </w:rPr>
        <w:t xml:space="preserve">presented data </w:t>
      </w:r>
      <w:r w:rsidR="006D2A14">
        <w:rPr>
          <w:lang w:val="en-US"/>
        </w:rPr>
        <w:t xml:space="preserve">it </w:t>
      </w:r>
      <w:r>
        <w:rPr>
          <w:lang w:val="en-US"/>
        </w:rPr>
        <w:t xml:space="preserve">can </w:t>
      </w:r>
      <w:r w:rsidR="006D2A14">
        <w:rPr>
          <w:lang w:val="en-US"/>
        </w:rPr>
        <w:t xml:space="preserve">be </w:t>
      </w:r>
      <w:r>
        <w:rPr>
          <w:lang w:val="en-US"/>
        </w:rPr>
        <w:t>conclude</w:t>
      </w:r>
      <w:r w:rsidR="006D2A14">
        <w:rPr>
          <w:lang w:val="en-US"/>
        </w:rPr>
        <w:t>d</w:t>
      </w:r>
      <w:r>
        <w:rPr>
          <w:lang w:val="en-US"/>
        </w:rPr>
        <w:t xml:space="preserve"> that banks in Macedonia have focused their loans more to households because </w:t>
      </w:r>
      <w:r w:rsidR="006D2A14">
        <w:rPr>
          <w:lang w:val="en-US"/>
        </w:rPr>
        <w:t xml:space="preserve">the </w:t>
      </w:r>
      <w:r>
        <w:rPr>
          <w:lang w:val="en-US"/>
        </w:rPr>
        <w:t xml:space="preserve">increase from 2003 to 2011 is significant in comparison to the Croatian market. For </w:t>
      </w:r>
      <w:r w:rsidR="006D2A14">
        <w:rPr>
          <w:lang w:val="en-US"/>
        </w:rPr>
        <w:t xml:space="preserve">a </w:t>
      </w:r>
      <w:r>
        <w:rPr>
          <w:lang w:val="en-US"/>
        </w:rPr>
        <w:t xml:space="preserve">better </w:t>
      </w:r>
      <w:r w:rsidR="006D2A14">
        <w:rPr>
          <w:lang w:val="en-US"/>
        </w:rPr>
        <w:t xml:space="preserve">insight, </w:t>
      </w:r>
      <w:r>
        <w:rPr>
          <w:lang w:val="en-US"/>
        </w:rPr>
        <w:t xml:space="preserve">the data of total amounts in dollars is presented </w:t>
      </w:r>
      <w:r w:rsidR="006D2A14">
        <w:rPr>
          <w:lang w:val="en-US"/>
        </w:rPr>
        <w:t xml:space="preserve">in the following </w:t>
      </w:r>
      <w:r>
        <w:rPr>
          <w:lang w:val="en-US"/>
        </w:rPr>
        <w:t>graph</w:t>
      </w:r>
      <w:r w:rsidR="00746207">
        <w:rPr>
          <w:lang w:val="en-US"/>
        </w:rPr>
        <w:t>, Figure 2.</w:t>
      </w:r>
      <w:r>
        <w:rPr>
          <w:lang w:val="en-US"/>
        </w:rPr>
        <w:t xml:space="preserve">       </w:t>
      </w:r>
    </w:p>
    <w:p w:rsidR="00AC3DDF" w:rsidRDefault="00AC3DDF" w:rsidP="00E906CF">
      <w:pPr>
        <w:jc w:val="both"/>
        <w:rPr>
          <w:noProof/>
          <w:lang w:eastAsia="hr-HR"/>
        </w:rPr>
      </w:pPr>
    </w:p>
    <w:p w:rsidR="00746207" w:rsidRDefault="00746207" w:rsidP="00746207">
      <w:pPr>
        <w:jc w:val="both"/>
        <w:rPr>
          <w:lang w:val="en-US"/>
        </w:rPr>
      </w:pPr>
      <w:r>
        <w:rPr>
          <w:noProof/>
          <w:lang w:eastAsia="hr-HR"/>
        </w:rPr>
        <w:drawing>
          <wp:inline distT="0" distB="0" distL="0" distR="0" wp14:anchorId="2D510153" wp14:editId="17ACA067">
            <wp:extent cx="5715000" cy="2133600"/>
            <wp:effectExtent l="0" t="0" r="1905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46207" w:rsidRDefault="0031723D" w:rsidP="00746207">
      <w:pPr>
        <w:jc w:val="both"/>
        <w:rPr>
          <w:lang w:val="en-US"/>
        </w:rPr>
      </w:pPr>
      <w:r>
        <w:rPr>
          <w:lang w:val="en-US"/>
        </w:rPr>
        <w:t>Figure 2</w:t>
      </w:r>
      <w:r w:rsidR="00746207">
        <w:rPr>
          <w:lang w:val="en-US"/>
        </w:rPr>
        <w:t xml:space="preserve"> Croatian and Macedonian bank loans structure in dollars</w:t>
      </w:r>
    </w:p>
    <w:p w:rsidR="00746207" w:rsidRDefault="00746207" w:rsidP="00746207">
      <w:pPr>
        <w:jc w:val="center"/>
        <w:rPr>
          <w:b/>
          <w:szCs w:val="24"/>
          <w:lang w:val="en-US"/>
        </w:rPr>
      </w:pPr>
    </w:p>
    <w:p w:rsidR="00746207" w:rsidRPr="00BD13D2" w:rsidRDefault="00746207" w:rsidP="00746207">
      <w:pPr>
        <w:jc w:val="both"/>
        <w:rPr>
          <w:szCs w:val="24"/>
          <w:lang w:val="en-US"/>
        </w:rPr>
      </w:pPr>
      <w:r>
        <w:rPr>
          <w:b/>
          <w:szCs w:val="24"/>
          <w:lang w:val="en-US"/>
        </w:rPr>
        <w:tab/>
      </w:r>
      <w:r>
        <w:rPr>
          <w:szCs w:val="24"/>
          <w:lang w:val="en-US"/>
        </w:rPr>
        <w:t xml:space="preserve">The </w:t>
      </w:r>
      <w:r w:rsidRPr="00BD13D2">
        <w:rPr>
          <w:szCs w:val="24"/>
          <w:lang w:val="en-US"/>
        </w:rPr>
        <w:t>discrepancy</w:t>
      </w:r>
      <w:r>
        <w:rPr>
          <w:szCs w:val="24"/>
          <w:lang w:val="en-US"/>
        </w:rPr>
        <w:t xml:space="preserve"> between Croatian and Macedonian bank loan amounts in </w:t>
      </w:r>
      <w:r w:rsidR="0031723D">
        <w:rPr>
          <w:szCs w:val="24"/>
          <w:lang w:val="en-US"/>
        </w:rPr>
        <w:t>US D</w:t>
      </w:r>
      <w:r>
        <w:rPr>
          <w:szCs w:val="24"/>
          <w:lang w:val="en-US"/>
        </w:rPr>
        <w:t xml:space="preserve">ollars can be </w:t>
      </w:r>
      <w:r w:rsidR="0031723D">
        <w:rPr>
          <w:szCs w:val="24"/>
          <w:lang w:val="en-US"/>
        </w:rPr>
        <w:t>easily observed.</w:t>
      </w:r>
      <w:r>
        <w:rPr>
          <w:szCs w:val="24"/>
          <w:lang w:val="en-US"/>
        </w:rPr>
        <w:t xml:space="preserve"> Analysis of the graph indicates that banks in Croatia have invested greater amounts of funds in </w:t>
      </w:r>
      <w:r w:rsidR="0031723D">
        <w:rPr>
          <w:szCs w:val="24"/>
          <w:lang w:val="en-US"/>
        </w:rPr>
        <w:t xml:space="preserve">the </w:t>
      </w:r>
      <w:r>
        <w:rPr>
          <w:szCs w:val="24"/>
          <w:lang w:val="en-US"/>
        </w:rPr>
        <w:t xml:space="preserve">overall economy. </w:t>
      </w:r>
      <w:r w:rsidR="0031723D">
        <w:rPr>
          <w:szCs w:val="24"/>
          <w:lang w:val="en-US"/>
        </w:rPr>
        <w:t>The i</w:t>
      </w:r>
      <w:r>
        <w:rPr>
          <w:szCs w:val="24"/>
          <w:lang w:val="en-US"/>
        </w:rPr>
        <w:t xml:space="preserve">mpact of privatization dynamics and private bank share in total assets of </w:t>
      </w:r>
      <w:proofErr w:type="gramStart"/>
      <w:r>
        <w:rPr>
          <w:szCs w:val="24"/>
          <w:lang w:val="en-US"/>
        </w:rPr>
        <w:t>banks</w:t>
      </w:r>
      <w:r w:rsidR="0031723D">
        <w:rPr>
          <w:szCs w:val="24"/>
          <w:lang w:val="en-US"/>
        </w:rPr>
        <w:t>,</w:t>
      </w:r>
      <w:proofErr w:type="gramEnd"/>
      <w:r>
        <w:rPr>
          <w:szCs w:val="24"/>
          <w:lang w:val="en-US"/>
        </w:rPr>
        <w:t xml:space="preserve"> have </w:t>
      </w:r>
      <w:r w:rsidR="0031723D">
        <w:rPr>
          <w:szCs w:val="24"/>
          <w:lang w:val="en-US"/>
        </w:rPr>
        <w:t xml:space="preserve">had a </w:t>
      </w:r>
      <w:r>
        <w:rPr>
          <w:szCs w:val="24"/>
          <w:lang w:val="en-US"/>
        </w:rPr>
        <w:t xml:space="preserve">direct </w:t>
      </w:r>
      <w:r w:rsidR="0031723D">
        <w:rPr>
          <w:szCs w:val="24"/>
          <w:lang w:val="en-US"/>
        </w:rPr>
        <w:t>influence on the loan</w:t>
      </w:r>
      <w:r>
        <w:rPr>
          <w:szCs w:val="24"/>
          <w:lang w:val="en-US"/>
        </w:rPr>
        <w:t xml:space="preserve"> amo</w:t>
      </w:r>
      <w:r w:rsidR="0031723D">
        <w:rPr>
          <w:szCs w:val="24"/>
          <w:lang w:val="en-US"/>
        </w:rPr>
        <w:t xml:space="preserve">unts in Macedonia. Regardless of the global </w:t>
      </w:r>
      <w:r>
        <w:rPr>
          <w:szCs w:val="24"/>
          <w:lang w:val="en-US"/>
        </w:rPr>
        <w:t xml:space="preserve">“Credit crisis” and </w:t>
      </w:r>
      <w:r w:rsidR="0031723D">
        <w:rPr>
          <w:szCs w:val="24"/>
          <w:lang w:val="en-US"/>
        </w:rPr>
        <w:t xml:space="preserve">its </w:t>
      </w:r>
      <w:r>
        <w:rPr>
          <w:szCs w:val="24"/>
          <w:lang w:val="en-US"/>
        </w:rPr>
        <w:t xml:space="preserve">connection </w:t>
      </w:r>
      <w:r w:rsidR="0031723D">
        <w:rPr>
          <w:szCs w:val="24"/>
          <w:lang w:val="en-US"/>
        </w:rPr>
        <w:t xml:space="preserve">to </w:t>
      </w:r>
      <w:r>
        <w:rPr>
          <w:szCs w:val="24"/>
          <w:lang w:val="en-US"/>
        </w:rPr>
        <w:t>Croatian and Macedonian private</w:t>
      </w:r>
      <w:r w:rsidR="007D4573">
        <w:rPr>
          <w:szCs w:val="24"/>
          <w:lang w:val="en-US"/>
        </w:rPr>
        <w:t xml:space="preserve">, foreign-owned </w:t>
      </w:r>
      <w:r>
        <w:rPr>
          <w:szCs w:val="24"/>
          <w:lang w:val="en-US"/>
        </w:rPr>
        <w:t xml:space="preserve">banks to </w:t>
      </w:r>
      <w:r w:rsidR="007D4573">
        <w:rPr>
          <w:szCs w:val="24"/>
          <w:lang w:val="en-US"/>
        </w:rPr>
        <w:t xml:space="preserve">their parent </w:t>
      </w:r>
      <w:r>
        <w:rPr>
          <w:szCs w:val="24"/>
          <w:lang w:val="en-US"/>
        </w:rPr>
        <w:t>banks in Europe</w:t>
      </w:r>
      <w:r w:rsidR="007D4573">
        <w:rPr>
          <w:szCs w:val="24"/>
          <w:lang w:val="en-US"/>
        </w:rPr>
        <w:t xml:space="preserve"> who ran a</w:t>
      </w:r>
      <w:r>
        <w:rPr>
          <w:szCs w:val="24"/>
          <w:lang w:val="en-US"/>
        </w:rPr>
        <w:t xml:space="preserve"> greater risk of doing business</w:t>
      </w:r>
      <w:r w:rsidR="007D4573">
        <w:rPr>
          <w:szCs w:val="24"/>
          <w:lang w:val="en-US"/>
        </w:rPr>
        <w:t>, they did not reduce</w:t>
      </w:r>
      <w:r>
        <w:rPr>
          <w:szCs w:val="24"/>
          <w:lang w:val="en-US"/>
        </w:rPr>
        <w:t xml:space="preserve"> loans to markets </w:t>
      </w:r>
      <w:r w:rsidR="007D4573">
        <w:rPr>
          <w:szCs w:val="24"/>
          <w:lang w:val="en-US"/>
        </w:rPr>
        <w:t xml:space="preserve">- </w:t>
      </w:r>
      <w:r>
        <w:rPr>
          <w:szCs w:val="24"/>
          <w:lang w:val="en-US"/>
        </w:rPr>
        <w:t>in contrary</w:t>
      </w:r>
      <w:r w:rsidR="007D4573">
        <w:rPr>
          <w:szCs w:val="24"/>
          <w:lang w:val="en-US"/>
        </w:rPr>
        <w:t>,</w:t>
      </w:r>
      <w:r>
        <w:rPr>
          <w:szCs w:val="24"/>
          <w:lang w:val="en-US"/>
        </w:rPr>
        <w:t xml:space="preserve"> they even raised them. It can be concluded that </w:t>
      </w:r>
      <w:r w:rsidR="007D4573">
        <w:rPr>
          <w:szCs w:val="24"/>
          <w:lang w:val="en-US"/>
        </w:rPr>
        <w:t xml:space="preserve">the </w:t>
      </w:r>
      <w:r>
        <w:rPr>
          <w:szCs w:val="24"/>
          <w:lang w:val="en-US"/>
        </w:rPr>
        <w:t xml:space="preserve">main motivation for their continued investments through loans in these two markets is </w:t>
      </w:r>
      <w:r w:rsidR="007D4573">
        <w:rPr>
          <w:szCs w:val="24"/>
          <w:lang w:val="en-US"/>
        </w:rPr>
        <w:t xml:space="preserve">the </w:t>
      </w:r>
      <w:r>
        <w:rPr>
          <w:szCs w:val="24"/>
          <w:lang w:val="en-US"/>
        </w:rPr>
        <w:t xml:space="preserve">profit margin, which </w:t>
      </w:r>
      <w:r w:rsidR="007D4573">
        <w:rPr>
          <w:szCs w:val="24"/>
          <w:lang w:val="en-US"/>
        </w:rPr>
        <w:t xml:space="preserve">is </w:t>
      </w:r>
      <w:r>
        <w:rPr>
          <w:szCs w:val="24"/>
          <w:lang w:val="en-US"/>
        </w:rPr>
        <w:t>achieve</w:t>
      </w:r>
      <w:r w:rsidR="007D4573">
        <w:rPr>
          <w:szCs w:val="24"/>
          <w:lang w:val="en-US"/>
        </w:rPr>
        <w:t>d</w:t>
      </w:r>
      <w:r>
        <w:rPr>
          <w:szCs w:val="24"/>
          <w:lang w:val="en-US"/>
        </w:rPr>
        <w:t xml:space="preserve"> through higher interest rates on loans. </w:t>
      </w:r>
    </w:p>
    <w:p w:rsidR="00AC3DDF" w:rsidRDefault="00AC3DDF" w:rsidP="00E906CF">
      <w:pPr>
        <w:jc w:val="both"/>
        <w:rPr>
          <w:lang w:val="en-US"/>
        </w:rPr>
      </w:pPr>
    </w:p>
    <w:p w:rsidR="00BC5368" w:rsidRDefault="00BC5368" w:rsidP="00BC5368">
      <w:pPr>
        <w:jc w:val="center"/>
        <w:rPr>
          <w:b/>
          <w:szCs w:val="24"/>
          <w:lang w:val="en-US"/>
        </w:rPr>
      </w:pPr>
      <w:r>
        <w:rPr>
          <w:b/>
          <w:szCs w:val="24"/>
          <w:lang w:val="en-US"/>
        </w:rPr>
        <w:t>4. Banks</w:t>
      </w:r>
      <w:r>
        <w:rPr>
          <w:rFonts w:cs="Times New Roman"/>
          <w:b/>
          <w:szCs w:val="24"/>
          <w:lang w:val="en-US"/>
        </w:rPr>
        <w:t>—</w:t>
      </w:r>
      <w:proofErr w:type="gramStart"/>
      <w:r>
        <w:rPr>
          <w:rFonts w:cs="Times New Roman"/>
          <w:b/>
          <w:szCs w:val="24"/>
          <w:lang w:val="en-US"/>
        </w:rPr>
        <w:t>A</w:t>
      </w:r>
      <w:proofErr w:type="gramEnd"/>
      <w:r>
        <w:rPr>
          <w:rFonts w:cs="Times New Roman"/>
          <w:b/>
          <w:szCs w:val="24"/>
          <w:lang w:val="en-US"/>
        </w:rPr>
        <w:t xml:space="preserve"> </w:t>
      </w:r>
      <w:r>
        <w:rPr>
          <w:b/>
          <w:szCs w:val="24"/>
          <w:lang w:val="en-US"/>
        </w:rPr>
        <w:t xml:space="preserve">Leading Force in Starting the New Entrepreneurial Cycle and GDP Growth </w:t>
      </w:r>
    </w:p>
    <w:p w:rsidR="00BC5368" w:rsidRDefault="00BC5368" w:rsidP="00BC5368">
      <w:pPr>
        <w:rPr>
          <w:b/>
          <w:szCs w:val="24"/>
          <w:lang w:val="en-US"/>
        </w:rPr>
      </w:pPr>
    </w:p>
    <w:p w:rsidR="00BC5368" w:rsidRDefault="00BC5368" w:rsidP="00BC5368">
      <w:pPr>
        <w:ind w:firstLine="567"/>
        <w:jc w:val="both"/>
        <w:rPr>
          <w:szCs w:val="24"/>
          <w:lang w:val="en-US"/>
        </w:rPr>
      </w:pPr>
      <w:r>
        <w:rPr>
          <w:szCs w:val="24"/>
          <w:lang w:val="en-US"/>
        </w:rPr>
        <w:t>Given that financial markets in Croatia and Macedonia are shallow</w:t>
      </w:r>
      <w:r w:rsidR="00B80564">
        <w:rPr>
          <w:szCs w:val="24"/>
          <w:lang w:val="en-US"/>
        </w:rPr>
        <w:t xml:space="preserve">, the numerous, yet </w:t>
      </w:r>
      <w:r>
        <w:rPr>
          <w:szCs w:val="24"/>
          <w:lang w:val="en-US"/>
        </w:rPr>
        <w:t>financial</w:t>
      </w:r>
      <w:r w:rsidR="00B80564">
        <w:rPr>
          <w:szCs w:val="24"/>
          <w:lang w:val="en-US"/>
        </w:rPr>
        <w:t>ly</w:t>
      </w:r>
      <w:r>
        <w:rPr>
          <w:szCs w:val="24"/>
          <w:lang w:val="en-US"/>
        </w:rPr>
        <w:t xml:space="preserve"> unde</w:t>
      </w:r>
      <w:r w:rsidR="00B80564">
        <w:rPr>
          <w:szCs w:val="24"/>
          <w:lang w:val="en-US"/>
        </w:rPr>
        <w:t>rde</w:t>
      </w:r>
      <w:r>
        <w:rPr>
          <w:szCs w:val="24"/>
          <w:lang w:val="en-US"/>
        </w:rPr>
        <w:t xml:space="preserve">veloped entrepreneurship </w:t>
      </w:r>
      <w:r w:rsidR="00B80564">
        <w:rPr>
          <w:szCs w:val="24"/>
          <w:lang w:val="en-US"/>
        </w:rPr>
        <w:t xml:space="preserve">sector </w:t>
      </w:r>
      <w:r>
        <w:rPr>
          <w:szCs w:val="24"/>
          <w:lang w:val="en-US"/>
        </w:rPr>
        <w:t xml:space="preserve">can </w:t>
      </w:r>
      <w:r w:rsidR="00B80564">
        <w:rPr>
          <w:szCs w:val="24"/>
          <w:lang w:val="en-US"/>
        </w:rPr>
        <w:t xml:space="preserve">only </w:t>
      </w:r>
      <w:r>
        <w:rPr>
          <w:szCs w:val="24"/>
          <w:lang w:val="en-US"/>
        </w:rPr>
        <w:t xml:space="preserve">obtain </w:t>
      </w:r>
      <w:r w:rsidR="00B80564">
        <w:rPr>
          <w:szCs w:val="24"/>
          <w:lang w:val="en-US"/>
        </w:rPr>
        <w:t xml:space="preserve">the </w:t>
      </w:r>
      <w:r>
        <w:rPr>
          <w:szCs w:val="24"/>
          <w:lang w:val="en-US"/>
        </w:rPr>
        <w:t xml:space="preserve">necessary funds for </w:t>
      </w:r>
      <w:r w:rsidR="00B80564">
        <w:rPr>
          <w:szCs w:val="24"/>
          <w:lang w:val="en-US"/>
        </w:rPr>
        <w:t xml:space="preserve">starting </w:t>
      </w:r>
      <w:r>
        <w:rPr>
          <w:szCs w:val="24"/>
          <w:lang w:val="en-US"/>
        </w:rPr>
        <w:t xml:space="preserve">the investment cycle only at the banks. </w:t>
      </w:r>
      <w:r w:rsidR="00B80564">
        <w:rPr>
          <w:szCs w:val="24"/>
          <w:lang w:val="en-US"/>
        </w:rPr>
        <w:t>The overall economic, historical</w:t>
      </w:r>
      <w:r>
        <w:rPr>
          <w:szCs w:val="24"/>
          <w:lang w:val="en-US"/>
        </w:rPr>
        <w:t xml:space="preserve"> and soci</w:t>
      </w:r>
      <w:r w:rsidR="00B80564">
        <w:rPr>
          <w:szCs w:val="24"/>
          <w:lang w:val="en-US"/>
        </w:rPr>
        <w:t>etal</w:t>
      </w:r>
      <w:r>
        <w:rPr>
          <w:szCs w:val="24"/>
          <w:lang w:val="en-US"/>
        </w:rPr>
        <w:t xml:space="preserve"> heritage ha</w:t>
      </w:r>
      <w:r w:rsidR="00B80564">
        <w:rPr>
          <w:szCs w:val="24"/>
          <w:lang w:val="en-US"/>
        </w:rPr>
        <w:t>s had a</w:t>
      </w:r>
      <w:r>
        <w:rPr>
          <w:szCs w:val="24"/>
          <w:lang w:val="en-US"/>
        </w:rPr>
        <w:t xml:space="preserve"> great influence on entrepreneur</w:t>
      </w:r>
      <w:r w:rsidR="00B80564">
        <w:rPr>
          <w:szCs w:val="24"/>
          <w:lang w:val="en-US"/>
        </w:rPr>
        <w:t>ial activity</w:t>
      </w:r>
      <w:r>
        <w:rPr>
          <w:szCs w:val="24"/>
          <w:lang w:val="en-US"/>
        </w:rPr>
        <w:t xml:space="preserve"> in these markets. In </w:t>
      </w:r>
      <w:r w:rsidR="007C0E04">
        <w:rPr>
          <w:szCs w:val="24"/>
          <w:lang w:val="en-US"/>
        </w:rPr>
        <w:t xml:space="preserve">former </w:t>
      </w:r>
      <w:r>
        <w:rPr>
          <w:szCs w:val="24"/>
          <w:lang w:val="en-US"/>
        </w:rPr>
        <w:t>Yugoslavia</w:t>
      </w:r>
      <w:r w:rsidR="007C0E04">
        <w:rPr>
          <w:szCs w:val="24"/>
          <w:lang w:val="en-US"/>
        </w:rPr>
        <w:t>,</w:t>
      </w:r>
      <w:r>
        <w:rPr>
          <w:szCs w:val="24"/>
          <w:lang w:val="en-US"/>
        </w:rPr>
        <w:t xml:space="preserve"> </w:t>
      </w:r>
      <w:r w:rsidR="007C0E04">
        <w:rPr>
          <w:szCs w:val="24"/>
          <w:lang w:val="en-US"/>
        </w:rPr>
        <w:t xml:space="preserve">the </w:t>
      </w:r>
      <w:r>
        <w:rPr>
          <w:szCs w:val="24"/>
          <w:lang w:val="en-US"/>
        </w:rPr>
        <w:t>main purpose of banks was to finance economic activity and to ensure possibility for further development</w:t>
      </w:r>
      <w:r w:rsidR="003E4BB3">
        <w:rPr>
          <w:szCs w:val="24"/>
          <w:lang w:val="en-US"/>
        </w:rPr>
        <w:t xml:space="preserve">. Bank profits were </w:t>
      </w:r>
      <w:r>
        <w:rPr>
          <w:szCs w:val="24"/>
          <w:lang w:val="en-US"/>
        </w:rPr>
        <w:t xml:space="preserve">not </w:t>
      </w:r>
      <w:r w:rsidR="003E4BB3">
        <w:rPr>
          <w:szCs w:val="24"/>
          <w:lang w:val="en-US"/>
        </w:rPr>
        <w:t>a top priority</w:t>
      </w:r>
      <w:r w:rsidR="00A639E7">
        <w:rPr>
          <w:szCs w:val="24"/>
          <w:lang w:val="en-US"/>
        </w:rPr>
        <w:t>, but</w:t>
      </w:r>
      <w:r>
        <w:rPr>
          <w:szCs w:val="24"/>
          <w:lang w:val="en-US"/>
        </w:rPr>
        <w:t xml:space="preserve"> social and economic development. Some</w:t>
      </w:r>
      <w:r w:rsidR="00541423">
        <w:rPr>
          <w:szCs w:val="24"/>
          <w:lang w:val="en-US"/>
        </w:rPr>
        <w:t xml:space="preserve"> banks had even</w:t>
      </w:r>
      <w:r>
        <w:rPr>
          <w:szCs w:val="24"/>
          <w:lang w:val="en-US"/>
        </w:rPr>
        <w:t xml:space="preserve"> consciously </w:t>
      </w:r>
      <w:r w:rsidR="00541423">
        <w:rPr>
          <w:szCs w:val="24"/>
          <w:lang w:val="en-US"/>
        </w:rPr>
        <w:t xml:space="preserve">injected </w:t>
      </w:r>
      <w:r>
        <w:rPr>
          <w:szCs w:val="24"/>
          <w:lang w:val="en-US"/>
        </w:rPr>
        <w:t>money through loans to nonprofit e</w:t>
      </w:r>
      <w:r w:rsidRPr="001047EB">
        <w:rPr>
          <w:szCs w:val="24"/>
          <w:lang w:val="en-US"/>
        </w:rPr>
        <w:t>ntrepreneurship</w:t>
      </w:r>
      <w:r w:rsidR="00541423">
        <w:rPr>
          <w:szCs w:val="24"/>
          <w:lang w:val="en-US"/>
        </w:rPr>
        <w:t>, for various purposes</w:t>
      </w:r>
      <w:r>
        <w:rPr>
          <w:szCs w:val="24"/>
          <w:lang w:val="en-US"/>
        </w:rPr>
        <w:t xml:space="preserve">.   </w:t>
      </w:r>
    </w:p>
    <w:p w:rsidR="00BC5368" w:rsidRDefault="00A34D44" w:rsidP="00BC5368">
      <w:pPr>
        <w:ind w:firstLine="567"/>
        <w:jc w:val="both"/>
        <w:rPr>
          <w:szCs w:val="24"/>
          <w:lang w:val="en-US"/>
        </w:rPr>
      </w:pPr>
      <w:r>
        <w:rPr>
          <w:szCs w:val="24"/>
          <w:lang w:val="en-US"/>
        </w:rPr>
        <w:t>For forty-five years, b</w:t>
      </w:r>
      <w:r w:rsidR="00BC5368">
        <w:rPr>
          <w:szCs w:val="24"/>
          <w:lang w:val="en-US"/>
        </w:rPr>
        <w:t>ank activity was</w:t>
      </w:r>
      <w:r>
        <w:rPr>
          <w:szCs w:val="24"/>
          <w:lang w:val="en-US"/>
        </w:rPr>
        <w:t xml:space="preserve">, </w:t>
      </w:r>
      <w:r w:rsidR="00BC5368">
        <w:rPr>
          <w:szCs w:val="24"/>
          <w:lang w:val="en-US"/>
        </w:rPr>
        <w:t xml:space="preserve">and still is </w:t>
      </w:r>
      <w:r>
        <w:rPr>
          <w:szCs w:val="24"/>
          <w:lang w:val="en-US"/>
        </w:rPr>
        <w:t xml:space="preserve">the </w:t>
      </w:r>
      <w:r w:rsidR="00BC5368">
        <w:rPr>
          <w:szCs w:val="24"/>
          <w:lang w:val="en-US"/>
        </w:rPr>
        <w:t>main force for further entrepreneurship growth</w:t>
      </w:r>
      <w:r>
        <w:rPr>
          <w:szCs w:val="24"/>
          <w:lang w:val="en-US"/>
        </w:rPr>
        <w:t>,</w:t>
      </w:r>
      <w:r w:rsidR="00BC5368">
        <w:rPr>
          <w:szCs w:val="24"/>
          <w:lang w:val="en-US"/>
        </w:rPr>
        <w:t xml:space="preserve"> directly connected to GDP growth</w:t>
      </w:r>
      <w:r w:rsidRPr="00A34D44">
        <w:rPr>
          <w:szCs w:val="24"/>
          <w:lang w:val="en-US"/>
        </w:rPr>
        <w:t xml:space="preserve"> </w:t>
      </w:r>
      <w:r>
        <w:rPr>
          <w:szCs w:val="24"/>
          <w:lang w:val="en-US"/>
        </w:rPr>
        <w:t>in these two markets</w:t>
      </w:r>
      <w:r w:rsidR="00BC5368">
        <w:rPr>
          <w:szCs w:val="24"/>
          <w:lang w:val="en-US"/>
        </w:rPr>
        <w:t>. Furthermore</w:t>
      </w:r>
      <w:r w:rsidR="00E040C2">
        <w:rPr>
          <w:szCs w:val="24"/>
          <w:lang w:val="en-US"/>
        </w:rPr>
        <w:t xml:space="preserve">, as the following </w:t>
      </w:r>
      <w:r w:rsidR="00BC5368">
        <w:rPr>
          <w:szCs w:val="24"/>
          <w:lang w:val="en-US"/>
        </w:rPr>
        <w:t xml:space="preserve">regression analysis </w:t>
      </w:r>
      <w:r w:rsidR="00E040C2">
        <w:rPr>
          <w:szCs w:val="24"/>
          <w:lang w:val="en-US"/>
        </w:rPr>
        <w:t xml:space="preserve">presents, </w:t>
      </w:r>
      <w:r w:rsidR="00BC5368">
        <w:rPr>
          <w:szCs w:val="24"/>
          <w:lang w:val="en-US"/>
        </w:rPr>
        <w:t xml:space="preserve">banks activities </w:t>
      </w:r>
      <w:r w:rsidR="00E040C2">
        <w:rPr>
          <w:szCs w:val="24"/>
          <w:lang w:val="en-US"/>
        </w:rPr>
        <w:t xml:space="preserve">have influence </w:t>
      </w:r>
      <w:r w:rsidR="00BC5368">
        <w:rPr>
          <w:szCs w:val="24"/>
          <w:lang w:val="en-US"/>
        </w:rPr>
        <w:t>on the GDP of</w:t>
      </w:r>
      <w:r w:rsidR="00E040C2">
        <w:rPr>
          <w:szCs w:val="24"/>
          <w:lang w:val="en-US"/>
        </w:rPr>
        <w:t xml:space="preserve"> both</w:t>
      </w:r>
      <w:r w:rsidR="00C51314">
        <w:rPr>
          <w:szCs w:val="24"/>
          <w:lang w:val="en-US"/>
        </w:rPr>
        <w:t xml:space="preserve"> Croatia and Macedonia. </w:t>
      </w:r>
      <w:r w:rsidR="00BC5368">
        <w:rPr>
          <w:szCs w:val="24"/>
          <w:lang w:val="en-US"/>
        </w:rPr>
        <w:t xml:space="preserve">GDP data of Croatia and Macedonia in </w:t>
      </w:r>
      <w:r w:rsidR="00E040C2">
        <w:rPr>
          <w:szCs w:val="24"/>
          <w:lang w:val="en-US"/>
        </w:rPr>
        <w:t xml:space="preserve">the </w:t>
      </w:r>
      <w:r w:rsidR="00BC5368">
        <w:rPr>
          <w:szCs w:val="24"/>
          <w:lang w:val="en-US"/>
        </w:rPr>
        <w:t>2003</w:t>
      </w:r>
      <w:r w:rsidR="00BC5368">
        <w:rPr>
          <w:rFonts w:cs="Times New Roman"/>
          <w:szCs w:val="24"/>
          <w:lang w:val="en-US"/>
        </w:rPr>
        <w:t>–</w:t>
      </w:r>
      <w:r w:rsidR="00BC5368">
        <w:rPr>
          <w:szCs w:val="24"/>
          <w:lang w:val="en-US"/>
        </w:rPr>
        <w:t xml:space="preserve">2011 </w:t>
      </w:r>
      <w:proofErr w:type="gramStart"/>
      <w:r w:rsidR="00E040C2">
        <w:rPr>
          <w:szCs w:val="24"/>
          <w:lang w:val="en-US"/>
        </w:rPr>
        <w:t>period</w:t>
      </w:r>
      <w:proofErr w:type="gramEnd"/>
      <w:r w:rsidR="00E040C2">
        <w:rPr>
          <w:szCs w:val="24"/>
          <w:lang w:val="en-US"/>
        </w:rPr>
        <w:t xml:space="preserve"> </w:t>
      </w:r>
      <w:r w:rsidR="00BC5368">
        <w:rPr>
          <w:szCs w:val="24"/>
          <w:lang w:val="en-US"/>
        </w:rPr>
        <w:t xml:space="preserve">are presented in the </w:t>
      </w:r>
      <w:r w:rsidR="0041735A">
        <w:rPr>
          <w:szCs w:val="24"/>
          <w:lang w:val="en-US"/>
        </w:rPr>
        <w:t>T</w:t>
      </w:r>
      <w:r w:rsidR="00BC5368">
        <w:rPr>
          <w:szCs w:val="24"/>
          <w:lang w:val="en-US"/>
        </w:rPr>
        <w:t>able</w:t>
      </w:r>
      <w:r w:rsidR="0041735A">
        <w:rPr>
          <w:szCs w:val="24"/>
          <w:lang w:val="en-US"/>
        </w:rPr>
        <w:t xml:space="preserve"> 5</w:t>
      </w:r>
      <w:r w:rsidR="00BC5368">
        <w:rPr>
          <w:szCs w:val="24"/>
          <w:lang w:val="en-US"/>
        </w:rPr>
        <w:t>.</w:t>
      </w:r>
    </w:p>
    <w:p w:rsidR="00BC5368" w:rsidRDefault="00BC5368" w:rsidP="00BC5368">
      <w:pPr>
        <w:jc w:val="both"/>
        <w:rPr>
          <w:szCs w:val="24"/>
          <w:lang w:val="en-US"/>
        </w:rPr>
      </w:pPr>
    </w:p>
    <w:p w:rsidR="00BC5368" w:rsidRDefault="00BC5368" w:rsidP="00BF22BD">
      <w:pPr>
        <w:jc w:val="center"/>
        <w:rPr>
          <w:szCs w:val="24"/>
          <w:lang w:val="en-US"/>
        </w:rPr>
      </w:pPr>
      <w:r>
        <w:rPr>
          <w:szCs w:val="24"/>
          <w:lang w:val="en-US"/>
        </w:rPr>
        <w:t xml:space="preserve">Table 5 GDP of Croatia and Macedonia in </w:t>
      </w:r>
      <w:r w:rsidR="00BF22BD">
        <w:rPr>
          <w:szCs w:val="24"/>
          <w:lang w:val="en-US"/>
        </w:rPr>
        <w:t>2003</w:t>
      </w:r>
      <w:r w:rsidR="00BF22BD">
        <w:rPr>
          <w:rFonts w:cs="Times New Roman"/>
          <w:szCs w:val="24"/>
          <w:lang w:val="en-US"/>
        </w:rPr>
        <w:t>–</w:t>
      </w:r>
      <w:r w:rsidR="00BF22BD">
        <w:rPr>
          <w:szCs w:val="24"/>
          <w:lang w:val="en-US"/>
        </w:rPr>
        <w:t>2011</w:t>
      </w:r>
      <w:r>
        <w:rPr>
          <w:szCs w:val="24"/>
          <w:lang w:val="en-US"/>
        </w:rPr>
        <w:t>period</w:t>
      </w:r>
    </w:p>
    <w:tbl>
      <w:tblPr>
        <w:tblStyle w:val="TableGrid"/>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5"/>
        <w:gridCol w:w="2471"/>
        <w:gridCol w:w="2754"/>
      </w:tblGrid>
      <w:tr w:rsidR="00BC5368" w:rsidRPr="00A921F7" w:rsidTr="00F217C9">
        <w:trPr>
          <w:trHeight w:val="58"/>
        </w:trPr>
        <w:tc>
          <w:tcPr>
            <w:tcW w:w="695" w:type="dxa"/>
            <w:tcBorders>
              <w:top w:val="single" w:sz="4" w:space="0" w:color="auto"/>
              <w:bottom w:val="single" w:sz="4" w:space="0" w:color="auto"/>
            </w:tcBorders>
          </w:tcPr>
          <w:p w:rsidR="00BC5368" w:rsidRPr="00A921F7" w:rsidRDefault="00BC5368" w:rsidP="005A1981">
            <w:pPr>
              <w:jc w:val="right"/>
              <w:rPr>
                <w:rFonts w:cs="Times New Roman"/>
                <w:sz w:val="22"/>
                <w:lang w:val="en-US"/>
              </w:rPr>
            </w:pPr>
            <w:r w:rsidRPr="00A921F7">
              <w:rPr>
                <w:rFonts w:cs="Times New Roman"/>
                <w:sz w:val="22"/>
                <w:lang w:val="en-US"/>
              </w:rPr>
              <w:t>Year</w:t>
            </w:r>
          </w:p>
        </w:tc>
        <w:tc>
          <w:tcPr>
            <w:tcW w:w="2471" w:type="dxa"/>
            <w:tcBorders>
              <w:top w:val="single" w:sz="4" w:space="0" w:color="auto"/>
              <w:bottom w:val="single" w:sz="4" w:space="0" w:color="auto"/>
            </w:tcBorders>
          </w:tcPr>
          <w:p w:rsidR="00BC5368" w:rsidRPr="00A921F7" w:rsidRDefault="00BC5368" w:rsidP="005A1981">
            <w:pPr>
              <w:jc w:val="right"/>
              <w:rPr>
                <w:rFonts w:cs="Times New Roman"/>
                <w:sz w:val="22"/>
                <w:lang w:val="en-US"/>
              </w:rPr>
            </w:pPr>
            <w:r w:rsidRPr="00A921F7">
              <w:rPr>
                <w:rFonts w:cs="Times New Roman"/>
                <w:sz w:val="22"/>
                <w:lang w:val="en-US"/>
              </w:rPr>
              <w:t>Croatia GDP</w:t>
            </w:r>
            <w:r>
              <w:rPr>
                <w:rFonts w:cs="Times New Roman"/>
                <w:sz w:val="22"/>
                <w:lang w:val="en-US"/>
              </w:rPr>
              <w:t xml:space="preserve"> in USD</w:t>
            </w:r>
            <w:r w:rsidRPr="00A921F7">
              <w:rPr>
                <w:rFonts w:cs="Times New Roman"/>
                <w:sz w:val="22"/>
                <w:lang w:val="en-US"/>
              </w:rPr>
              <w:t xml:space="preserve"> </w:t>
            </w:r>
          </w:p>
        </w:tc>
        <w:tc>
          <w:tcPr>
            <w:tcW w:w="2754" w:type="dxa"/>
            <w:tcBorders>
              <w:top w:val="single" w:sz="4" w:space="0" w:color="auto"/>
              <w:bottom w:val="single" w:sz="4" w:space="0" w:color="auto"/>
            </w:tcBorders>
          </w:tcPr>
          <w:p w:rsidR="00BC5368" w:rsidRPr="00A921F7" w:rsidRDefault="00BC5368" w:rsidP="005A1981">
            <w:pPr>
              <w:jc w:val="right"/>
              <w:rPr>
                <w:rFonts w:cs="Times New Roman"/>
                <w:sz w:val="22"/>
                <w:lang w:val="en-US"/>
              </w:rPr>
            </w:pPr>
            <w:r w:rsidRPr="00A921F7">
              <w:rPr>
                <w:rFonts w:cs="Times New Roman"/>
                <w:sz w:val="22"/>
                <w:lang w:val="en-US"/>
              </w:rPr>
              <w:t>Macedonia GDP</w:t>
            </w:r>
            <w:r>
              <w:rPr>
                <w:rFonts w:cs="Times New Roman"/>
                <w:sz w:val="22"/>
                <w:lang w:val="en-US"/>
              </w:rPr>
              <w:t xml:space="preserve"> in USD</w:t>
            </w:r>
          </w:p>
        </w:tc>
      </w:tr>
      <w:tr w:rsidR="00BC5368" w:rsidRPr="00A921F7" w:rsidTr="00F217C9">
        <w:trPr>
          <w:trHeight w:val="274"/>
        </w:trPr>
        <w:tc>
          <w:tcPr>
            <w:tcW w:w="695" w:type="dxa"/>
            <w:tcBorders>
              <w:top w:val="single" w:sz="4" w:space="0" w:color="auto"/>
            </w:tcBorders>
            <w:vAlign w:val="bottom"/>
          </w:tcPr>
          <w:p w:rsidR="00BC5368" w:rsidRPr="00A921F7" w:rsidRDefault="00BC5368" w:rsidP="005A1981">
            <w:pPr>
              <w:jc w:val="right"/>
              <w:rPr>
                <w:rFonts w:cs="Times New Roman"/>
                <w:color w:val="000000"/>
                <w:sz w:val="22"/>
              </w:rPr>
            </w:pPr>
            <w:r w:rsidRPr="00A921F7">
              <w:rPr>
                <w:rFonts w:cs="Times New Roman"/>
                <w:color w:val="000000"/>
                <w:sz w:val="22"/>
              </w:rPr>
              <w:t>2003</w:t>
            </w:r>
          </w:p>
        </w:tc>
        <w:tc>
          <w:tcPr>
            <w:tcW w:w="2471" w:type="dxa"/>
            <w:tcBorders>
              <w:top w:val="single" w:sz="4" w:space="0" w:color="auto"/>
            </w:tcBorders>
            <w:vAlign w:val="bottom"/>
          </w:tcPr>
          <w:p w:rsidR="00BC5368" w:rsidRPr="00A921F7" w:rsidRDefault="00BC5368" w:rsidP="005A1981">
            <w:pPr>
              <w:jc w:val="right"/>
              <w:rPr>
                <w:rFonts w:cs="Times New Roman"/>
                <w:color w:val="000000"/>
                <w:sz w:val="22"/>
              </w:rPr>
            </w:pPr>
            <w:r w:rsidRPr="00A921F7">
              <w:rPr>
                <w:rFonts w:cs="Times New Roman"/>
                <w:color w:val="000000"/>
                <w:sz w:val="22"/>
              </w:rPr>
              <w:t xml:space="preserve">     34.143.409.062,04    </w:t>
            </w:r>
          </w:p>
        </w:tc>
        <w:tc>
          <w:tcPr>
            <w:tcW w:w="2754" w:type="dxa"/>
            <w:tcBorders>
              <w:top w:val="single" w:sz="4" w:space="0" w:color="auto"/>
            </w:tcBorders>
            <w:vAlign w:val="bottom"/>
          </w:tcPr>
          <w:p w:rsidR="00BC5368" w:rsidRPr="00A921F7" w:rsidRDefault="00BC5368" w:rsidP="005A1981">
            <w:pPr>
              <w:jc w:val="right"/>
              <w:rPr>
                <w:rFonts w:cs="Times New Roman"/>
                <w:color w:val="000000"/>
                <w:sz w:val="22"/>
              </w:rPr>
            </w:pPr>
            <w:r w:rsidRPr="00A921F7">
              <w:rPr>
                <w:rFonts w:cs="Times New Roman"/>
                <w:color w:val="000000"/>
                <w:sz w:val="22"/>
              </w:rPr>
              <w:t xml:space="preserve">       4.756.221.628,61    </w:t>
            </w:r>
          </w:p>
        </w:tc>
      </w:tr>
      <w:tr w:rsidR="00BC5368" w:rsidRPr="00A921F7" w:rsidTr="00F217C9">
        <w:trPr>
          <w:trHeight w:val="274"/>
        </w:trPr>
        <w:tc>
          <w:tcPr>
            <w:tcW w:w="695" w:type="dxa"/>
            <w:vAlign w:val="bottom"/>
          </w:tcPr>
          <w:p w:rsidR="00BC5368" w:rsidRPr="00A921F7" w:rsidRDefault="00BC5368" w:rsidP="005A1981">
            <w:pPr>
              <w:jc w:val="right"/>
              <w:rPr>
                <w:rFonts w:cs="Times New Roman"/>
                <w:color w:val="000000"/>
                <w:sz w:val="22"/>
              </w:rPr>
            </w:pPr>
            <w:r w:rsidRPr="00A921F7">
              <w:rPr>
                <w:rFonts w:cs="Times New Roman"/>
                <w:color w:val="000000"/>
                <w:sz w:val="22"/>
              </w:rPr>
              <w:t>2004</w:t>
            </w:r>
          </w:p>
        </w:tc>
        <w:tc>
          <w:tcPr>
            <w:tcW w:w="2471" w:type="dxa"/>
            <w:vAlign w:val="bottom"/>
          </w:tcPr>
          <w:p w:rsidR="00BC5368" w:rsidRPr="00A921F7" w:rsidRDefault="00BC5368" w:rsidP="005A1981">
            <w:pPr>
              <w:jc w:val="right"/>
              <w:rPr>
                <w:rFonts w:cs="Times New Roman"/>
                <w:color w:val="000000"/>
                <w:sz w:val="22"/>
              </w:rPr>
            </w:pPr>
            <w:r w:rsidRPr="00A921F7">
              <w:rPr>
                <w:rFonts w:cs="Times New Roman"/>
                <w:color w:val="000000"/>
                <w:sz w:val="22"/>
              </w:rPr>
              <w:t xml:space="preserve">     41.003.558.915,70    </w:t>
            </w:r>
          </w:p>
        </w:tc>
        <w:tc>
          <w:tcPr>
            <w:tcW w:w="2754" w:type="dxa"/>
            <w:vAlign w:val="bottom"/>
          </w:tcPr>
          <w:p w:rsidR="00BC5368" w:rsidRPr="00A921F7" w:rsidRDefault="00BC5368" w:rsidP="005A1981">
            <w:pPr>
              <w:jc w:val="right"/>
              <w:rPr>
                <w:rFonts w:cs="Times New Roman"/>
                <w:color w:val="000000"/>
                <w:sz w:val="22"/>
              </w:rPr>
            </w:pPr>
            <w:r w:rsidRPr="00A921F7">
              <w:rPr>
                <w:rFonts w:cs="Times New Roman"/>
                <w:color w:val="000000"/>
                <w:sz w:val="22"/>
              </w:rPr>
              <w:t xml:space="preserve">       5.514.253.043,38    </w:t>
            </w:r>
          </w:p>
        </w:tc>
      </w:tr>
      <w:tr w:rsidR="00BC5368" w:rsidRPr="00A921F7" w:rsidTr="00F217C9">
        <w:trPr>
          <w:trHeight w:val="274"/>
        </w:trPr>
        <w:tc>
          <w:tcPr>
            <w:tcW w:w="695" w:type="dxa"/>
            <w:vAlign w:val="bottom"/>
          </w:tcPr>
          <w:p w:rsidR="00BC5368" w:rsidRPr="00A921F7" w:rsidRDefault="00BC5368" w:rsidP="005A1981">
            <w:pPr>
              <w:jc w:val="right"/>
              <w:rPr>
                <w:rFonts w:cs="Times New Roman"/>
                <w:color w:val="000000"/>
                <w:sz w:val="22"/>
              </w:rPr>
            </w:pPr>
            <w:r w:rsidRPr="00A921F7">
              <w:rPr>
                <w:rFonts w:cs="Times New Roman"/>
                <w:color w:val="000000"/>
                <w:sz w:val="22"/>
              </w:rPr>
              <w:t>2005</w:t>
            </w:r>
          </w:p>
        </w:tc>
        <w:tc>
          <w:tcPr>
            <w:tcW w:w="2471" w:type="dxa"/>
            <w:vAlign w:val="bottom"/>
          </w:tcPr>
          <w:p w:rsidR="00BC5368" w:rsidRPr="00A921F7" w:rsidRDefault="00BC5368" w:rsidP="005A1981">
            <w:pPr>
              <w:jc w:val="right"/>
              <w:rPr>
                <w:rFonts w:cs="Times New Roman"/>
                <w:color w:val="000000"/>
                <w:sz w:val="22"/>
              </w:rPr>
            </w:pPr>
            <w:r w:rsidRPr="00A921F7">
              <w:rPr>
                <w:rFonts w:cs="Times New Roman"/>
                <w:color w:val="000000"/>
                <w:sz w:val="22"/>
              </w:rPr>
              <w:t xml:space="preserve">     44.821.408.830,94    </w:t>
            </w:r>
          </w:p>
        </w:tc>
        <w:tc>
          <w:tcPr>
            <w:tcW w:w="2754" w:type="dxa"/>
            <w:vAlign w:val="bottom"/>
          </w:tcPr>
          <w:p w:rsidR="00BC5368" w:rsidRPr="00A921F7" w:rsidRDefault="00BC5368" w:rsidP="005A1981">
            <w:pPr>
              <w:jc w:val="right"/>
              <w:rPr>
                <w:rFonts w:cs="Times New Roman"/>
                <w:color w:val="000000"/>
                <w:sz w:val="22"/>
              </w:rPr>
            </w:pPr>
            <w:r w:rsidRPr="00A921F7">
              <w:rPr>
                <w:rFonts w:cs="Times New Roman"/>
                <w:color w:val="000000"/>
                <w:sz w:val="22"/>
              </w:rPr>
              <w:t xml:space="preserve">       5.985.809.059,97    </w:t>
            </w:r>
          </w:p>
        </w:tc>
      </w:tr>
      <w:tr w:rsidR="00BC5368" w:rsidRPr="00A921F7" w:rsidTr="00F217C9">
        <w:trPr>
          <w:trHeight w:val="274"/>
        </w:trPr>
        <w:tc>
          <w:tcPr>
            <w:tcW w:w="695" w:type="dxa"/>
            <w:vAlign w:val="bottom"/>
          </w:tcPr>
          <w:p w:rsidR="00BC5368" w:rsidRPr="00A921F7" w:rsidRDefault="00BC5368" w:rsidP="005A1981">
            <w:pPr>
              <w:jc w:val="right"/>
              <w:rPr>
                <w:rFonts w:cs="Times New Roman"/>
                <w:color w:val="000000"/>
                <w:sz w:val="22"/>
              </w:rPr>
            </w:pPr>
            <w:r w:rsidRPr="00A921F7">
              <w:rPr>
                <w:rFonts w:cs="Times New Roman"/>
                <w:color w:val="000000"/>
                <w:sz w:val="22"/>
              </w:rPr>
              <w:t>2006</w:t>
            </w:r>
          </w:p>
        </w:tc>
        <w:tc>
          <w:tcPr>
            <w:tcW w:w="2471" w:type="dxa"/>
            <w:vAlign w:val="bottom"/>
          </w:tcPr>
          <w:p w:rsidR="00BC5368" w:rsidRPr="00A921F7" w:rsidRDefault="00BC5368" w:rsidP="005A1981">
            <w:pPr>
              <w:jc w:val="right"/>
              <w:rPr>
                <w:rFonts w:cs="Times New Roman"/>
                <w:color w:val="000000"/>
                <w:sz w:val="22"/>
              </w:rPr>
            </w:pPr>
            <w:r w:rsidRPr="00A921F7">
              <w:rPr>
                <w:rFonts w:cs="Times New Roman"/>
                <w:color w:val="000000"/>
                <w:sz w:val="22"/>
              </w:rPr>
              <w:t xml:space="preserve">     49.855.078.905,41    </w:t>
            </w:r>
          </w:p>
        </w:tc>
        <w:tc>
          <w:tcPr>
            <w:tcW w:w="2754" w:type="dxa"/>
            <w:vAlign w:val="bottom"/>
          </w:tcPr>
          <w:p w:rsidR="00BC5368" w:rsidRPr="00A921F7" w:rsidRDefault="00BC5368" w:rsidP="005A1981">
            <w:pPr>
              <w:jc w:val="right"/>
              <w:rPr>
                <w:rFonts w:cs="Times New Roman"/>
                <w:color w:val="000000"/>
                <w:sz w:val="22"/>
              </w:rPr>
            </w:pPr>
            <w:r w:rsidRPr="00A921F7">
              <w:rPr>
                <w:rFonts w:cs="Times New Roman"/>
                <w:color w:val="000000"/>
                <w:sz w:val="22"/>
              </w:rPr>
              <w:t xml:space="preserve">       6.560.546.900,04    </w:t>
            </w:r>
          </w:p>
        </w:tc>
      </w:tr>
      <w:tr w:rsidR="00BC5368" w:rsidRPr="00A921F7" w:rsidTr="00F217C9">
        <w:trPr>
          <w:trHeight w:val="274"/>
        </w:trPr>
        <w:tc>
          <w:tcPr>
            <w:tcW w:w="695" w:type="dxa"/>
            <w:vAlign w:val="bottom"/>
          </w:tcPr>
          <w:p w:rsidR="00BC5368" w:rsidRPr="00A921F7" w:rsidRDefault="00BC5368" w:rsidP="005A1981">
            <w:pPr>
              <w:jc w:val="right"/>
              <w:rPr>
                <w:rFonts w:cs="Times New Roman"/>
                <w:color w:val="000000"/>
                <w:sz w:val="22"/>
              </w:rPr>
            </w:pPr>
            <w:r w:rsidRPr="00A921F7">
              <w:rPr>
                <w:rFonts w:cs="Times New Roman"/>
                <w:color w:val="000000"/>
                <w:sz w:val="22"/>
              </w:rPr>
              <w:t>2007</w:t>
            </w:r>
          </w:p>
        </w:tc>
        <w:tc>
          <w:tcPr>
            <w:tcW w:w="2471" w:type="dxa"/>
            <w:vAlign w:val="bottom"/>
          </w:tcPr>
          <w:p w:rsidR="00BC5368" w:rsidRPr="00A921F7" w:rsidRDefault="00BC5368" w:rsidP="005A1981">
            <w:pPr>
              <w:jc w:val="right"/>
              <w:rPr>
                <w:rFonts w:cs="Times New Roman"/>
                <w:color w:val="000000"/>
                <w:sz w:val="22"/>
              </w:rPr>
            </w:pPr>
            <w:r w:rsidRPr="00A921F7">
              <w:rPr>
                <w:rFonts w:cs="Times New Roman"/>
                <w:color w:val="000000"/>
                <w:sz w:val="22"/>
              </w:rPr>
              <w:t xml:space="preserve">     59.335.976.948,27    </w:t>
            </w:r>
          </w:p>
        </w:tc>
        <w:tc>
          <w:tcPr>
            <w:tcW w:w="2754" w:type="dxa"/>
            <w:vAlign w:val="bottom"/>
          </w:tcPr>
          <w:p w:rsidR="00BC5368" w:rsidRPr="00A921F7" w:rsidRDefault="00BC5368" w:rsidP="005A1981">
            <w:pPr>
              <w:jc w:val="right"/>
              <w:rPr>
                <w:rFonts w:cs="Times New Roman"/>
                <w:color w:val="000000"/>
                <w:sz w:val="22"/>
              </w:rPr>
            </w:pPr>
            <w:r w:rsidRPr="00A921F7">
              <w:rPr>
                <w:rFonts w:cs="Times New Roman"/>
                <w:color w:val="000000"/>
                <w:sz w:val="22"/>
              </w:rPr>
              <w:t xml:space="preserve">       8.159.825.620,39    </w:t>
            </w:r>
          </w:p>
        </w:tc>
      </w:tr>
      <w:tr w:rsidR="00BC5368" w:rsidRPr="00A921F7" w:rsidTr="00F217C9">
        <w:trPr>
          <w:trHeight w:val="274"/>
        </w:trPr>
        <w:tc>
          <w:tcPr>
            <w:tcW w:w="695" w:type="dxa"/>
            <w:vAlign w:val="bottom"/>
          </w:tcPr>
          <w:p w:rsidR="00BC5368" w:rsidRPr="00A921F7" w:rsidRDefault="00BC5368" w:rsidP="005A1981">
            <w:pPr>
              <w:jc w:val="right"/>
              <w:rPr>
                <w:rFonts w:cs="Times New Roman"/>
                <w:color w:val="000000"/>
                <w:sz w:val="22"/>
              </w:rPr>
            </w:pPr>
            <w:r w:rsidRPr="00A921F7">
              <w:rPr>
                <w:rFonts w:cs="Times New Roman"/>
                <w:color w:val="000000"/>
                <w:sz w:val="22"/>
              </w:rPr>
              <w:t>2008</w:t>
            </w:r>
          </w:p>
        </w:tc>
        <w:tc>
          <w:tcPr>
            <w:tcW w:w="2471" w:type="dxa"/>
            <w:vAlign w:val="bottom"/>
          </w:tcPr>
          <w:p w:rsidR="00BC5368" w:rsidRPr="00A921F7" w:rsidRDefault="00BC5368" w:rsidP="005A1981">
            <w:pPr>
              <w:jc w:val="right"/>
              <w:rPr>
                <w:rFonts w:cs="Times New Roman"/>
                <w:color w:val="000000"/>
                <w:sz w:val="22"/>
              </w:rPr>
            </w:pPr>
            <w:r w:rsidRPr="00A921F7">
              <w:rPr>
                <w:rFonts w:cs="Times New Roman"/>
                <w:color w:val="000000"/>
                <w:sz w:val="22"/>
              </w:rPr>
              <w:t xml:space="preserve">     69.911.233.237,79    </w:t>
            </w:r>
          </w:p>
        </w:tc>
        <w:tc>
          <w:tcPr>
            <w:tcW w:w="2754" w:type="dxa"/>
            <w:vAlign w:val="bottom"/>
          </w:tcPr>
          <w:p w:rsidR="00BC5368" w:rsidRPr="00A921F7" w:rsidRDefault="00BC5368" w:rsidP="005A1981">
            <w:pPr>
              <w:jc w:val="right"/>
              <w:rPr>
                <w:rFonts w:cs="Times New Roman"/>
                <w:color w:val="000000"/>
                <w:sz w:val="22"/>
              </w:rPr>
            </w:pPr>
            <w:r w:rsidRPr="00A921F7">
              <w:rPr>
                <w:rFonts w:cs="Times New Roman"/>
                <w:color w:val="000000"/>
                <w:sz w:val="22"/>
              </w:rPr>
              <w:t xml:space="preserve">       9.834.038.366,89    </w:t>
            </w:r>
          </w:p>
        </w:tc>
      </w:tr>
      <w:tr w:rsidR="00BC5368" w:rsidRPr="00A921F7" w:rsidTr="00F217C9">
        <w:trPr>
          <w:trHeight w:val="274"/>
        </w:trPr>
        <w:tc>
          <w:tcPr>
            <w:tcW w:w="695" w:type="dxa"/>
            <w:vAlign w:val="bottom"/>
          </w:tcPr>
          <w:p w:rsidR="00BC5368" w:rsidRPr="00A921F7" w:rsidRDefault="00BC5368" w:rsidP="005A1981">
            <w:pPr>
              <w:jc w:val="right"/>
              <w:rPr>
                <w:rFonts w:cs="Times New Roman"/>
                <w:color w:val="000000"/>
                <w:sz w:val="22"/>
              </w:rPr>
            </w:pPr>
            <w:r w:rsidRPr="00A921F7">
              <w:rPr>
                <w:rFonts w:cs="Times New Roman"/>
                <w:color w:val="000000"/>
                <w:sz w:val="22"/>
              </w:rPr>
              <w:t>2009</w:t>
            </w:r>
          </w:p>
        </w:tc>
        <w:tc>
          <w:tcPr>
            <w:tcW w:w="2471" w:type="dxa"/>
            <w:vAlign w:val="bottom"/>
          </w:tcPr>
          <w:p w:rsidR="00BC5368" w:rsidRPr="00A921F7" w:rsidRDefault="00BC5368" w:rsidP="005A1981">
            <w:pPr>
              <w:jc w:val="right"/>
              <w:rPr>
                <w:rFonts w:cs="Times New Roman"/>
                <w:color w:val="000000"/>
                <w:sz w:val="22"/>
              </w:rPr>
            </w:pPr>
            <w:r w:rsidRPr="00A921F7">
              <w:rPr>
                <w:rFonts w:cs="Times New Roman"/>
                <w:color w:val="000000"/>
                <w:sz w:val="22"/>
              </w:rPr>
              <w:t xml:space="preserve">     63.435.948.447,17    </w:t>
            </w:r>
          </w:p>
        </w:tc>
        <w:tc>
          <w:tcPr>
            <w:tcW w:w="2754" w:type="dxa"/>
            <w:vAlign w:val="bottom"/>
          </w:tcPr>
          <w:p w:rsidR="00BC5368" w:rsidRPr="00A921F7" w:rsidRDefault="00BC5368" w:rsidP="005A1981">
            <w:pPr>
              <w:jc w:val="right"/>
              <w:rPr>
                <w:rFonts w:cs="Times New Roman"/>
                <w:color w:val="000000"/>
                <w:sz w:val="22"/>
              </w:rPr>
            </w:pPr>
            <w:r w:rsidRPr="00A921F7">
              <w:rPr>
                <w:rFonts w:cs="Times New Roman"/>
                <w:color w:val="000000"/>
                <w:sz w:val="22"/>
              </w:rPr>
              <w:t xml:space="preserve">       9.313.573.964,98    </w:t>
            </w:r>
          </w:p>
        </w:tc>
      </w:tr>
      <w:tr w:rsidR="00BC5368" w:rsidRPr="00A921F7" w:rsidTr="00F217C9">
        <w:trPr>
          <w:trHeight w:val="274"/>
        </w:trPr>
        <w:tc>
          <w:tcPr>
            <w:tcW w:w="695" w:type="dxa"/>
            <w:vAlign w:val="bottom"/>
          </w:tcPr>
          <w:p w:rsidR="00BC5368" w:rsidRPr="00A921F7" w:rsidRDefault="00BC5368" w:rsidP="005A1981">
            <w:pPr>
              <w:jc w:val="right"/>
              <w:rPr>
                <w:rFonts w:cs="Times New Roman"/>
                <w:color w:val="000000"/>
                <w:sz w:val="22"/>
              </w:rPr>
            </w:pPr>
            <w:r w:rsidRPr="00A921F7">
              <w:rPr>
                <w:rFonts w:cs="Times New Roman"/>
                <w:color w:val="000000"/>
                <w:sz w:val="22"/>
              </w:rPr>
              <w:t>2010</w:t>
            </w:r>
          </w:p>
        </w:tc>
        <w:tc>
          <w:tcPr>
            <w:tcW w:w="2471" w:type="dxa"/>
            <w:vAlign w:val="bottom"/>
          </w:tcPr>
          <w:p w:rsidR="00BC5368" w:rsidRPr="00A921F7" w:rsidRDefault="00BC5368" w:rsidP="005A1981">
            <w:pPr>
              <w:jc w:val="right"/>
              <w:rPr>
                <w:rFonts w:cs="Times New Roman"/>
                <w:color w:val="000000"/>
                <w:sz w:val="22"/>
              </w:rPr>
            </w:pPr>
            <w:r w:rsidRPr="00A921F7">
              <w:rPr>
                <w:rFonts w:cs="Times New Roman"/>
                <w:color w:val="000000"/>
                <w:sz w:val="22"/>
              </w:rPr>
              <w:t xml:space="preserve">     60.851.743.540,51    </w:t>
            </w:r>
          </w:p>
        </w:tc>
        <w:tc>
          <w:tcPr>
            <w:tcW w:w="2754" w:type="dxa"/>
            <w:vAlign w:val="bottom"/>
          </w:tcPr>
          <w:p w:rsidR="00BC5368" w:rsidRPr="00A921F7" w:rsidRDefault="00BC5368" w:rsidP="005A1981">
            <w:pPr>
              <w:jc w:val="right"/>
              <w:rPr>
                <w:rFonts w:cs="Times New Roman"/>
                <w:color w:val="000000"/>
                <w:sz w:val="22"/>
              </w:rPr>
            </w:pPr>
            <w:r w:rsidRPr="00A921F7">
              <w:rPr>
                <w:rFonts w:cs="Times New Roman"/>
                <w:color w:val="000000"/>
                <w:sz w:val="22"/>
              </w:rPr>
              <w:t xml:space="preserve">       9.137.543.772,87    </w:t>
            </w:r>
          </w:p>
        </w:tc>
      </w:tr>
      <w:tr w:rsidR="00BC5368" w:rsidRPr="00A921F7" w:rsidTr="00F217C9">
        <w:trPr>
          <w:trHeight w:val="274"/>
        </w:trPr>
        <w:tc>
          <w:tcPr>
            <w:tcW w:w="695" w:type="dxa"/>
            <w:tcBorders>
              <w:bottom w:val="single" w:sz="4" w:space="0" w:color="auto"/>
            </w:tcBorders>
            <w:vAlign w:val="bottom"/>
          </w:tcPr>
          <w:p w:rsidR="00BC5368" w:rsidRPr="00A921F7" w:rsidRDefault="00BC5368" w:rsidP="005A1981">
            <w:pPr>
              <w:jc w:val="right"/>
              <w:rPr>
                <w:rFonts w:cs="Times New Roman"/>
                <w:color w:val="000000"/>
                <w:sz w:val="22"/>
              </w:rPr>
            </w:pPr>
            <w:r w:rsidRPr="00A921F7">
              <w:rPr>
                <w:rFonts w:cs="Times New Roman"/>
                <w:color w:val="000000"/>
                <w:sz w:val="22"/>
              </w:rPr>
              <w:t>2011</w:t>
            </w:r>
          </w:p>
        </w:tc>
        <w:tc>
          <w:tcPr>
            <w:tcW w:w="2471" w:type="dxa"/>
            <w:tcBorders>
              <w:bottom w:val="single" w:sz="4" w:space="0" w:color="auto"/>
            </w:tcBorders>
            <w:vAlign w:val="bottom"/>
          </w:tcPr>
          <w:p w:rsidR="00BC5368" w:rsidRPr="00A921F7" w:rsidRDefault="00BC5368" w:rsidP="005A1981">
            <w:pPr>
              <w:jc w:val="right"/>
              <w:rPr>
                <w:rFonts w:cs="Times New Roman"/>
                <w:color w:val="000000"/>
                <w:sz w:val="22"/>
              </w:rPr>
            </w:pPr>
            <w:r w:rsidRPr="00A921F7">
              <w:rPr>
                <w:rFonts w:cs="Times New Roman"/>
                <w:color w:val="000000"/>
                <w:sz w:val="22"/>
              </w:rPr>
              <w:t xml:space="preserve">     63.850.068.201,98    </w:t>
            </w:r>
          </w:p>
        </w:tc>
        <w:tc>
          <w:tcPr>
            <w:tcW w:w="2754" w:type="dxa"/>
            <w:tcBorders>
              <w:bottom w:val="single" w:sz="4" w:space="0" w:color="auto"/>
            </w:tcBorders>
            <w:vAlign w:val="bottom"/>
          </w:tcPr>
          <w:p w:rsidR="00BC5368" w:rsidRPr="00A921F7" w:rsidRDefault="00BC5368" w:rsidP="005A1981">
            <w:pPr>
              <w:jc w:val="right"/>
              <w:rPr>
                <w:rFonts w:cs="Times New Roman"/>
                <w:color w:val="000000"/>
                <w:sz w:val="22"/>
              </w:rPr>
            </w:pPr>
            <w:r w:rsidRPr="00A921F7">
              <w:rPr>
                <w:rFonts w:cs="Times New Roman"/>
                <w:color w:val="000000"/>
                <w:sz w:val="22"/>
              </w:rPr>
              <w:t xml:space="preserve">     10.165.373.218,11    </w:t>
            </w:r>
          </w:p>
        </w:tc>
      </w:tr>
    </w:tbl>
    <w:p w:rsidR="00BC5368" w:rsidRDefault="00BC5368" w:rsidP="00BC5368">
      <w:pPr>
        <w:jc w:val="both"/>
        <w:rPr>
          <w:szCs w:val="24"/>
          <w:lang w:val="en-US"/>
        </w:rPr>
      </w:pPr>
    </w:p>
    <w:p w:rsidR="00BC5368" w:rsidRPr="002F0DEE" w:rsidRDefault="00BC5368" w:rsidP="00BC5368">
      <w:pPr>
        <w:ind w:firstLine="567"/>
        <w:jc w:val="both"/>
        <w:rPr>
          <w:szCs w:val="24"/>
          <w:lang w:val="en-US"/>
        </w:rPr>
      </w:pPr>
    </w:p>
    <w:p w:rsidR="00BC5368" w:rsidRDefault="00BC5368" w:rsidP="00BC5368">
      <w:pPr>
        <w:jc w:val="both"/>
        <w:rPr>
          <w:lang w:val="en-US"/>
        </w:rPr>
      </w:pPr>
    </w:p>
    <w:p w:rsidR="00BC5368" w:rsidRDefault="00BC5368" w:rsidP="00BC5368">
      <w:pPr>
        <w:jc w:val="both"/>
        <w:rPr>
          <w:lang w:val="en-US"/>
        </w:rPr>
      </w:pPr>
    </w:p>
    <w:p w:rsidR="00BC5368" w:rsidRDefault="00BC5368" w:rsidP="00BC5368">
      <w:pPr>
        <w:jc w:val="both"/>
        <w:rPr>
          <w:lang w:val="en-US"/>
        </w:rPr>
      </w:pPr>
    </w:p>
    <w:p w:rsidR="00BC5368" w:rsidRDefault="00BC5368" w:rsidP="00BC5368">
      <w:pPr>
        <w:jc w:val="both"/>
        <w:rPr>
          <w:lang w:val="en-US"/>
        </w:rPr>
      </w:pPr>
    </w:p>
    <w:p w:rsidR="00BC5368" w:rsidRDefault="00BC5368" w:rsidP="00BC5368">
      <w:pPr>
        <w:jc w:val="both"/>
        <w:rPr>
          <w:lang w:val="en-US"/>
        </w:rPr>
      </w:pPr>
    </w:p>
    <w:p w:rsidR="00BC5368" w:rsidRDefault="00BC5368" w:rsidP="00BC5368">
      <w:pPr>
        <w:jc w:val="both"/>
        <w:rPr>
          <w:lang w:val="en-US"/>
        </w:rPr>
      </w:pPr>
    </w:p>
    <w:p w:rsidR="00BC5368" w:rsidRDefault="00BC5368" w:rsidP="00BC5368">
      <w:pPr>
        <w:jc w:val="both"/>
        <w:rPr>
          <w:lang w:val="en-US"/>
        </w:rPr>
      </w:pPr>
    </w:p>
    <w:p w:rsidR="00BC5368" w:rsidRDefault="00BC5368" w:rsidP="00BC5368">
      <w:pPr>
        <w:jc w:val="both"/>
        <w:rPr>
          <w:lang w:val="en-US"/>
        </w:rPr>
      </w:pPr>
    </w:p>
    <w:p w:rsidR="00BF22BD" w:rsidRDefault="00BF22BD" w:rsidP="00BC5368">
      <w:pPr>
        <w:ind w:firstLine="567"/>
        <w:jc w:val="both"/>
        <w:rPr>
          <w:lang w:val="en-US"/>
        </w:rPr>
      </w:pPr>
    </w:p>
    <w:p w:rsidR="00BC5368" w:rsidRDefault="00BC5368" w:rsidP="00BC5368">
      <w:pPr>
        <w:ind w:firstLine="567"/>
        <w:jc w:val="both"/>
        <w:rPr>
          <w:rFonts w:cs="Times New Roman"/>
          <w:bCs/>
          <w:szCs w:val="24"/>
          <w:lang w:val="en-US"/>
        </w:rPr>
      </w:pPr>
      <w:r>
        <w:rPr>
          <w:lang w:val="en-US"/>
        </w:rPr>
        <w:t xml:space="preserve">Presented data of GDP in current USD was obtained from World Bank data </w:t>
      </w:r>
      <w:sdt>
        <w:sdtPr>
          <w:rPr>
            <w:lang w:val="en-US"/>
          </w:rPr>
          <w:id w:val="577099653"/>
          <w:citation/>
        </w:sdtPr>
        <w:sdtContent>
          <w:r>
            <w:rPr>
              <w:lang w:val="en-US"/>
            </w:rPr>
            <w:fldChar w:fldCharType="begin"/>
          </w:r>
          <w:r>
            <w:instrText xml:space="preserve"> CITATION The12 \l 1050 </w:instrText>
          </w:r>
          <w:r>
            <w:rPr>
              <w:lang w:val="en-US"/>
            </w:rPr>
            <w:fldChar w:fldCharType="separate"/>
          </w:r>
          <w:r w:rsidRPr="00A921F7">
            <w:rPr>
              <w:noProof/>
            </w:rPr>
            <w:t>(The World Bank, 2012)</w:t>
          </w:r>
          <w:r>
            <w:rPr>
              <w:lang w:val="en-US"/>
            </w:rPr>
            <w:fldChar w:fldCharType="end"/>
          </w:r>
        </w:sdtContent>
      </w:sdt>
      <w:r>
        <w:rPr>
          <w:lang w:val="en-US"/>
        </w:rPr>
        <w:t xml:space="preserve">, </w:t>
      </w:r>
      <w:r w:rsidRPr="00EA08AC">
        <w:rPr>
          <w:szCs w:val="24"/>
          <w:lang w:val="en-US"/>
        </w:rPr>
        <w:t xml:space="preserve">and matched with the data from </w:t>
      </w:r>
      <w:r w:rsidR="00BF22BD">
        <w:rPr>
          <w:szCs w:val="24"/>
          <w:lang w:val="en-US"/>
        </w:rPr>
        <w:t xml:space="preserve">the </w:t>
      </w:r>
      <w:r w:rsidRPr="00EA08AC">
        <w:rPr>
          <w:szCs w:val="24"/>
          <w:lang w:val="en-US"/>
        </w:rPr>
        <w:t>Annual Reports 2003</w:t>
      </w:r>
      <w:r w:rsidRPr="00EA08AC">
        <w:rPr>
          <w:rFonts w:cs="Times New Roman"/>
          <w:szCs w:val="24"/>
          <w:lang w:val="en-US"/>
        </w:rPr>
        <w:t>–</w:t>
      </w:r>
      <w:r w:rsidRPr="00EA08AC">
        <w:rPr>
          <w:szCs w:val="24"/>
          <w:lang w:val="en-US"/>
        </w:rPr>
        <w:t xml:space="preserve">2011 of Croatian National Bank and </w:t>
      </w:r>
      <w:r w:rsidR="00C37097">
        <w:rPr>
          <w:szCs w:val="24"/>
          <w:lang w:val="en-US"/>
        </w:rPr>
        <w:t xml:space="preserve">the </w:t>
      </w:r>
      <w:r w:rsidRPr="00EA08AC">
        <w:rPr>
          <w:rFonts w:cs="Times New Roman"/>
          <w:bCs/>
          <w:szCs w:val="24"/>
        </w:rPr>
        <w:t xml:space="preserve">National Bank </w:t>
      </w:r>
      <w:r w:rsidRPr="00EA08AC">
        <w:rPr>
          <w:rFonts w:cs="Times New Roman"/>
          <w:bCs/>
          <w:szCs w:val="24"/>
          <w:lang w:val="en-US"/>
        </w:rPr>
        <w:t>of the Republic of Macedonia.</w:t>
      </w:r>
      <w:r>
        <w:rPr>
          <w:rFonts w:cs="Times New Roman"/>
          <w:bCs/>
          <w:szCs w:val="24"/>
          <w:lang w:val="en-US"/>
        </w:rPr>
        <w:t xml:space="preserve"> Through regression analysis</w:t>
      </w:r>
      <w:r w:rsidR="00C37097">
        <w:rPr>
          <w:rFonts w:cs="Times New Roman"/>
          <w:bCs/>
          <w:szCs w:val="24"/>
          <w:lang w:val="en-US"/>
        </w:rPr>
        <w:t>,</w:t>
      </w:r>
      <w:r>
        <w:rPr>
          <w:rFonts w:cs="Times New Roman"/>
          <w:bCs/>
          <w:szCs w:val="24"/>
          <w:lang w:val="en-US"/>
        </w:rPr>
        <w:t xml:space="preserve"> </w:t>
      </w:r>
      <w:r w:rsidR="00C37097">
        <w:rPr>
          <w:rFonts w:cs="Times New Roman"/>
          <w:bCs/>
          <w:szCs w:val="24"/>
          <w:lang w:val="en-US"/>
        </w:rPr>
        <w:t xml:space="preserve">the intensity of the </w:t>
      </w:r>
      <w:r>
        <w:rPr>
          <w:rFonts w:cs="Times New Roman"/>
          <w:bCs/>
          <w:szCs w:val="24"/>
          <w:lang w:val="en-US"/>
        </w:rPr>
        <w:t xml:space="preserve">relationship </w:t>
      </w:r>
      <w:r w:rsidR="00C37097">
        <w:rPr>
          <w:rFonts w:cs="Times New Roman"/>
          <w:bCs/>
          <w:szCs w:val="24"/>
          <w:lang w:val="en-US"/>
        </w:rPr>
        <w:t xml:space="preserve">between </w:t>
      </w:r>
      <w:r>
        <w:rPr>
          <w:rFonts w:cs="Times New Roman"/>
          <w:bCs/>
          <w:szCs w:val="24"/>
          <w:lang w:val="en-US"/>
        </w:rPr>
        <w:t>bank loans to households and enterprises have on GDP of Croatia and Macedonia</w:t>
      </w:r>
      <w:r w:rsidR="00C37097">
        <w:rPr>
          <w:rFonts w:cs="Times New Roman"/>
          <w:bCs/>
          <w:szCs w:val="24"/>
          <w:lang w:val="en-US"/>
        </w:rPr>
        <w:t xml:space="preserve"> is examined. Regression analysis results are presented in Table 6. </w:t>
      </w:r>
    </w:p>
    <w:p w:rsidR="00BC5368" w:rsidRDefault="00BC5368" w:rsidP="00BC5368">
      <w:pPr>
        <w:jc w:val="both"/>
        <w:rPr>
          <w:lang w:val="en-US"/>
        </w:rPr>
      </w:pPr>
    </w:p>
    <w:p w:rsidR="00BC5368" w:rsidRDefault="00BC5368" w:rsidP="00BC5368">
      <w:pPr>
        <w:jc w:val="both"/>
        <w:rPr>
          <w:lang w:val="en-US"/>
        </w:rPr>
      </w:pPr>
      <w:r>
        <w:rPr>
          <w:lang w:val="en-US"/>
        </w:rPr>
        <w:t xml:space="preserve">Table 6 Regression analysis </w:t>
      </w:r>
      <w:r>
        <w:rPr>
          <w:rFonts w:cs="Times New Roman"/>
          <w:lang w:val="en-US"/>
        </w:rPr>
        <w:t>—</w:t>
      </w:r>
      <w:r>
        <w:rPr>
          <w:lang w:val="en-US"/>
        </w:rPr>
        <w:t xml:space="preserve"> influence of bank loans </w:t>
      </w:r>
      <w:r w:rsidR="001B1E0E">
        <w:rPr>
          <w:lang w:val="en-US"/>
        </w:rPr>
        <w:t xml:space="preserve">on </w:t>
      </w:r>
      <w:r>
        <w:rPr>
          <w:lang w:val="en-US"/>
        </w:rPr>
        <w:t xml:space="preserve">Croatian GDP </w:t>
      </w:r>
    </w:p>
    <w:tbl>
      <w:tblPr>
        <w:tblW w:w="9195" w:type="dxa"/>
        <w:tblInd w:w="93" w:type="dxa"/>
        <w:tblLook w:val="04A0" w:firstRow="1" w:lastRow="0" w:firstColumn="1" w:lastColumn="0" w:noHBand="0" w:noVBand="1"/>
      </w:tblPr>
      <w:tblGrid>
        <w:gridCol w:w="1105"/>
        <w:gridCol w:w="753"/>
        <w:gridCol w:w="611"/>
        <w:gridCol w:w="948"/>
        <w:gridCol w:w="353"/>
        <w:gridCol w:w="1326"/>
        <w:gridCol w:w="1354"/>
        <w:gridCol w:w="998"/>
        <w:gridCol w:w="410"/>
        <w:gridCol w:w="1316"/>
        <w:gridCol w:w="21"/>
      </w:tblGrid>
      <w:tr w:rsidR="00BC5368" w:rsidRPr="003C2DD6" w:rsidTr="005A1981">
        <w:trPr>
          <w:trHeight w:val="288"/>
        </w:trPr>
        <w:tc>
          <w:tcPr>
            <w:tcW w:w="1858" w:type="dxa"/>
            <w:gridSpan w:val="2"/>
            <w:tcBorders>
              <w:top w:val="single" w:sz="4" w:space="0" w:color="auto"/>
            </w:tcBorders>
            <w:shd w:val="clear" w:color="auto" w:fill="auto"/>
            <w:noWrap/>
            <w:vAlign w:val="bottom"/>
            <w:hideMark/>
          </w:tcPr>
          <w:p w:rsidR="00BC5368" w:rsidRPr="003C2DD6" w:rsidRDefault="00BC5368" w:rsidP="005A1981">
            <w:pPr>
              <w:rPr>
                <w:rFonts w:eastAsia="Times New Roman" w:cs="Times New Roman"/>
                <w:color w:val="000000"/>
                <w:sz w:val="20"/>
                <w:lang w:eastAsia="hr-HR"/>
              </w:rPr>
            </w:pPr>
            <w:proofErr w:type="spellStart"/>
            <w:r w:rsidRPr="003C2DD6">
              <w:rPr>
                <w:rFonts w:eastAsia="Times New Roman" w:cs="Times New Roman"/>
                <w:color w:val="000000"/>
                <w:sz w:val="20"/>
                <w:lang w:eastAsia="hr-HR"/>
              </w:rPr>
              <w:t>Multiple</w:t>
            </w:r>
            <w:proofErr w:type="spellEnd"/>
            <w:r w:rsidRPr="003C2DD6">
              <w:rPr>
                <w:rFonts w:eastAsia="Times New Roman" w:cs="Times New Roman"/>
                <w:color w:val="000000"/>
                <w:sz w:val="20"/>
                <w:lang w:eastAsia="hr-HR"/>
              </w:rPr>
              <w:t xml:space="preserve"> R</w:t>
            </w:r>
          </w:p>
        </w:tc>
        <w:tc>
          <w:tcPr>
            <w:tcW w:w="1559" w:type="dxa"/>
            <w:gridSpan w:val="2"/>
            <w:tcBorders>
              <w:top w:val="single" w:sz="4" w:space="0" w:color="auto"/>
            </w:tcBorders>
            <w:shd w:val="clear" w:color="auto" w:fill="auto"/>
            <w:noWrap/>
            <w:vAlign w:val="bottom"/>
            <w:hideMark/>
          </w:tcPr>
          <w:p w:rsidR="00BC5368" w:rsidRPr="003C2DD6" w:rsidRDefault="00BC5368" w:rsidP="005A1981">
            <w:pPr>
              <w:jc w:val="right"/>
              <w:rPr>
                <w:rFonts w:eastAsia="Times New Roman" w:cs="Times New Roman"/>
                <w:color w:val="000000"/>
                <w:sz w:val="20"/>
                <w:lang w:eastAsia="hr-HR"/>
              </w:rPr>
            </w:pPr>
            <w:r w:rsidRPr="003C2DD6">
              <w:rPr>
                <w:rFonts w:eastAsia="Times New Roman" w:cs="Times New Roman"/>
                <w:color w:val="000000"/>
                <w:sz w:val="20"/>
                <w:lang w:eastAsia="hr-HR"/>
              </w:rPr>
              <w:t>0,983938876</w:t>
            </w:r>
          </w:p>
        </w:tc>
        <w:tc>
          <w:tcPr>
            <w:tcW w:w="4031" w:type="dxa"/>
            <w:gridSpan w:val="4"/>
            <w:tcBorders>
              <w:top w:val="single" w:sz="4" w:space="0" w:color="auto"/>
              <w:left w:val="nil"/>
            </w:tcBorders>
          </w:tcPr>
          <w:p w:rsidR="00BC5368" w:rsidRPr="003C2DD6" w:rsidRDefault="00BC5368" w:rsidP="005A1981">
            <w:pPr>
              <w:jc w:val="right"/>
              <w:rPr>
                <w:rFonts w:eastAsia="Times New Roman" w:cs="Times New Roman"/>
                <w:color w:val="000000"/>
                <w:sz w:val="22"/>
                <w:lang w:eastAsia="hr-HR"/>
              </w:rPr>
            </w:pPr>
          </w:p>
        </w:tc>
        <w:tc>
          <w:tcPr>
            <w:tcW w:w="1747" w:type="dxa"/>
            <w:gridSpan w:val="3"/>
            <w:tcBorders>
              <w:top w:val="single" w:sz="4" w:space="0" w:color="auto"/>
            </w:tcBorders>
          </w:tcPr>
          <w:p w:rsidR="00BC5368" w:rsidRPr="003C2DD6" w:rsidRDefault="00BC5368" w:rsidP="005A1981">
            <w:pPr>
              <w:jc w:val="right"/>
              <w:rPr>
                <w:rFonts w:eastAsia="Times New Roman" w:cs="Times New Roman"/>
                <w:color w:val="000000"/>
                <w:sz w:val="22"/>
                <w:lang w:eastAsia="hr-HR"/>
              </w:rPr>
            </w:pPr>
          </w:p>
        </w:tc>
      </w:tr>
      <w:tr w:rsidR="00BC5368" w:rsidRPr="003C2DD6" w:rsidTr="005A1981">
        <w:trPr>
          <w:trHeight w:val="288"/>
        </w:trPr>
        <w:tc>
          <w:tcPr>
            <w:tcW w:w="1858" w:type="dxa"/>
            <w:gridSpan w:val="2"/>
            <w:shd w:val="clear" w:color="auto" w:fill="auto"/>
            <w:noWrap/>
            <w:vAlign w:val="bottom"/>
            <w:hideMark/>
          </w:tcPr>
          <w:p w:rsidR="00BC5368" w:rsidRPr="003C2DD6" w:rsidRDefault="00BC5368" w:rsidP="005A1981">
            <w:pPr>
              <w:rPr>
                <w:rFonts w:eastAsia="Times New Roman" w:cs="Times New Roman"/>
                <w:color w:val="000000"/>
                <w:sz w:val="20"/>
                <w:lang w:eastAsia="hr-HR"/>
              </w:rPr>
            </w:pPr>
            <w:r w:rsidRPr="003C2DD6">
              <w:rPr>
                <w:rFonts w:eastAsia="Times New Roman" w:cs="Times New Roman"/>
                <w:color w:val="000000"/>
                <w:sz w:val="20"/>
                <w:lang w:eastAsia="hr-HR"/>
              </w:rPr>
              <w:t xml:space="preserve">R </w:t>
            </w:r>
            <w:proofErr w:type="spellStart"/>
            <w:r w:rsidRPr="003C2DD6">
              <w:rPr>
                <w:rFonts w:eastAsia="Times New Roman" w:cs="Times New Roman"/>
                <w:color w:val="000000"/>
                <w:sz w:val="20"/>
                <w:lang w:eastAsia="hr-HR"/>
              </w:rPr>
              <w:t>Square</w:t>
            </w:r>
            <w:proofErr w:type="spellEnd"/>
          </w:p>
        </w:tc>
        <w:tc>
          <w:tcPr>
            <w:tcW w:w="1559" w:type="dxa"/>
            <w:gridSpan w:val="2"/>
            <w:shd w:val="clear" w:color="auto" w:fill="auto"/>
            <w:noWrap/>
            <w:vAlign w:val="bottom"/>
            <w:hideMark/>
          </w:tcPr>
          <w:p w:rsidR="00BC5368" w:rsidRPr="003C2DD6" w:rsidRDefault="00BC5368" w:rsidP="005A1981">
            <w:pPr>
              <w:jc w:val="right"/>
              <w:rPr>
                <w:rFonts w:eastAsia="Times New Roman" w:cs="Times New Roman"/>
                <w:color w:val="000000"/>
                <w:sz w:val="20"/>
                <w:lang w:eastAsia="hr-HR"/>
              </w:rPr>
            </w:pPr>
            <w:r w:rsidRPr="003C2DD6">
              <w:rPr>
                <w:rFonts w:eastAsia="Times New Roman" w:cs="Times New Roman"/>
                <w:color w:val="000000"/>
                <w:sz w:val="20"/>
                <w:lang w:eastAsia="hr-HR"/>
              </w:rPr>
              <w:t>0,968135711</w:t>
            </w:r>
          </w:p>
        </w:tc>
        <w:tc>
          <w:tcPr>
            <w:tcW w:w="4031" w:type="dxa"/>
            <w:gridSpan w:val="4"/>
            <w:tcBorders>
              <w:left w:val="nil"/>
            </w:tcBorders>
          </w:tcPr>
          <w:p w:rsidR="00BC5368" w:rsidRPr="003C2DD6" w:rsidRDefault="00BC5368" w:rsidP="005A1981">
            <w:pPr>
              <w:jc w:val="right"/>
              <w:rPr>
                <w:rFonts w:eastAsia="Times New Roman" w:cs="Times New Roman"/>
                <w:color w:val="000000"/>
                <w:sz w:val="22"/>
                <w:lang w:eastAsia="hr-HR"/>
              </w:rPr>
            </w:pPr>
          </w:p>
        </w:tc>
        <w:tc>
          <w:tcPr>
            <w:tcW w:w="1747" w:type="dxa"/>
            <w:gridSpan w:val="3"/>
          </w:tcPr>
          <w:p w:rsidR="00BC5368" w:rsidRPr="003C2DD6" w:rsidRDefault="00BC5368" w:rsidP="005A1981">
            <w:pPr>
              <w:jc w:val="right"/>
              <w:rPr>
                <w:rFonts w:eastAsia="Times New Roman" w:cs="Times New Roman"/>
                <w:color w:val="000000"/>
                <w:sz w:val="22"/>
                <w:lang w:eastAsia="hr-HR"/>
              </w:rPr>
            </w:pPr>
          </w:p>
        </w:tc>
      </w:tr>
      <w:tr w:rsidR="00BC5368" w:rsidRPr="003C2DD6" w:rsidTr="005A1981">
        <w:trPr>
          <w:trHeight w:val="288"/>
        </w:trPr>
        <w:tc>
          <w:tcPr>
            <w:tcW w:w="1858" w:type="dxa"/>
            <w:gridSpan w:val="2"/>
            <w:shd w:val="clear" w:color="auto" w:fill="auto"/>
            <w:noWrap/>
            <w:vAlign w:val="bottom"/>
            <w:hideMark/>
          </w:tcPr>
          <w:p w:rsidR="00BC5368" w:rsidRPr="003C2DD6" w:rsidRDefault="00BC5368" w:rsidP="005A1981">
            <w:pPr>
              <w:rPr>
                <w:rFonts w:eastAsia="Times New Roman" w:cs="Times New Roman"/>
                <w:color w:val="000000"/>
                <w:sz w:val="20"/>
                <w:lang w:eastAsia="hr-HR"/>
              </w:rPr>
            </w:pPr>
            <w:proofErr w:type="spellStart"/>
            <w:r w:rsidRPr="003C2DD6">
              <w:rPr>
                <w:rFonts w:eastAsia="Times New Roman" w:cs="Times New Roman"/>
                <w:color w:val="000000"/>
                <w:sz w:val="20"/>
                <w:lang w:eastAsia="hr-HR"/>
              </w:rPr>
              <w:t>Adjusted</w:t>
            </w:r>
            <w:proofErr w:type="spellEnd"/>
            <w:r w:rsidRPr="003C2DD6">
              <w:rPr>
                <w:rFonts w:eastAsia="Times New Roman" w:cs="Times New Roman"/>
                <w:color w:val="000000"/>
                <w:sz w:val="20"/>
                <w:lang w:eastAsia="hr-HR"/>
              </w:rPr>
              <w:t xml:space="preserve"> R </w:t>
            </w:r>
            <w:proofErr w:type="spellStart"/>
            <w:r w:rsidRPr="003C2DD6">
              <w:rPr>
                <w:rFonts w:eastAsia="Times New Roman" w:cs="Times New Roman"/>
                <w:color w:val="000000"/>
                <w:sz w:val="20"/>
                <w:lang w:eastAsia="hr-HR"/>
              </w:rPr>
              <w:t>Square</w:t>
            </w:r>
            <w:proofErr w:type="spellEnd"/>
          </w:p>
        </w:tc>
        <w:tc>
          <w:tcPr>
            <w:tcW w:w="1559" w:type="dxa"/>
            <w:gridSpan w:val="2"/>
            <w:shd w:val="clear" w:color="auto" w:fill="auto"/>
            <w:noWrap/>
            <w:vAlign w:val="bottom"/>
            <w:hideMark/>
          </w:tcPr>
          <w:p w:rsidR="00BC5368" w:rsidRPr="003C2DD6" w:rsidRDefault="00BC5368" w:rsidP="005A1981">
            <w:pPr>
              <w:jc w:val="right"/>
              <w:rPr>
                <w:rFonts w:eastAsia="Times New Roman" w:cs="Times New Roman"/>
                <w:color w:val="000000"/>
                <w:sz w:val="20"/>
                <w:lang w:eastAsia="hr-HR"/>
              </w:rPr>
            </w:pPr>
            <w:r w:rsidRPr="003C2DD6">
              <w:rPr>
                <w:rFonts w:eastAsia="Times New Roman" w:cs="Times New Roman"/>
                <w:color w:val="000000"/>
                <w:sz w:val="20"/>
                <w:lang w:eastAsia="hr-HR"/>
              </w:rPr>
              <w:t>0,957514281</w:t>
            </w:r>
          </w:p>
        </w:tc>
        <w:tc>
          <w:tcPr>
            <w:tcW w:w="4031" w:type="dxa"/>
            <w:gridSpan w:val="4"/>
            <w:tcBorders>
              <w:left w:val="nil"/>
            </w:tcBorders>
          </w:tcPr>
          <w:p w:rsidR="00BC5368" w:rsidRPr="003C2DD6" w:rsidRDefault="00BC5368" w:rsidP="005A1981">
            <w:pPr>
              <w:jc w:val="right"/>
              <w:rPr>
                <w:rFonts w:eastAsia="Times New Roman" w:cs="Times New Roman"/>
                <w:color w:val="000000"/>
                <w:sz w:val="22"/>
                <w:lang w:eastAsia="hr-HR"/>
              </w:rPr>
            </w:pPr>
          </w:p>
        </w:tc>
        <w:tc>
          <w:tcPr>
            <w:tcW w:w="1747" w:type="dxa"/>
            <w:gridSpan w:val="3"/>
          </w:tcPr>
          <w:p w:rsidR="00BC5368" w:rsidRPr="003C2DD6" w:rsidRDefault="00BC5368" w:rsidP="005A1981">
            <w:pPr>
              <w:jc w:val="right"/>
              <w:rPr>
                <w:rFonts w:eastAsia="Times New Roman" w:cs="Times New Roman"/>
                <w:color w:val="000000"/>
                <w:sz w:val="22"/>
                <w:lang w:eastAsia="hr-HR"/>
              </w:rPr>
            </w:pPr>
          </w:p>
        </w:tc>
      </w:tr>
      <w:tr w:rsidR="00BC5368" w:rsidRPr="003C2DD6" w:rsidTr="005A1981">
        <w:trPr>
          <w:trHeight w:val="288"/>
        </w:trPr>
        <w:tc>
          <w:tcPr>
            <w:tcW w:w="1858" w:type="dxa"/>
            <w:gridSpan w:val="2"/>
            <w:shd w:val="clear" w:color="auto" w:fill="auto"/>
            <w:noWrap/>
            <w:vAlign w:val="bottom"/>
            <w:hideMark/>
          </w:tcPr>
          <w:p w:rsidR="00BC5368" w:rsidRPr="003C2DD6" w:rsidRDefault="00BC5368" w:rsidP="005A1981">
            <w:pPr>
              <w:rPr>
                <w:rFonts w:eastAsia="Times New Roman" w:cs="Times New Roman"/>
                <w:color w:val="000000"/>
                <w:sz w:val="20"/>
                <w:lang w:eastAsia="hr-HR"/>
              </w:rPr>
            </w:pPr>
            <w:r w:rsidRPr="003C2DD6">
              <w:rPr>
                <w:rFonts w:eastAsia="Times New Roman" w:cs="Times New Roman"/>
                <w:color w:val="000000"/>
                <w:sz w:val="20"/>
                <w:lang w:eastAsia="hr-HR"/>
              </w:rPr>
              <w:t xml:space="preserve">Standard </w:t>
            </w:r>
            <w:proofErr w:type="spellStart"/>
            <w:r w:rsidRPr="003C2DD6">
              <w:rPr>
                <w:rFonts w:eastAsia="Times New Roman" w:cs="Times New Roman"/>
                <w:color w:val="000000"/>
                <w:sz w:val="20"/>
                <w:lang w:eastAsia="hr-HR"/>
              </w:rPr>
              <w:t>Error</w:t>
            </w:r>
            <w:proofErr w:type="spellEnd"/>
          </w:p>
        </w:tc>
        <w:tc>
          <w:tcPr>
            <w:tcW w:w="1559" w:type="dxa"/>
            <w:gridSpan w:val="2"/>
            <w:shd w:val="clear" w:color="auto" w:fill="auto"/>
            <w:noWrap/>
            <w:vAlign w:val="bottom"/>
            <w:hideMark/>
          </w:tcPr>
          <w:p w:rsidR="00BC5368" w:rsidRPr="003C2DD6" w:rsidRDefault="00BC5368" w:rsidP="005A1981">
            <w:pPr>
              <w:jc w:val="right"/>
              <w:rPr>
                <w:rFonts w:eastAsia="Times New Roman" w:cs="Times New Roman"/>
                <w:color w:val="000000"/>
                <w:sz w:val="20"/>
                <w:lang w:eastAsia="hr-HR"/>
              </w:rPr>
            </w:pPr>
            <w:r w:rsidRPr="003C2DD6">
              <w:rPr>
                <w:rFonts w:eastAsia="Times New Roman" w:cs="Times New Roman"/>
                <w:color w:val="000000"/>
                <w:sz w:val="20"/>
                <w:lang w:eastAsia="hr-HR"/>
              </w:rPr>
              <w:t>2502375566</w:t>
            </w:r>
          </w:p>
        </w:tc>
        <w:tc>
          <w:tcPr>
            <w:tcW w:w="4031" w:type="dxa"/>
            <w:gridSpan w:val="4"/>
            <w:tcBorders>
              <w:left w:val="nil"/>
            </w:tcBorders>
          </w:tcPr>
          <w:p w:rsidR="00BC5368" w:rsidRPr="003C2DD6" w:rsidRDefault="00BC5368" w:rsidP="005A1981">
            <w:pPr>
              <w:jc w:val="right"/>
              <w:rPr>
                <w:rFonts w:eastAsia="Times New Roman" w:cs="Times New Roman"/>
                <w:color w:val="000000"/>
                <w:sz w:val="22"/>
                <w:lang w:eastAsia="hr-HR"/>
              </w:rPr>
            </w:pPr>
          </w:p>
        </w:tc>
        <w:tc>
          <w:tcPr>
            <w:tcW w:w="1747" w:type="dxa"/>
            <w:gridSpan w:val="3"/>
          </w:tcPr>
          <w:p w:rsidR="00BC5368" w:rsidRPr="003C2DD6" w:rsidRDefault="00BC5368" w:rsidP="005A1981">
            <w:pPr>
              <w:jc w:val="right"/>
              <w:rPr>
                <w:rFonts w:eastAsia="Times New Roman" w:cs="Times New Roman"/>
                <w:color w:val="000000"/>
                <w:sz w:val="22"/>
                <w:lang w:eastAsia="hr-HR"/>
              </w:rPr>
            </w:pPr>
          </w:p>
        </w:tc>
      </w:tr>
      <w:tr w:rsidR="00BC5368" w:rsidRPr="003C2DD6" w:rsidTr="005A1981">
        <w:trPr>
          <w:trHeight w:val="300"/>
        </w:trPr>
        <w:tc>
          <w:tcPr>
            <w:tcW w:w="1858" w:type="dxa"/>
            <w:gridSpan w:val="2"/>
            <w:tcBorders>
              <w:bottom w:val="single" w:sz="4" w:space="0" w:color="auto"/>
            </w:tcBorders>
            <w:shd w:val="clear" w:color="auto" w:fill="auto"/>
            <w:noWrap/>
            <w:vAlign w:val="bottom"/>
            <w:hideMark/>
          </w:tcPr>
          <w:p w:rsidR="00BC5368" w:rsidRPr="003C2DD6" w:rsidRDefault="00BC5368" w:rsidP="005A1981">
            <w:pPr>
              <w:rPr>
                <w:rFonts w:eastAsia="Times New Roman" w:cs="Times New Roman"/>
                <w:color w:val="000000"/>
                <w:sz w:val="20"/>
                <w:lang w:eastAsia="hr-HR"/>
              </w:rPr>
            </w:pPr>
            <w:proofErr w:type="spellStart"/>
            <w:r w:rsidRPr="003C2DD6">
              <w:rPr>
                <w:rFonts w:eastAsia="Times New Roman" w:cs="Times New Roman"/>
                <w:color w:val="000000"/>
                <w:sz w:val="20"/>
                <w:lang w:eastAsia="hr-HR"/>
              </w:rPr>
              <w:t>Observations</w:t>
            </w:r>
            <w:proofErr w:type="spellEnd"/>
          </w:p>
        </w:tc>
        <w:tc>
          <w:tcPr>
            <w:tcW w:w="1559" w:type="dxa"/>
            <w:gridSpan w:val="2"/>
            <w:tcBorders>
              <w:bottom w:val="single" w:sz="4" w:space="0" w:color="auto"/>
            </w:tcBorders>
            <w:shd w:val="clear" w:color="auto" w:fill="auto"/>
            <w:noWrap/>
            <w:vAlign w:val="bottom"/>
            <w:hideMark/>
          </w:tcPr>
          <w:p w:rsidR="00BC5368" w:rsidRPr="003C2DD6" w:rsidRDefault="00BC5368" w:rsidP="005A1981">
            <w:pPr>
              <w:jc w:val="right"/>
              <w:rPr>
                <w:rFonts w:eastAsia="Times New Roman" w:cs="Times New Roman"/>
                <w:color w:val="000000"/>
                <w:sz w:val="20"/>
                <w:lang w:eastAsia="hr-HR"/>
              </w:rPr>
            </w:pPr>
            <w:r w:rsidRPr="003C2DD6">
              <w:rPr>
                <w:rFonts w:eastAsia="Times New Roman" w:cs="Times New Roman"/>
                <w:color w:val="000000"/>
                <w:sz w:val="20"/>
                <w:lang w:eastAsia="hr-HR"/>
              </w:rPr>
              <w:t>9</w:t>
            </w:r>
          </w:p>
        </w:tc>
        <w:tc>
          <w:tcPr>
            <w:tcW w:w="4031" w:type="dxa"/>
            <w:gridSpan w:val="4"/>
            <w:tcBorders>
              <w:left w:val="nil"/>
            </w:tcBorders>
          </w:tcPr>
          <w:p w:rsidR="00BC5368" w:rsidRPr="003C2DD6" w:rsidRDefault="00BC5368" w:rsidP="005A1981">
            <w:pPr>
              <w:jc w:val="right"/>
              <w:rPr>
                <w:rFonts w:eastAsia="Times New Roman" w:cs="Times New Roman"/>
                <w:color w:val="000000"/>
                <w:sz w:val="22"/>
                <w:lang w:eastAsia="hr-HR"/>
              </w:rPr>
            </w:pPr>
          </w:p>
        </w:tc>
        <w:tc>
          <w:tcPr>
            <w:tcW w:w="1747" w:type="dxa"/>
            <w:gridSpan w:val="3"/>
          </w:tcPr>
          <w:p w:rsidR="00BC5368" w:rsidRPr="003C2DD6" w:rsidRDefault="00BC5368" w:rsidP="005A1981">
            <w:pPr>
              <w:jc w:val="right"/>
              <w:rPr>
                <w:rFonts w:eastAsia="Times New Roman" w:cs="Times New Roman"/>
                <w:color w:val="000000"/>
                <w:sz w:val="22"/>
                <w:lang w:eastAsia="hr-HR"/>
              </w:rPr>
            </w:pPr>
          </w:p>
        </w:tc>
      </w:tr>
      <w:tr w:rsidR="00BC5368" w:rsidRPr="003D0027" w:rsidTr="005A1981">
        <w:trPr>
          <w:gridAfter w:val="1"/>
          <w:wAfter w:w="21" w:type="dxa"/>
          <w:trHeight w:val="294"/>
        </w:trPr>
        <w:tc>
          <w:tcPr>
            <w:tcW w:w="1105" w:type="dxa"/>
            <w:tcBorders>
              <w:top w:val="nil"/>
              <w:left w:val="nil"/>
              <w:bottom w:val="nil"/>
              <w:right w:val="nil"/>
            </w:tcBorders>
            <w:shd w:val="clear" w:color="auto" w:fill="auto"/>
            <w:noWrap/>
            <w:vAlign w:val="bottom"/>
            <w:hideMark/>
          </w:tcPr>
          <w:p w:rsidR="00BC5368" w:rsidRPr="003D0027" w:rsidRDefault="00BC5368" w:rsidP="005A1981">
            <w:pPr>
              <w:rPr>
                <w:rFonts w:eastAsia="Times New Roman" w:cs="Times New Roman"/>
                <w:color w:val="000000"/>
                <w:sz w:val="20"/>
                <w:lang w:eastAsia="hr-HR"/>
              </w:rPr>
            </w:pPr>
            <w:r w:rsidRPr="003D0027">
              <w:rPr>
                <w:rFonts w:eastAsia="Times New Roman" w:cs="Times New Roman"/>
                <w:color w:val="000000"/>
                <w:sz w:val="20"/>
                <w:lang w:eastAsia="hr-HR"/>
              </w:rPr>
              <w:t>ANOVA</w:t>
            </w:r>
          </w:p>
        </w:tc>
        <w:tc>
          <w:tcPr>
            <w:tcW w:w="1364" w:type="dxa"/>
            <w:gridSpan w:val="2"/>
            <w:tcBorders>
              <w:top w:val="nil"/>
              <w:left w:val="nil"/>
              <w:bottom w:val="nil"/>
              <w:right w:val="nil"/>
            </w:tcBorders>
            <w:shd w:val="clear" w:color="auto" w:fill="auto"/>
            <w:noWrap/>
            <w:vAlign w:val="bottom"/>
            <w:hideMark/>
          </w:tcPr>
          <w:p w:rsidR="00BC5368" w:rsidRPr="003D0027" w:rsidRDefault="00BC5368" w:rsidP="005A1981">
            <w:pPr>
              <w:rPr>
                <w:rFonts w:eastAsia="Times New Roman" w:cs="Times New Roman"/>
                <w:color w:val="000000"/>
                <w:sz w:val="20"/>
                <w:lang w:eastAsia="hr-HR"/>
              </w:rPr>
            </w:pPr>
          </w:p>
        </w:tc>
        <w:tc>
          <w:tcPr>
            <w:tcW w:w="1301" w:type="dxa"/>
            <w:gridSpan w:val="2"/>
            <w:tcBorders>
              <w:top w:val="nil"/>
              <w:left w:val="nil"/>
              <w:bottom w:val="nil"/>
              <w:right w:val="nil"/>
            </w:tcBorders>
            <w:shd w:val="clear" w:color="auto" w:fill="auto"/>
            <w:noWrap/>
            <w:vAlign w:val="bottom"/>
            <w:hideMark/>
          </w:tcPr>
          <w:p w:rsidR="00BC5368" w:rsidRPr="003D0027" w:rsidRDefault="00BC5368" w:rsidP="005A1981">
            <w:pPr>
              <w:rPr>
                <w:rFonts w:eastAsia="Times New Roman" w:cs="Times New Roman"/>
                <w:color w:val="000000"/>
                <w:sz w:val="20"/>
                <w:lang w:eastAsia="hr-HR"/>
              </w:rPr>
            </w:pPr>
          </w:p>
        </w:tc>
        <w:tc>
          <w:tcPr>
            <w:tcW w:w="1326" w:type="dxa"/>
            <w:tcBorders>
              <w:top w:val="nil"/>
              <w:left w:val="nil"/>
              <w:bottom w:val="nil"/>
              <w:right w:val="nil"/>
            </w:tcBorders>
            <w:shd w:val="clear" w:color="auto" w:fill="auto"/>
            <w:noWrap/>
            <w:vAlign w:val="bottom"/>
            <w:hideMark/>
          </w:tcPr>
          <w:p w:rsidR="00BC5368" w:rsidRPr="003D0027" w:rsidRDefault="00BC5368" w:rsidP="005A1981">
            <w:pPr>
              <w:rPr>
                <w:rFonts w:eastAsia="Times New Roman" w:cs="Times New Roman"/>
                <w:color w:val="000000"/>
                <w:sz w:val="20"/>
                <w:lang w:eastAsia="hr-HR"/>
              </w:rPr>
            </w:pPr>
          </w:p>
        </w:tc>
        <w:tc>
          <w:tcPr>
            <w:tcW w:w="1354" w:type="dxa"/>
            <w:tcBorders>
              <w:top w:val="nil"/>
              <w:left w:val="nil"/>
              <w:bottom w:val="nil"/>
              <w:right w:val="nil"/>
            </w:tcBorders>
            <w:shd w:val="clear" w:color="auto" w:fill="auto"/>
            <w:noWrap/>
            <w:vAlign w:val="bottom"/>
            <w:hideMark/>
          </w:tcPr>
          <w:p w:rsidR="00BC5368" w:rsidRPr="003D0027" w:rsidRDefault="00BC5368" w:rsidP="005A1981">
            <w:pPr>
              <w:rPr>
                <w:rFonts w:eastAsia="Times New Roman" w:cs="Times New Roman"/>
                <w:color w:val="000000"/>
                <w:sz w:val="20"/>
                <w:lang w:eastAsia="hr-HR"/>
              </w:rPr>
            </w:pPr>
          </w:p>
        </w:tc>
        <w:tc>
          <w:tcPr>
            <w:tcW w:w="1408" w:type="dxa"/>
            <w:gridSpan w:val="2"/>
            <w:tcBorders>
              <w:top w:val="nil"/>
              <w:left w:val="nil"/>
              <w:bottom w:val="nil"/>
              <w:right w:val="nil"/>
            </w:tcBorders>
            <w:shd w:val="clear" w:color="auto" w:fill="auto"/>
            <w:noWrap/>
            <w:vAlign w:val="bottom"/>
            <w:hideMark/>
          </w:tcPr>
          <w:p w:rsidR="00BC5368" w:rsidRPr="003D0027" w:rsidRDefault="00BC5368" w:rsidP="005A1981">
            <w:pPr>
              <w:rPr>
                <w:rFonts w:eastAsia="Times New Roman" w:cs="Times New Roman"/>
                <w:color w:val="000000"/>
                <w:sz w:val="20"/>
                <w:lang w:eastAsia="hr-HR"/>
              </w:rPr>
            </w:pPr>
          </w:p>
        </w:tc>
        <w:tc>
          <w:tcPr>
            <w:tcW w:w="1316" w:type="dxa"/>
            <w:tcBorders>
              <w:top w:val="nil"/>
              <w:left w:val="nil"/>
              <w:bottom w:val="nil"/>
              <w:right w:val="nil"/>
            </w:tcBorders>
            <w:shd w:val="clear" w:color="auto" w:fill="auto"/>
            <w:noWrap/>
            <w:vAlign w:val="bottom"/>
            <w:hideMark/>
          </w:tcPr>
          <w:p w:rsidR="00BC5368" w:rsidRPr="003D0027" w:rsidRDefault="00BC5368" w:rsidP="005A1981">
            <w:pPr>
              <w:rPr>
                <w:rFonts w:eastAsia="Times New Roman" w:cs="Times New Roman"/>
                <w:color w:val="000000"/>
                <w:sz w:val="20"/>
                <w:lang w:eastAsia="hr-HR"/>
              </w:rPr>
            </w:pPr>
          </w:p>
        </w:tc>
      </w:tr>
      <w:tr w:rsidR="00BC5368" w:rsidRPr="003D0027" w:rsidTr="005A1981">
        <w:trPr>
          <w:gridAfter w:val="1"/>
          <w:wAfter w:w="21" w:type="dxa"/>
          <w:trHeight w:val="282"/>
        </w:trPr>
        <w:tc>
          <w:tcPr>
            <w:tcW w:w="1105" w:type="dxa"/>
            <w:tcBorders>
              <w:top w:val="single" w:sz="8" w:space="0" w:color="auto"/>
              <w:left w:val="nil"/>
              <w:bottom w:val="single" w:sz="4" w:space="0" w:color="auto"/>
              <w:right w:val="nil"/>
            </w:tcBorders>
            <w:shd w:val="clear" w:color="auto" w:fill="auto"/>
            <w:noWrap/>
            <w:vAlign w:val="bottom"/>
            <w:hideMark/>
          </w:tcPr>
          <w:p w:rsidR="00BC5368" w:rsidRPr="003D0027" w:rsidRDefault="00BC5368" w:rsidP="005A1981">
            <w:pPr>
              <w:jc w:val="center"/>
              <w:rPr>
                <w:rFonts w:eastAsia="Times New Roman" w:cs="Times New Roman"/>
                <w:i/>
                <w:iCs/>
                <w:color w:val="000000"/>
                <w:sz w:val="20"/>
                <w:lang w:eastAsia="hr-HR"/>
              </w:rPr>
            </w:pPr>
            <w:r w:rsidRPr="003D0027">
              <w:rPr>
                <w:rFonts w:eastAsia="Times New Roman" w:cs="Times New Roman"/>
                <w:i/>
                <w:iCs/>
                <w:color w:val="000000"/>
                <w:sz w:val="20"/>
                <w:lang w:eastAsia="hr-HR"/>
              </w:rPr>
              <w:t> </w:t>
            </w:r>
          </w:p>
        </w:tc>
        <w:tc>
          <w:tcPr>
            <w:tcW w:w="1364" w:type="dxa"/>
            <w:gridSpan w:val="2"/>
            <w:tcBorders>
              <w:top w:val="single" w:sz="8" w:space="0" w:color="auto"/>
              <w:left w:val="nil"/>
              <w:bottom w:val="single" w:sz="4" w:space="0" w:color="auto"/>
              <w:right w:val="nil"/>
            </w:tcBorders>
            <w:shd w:val="clear" w:color="auto" w:fill="auto"/>
            <w:noWrap/>
            <w:vAlign w:val="bottom"/>
            <w:hideMark/>
          </w:tcPr>
          <w:p w:rsidR="00BC5368" w:rsidRPr="003D0027" w:rsidRDefault="00BC5368" w:rsidP="005A1981">
            <w:pPr>
              <w:jc w:val="center"/>
              <w:rPr>
                <w:rFonts w:eastAsia="Times New Roman" w:cs="Times New Roman"/>
                <w:i/>
                <w:iCs/>
                <w:color w:val="000000"/>
                <w:sz w:val="20"/>
                <w:lang w:eastAsia="hr-HR"/>
              </w:rPr>
            </w:pPr>
            <w:proofErr w:type="spellStart"/>
            <w:r w:rsidRPr="003D0027">
              <w:rPr>
                <w:rFonts w:eastAsia="Times New Roman" w:cs="Times New Roman"/>
                <w:i/>
                <w:iCs/>
                <w:color w:val="000000"/>
                <w:sz w:val="20"/>
                <w:lang w:eastAsia="hr-HR"/>
              </w:rPr>
              <w:t>df</w:t>
            </w:r>
            <w:proofErr w:type="spellEnd"/>
          </w:p>
        </w:tc>
        <w:tc>
          <w:tcPr>
            <w:tcW w:w="1301" w:type="dxa"/>
            <w:gridSpan w:val="2"/>
            <w:tcBorders>
              <w:top w:val="single" w:sz="8" w:space="0" w:color="auto"/>
              <w:left w:val="nil"/>
              <w:bottom w:val="single" w:sz="4" w:space="0" w:color="auto"/>
              <w:right w:val="nil"/>
            </w:tcBorders>
            <w:shd w:val="clear" w:color="auto" w:fill="auto"/>
            <w:noWrap/>
            <w:vAlign w:val="bottom"/>
            <w:hideMark/>
          </w:tcPr>
          <w:p w:rsidR="00BC5368" w:rsidRPr="003D0027" w:rsidRDefault="00BC5368" w:rsidP="005A1981">
            <w:pPr>
              <w:jc w:val="center"/>
              <w:rPr>
                <w:rFonts w:eastAsia="Times New Roman" w:cs="Times New Roman"/>
                <w:i/>
                <w:iCs/>
                <w:color w:val="000000"/>
                <w:sz w:val="20"/>
                <w:lang w:eastAsia="hr-HR"/>
              </w:rPr>
            </w:pPr>
            <w:r w:rsidRPr="003D0027">
              <w:rPr>
                <w:rFonts w:eastAsia="Times New Roman" w:cs="Times New Roman"/>
                <w:i/>
                <w:iCs/>
                <w:color w:val="000000"/>
                <w:sz w:val="20"/>
                <w:lang w:eastAsia="hr-HR"/>
              </w:rPr>
              <w:t>SS</w:t>
            </w:r>
          </w:p>
        </w:tc>
        <w:tc>
          <w:tcPr>
            <w:tcW w:w="1326" w:type="dxa"/>
            <w:tcBorders>
              <w:top w:val="single" w:sz="8" w:space="0" w:color="auto"/>
              <w:left w:val="nil"/>
              <w:bottom w:val="single" w:sz="4" w:space="0" w:color="auto"/>
              <w:right w:val="nil"/>
            </w:tcBorders>
            <w:shd w:val="clear" w:color="auto" w:fill="auto"/>
            <w:noWrap/>
            <w:vAlign w:val="bottom"/>
            <w:hideMark/>
          </w:tcPr>
          <w:p w:rsidR="00BC5368" w:rsidRPr="003D0027" w:rsidRDefault="00BC5368" w:rsidP="005A1981">
            <w:pPr>
              <w:jc w:val="center"/>
              <w:rPr>
                <w:rFonts w:eastAsia="Times New Roman" w:cs="Times New Roman"/>
                <w:i/>
                <w:iCs/>
                <w:color w:val="000000"/>
                <w:sz w:val="20"/>
                <w:lang w:eastAsia="hr-HR"/>
              </w:rPr>
            </w:pPr>
            <w:r w:rsidRPr="003D0027">
              <w:rPr>
                <w:rFonts w:eastAsia="Times New Roman" w:cs="Times New Roman"/>
                <w:i/>
                <w:iCs/>
                <w:color w:val="000000"/>
                <w:sz w:val="20"/>
                <w:lang w:eastAsia="hr-HR"/>
              </w:rPr>
              <w:t>MS</w:t>
            </w:r>
          </w:p>
        </w:tc>
        <w:tc>
          <w:tcPr>
            <w:tcW w:w="1354" w:type="dxa"/>
            <w:tcBorders>
              <w:top w:val="single" w:sz="8" w:space="0" w:color="auto"/>
              <w:left w:val="nil"/>
              <w:bottom w:val="single" w:sz="4" w:space="0" w:color="auto"/>
              <w:right w:val="nil"/>
            </w:tcBorders>
            <w:shd w:val="clear" w:color="auto" w:fill="auto"/>
            <w:noWrap/>
            <w:vAlign w:val="bottom"/>
            <w:hideMark/>
          </w:tcPr>
          <w:p w:rsidR="00BC5368" w:rsidRPr="003D0027" w:rsidRDefault="00BC5368" w:rsidP="005A1981">
            <w:pPr>
              <w:jc w:val="center"/>
              <w:rPr>
                <w:rFonts w:eastAsia="Times New Roman" w:cs="Times New Roman"/>
                <w:i/>
                <w:iCs/>
                <w:color w:val="000000"/>
                <w:sz w:val="20"/>
                <w:lang w:eastAsia="hr-HR"/>
              </w:rPr>
            </w:pPr>
            <w:r w:rsidRPr="003D0027">
              <w:rPr>
                <w:rFonts w:eastAsia="Times New Roman" w:cs="Times New Roman"/>
                <w:i/>
                <w:iCs/>
                <w:color w:val="000000"/>
                <w:sz w:val="20"/>
                <w:lang w:eastAsia="hr-HR"/>
              </w:rPr>
              <w:t>F</w:t>
            </w:r>
          </w:p>
        </w:tc>
        <w:tc>
          <w:tcPr>
            <w:tcW w:w="1408" w:type="dxa"/>
            <w:gridSpan w:val="2"/>
            <w:tcBorders>
              <w:top w:val="single" w:sz="8" w:space="0" w:color="auto"/>
              <w:left w:val="nil"/>
              <w:bottom w:val="single" w:sz="4" w:space="0" w:color="auto"/>
              <w:right w:val="nil"/>
            </w:tcBorders>
            <w:shd w:val="clear" w:color="auto" w:fill="auto"/>
            <w:noWrap/>
            <w:vAlign w:val="bottom"/>
            <w:hideMark/>
          </w:tcPr>
          <w:p w:rsidR="00BC5368" w:rsidRPr="003D0027" w:rsidRDefault="00BC5368" w:rsidP="005A1981">
            <w:pPr>
              <w:jc w:val="center"/>
              <w:rPr>
                <w:rFonts w:eastAsia="Times New Roman" w:cs="Times New Roman"/>
                <w:i/>
                <w:iCs/>
                <w:color w:val="000000"/>
                <w:sz w:val="20"/>
                <w:lang w:eastAsia="hr-HR"/>
              </w:rPr>
            </w:pPr>
            <w:proofErr w:type="spellStart"/>
            <w:r w:rsidRPr="003D0027">
              <w:rPr>
                <w:rFonts w:eastAsia="Times New Roman" w:cs="Times New Roman"/>
                <w:i/>
                <w:iCs/>
                <w:color w:val="000000"/>
                <w:sz w:val="20"/>
                <w:lang w:eastAsia="hr-HR"/>
              </w:rPr>
              <w:t>Significance</w:t>
            </w:r>
            <w:proofErr w:type="spellEnd"/>
            <w:r w:rsidRPr="003D0027">
              <w:rPr>
                <w:rFonts w:eastAsia="Times New Roman" w:cs="Times New Roman"/>
                <w:i/>
                <w:iCs/>
                <w:color w:val="000000"/>
                <w:sz w:val="20"/>
                <w:lang w:eastAsia="hr-HR"/>
              </w:rPr>
              <w:t xml:space="preserve"> F</w:t>
            </w:r>
          </w:p>
        </w:tc>
        <w:tc>
          <w:tcPr>
            <w:tcW w:w="1316" w:type="dxa"/>
            <w:tcBorders>
              <w:top w:val="nil"/>
              <w:left w:val="nil"/>
              <w:bottom w:val="nil"/>
              <w:right w:val="nil"/>
            </w:tcBorders>
            <w:shd w:val="clear" w:color="auto" w:fill="auto"/>
            <w:noWrap/>
            <w:vAlign w:val="bottom"/>
            <w:hideMark/>
          </w:tcPr>
          <w:p w:rsidR="00BC5368" w:rsidRPr="003D0027" w:rsidRDefault="00BC5368" w:rsidP="005A1981">
            <w:pPr>
              <w:rPr>
                <w:rFonts w:eastAsia="Times New Roman" w:cs="Times New Roman"/>
                <w:color w:val="000000"/>
                <w:sz w:val="20"/>
                <w:lang w:eastAsia="hr-HR"/>
              </w:rPr>
            </w:pPr>
          </w:p>
        </w:tc>
      </w:tr>
      <w:tr w:rsidR="00BC5368" w:rsidRPr="003D0027" w:rsidTr="005A1981">
        <w:trPr>
          <w:gridAfter w:val="1"/>
          <w:wAfter w:w="21" w:type="dxa"/>
          <w:trHeight w:val="282"/>
        </w:trPr>
        <w:tc>
          <w:tcPr>
            <w:tcW w:w="1105" w:type="dxa"/>
            <w:tcBorders>
              <w:top w:val="nil"/>
              <w:left w:val="nil"/>
              <w:bottom w:val="nil"/>
              <w:right w:val="nil"/>
            </w:tcBorders>
            <w:shd w:val="clear" w:color="auto" w:fill="auto"/>
            <w:noWrap/>
            <w:vAlign w:val="bottom"/>
            <w:hideMark/>
          </w:tcPr>
          <w:p w:rsidR="00BC5368" w:rsidRPr="003D0027" w:rsidRDefault="00BC5368" w:rsidP="005A1981">
            <w:pPr>
              <w:rPr>
                <w:rFonts w:eastAsia="Times New Roman" w:cs="Times New Roman"/>
                <w:color w:val="000000"/>
                <w:sz w:val="20"/>
                <w:lang w:eastAsia="hr-HR"/>
              </w:rPr>
            </w:pPr>
            <w:proofErr w:type="spellStart"/>
            <w:r w:rsidRPr="003D0027">
              <w:rPr>
                <w:rFonts w:eastAsia="Times New Roman" w:cs="Times New Roman"/>
                <w:color w:val="000000"/>
                <w:sz w:val="20"/>
                <w:lang w:eastAsia="hr-HR"/>
              </w:rPr>
              <w:t>Regression</w:t>
            </w:r>
            <w:proofErr w:type="spellEnd"/>
          </w:p>
        </w:tc>
        <w:tc>
          <w:tcPr>
            <w:tcW w:w="1364" w:type="dxa"/>
            <w:gridSpan w:val="2"/>
            <w:tcBorders>
              <w:top w:val="nil"/>
              <w:left w:val="nil"/>
              <w:bottom w:val="nil"/>
              <w:right w:val="nil"/>
            </w:tcBorders>
            <w:shd w:val="clear" w:color="auto" w:fill="auto"/>
            <w:noWrap/>
            <w:vAlign w:val="bottom"/>
            <w:hideMark/>
          </w:tcPr>
          <w:p w:rsidR="00BC5368" w:rsidRPr="003D0027" w:rsidRDefault="00BC5368" w:rsidP="005A1981">
            <w:pPr>
              <w:jc w:val="right"/>
              <w:rPr>
                <w:rFonts w:eastAsia="Times New Roman" w:cs="Times New Roman"/>
                <w:color w:val="000000"/>
                <w:sz w:val="20"/>
                <w:lang w:eastAsia="hr-HR"/>
              </w:rPr>
            </w:pPr>
            <w:r w:rsidRPr="003D0027">
              <w:rPr>
                <w:rFonts w:eastAsia="Times New Roman" w:cs="Times New Roman"/>
                <w:color w:val="000000"/>
                <w:sz w:val="20"/>
                <w:lang w:eastAsia="hr-HR"/>
              </w:rPr>
              <w:t>2</w:t>
            </w:r>
          </w:p>
        </w:tc>
        <w:tc>
          <w:tcPr>
            <w:tcW w:w="1301" w:type="dxa"/>
            <w:gridSpan w:val="2"/>
            <w:tcBorders>
              <w:top w:val="nil"/>
              <w:left w:val="nil"/>
              <w:bottom w:val="nil"/>
              <w:right w:val="nil"/>
            </w:tcBorders>
            <w:shd w:val="clear" w:color="auto" w:fill="auto"/>
            <w:noWrap/>
            <w:vAlign w:val="bottom"/>
            <w:hideMark/>
          </w:tcPr>
          <w:p w:rsidR="00BC5368" w:rsidRPr="003D0027" w:rsidRDefault="00BC5368" w:rsidP="005A1981">
            <w:pPr>
              <w:jc w:val="right"/>
              <w:rPr>
                <w:rFonts w:eastAsia="Times New Roman" w:cs="Times New Roman"/>
                <w:color w:val="000000"/>
                <w:sz w:val="20"/>
                <w:lang w:eastAsia="hr-HR"/>
              </w:rPr>
            </w:pPr>
            <w:r w:rsidRPr="003D0027">
              <w:rPr>
                <w:rFonts w:eastAsia="Times New Roman" w:cs="Times New Roman"/>
                <w:color w:val="000000"/>
                <w:sz w:val="20"/>
                <w:lang w:eastAsia="hr-HR"/>
              </w:rPr>
              <w:t>1,14153E+21</w:t>
            </w:r>
          </w:p>
        </w:tc>
        <w:tc>
          <w:tcPr>
            <w:tcW w:w="1326" w:type="dxa"/>
            <w:tcBorders>
              <w:top w:val="nil"/>
              <w:left w:val="nil"/>
              <w:bottom w:val="nil"/>
              <w:right w:val="nil"/>
            </w:tcBorders>
            <w:shd w:val="clear" w:color="auto" w:fill="auto"/>
            <w:noWrap/>
            <w:vAlign w:val="bottom"/>
            <w:hideMark/>
          </w:tcPr>
          <w:p w:rsidR="00BC5368" w:rsidRPr="003D0027" w:rsidRDefault="00BC5368" w:rsidP="005A1981">
            <w:pPr>
              <w:jc w:val="right"/>
              <w:rPr>
                <w:rFonts w:eastAsia="Times New Roman" w:cs="Times New Roman"/>
                <w:color w:val="000000"/>
                <w:sz w:val="20"/>
                <w:lang w:eastAsia="hr-HR"/>
              </w:rPr>
            </w:pPr>
            <w:r w:rsidRPr="003D0027">
              <w:rPr>
                <w:rFonts w:eastAsia="Times New Roman" w:cs="Times New Roman"/>
                <w:color w:val="000000"/>
                <w:sz w:val="20"/>
                <w:lang w:eastAsia="hr-HR"/>
              </w:rPr>
              <w:t>5,70766E+20</w:t>
            </w:r>
          </w:p>
        </w:tc>
        <w:tc>
          <w:tcPr>
            <w:tcW w:w="1354" w:type="dxa"/>
            <w:tcBorders>
              <w:top w:val="nil"/>
              <w:left w:val="nil"/>
              <w:bottom w:val="nil"/>
              <w:right w:val="nil"/>
            </w:tcBorders>
            <w:shd w:val="clear" w:color="auto" w:fill="auto"/>
            <w:noWrap/>
            <w:vAlign w:val="bottom"/>
            <w:hideMark/>
          </w:tcPr>
          <w:p w:rsidR="00BC5368" w:rsidRPr="003D0027" w:rsidRDefault="00BC5368" w:rsidP="005A1981">
            <w:pPr>
              <w:jc w:val="right"/>
              <w:rPr>
                <w:rFonts w:eastAsia="Times New Roman" w:cs="Times New Roman"/>
                <w:color w:val="000000"/>
                <w:sz w:val="20"/>
                <w:lang w:eastAsia="hr-HR"/>
              </w:rPr>
            </w:pPr>
            <w:r w:rsidRPr="003D0027">
              <w:rPr>
                <w:rFonts w:eastAsia="Times New Roman" w:cs="Times New Roman"/>
                <w:color w:val="000000"/>
                <w:sz w:val="20"/>
                <w:lang w:eastAsia="hr-HR"/>
              </w:rPr>
              <w:t>91,1492836</w:t>
            </w:r>
          </w:p>
        </w:tc>
        <w:tc>
          <w:tcPr>
            <w:tcW w:w="1408" w:type="dxa"/>
            <w:gridSpan w:val="2"/>
            <w:tcBorders>
              <w:top w:val="nil"/>
              <w:left w:val="nil"/>
              <w:bottom w:val="nil"/>
              <w:right w:val="nil"/>
            </w:tcBorders>
            <w:shd w:val="clear" w:color="auto" w:fill="auto"/>
            <w:noWrap/>
            <w:vAlign w:val="bottom"/>
            <w:hideMark/>
          </w:tcPr>
          <w:p w:rsidR="00BC5368" w:rsidRPr="003D0027" w:rsidRDefault="00BC5368" w:rsidP="005A1981">
            <w:pPr>
              <w:jc w:val="right"/>
              <w:rPr>
                <w:rFonts w:eastAsia="Times New Roman" w:cs="Times New Roman"/>
                <w:color w:val="000000"/>
                <w:sz w:val="20"/>
                <w:lang w:eastAsia="hr-HR"/>
              </w:rPr>
            </w:pPr>
            <w:r w:rsidRPr="003D0027">
              <w:rPr>
                <w:rFonts w:eastAsia="Times New Roman" w:cs="Times New Roman"/>
                <w:color w:val="000000"/>
                <w:sz w:val="20"/>
                <w:lang w:eastAsia="hr-HR"/>
              </w:rPr>
              <w:t>3,23529E-05</w:t>
            </w:r>
          </w:p>
        </w:tc>
        <w:tc>
          <w:tcPr>
            <w:tcW w:w="1316" w:type="dxa"/>
            <w:tcBorders>
              <w:top w:val="nil"/>
              <w:left w:val="nil"/>
              <w:bottom w:val="nil"/>
              <w:right w:val="nil"/>
            </w:tcBorders>
            <w:shd w:val="clear" w:color="auto" w:fill="auto"/>
            <w:noWrap/>
            <w:vAlign w:val="bottom"/>
            <w:hideMark/>
          </w:tcPr>
          <w:p w:rsidR="00BC5368" w:rsidRPr="003D0027" w:rsidRDefault="00BC5368" w:rsidP="005A1981">
            <w:pPr>
              <w:rPr>
                <w:rFonts w:eastAsia="Times New Roman" w:cs="Times New Roman"/>
                <w:color w:val="000000"/>
                <w:sz w:val="20"/>
                <w:lang w:eastAsia="hr-HR"/>
              </w:rPr>
            </w:pPr>
          </w:p>
        </w:tc>
      </w:tr>
      <w:tr w:rsidR="00BC5368" w:rsidRPr="003D0027" w:rsidTr="005A1981">
        <w:trPr>
          <w:gridAfter w:val="1"/>
          <w:wAfter w:w="21" w:type="dxa"/>
          <w:trHeight w:val="282"/>
        </w:trPr>
        <w:tc>
          <w:tcPr>
            <w:tcW w:w="1105" w:type="dxa"/>
            <w:tcBorders>
              <w:top w:val="nil"/>
              <w:left w:val="nil"/>
              <w:bottom w:val="nil"/>
              <w:right w:val="nil"/>
            </w:tcBorders>
            <w:shd w:val="clear" w:color="auto" w:fill="auto"/>
            <w:noWrap/>
            <w:vAlign w:val="bottom"/>
            <w:hideMark/>
          </w:tcPr>
          <w:p w:rsidR="00BC5368" w:rsidRPr="003D0027" w:rsidRDefault="00BC5368" w:rsidP="005A1981">
            <w:pPr>
              <w:rPr>
                <w:rFonts w:eastAsia="Times New Roman" w:cs="Times New Roman"/>
                <w:color w:val="000000"/>
                <w:sz w:val="20"/>
                <w:lang w:eastAsia="hr-HR"/>
              </w:rPr>
            </w:pPr>
            <w:proofErr w:type="spellStart"/>
            <w:r w:rsidRPr="003D0027">
              <w:rPr>
                <w:rFonts w:eastAsia="Times New Roman" w:cs="Times New Roman"/>
                <w:color w:val="000000"/>
                <w:sz w:val="20"/>
                <w:lang w:eastAsia="hr-HR"/>
              </w:rPr>
              <w:t>Residual</w:t>
            </w:r>
            <w:proofErr w:type="spellEnd"/>
          </w:p>
        </w:tc>
        <w:tc>
          <w:tcPr>
            <w:tcW w:w="1364" w:type="dxa"/>
            <w:gridSpan w:val="2"/>
            <w:tcBorders>
              <w:top w:val="nil"/>
              <w:left w:val="nil"/>
              <w:bottom w:val="nil"/>
              <w:right w:val="nil"/>
            </w:tcBorders>
            <w:shd w:val="clear" w:color="auto" w:fill="auto"/>
            <w:noWrap/>
            <w:vAlign w:val="bottom"/>
            <w:hideMark/>
          </w:tcPr>
          <w:p w:rsidR="00BC5368" w:rsidRPr="003D0027" w:rsidRDefault="00BC5368" w:rsidP="005A1981">
            <w:pPr>
              <w:jc w:val="right"/>
              <w:rPr>
                <w:rFonts w:eastAsia="Times New Roman" w:cs="Times New Roman"/>
                <w:color w:val="000000"/>
                <w:sz w:val="20"/>
                <w:lang w:eastAsia="hr-HR"/>
              </w:rPr>
            </w:pPr>
            <w:r w:rsidRPr="003D0027">
              <w:rPr>
                <w:rFonts w:eastAsia="Times New Roman" w:cs="Times New Roman"/>
                <w:color w:val="000000"/>
                <w:sz w:val="20"/>
                <w:lang w:eastAsia="hr-HR"/>
              </w:rPr>
              <w:t>6</w:t>
            </w:r>
          </w:p>
        </w:tc>
        <w:tc>
          <w:tcPr>
            <w:tcW w:w="1301" w:type="dxa"/>
            <w:gridSpan w:val="2"/>
            <w:tcBorders>
              <w:top w:val="nil"/>
              <w:left w:val="nil"/>
              <w:bottom w:val="nil"/>
              <w:right w:val="nil"/>
            </w:tcBorders>
            <w:shd w:val="clear" w:color="auto" w:fill="auto"/>
            <w:noWrap/>
            <w:vAlign w:val="bottom"/>
            <w:hideMark/>
          </w:tcPr>
          <w:p w:rsidR="00BC5368" w:rsidRPr="003D0027" w:rsidRDefault="00BC5368" w:rsidP="005A1981">
            <w:pPr>
              <w:jc w:val="right"/>
              <w:rPr>
                <w:rFonts w:eastAsia="Times New Roman" w:cs="Times New Roman"/>
                <w:color w:val="000000"/>
                <w:sz w:val="20"/>
                <w:lang w:eastAsia="hr-HR"/>
              </w:rPr>
            </w:pPr>
            <w:r w:rsidRPr="003D0027">
              <w:rPr>
                <w:rFonts w:eastAsia="Times New Roman" w:cs="Times New Roman"/>
                <w:color w:val="000000"/>
                <w:sz w:val="20"/>
                <w:lang w:eastAsia="hr-HR"/>
              </w:rPr>
              <w:t>3,75713E+19</w:t>
            </w:r>
          </w:p>
        </w:tc>
        <w:tc>
          <w:tcPr>
            <w:tcW w:w="1326" w:type="dxa"/>
            <w:tcBorders>
              <w:top w:val="nil"/>
              <w:left w:val="nil"/>
              <w:bottom w:val="nil"/>
              <w:right w:val="nil"/>
            </w:tcBorders>
            <w:shd w:val="clear" w:color="auto" w:fill="auto"/>
            <w:noWrap/>
            <w:vAlign w:val="bottom"/>
            <w:hideMark/>
          </w:tcPr>
          <w:p w:rsidR="00BC5368" w:rsidRPr="003D0027" w:rsidRDefault="00BC5368" w:rsidP="005A1981">
            <w:pPr>
              <w:jc w:val="right"/>
              <w:rPr>
                <w:rFonts w:eastAsia="Times New Roman" w:cs="Times New Roman"/>
                <w:color w:val="000000"/>
                <w:sz w:val="20"/>
                <w:lang w:eastAsia="hr-HR"/>
              </w:rPr>
            </w:pPr>
            <w:r w:rsidRPr="003D0027">
              <w:rPr>
                <w:rFonts w:eastAsia="Times New Roman" w:cs="Times New Roman"/>
                <w:color w:val="000000"/>
                <w:sz w:val="20"/>
                <w:lang w:eastAsia="hr-HR"/>
              </w:rPr>
              <w:t>6,26188E+18</w:t>
            </w:r>
          </w:p>
        </w:tc>
        <w:tc>
          <w:tcPr>
            <w:tcW w:w="1354" w:type="dxa"/>
            <w:tcBorders>
              <w:top w:val="nil"/>
              <w:left w:val="nil"/>
              <w:bottom w:val="nil"/>
              <w:right w:val="nil"/>
            </w:tcBorders>
            <w:shd w:val="clear" w:color="auto" w:fill="auto"/>
            <w:noWrap/>
            <w:vAlign w:val="bottom"/>
            <w:hideMark/>
          </w:tcPr>
          <w:p w:rsidR="00BC5368" w:rsidRPr="003D0027" w:rsidRDefault="00BC5368" w:rsidP="005A1981">
            <w:pPr>
              <w:rPr>
                <w:rFonts w:eastAsia="Times New Roman" w:cs="Times New Roman"/>
                <w:color w:val="000000"/>
                <w:sz w:val="20"/>
                <w:lang w:eastAsia="hr-HR"/>
              </w:rPr>
            </w:pPr>
          </w:p>
        </w:tc>
        <w:tc>
          <w:tcPr>
            <w:tcW w:w="1408" w:type="dxa"/>
            <w:gridSpan w:val="2"/>
            <w:tcBorders>
              <w:top w:val="nil"/>
              <w:left w:val="nil"/>
              <w:bottom w:val="nil"/>
              <w:right w:val="nil"/>
            </w:tcBorders>
            <w:shd w:val="clear" w:color="auto" w:fill="auto"/>
            <w:noWrap/>
            <w:vAlign w:val="bottom"/>
            <w:hideMark/>
          </w:tcPr>
          <w:p w:rsidR="00BC5368" w:rsidRPr="003D0027" w:rsidRDefault="00BC5368" w:rsidP="005A1981">
            <w:pPr>
              <w:rPr>
                <w:rFonts w:eastAsia="Times New Roman" w:cs="Times New Roman"/>
                <w:color w:val="000000"/>
                <w:sz w:val="20"/>
                <w:lang w:eastAsia="hr-HR"/>
              </w:rPr>
            </w:pPr>
          </w:p>
        </w:tc>
        <w:tc>
          <w:tcPr>
            <w:tcW w:w="1316" w:type="dxa"/>
            <w:tcBorders>
              <w:top w:val="nil"/>
              <w:left w:val="nil"/>
              <w:bottom w:val="nil"/>
              <w:right w:val="nil"/>
            </w:tcBorders>
            <w:shd w:val="clear" w:color="auto" w:fill="auto"/>
            <w:noWrap/>
            <w:vAlign w:val="bottom"/>
            <w:hideMark/>
          </w:tcPr>
          <w:p w:rsidR="00BC5368" w:rsidRPr="003D0027" w:rsidRDefault="00BC5368" w:rsidP="005A1981">
            <w:pPr>
              <w:rPr>
                <w:rFonts w:eastAsia="Times New Roman" w:cs="Times New Roman"/>
                <w:color w:val="000000"/>
                <w:sz w:val="20"/>
                <w:lang w:eastAsia="hr-HR"/>
              </w:rPr>
            </w:pPr>
          </w:p>
        </w:tc>
      </w:tr>
      <w:tr w:rsidR="00BC5368" w:rsidRPr="003D0027" w:rsidTr="005A1981">
        <w:trPr>
          <w:gridAfter w:val="1"/>
          <w:wAfter w:w="21" w:type="dxa"/>
          <w:trHeight w:val="294"/>
        </w:trPr>
        <w:tc>
          <w:tcPr>
            <w:tcW w:w="1105" w:type="dxa"/>
            <w:tcBorders>
              <w:top w:val="nil"/>
              <w:left w:val="nil"/>
              <w:bottom w:val="single" w:sz="8" w:space="0" w:color="auto"/>
              <w:right w:val="nil"/>
            </w:tcBorders>
            <w:shd w:val="clear" w:color="auto" w:fill="auto"/>
            <w:noWrap/>
            <w:vAlign w:val="bottom"/>
            <w:hideMark/>
          </w:tcPr>
          <w:p w:rsidR="00BC5368" w:rsidRPr="003D0027" w:rsidRDefault="00BC5368" w:rsidP="005A1981">
            <w:pPr>
              <w:rPr>
                <w:rFonts w:eastAsia="Times New Roman" w:cs="Times New Roman"/>
                <w:color w:val="000000"/>
                <w:sz w:val="20"/>
                <w:lang w:eastAsia="hr-HR"/>
              </w:rPr>
            </w:pPr>
            <w:r w:rsidRPr="003D0027">
              <w:rPr>
                <w:rFonts w:eastAsia="Times New Roman" w:cs="Times New Roman"/>
                <w:color w:val="000000"/>
                <w:sz w:val="20"/>
                <w:lang w:eastAsia="hr-HR"/>
              </w:rPr>
              <w:t>Total</w:t>
            </w:r>
          </w:p>
        </w:tc>
        <w:tc>
          <w:tcPr>
            <w:tcW w:w="1364" w:type="dxa"/>
            <w:gridSpan w:val="2"/>
            <w:tcBorders>
              <w:top w:val="nil"/>
              <w:left w:val="nil"/>
              <w:bottom w:val="single" w:sz="8" w:space="0" w:color="auto"/>
              <w:right w:val="nil"/>
            </w:tcBorders>
            <w:shd w:val="clear" w:color="auto" w:fill="auto"/>
            <w:noWrap/>
            <w:vAlign w:val="bottom"/>
            <w:hideMark/>
          </w:tcPr>
          <w:p w:rsidR="00BC5368" w:rsidRPr="003D0027" w:rsidRDefault="00BC5368" w:rsidP="005A1981">
            <w:pPr>
              <w:jc w:val="right"/>
              <w:rPr>
                <w:rFonts w:eastAsia="Times New Roman" w:cs="Times New Roman"/>
                <w:color w:val="000000"/>
                <w:sz w:val="20"/>
                <w:lang w:eastAsia="hr-HR"/>
              </w:rPr>
            </w:pPr>
            <w:r w:rsidRPr="003D0027">
              <w:rPr>
                <w:rFonts w:eastAsia="Times New Roman" w:cs="Times New Roman"/>
                <w:color w:val="000000"/>
                <w:sz w:val="20"/>
                <w:lang w:eastAsia="hr-HR"/>
              </w:rPr>
              <w:t>8</w:t>
            </w:r>
          </w:p>
        </w:tc>
        <w:tc>
          <w:tcPr>
            <w:tcW w:w="1301" w:type="dxa"/>
            <w:gridSpan w:val="2"/>
            <w:tcBorders>
              <w:top w:val="nil"/>
              <w:left w:val="nil"/>
              <w:bottom w:val="single" w:sz="8" w:space="0" w:color="auto"/>
              <w:right w:val="nil"/>
            </w:tcBorders>
            <w:shd w:val="clear" w:color="auto" w:fill="auto"/>
            <w:noWrap/>
            <w:vAlign w:val="bottom"/>
            <w:hideMark/>
          </w:tcPr>
          <w:p w:rsidR="00BC5368" w:rsidRPr="003D0027" w:rsidRDefault="00BC5368" w:rsidP="005A1981">
            <w:pPr>
              <w:jc w:val="right"/>
              <w:rPr>
                <w:rFonts w:eastAsia="Times New Roman" w:cs="Times New Roman"/>
                <w:color w:val="000000"/>
                <w:sz w:val="20"/>
                <w:lang w:eastAsia="hr-HR"/>
              </w:rPr>
            </w:pPr>
            <w:r w:rsidRPr="003D0027">
              <w:rPr>
                <w:rFonts w:eastAsia="Times New Roman" w:cs="Times New Roman"/>
                <w:color w:val="000000"/>
                <w:sz w:val="20"/>
                <w:lang w:eastAsia="hr-HR"/>
              </w:rPr>
              <w:t>1,1791E+21</w:t>
            </w:r>
          </w:p>
        </w:tc>
        <w:tc>
          <w:tcPr>
            <w:tcW w:w="1326" w:type="dxa"/>
            <w:tcBorders>
              <w:top w:val="nil"/>
              <w:left w:val="nil"/>
              <w:bottom w:val="single" w:sz="8" w:space="0" w:color="auto"/>
              <w:right w:val="nil"/>
            </w:tcBorders>
            <w:shd w:val="clear" w:color="auto" w:fill="auto"/>
            <w:noWrap/>
            <w:vAlign w:val="bottom"/>
            <w:hideMark/>
          </w:tcPr>
          <w:p w:rsidR="00BC5368" w:rsidRPr="003D0027" w:rsidRDefault="00BC5368" w:rsidP="005A1981">
            <w:pPr>
              <w:rPr>
                <w:rFonts w:eastAsia="Times New Roman" w:cs="Times New Roman"/>
                <w:color w:val="000000"/>
                <w:sz w:val="20"/>
                <w:lang w:eastAsia="hr-HR"/>
              </w:rPr>
            </w:pPr>
            <w:r w:rsidRPr="003D0027">
              <w:rPr>
                <w:rFonts w:eastAsia="Times New Roman" w:cs="Times New Roman"/>
                <w:color w:val="000000"/>
                <w:sz w:val="20"/>
                <w:lang w:eastAsia="hr-HR"/>
              </w:rPr>
              <w:t> </w:t>
            </w:r>
          </w:p>
        </w:tc>
        <w:tc>
          <w:tcPr>
            <w:tcW w:w="1354" w:type="dxa"/>
            <w:tcBorders>
              <w:top w:val="nil"/>
              <w:left w:val="nil"/>
              <w:bottom w:val="single" w:sz="8" w:space="0" w:color="auto"/>
              <w:right w:val="nil"/>
            </w:tcBorders>
            <w:shd w:val="clear" w:color="auto" w:fill="auto"/>
            <w:noWrap/>
            <w:vAlign w:val="bottom"/>
            <w:hideMark/>
          </w:tcPr>
          <w:p w:rsidR="00BC5368" w:rsidRPr="003D0027" w:rsidRDefault="00BC5368" w:rsidP="005A1981">
            <w:pPr>
              <w:rPr>
                <w:rFonts w:eastAsia="Times New Roman" w:cs="Times New Roman"/>
                <w:color w:val="000000"/>
                <w:sz w:val="20"/>
                <w:lang w:eastAsia="hr-HR"/>
              </w:rPr>
            </w:pPr>
            <w:r w:rsidRPr="003D0027">
              <w:rPr>
                <w:rFonts w:eastAsia="Times New Roman" w:cs="Times New Roman"/>
                <w:color w:val="000000"/>
                <w:sz w:val="20"/>
                <w:lang w:eastAsia="hr-HR"/>
              </w:rPr>
              <w:t> </w:t>
            </w:r>
          </w:p>
        </w:tc>
        <w:tc>
          <w:tcPr>
            <w:tcW w:w="1408" w:type="dxa"/>
            <w:gridSpan w:val="2"/>
            <w:tcBorders>
              <w:top w:val="nil"/>
              <w:left w:val="nil"/>
              <w:bottom w:val="single" w:sz="8" w:space="0" w:color="auto"/>
              <w:right w:val="nil"/>
            </w:tcBorders>
            <w:shd w:val="clear" w:color="auto" w:fill="auto"/>
            <w:noWrap/>
            <w:vAlign w:val="bottom"/>
            <w:hideMark/>
          </w:tcPr>
          <w:p w:rsidR="00BC5368" w:rsidRPr="003D0027" w:rsidRDefault="00BC5368" w:rsidP="005A1981">
            <w:pPr>
              <w:rPr>
                <w:rFonts w:eastAsia="Times New Roman" w:cs="Times New Roman"/>
                <w:color w:val="000000"/>
                <w:sz w:val="20"/>
                <w:lang w:eastAsia="hr-HR"/>
              </w:rPr>
            </w:pPr>
            <w:r w:rsidRPr="003D0027">
              <w:rPr>
                <w:rFonts w:eastAsia="Times New Roman" w:cs="Times New Roman"/>
                <w:color w:val="000000"/>
                <w:sz w:val="20"/>
                <w:lang w:eastAsia="hr-HR"/>
              </w:rPr>
              <w:t> </w:t>
            </w:r>
          </w:p>
        </w:tc>
        <w:tc>
          <w:tcPr>
            <w:tcW w:w="1316" w:type="dxa"/>
            <w:tcBorders>
              <w:top w:val="nil"/>
              <w:left w:val="nil"/>
              <w:bottom w:val="nil"/>
              <w:right w:val="nil"/>
            </w:tcBorders>
            <w:shd w:val="clear" w:color="auto" w:fill="auto"/>
            <w:noWrap/>
            <w:vAlign w:val="bottom"/>
            <w:hideMark/>
          </w:tcPr>
          <w:p w:rsidR="00BC5368" w:rsidRPr="003D0027" w:rsidRDefault="00BC5368" w:rsidP="005A1981">
            <w:pPr>
              <w:rPr>
                <w:rFonts w:eastAsia="Times New Roman" w:cs="Times New Roman"/>
                <w:color w:val="000000"/>
                <w:sz w:val="20"/>
                <w:lang w:eastAsia="hr-HR"/>
              </w:rPr>
            </w:pPr>
          </w:p>
        </w:tc>
      </w:tr>
      <w:tr w:rsidR="00BC5368" w:rsidRPr="003D0027" w:rsidTr="005A1981">
        <w:trPr>
          <w:gridAfter w:val="1"/>
          <w:wAfter w:w="21" w:type="dxa"/>
          <w:trHeight w:val="282"/>
        </w:trPr>
        <w:tc>
          <w:tcPr>
            <w:tcW w:w="1105" w:type="dxa"/>
            <w:tcBorders>
              <w:top w:val="single" w:sz="8" w:space="0" w:color="auto"/>
              <w:left w:val="nil"/>
              <w:bottom w:val="single" w:sz="4" w:space="0" w:color="auto"/>
              <w:right w:val="nil"/>
            </w:tcBorders>
            <w:shd w:val="clear" w:color="auto" w:fill="auto"/>
            <w:noWrap/>
            <w:vAlign w:val="bottom"/>
            <w:hideMark/>
          </w:tcPr>
          <w:p w:rsidR="00BC5368" w:rsidRPr="003D0027" w:rsidRDefault="00BC5368" w:rsidP="005A1981">
            <w:pPr>
              <w:jc w:val="center"/>
              <w:rPr>
                <w:rFonts w:eastAsia="Times New Roman" w:cs="Times New Roman"/>
                <w:i/>
                <w:iCs/>
                <w:color w:val="000000"/>
                <w:sz w:val="20"/>
                <w:lang w:eastAsia="hr-HR"/>
              </w:rPr>
            </w:pPr>
            <w:r w:rsidRPr="003D0027">
              <w:rPr>
                <w:rFonts w:eastAsia="Times New Roman" w:cs="Times New Roman"/>
                <w:i/>
                <w:iCs/>
                <w:color w:val="000000"/>
                <w:sz w:val="20"/>
                <w:lang w:eastAsia="hr-HR"/>
              </w:rPr>
              <w:t> </w:t>
            </w:r>
          </w:p>
        </w:tc>
        <w:tc>
          <w:tcPr>
            <w:tcW w:w="1364" w:type="dxa"/>
            <w:gridSpan w:val="2"/>
            <w:tcBorders>
              <w:top w:val="single" w:sz="8" w:space="0" w:color="auto"/>
              <w:left w:val="nil"/>
              <w:bottom w:val="single" w:sz="4" w:space="0" w:color="auto"/>
              <w:right w:val="nil"/>
            </w:tcBorders>
            <w:shd w:val="clear" w:color="auto" w:fill="auto"/>
            <w:noWrap/>
            <w:vAlign w:val="bottom"/>
            <w:hideMark/>
          </w:tcPr>
          <w:p w:rsidR="00BC5368" w:rsidRPr="003D0027" w:rsidRDefault="00BC5368" w:rsidP="005A1981">
            <w:pPr>
              <w:jc w:val="center"/>
              <w:rPr>
                <w:rFonts w:eastAsia="Times New Roman" w:cs="Times New Roman"/>
                <w:i/>
                <w:iCs/>
                <w:color w:val="000000"/>
                <w:sz w:val="20"/>
                <w:lang w:eastAsia="hr-HR"/>
              </w:rPr>
            </w:pPr>
            <w:proofErr w:type="spellStart"/>
            <w:r w:rsidRPr="003D0027">
              <w:rPr>
                <w:rFonts w:eastAsia="Times New Roman" w:cs="Times New Roman"/>
                <w:i/>
                <w:iCs/>
                <w:color w:val="000000"/>
                <w:sz w:val="20"/>
                <w:lang w:eastAsia="hr-HR"/>
              </w:rPr>
              <w:t>Coefficients</w:t>
            </w:r>
            <w:proofErr w:type="spellEnd"/>
          </w:p>
        </w:tc>
        <w:tc>
          <w:tcPr>
            <w:tcW w:w="1301" w:type="dxa"/>
            <w:gridSpan w:val="2"/>
            <w:tcBorders>
              <w:top w:val="single" w:sz="8" w:space="0" w:color="auto"/>
              <w:left w:val="nil"/>
              <w:bottom w:val="single" w:sz="4" w:space="0" w:color="auto"/>
              <w:right w:val="nil"/>
            </w:tcBorders>
            <w:shd w:val="clear" w:color="auto" w:fill="auto"/>
            <w:noWrap/>
            <w:vAlign w:val="bottom"/>
            <w:hideMark/>
          </w:tcPr>
          <w:p w:rsidR="00BC5368" w:rsidRPr="003D0027" w:rsidRDefault="00BC5368" w:rsidP="005A1981">
            <w:pPr>
              <w:jc w:val="center"/>
              <w:rPr>
                <w:rFonts w:eastAsia="Times New Roman" w:cs="Times New Roman"/>
                <w:i/>
                <w:iCs/>
                <w:color w:val="000000"/>
                <w:sz w:val="20"/>
                <w:lang w:eastAsia="hr-HR"/>
              </w:rPr>
            </w:pPr>
            <w:r w:rsidRPr="003D0027">
              <w:rPr>
                <w:rFonts w:eastAsia="Times New Roman" w:cs="Times New Roman"/>
                <w:i/>
                <w:iCs/>
                <w:color w:val="000000"/>
                <w:sz w:val="20"/>
                <w:lang w:eastAsia="hr-HR"/>
              </w:rPr>
              <w:t xml:space="preserve">Standard </w:t>
            </w:r>
            <w:proofErr w:type="spellStart"/>
            <w:r w:rsidRPr="003D0027">
              <w:rPr>
                <w:rFonts w:eastAsia="Times New Roman" w:cs="Times New Roman"/>
                <w:i/>
                <w:iCs/>
                <w:color w:val="000000"/>
                <w:sz w:val="20"/>
                <w:lang w:eastAsia="hr-HR"/>
              </w:rPr>
              <w:t>Error</w:t>
            </w:r>
            <w:proofErr w:type="spellEnd"/>
          </w:p>
        </w:tc>
        <w:tc>
          <w:tcPr>
            <w:tcW w:w="1326" w:type="dxa"/>
            <w:tcBorders>
              <w:top w:val="single" w:sz="8" w:space="0" w:color="auto"/>
              <w:left w:val="nil"/>
              <w:bottom w:val="single" w:sz="4" w:space="0" w:color="auto"/>
              <w:right w:val="nil"/>
            </w:tcBorders>
            <w:shd w:val="clear" w:color="auto" w:fill="auto"/>
            <w:noWrap/>
            <w:vAlign w:val="bottom"/>
            <w:hideMark/>
          </w:tcPr>
          <w:p w:rsidR="00BC5368" w:rsidRPr="003D0027" w:rsidRDefault="00BC5368" w:rsidP="005A1981">
            <w:pPr>
              <w:jc w:val="center"/>
              <w:rPr>
                <w:rFonts w:eastAsia="Times New Roman" w:cs="Times New Roman"/>
                <w:i/>
                <w:iCs/>
                <w:color w:val="000000"/>
                <w:sz w:val="20"/>
                <w:lang w:eastAsia="hr-HR"/>
              </w:rPr>
            </w:pPr>
            <w:r w:rsidRPr="003D0027">
              <w:rPr>
                <w:rFonts w:eastAsia="Times New Roman" w:cs="Times New Roman"/>
                <w:i/>
                <w:iCs/>
                <w:color w:val="000000"/>
                <w:sz w:val="20"/>
                <w:lang w:eastAsia="hr-HR"/>
              </w:rPr>
              <w:t>t Stat</w:t>
            </w:r>
          </w:p>
        </w:tc>
        <w:tc>
          <w:tcPr>
            <w:tcW w:w="1354" w:type="dxa"/>
            <w:tcBorders>
              <w:top w:val="single" w:sz="8" w:space="0" w:color="auto"/>
              <w:left w:val="nil"/>
              <w:bottom w:val="single" w:sz="4" w:space="0" w:color="auto"/>
              <w:right w:val="nil"/>
            </w:tcBorders>
            <w:shd w:val="clear" w:color="auto" w:fill="auto"/>
            <w:noWrap/>
            <w:vAlign w:val="bottom"/>
            <w:hideMark/>
          </w:tcPr>
          <w:p w:rsidR="00BC5368" w:rsidRPr="003D0027" w:rsidRDefault="00BC5368" w:rsidP="005A1981">
            <w:pPr>
              <w:jc w:val="center"/>
              <w:rPr>
                <w:rFonts w:eastAsia="Times New Roman" w:cs="Times New Roman"/>
                <w:i/>
                <w:iCs/>
                <w:color w:val="000000"/>
                <w:sz w:val="20"/>
                <w:lang w:eastAsia="hr-HR"/>
              </w:rPr>
            </w:pPr>
            <w:r w:rsidRPr="003D0027">
              <w:rPr>
                <w:rFonts w:eastAsia="Times New Roman" w:cs="Times New Roman"/>
                <w:i/>
                <w:iCs/>
                <w:color w:val="000000"/>
                <w:sz w:val="20"/>
                <w:lang w:eastAsia="hr-HR"/>
              </w:rPr>
              <w:t>P-</w:t>
            </w:r>
            <w:proofErr w:type="spellStart"/>
            <w:r w:rsidRPr="003D0027">
              <w:rPr>
                <w:rFonts w:eastAsia="Times New Roman" w:cs="Times New Roman"/>
                <w:i/>
                <w:iCs/>
                <w:color w:val="000000"/>
                <w:sz w:val="20"/>
                <w:lang w:eastAsia="hr-HR"/>
              </w:rPr>
              <w:t>value</w:t>
            </w:r>
            <w:proofErr w:type="spellEnd"/>
          </w:p>
        </w:tc>
        <w:tc>
          <w:tcPr>
            <w:tcW w:w="1408" w:type="dxa"/>
            <w:gridSpan w:val="2"/>
            <w:tcBorders>
              <w:top w:val="single" w:sz="8" w:space="0" w:color="auto"/>
              <w:left w:val="nil"/>
              <w:bottom w:val="single" w:sz="4" w:space="0" w:color="auto"/>
              <w:right w:val="nil"/>
            </w:tcBorders>
            <w:shd w:val="clear" w:color="auto" w:fill="auto"/>
            <w:noWrap/>
            <w:vAlign w:val="bottom"/>
            <w:hideMark/>
          </w:tcPr>
          <w:p w:rsidR="00BC5368" w:rsidRPr="003D0027" w:rsidRDefault="00BC5368" w:rsidP="005A1981">
            <w:pPr>
              <w:jc w:val="center"/>
              <w:rPr>
                <w:rFonts w:eastAsia="Times New Roman" w:cs="Times New Roman"/>
                <w:i/>
                <w:iCs/>
                <w:color w:val="000000"/>
                <w:sz w:val="20"/>
                <w:lang w:eastAsia="hr-HR"/>
              </w:rPr>
            </w:pPr>
            <w:proofErr w:type="spellStart"/>
            <w:r w:rsidRPr="003D0027">
              <w:rPr>
                <w:rFonts w:eastAsia="Times New Roman" w:cs="Times New Roman"/>
                <w:i/>
                <w:iCs/>
                <w:color w:val="000000"/>
                <w:sz w:val="20"/>
                <w:lang w:eastAsia="hr-HR"/>
              </w:rPr>
              <w:t>Lower</w:t>
            </w:r>
            <w:proofErr w:type="spellEnd"/>
            <w:r w:rsidRPr="003D0027">
              <w:rPr>
                <w:rFonts w:eastAsia="Times New Roman" w:cs="Times New Roman"/>
                <w:i/>
                <w:iCs/>
                <w:color w:val="000000"/>
                <w:sz w:val="20"/>
                <w:lang w:eastAsia="hr-HR"/>
              </w:rPr>
              <w:t xml:space="preserve"> 95%</w:t>
            </w:r>
          </w:p>
        </w:tc>
        <w:tc>
          <w:tcPr>
            <w:tcW w:w="1316" w:type="dxa"/>
            <w:tcBorders>
              <w:top w:val="single" w:sz="8" w:space="0" w:color="auto"/>
              <w:left w:val="nil"/>
              <w:bottom w:val="single" w:sz="4" w:space="0" w:color="auto"/>
              <w:right w:val="nil"/>
            </w:tcBorders>
            <w:shd w:val="clear" w:color="auto" w:fill="auto"/>
            <w:noWrap/>
            <w:vAlign w:val="bottom"/>
            <w:hideMark/>
          </w:tcPr>
          <w:p w:rsidR="00BC5368" w:rsidRPr="003D0027" w:rsidRDefault="00BC5368" w:rsidP="005A1981">
            <w:pPr>
              <w:jc w:val="center"/>
              <w:rPr>
                <w:rFonts w:eastAsia="Times New Roman" w:cs="Times New Roman"/>
                <w:i/>
                <w:iCs/>
                <w:color w:val="000000"/>
                <w:sz w:val="20"/>
                <w:lang w:eastAsia="hr-HR"/>
              </w:rPr>
            </w:pPr>
            <w:proofErr w:type="spellStart"/>
            <w:r w:rsidRPr="003D0027">
              <w:rPr>
                <w:rFonts w:eastAsia="Times New Roman" w:cs="Times New Roman"/>
                <w:i/>
                <w:iCs/>
                <w:color w:val="000000"/>
                <w:sz w:val="20"/>
                <w:lang w:eastAsia="hr-HR"/>
              </w:rPr>
              <w:t>Upper</w:t>
            </w:r>
            <w:proofErr w:type="spellEnd"/>
            <w:r w:rsidRPr="003D0027">
              <w:rPr>
                <w:rFonts w:eastAsia="Times New Roman" w:cs="Times New Roman"/>
                <w:i/>
                <w:iCs/>
                <w:color w:val="000000"/>
                <w:sz w:val="20"/>
                <w:lang w:eastAsia="hr-HR"/>
              </w:rPr>
              <w:t xml:space="preserve"> 95%</w:t>
            </w:r>
          </w:p>
        </w:tc>
      </w:tr>
      <w:tr w:rsidR="00BC5368" w:rsidRPr="003D0027" w:rsidTr="005A1981">
        <w:trPr>
          <w:gridAfter w:val="1"/>
          <w:wAfter w:w="21" w:type="dxa"/>
          <w:trHeight w:val="282"/>
        </w:trPr>
        <w:tc>
          <w:tcPr>
            <w:tcW w:w="1105" w:type="dxa"/>
            <w:tcBorders>
              <w:top w:val="nil"/>
              <w:left w:val="nil"/>
              <w:bottom w:val="nil"/>
              <w:right w:val="nil"/>
            </w:tcBorders>
            <w:shd w:val="clear" w:color="auto" w:fill="auto"/>
            <w:noWrap/>
            <w:vAlign w:val="bottom"/>
            <w:hideMark/>
          </w:tcPr>
          <w:p w:rsidR="00BC5368" w:rsidRPr="003D0027" w:rsidRDefault="00BC5368" w:rsidP="005A1981">
            <w:pPr>
              <w:rPr>
                <w:rFonts w:eastAsia="Times New Roman" w:cs="Times New Roman"/>
                <w:color w:val="000000"/>
                <w:sz w:val="20"/>
                <w:lang w:eastAsia="hr-HR"/>
              </w:rPr>
            </w:pPr>
            <w:proofErr w:type="spellStart"/>
            <w:r w:rsidRPr="003D0027">
              <w:rPr>
                <w:rFonts w:eastAsia="Times New Roman" w:cs="Times New Roman"/>
                <w:color w:val="000000"/>
                <w:sz w:val="20"/>
                <w:lang w:eastAsia="hr-HR"/>
              </w:rPr>
              <w:t>Intercept</w:t>
            </w:r>
            <w:proofErr w:type="spellEnd"/>
          </w:p>
        </w:tc>
        <w:tc>
          <w:tcPr>
            <w:tcW w:w="1364" w:type="dxa"/>
            <w:gridSpan w:val="2"/>
            <w:tcBorders>
              <w:top w:val="nil"/>
              <w:left w:val="nil"/>
              <w:bottom w:val="nil"/>
              <w:right w:val="nil"/>
            </w:tcBorders>
            <w:shd w:val="clear" w:color="auto" w:fill="auto"/>
            <w:noWrap/>
            <w:vAlign w:val="bottom"/>
            <w:hideMark/>
          </w:tcPr>
          <w:p w:rsidR="00BC5368" w:rsidRPr="003D0027" w:rsidRDefault="00BC5368" w:rsidP="005A1981">
            <w:pPr>
              <w:jc w:val="right"/>
              <w:rPr>
                <w:rFonts w:eastAsia="Times New Roman" w:cs="Times New Roman"/>
                <w:color w:val="000000"/>
                <w:sz w:val="20"/>
                <w:lang w:eastAsia="hr-HR"/>
              </w:rPr>
            </w:pPr>
            <w:r>
              <w:rPr>
                <w:rFonts w:eastAsia="Times New Roman" w:cs="Times New Roman"/>
                <w:color w:val="000000"/>
                <w:sz w:val="20"/>
                <w:lang w:eastAsia="hr-HR"/>
              </w:rPr>
              <w:t>1936767395</w:t>
            </w:r>
          </w:p>
        </w:tc>
        <w:tc>
          <w:tcPr>
            <w:tcW w:w="1301" w:type="dxa"/>
            <w:gridSpan w:val="2"/>
            <w:tcBorders>
              <w:top w:val="nil"/>
              <w:left w:val="nil"/>
              <w:bottom w:val="nil"/>
              <w:right w:val="nil"/>
            </w:tcBorders>
            <w:shd w:val="clear" w:color="auto" w:fill="auto"/>
            <w:noWrap/>
            <w:vAlign w:val="bottom"/>
            <w:hideMark/>
          </w:tcPr>
          <w:p w:rsidR="00BC5368" w:rsidRPr="003D0027" w:rsidRDefault="00BC5368" w:rsidP="005A1981">
            <w:pPr>
              <w:jc w:val="right"/>
              <w:rPr>
                <w:rFonts w:eastAsia="Times New Roman" w:cs="Times New Roman"/>
                <w:color w:val="000000"/>
                <w:sz w:val="20"/>
                <w:lang w:eastAsia="hr-HR"/>
              </w:rPr>
            </w:pPr>
            <w:r>
              <w:rPr>
                <w:rFonts w:eastAsia="Times New Roman" w:cs="Times New Roman"/>
                <w:color w:val="000000"/>
                <w:sz w:val="20"/>
                <w:lang w:eastAsia="hr-HR"/>
              </w:rPr>
              <w:t>305987356</w:t>
            </w:r>
          </w:p>
        </w:tc>
        <w:tc>
          <w:tcPr>
            <w:tcW w:w="1326" w:type="dxa"/>
            <w:tcBorders>
              <w:top w:val="nil"/>
              <w:left w:val="nil"/>
              <w:bottom w:val="nil"/>
              <w:right w:val="nil"/>
            </w:tcBorders>
            <w:shd w:val="clear" w:color="auto" w:fill="auto"/>
            <w:noWrap/>
            <w:vAlign w:val="bottom"/>
            <w:hideMark/>
          </w:tcPr>
          <w:p w:rsidR="00BC5368" w:rsidRPr="003D0027" w:rsidRDefault="00BC5368" w:rsidP="005A1981">
            <w:pPr>
              <w:jc w:val="right"/>
              <w:rPr>
                <w:rFonts w:eastAsia="Times New Roman" w:cs="Times New Roman"/>
                <w:color w:val="000000"/>
                <w:sz w:val="20"/>
                <w:lang w:eastAsia="hr-HR"/>
              </w:rPr>
            </w:pPr>
            <w:r>
              <w:rPr>
                <w:rFonts w:eastAsia="Times New Roman" w:cs="Times New Roman"/>
                <w:color w:val="000000"/>
                <w:sz w:val="20"/>
                <w:lang w:eastAsia="hr-HR"/>
              </w:rPr>
              <w:t>6,3295667</w:t>
            </w:r>
          </w:p>
        </w:tc>
        <w:tc>
          <w:tcPr>
            <w:tcW w:w="1354" w:type="dxa"/>
            <w:tcBorders>
              <w:top w:val="nil"/>
              <w:left w:val="nil"/>
              <w:bottom w:val="nil"/>
              <w:right w:val="nil"/>
            </w:tcBorders>
            <w:shd w:val="clear" w:color="auto" w:fill="auto"/>
            <w:noWrap/>
            <w:vAlign w:val="bottom"/>
            <w:hideMark/>
          </w:tcPr>
          <w:p w:rsidR="00BC5368" w:rsidRPr="003D0027" w:rsidRDefault="00BC5368" w:rsidP="005A1981">
            <w:pPr>
              <w:jc w:val="right"/>
              <w:rPr>
                <w:rFonts w:eastAsia="Times New Roman" w:cs="Times New Roman"/>
                <w:color w:val="000000"/>
                <w:sz w:val="20"/>
                <w:lang w:eastAsia="hr-HR"/>
              </w:rPr>
            </w:pPr>
            <w:r>
              <w:rPr>
                <w:rFonts w:eastAsia="Times New Roman" w:cs="Times New Roman"/>
                <w:color w:val="000000"/>
                <w:sz w:val="20"/>
                <w:lang w:eastAsia="hr-HR"/>
              </w:rPr>
              <w:t>0,00072724</w:t>
            </w:r>
          </w:p>
        </w:tc>
        <w:tc>
          <w:tcPr>
            <w:tcW w:w="1408" w:type="dxa"/>
            <w:gridSpan w:val="2"/>
            <w:tcBorders>
              <w:top w:val="nil"/>
              <w:left w:val="nil"/>
              <w:bottom w:val="nil"/>
              <w:right w:val="nil"/>
            </w:tcBorders>
            <w:shd w:val="clear" w:color="auto" w:fill="auto"/>
            <w:noWrap/>
            <w:vAlign w:val="bottom"/>
            <w:hideMark/>
          </w:tcPr>
          <w:p w:rsidR="00BC5368" w:rsidRPr="003D0027" w:rsidRDefault="00BC5368" w:rsidP="005A1981">
            <w:pPr>
              <w:jc w:val="right"/>
              <w:rPr>
                <w:rFonts w:eastAsia="Times New Roman" w:cs="Times New Roman"/>
                <w:color w:val="000000"/>
                <w:sz w:val="20"/>
                <w:lang w:eastAsia="hr-HR"/>
              </w:rPr>
            </w:pPr>
            <w:r>
              <w:rPr>
                <w:rFonts w:eastAsia="Times New Roman" w:cs="Times New Roman"/>
                <w:color w:val="000000"/>
                <w:sz w:val="20"/>
                <w:lang w:eastAsia="hr-HR"/>
              </w:rPr>
              <w:t>1188043305</w:t>
            </w:r>
          </w:p>
        </w:tc>
        <w:tc>
          <w:tcPr>
            <w:tcW w:w="1316" w:type="dxa"/>
            <w:tcBorders>
              <w:top w:val="nil"/>
              <w:left w:val="nil"/>
              <w:bottom w:val="nil"/>
              <w:right w:val="nil"/>
            </w:tcBorders>
            <w:shd w:val="clear" w:color="auto" w:fill="auto"/>
            <w:noWrap/>
            <w:vAlign w:val="bottom"/>
            <w:hideMark/>
          </w:tcPr>
          <w:p w:rsidR="00BC5368" w:rsidRPr="003D0027" w:rsidRDefault="00BC5368" w:rsidP="005A1981">
            <w:pPr>
              <w:jc w:val="right"/>
              <w:rPr>
                <w:rFonts w:eastAsia="Times New Roman" w:cs="Times New Roman"/>
                <w:color w:val="000000"/>
                <w:sz w:val="20"/>
                <w:lang w:eastAsia="hr-HR"/>
              </w:rPr>
            </w:pPr>
            <w:r>
              <w:rPr>
                <w:rFonts w:eastAsia="Times New Roman" w:cs="Times New Roman"/>
                <w:color w:val="000000"/>
                <w:sz w:val="20"/>
                <w:lang w:eastAsia="hr-HR"/>
              </w:rPr>
              <w:t>2685491484</w:t>
            </w:r>
          </w:p>
        </w:tc>
      </w:tr>
      <w:tr w:rsidR="00BC5368" w:rsidRPr="003D0027" w:rsidTr="005A1981">
        <w:trPr>
          <w:gridAfter w:val="1"/>
          <w:wAfter w:w="21" w:type="dxa"/>
          <w:trHeight w:val="282"/>
        </w:trPr>
        <w:tc>
          <w:tcPr>
            <w:tcW w:w="1105" w:type="dxa"/>
            <w:tcBorders>
              <w:top w:val="nil"/>
              <w:left w:val="nil"/>
              <w:bottom w:val="nil"/>
              <w:right w:val="nil"/>
            </w:tcBorders>
            <w:shd w:val="clear" w:color="auto" w:fill="auto"/>
            <w:noWrap/>
            <w:vAlign w:val="bottom"/>
            <w:hideMark/>
          </w:tcPr>
          <w:p w:rsidR="00BC5368" w:rsidRPr="003D0027" w:rsidRDefault="00BC5368" w:rsidP="005A1981">
            <w:pPr>
              <w:rPr>
                <w:rFonts w:eastAsia="Times New Roman" w:cs="Times New Roman"/>
                <w:color w:val="000000"/>
                <w:sz w:val="20"/>
                <w:lang w:eastAsia="hr-HR"/>
              </w:rPr>
            </w:pPr>
            <w:r w:rsidRPr="003D0027">
              <w:rPr>
                <w:rFonts w:eastAsia="Times New Roman" w:cs="Times New Roman"/>
                <w:color w:val="000000"/>
                <w:sz w:val="20"/>
                <w:lang w:eastAsia="hr-HR"/>
              </w:rPr>
              <w:t>LE</w:t>
            </w:r>
          </w:p>
        </w:tc>
        <w:tc>
          <w:tcPr>
            <w:tcW w:w="1364" w:type="dxa"/>
            <w:gridSpan w:val="2"/>
            <w:tcBorders>
              <w:top w:val="nil"/>
              <w:left w:val="nil"/>
              <w:bottom w:val="nil"/>
              <w:right w:val="nil"/>
            </w:tcBorders>
            <w:shd w:val="clear" w:color="auto" w:fill="auto"/>
            <w:noWrap/>
            <w:vAlign w:val="bottom"/>
            <w:hideMark/>
          </w:tcPr>
          <w:p w:rsidR="00BC5368" w:rsidRPr="003D0027" w:rsidRDefault="00BC5368" w:rsidP="005A1981">
            <w:pPr>
              <w:jc w:val="right"/>
              <w:rPr>
                <w:rFonts w:eastAsia="Times New Roman" w:cs="Times New Roman"/>
                <w:color w:val="000000"/>
                <w:sz w:val="20"/>
                <w:lang w:eastAsia="hr-HR"/>
              </w:rPr>
            </w:pPr>
            <w:r w:rsidRPr="003D0027">
              <w:rPr>
                <w:rFonts w:eastAsia="Times New Roman" w:cs="Times New Roman"/>
                <w:color w:val="000000"/>
                <w:sz w:val="20"/>
                <w:lang w:eastAsia="hr-HR"/>
              </w:rPr>
              <w:t>-3</w:t>
            </w:r>
            <w:r>
              <w:rPr>
                <w:rFonts w:eastAsia="Times New Roman" w:cs="Times New Roman"/>
                <w:color w:val="000000"/>
                <w:sz w:val="20"/>
                <w:lang w:eastAsia="hr-HR"/>
              </w:rPr>
              <w:t>7701,2845</w:t>
            </w:r>
          </w:p>
        </w:tc>
        <w:tc>
          <w:tcPr>
            <w:tcW w:w="1301" w:type="dxa"/>
            <w:gridSpan w:val="2"/>
            <w:tcBorders>
              <w:top w:val="nil"/>
              <w:left w:val="nil"/>
              <w:bottom w:val="nil"/>
              <w:right w:val="nil"/>
            </w:tcBorders>
            <w:shd w:val="clear" w:color="auto" w:fill="auto"/>
            <w:noWrap/>
            <w:vAlign w:val="bottom"/>
            <w:hideMark/>
          </w:tcPr>
          <w:p w:rsidR="00BC5368" w:rsidRPr="003D0027" w:rsidRDefault="00BC5368" w:rsidP="005A1981">
            <w:pPr>
              <w:jc w:val="right"/>
              <w:rPr>
                <w:rFonts w:eastAsia="Times New Roman" w:cs="Times New Roman"/>
                <w:color w:val="000000"/>
                <w:sz w:val="20"/>
                <w:lang w:eastAsia="hr-HR"/>
              </w:rPr>
            </w:pPr>
            <w:r>
              <w:rPr>
                <w:rFonts w:eastAsia="Times New Roman" w:cs="Times New Roman"/>
                <w:color w:val="000000"/>
                <w:sz w:val="20"/>
                <w:lang w:eastAsia="hr-HR"/>
              </w:rPr>
              <w:t>14882,6069</w:t>
            </w:r>
          </w:p>
        </w:tc>
        <w:tc>
          <w:tcPr>
            <w:tcW w:w="1326" w:type="dxa"/>
            <w:tcBorders>
              <w:top w:val="nil"/>
              <w:left w:val="nil"/>
              <w:bottom w:val="nil"/>
              <w:right w:val="nil"/>
            </w:tcBorders>
            <w:shd w:val="clear" w:color="auto" w:fill="auto"/>
            <w:noWrap/>
            <w:vAlign w:val="bottom"/>
            <w:hideMark/>
          </w:tcPr>
          <w:p w:rsidR="00BC5368" w:rsidRPr="003D0027" w:rsidRDefault="00BC5368" w:rsidP="005A1981">
            <w:pPr>
              <w:jc w:val="right"/>
              <w:rPr>
                <w:rFonts w:eastAsia="Times New Roman" w:cs="Times New Roman"/>
                <w:color w:val="000000"/>
                <w:sz w:val="20"/>
                <w:lang w:eastAsia="hr-HR"/>
              </w:rPr>
            </w:pPr>
            <w:r>
              <w:rPr>
                <w:rFonts w:eastAsia="Times New Roman" w:cs="Times New Roman"/>
                <w:color w:val="000000"/>
                <w:sz w:val="20"/>
                <w:lang w:eastAsia="hr-HR"/>
              </w:rPr>
              <w:t>-2,53324466</w:t>
            </w:r>
          </w:p>
        </w:tc>
        <w:tc>
          <w:tcPr>
            <w:tcW w:w="1354" w:type="dxa"/>
            <w:tcBorders>
              <w:top w:val="nil"/>
              <w:left w:val="nil"/>
              <w:bottom w:val="nil"/>
              <w:right w:val="nil"/>
            </w:tcBorders>
            <w:shd w:val="clear" w:color="auto" w:fill="auto"/>
            <w:noWrap/>
            <w:vAlign w:val="bottom"/>
            <w:hideMark/>
          </w:tcPr>
          <w:p w:rsidR="00BC5368" w:rsidRPr="003D0027" w:rsidRDefault="00BC5368" w:rsidP="005A1981">
            <w:pPr>
              <w:jc w:val="right"/>
              <w:rPr>
                <w:rFonts w:eastAsia="Times New Roman" w:cs="Times New Roman"/>
                <w:color w:val="000000"/>
                <w:sz w:val="20"/>
                <w:lang w:eastAsia="hr-HR"/>
              </w:rPr>
            </w:pPr>
            <w:r>
              <w:rPr>
                <w:rFonts w:eastAsia="Times New Roman" w:cs="Times New Roman"/>
                <w:color w:val="000000"/>
                <w:sz w:val="20"/>
                <w:lang w:eastAsia="hr-HR"/>
              </w:rPr>
              <w:t>0,04448447</w:t>
            </w:r>
          </w:p>
        </w:tc>
        <w:tc>
          <w:tcPr>
            <w:tcW w:w="1408" w:type="dxa"/>
            <w:gridSpan w:val="2"/>
            <w:tcBorders>
              <w:top w:val="nil"/>
              <w:left w:val="nil"/>
              <w:bottom w:val="nil"/>
              <w:right w:val="nil"/>
            </w:tcBorders>
            <w:shd w:val="clear" w:color="auto" w:fill="auto"/>
            <w:noWrap/>
            <w:vAlign w:val="bottom"/>
            <w:hideMark/>
          </w:tcPr>
          <w:p w:rsidR="00BC5368" w:rsidRPr="003D0027" w:rsidRDefault="00BC5368" w:rsidP="005A1981">
            <w:pPr>
              <w:jc w:val="right"/>
              <w:rPr>
                <w:rFonts w:eastAsia="Times New Roman" w:cs="Times New Roman"/>
                <w:color w:val="000000"/>
                <w:sz w:val="20"/>
                <w:lang w:eastAsia="hr-HR"/>
              </w:rPr>
            </w:pPr>
            <w:r>
              <w:rPr>
                <w:rFonts w:eastAsia="Times New Roman" w:cs="Times New Roman"/>
                <w:color w:val="000000"/>
                <w:sz w:val="20"/>
                <w:lang w:eastAsia="hr-HR"/>
              </w:rPr>
              <w:t>-74117,7118</w:t>
            </w:r>
          </w:p>
        </w:tc>
        <w:tc>
          <w:tcPr>
            <w:tcW w:w="1316" w:type="dxa"/>
            <w:tcBorders>
              <w:top w:val="nil"/>
              <w:left w:val="nil"/>
              <w:bottom w:val="nil"/>
              <w:right w:val="nil"/>
            </w:tcBorders>
            <w:shd w:val="clear" w:color="auto" w:fill="auto"/>
            <w:noWrap/>
            <w:vAlign w:val="bottom"/>
            <w:hideMark/>
          </w:tcPr>
          <w:p w:rsidR="00BC5368" w:rsidRPr="003D0027" w:rsidRDefault="00BC5368" w:rsidP="005A1981">
            <w:pPr>
              <w:jc w:val="right"/>
              <w:rPr>
                <w:rFonts w:eastAsia="Times New Roman" w:cs="Times New Roman"/>
                <w:color w:val="000000"/>
                <w:sz w:val="20"/>
                <w:lang w:eastAsia="hr-HR"/>
              </w:rPr>
            </w:pPr>
            <w:r>
              <w:rPr>
                <w:rFonts w:eastAsia="Times New Roman" w:cs="Times New Roman"/>
                <w:color w:val="000000"/>
                <w:sz w:val="20"/>
                <w:lang w:eastAsia="hr-HR"/>
              </w:rPr>
              <w:t>-1284,85727</w:t>
            </w:r>
          </w:p>
        </w:tc>
      </w:tr>
      <w:tr w:rsidR="00BC5368" w:rsidRPr="003D0027" w:rsidTr="005A1981">
        <w:trPr>
          <w:gridAfter w:val="1"/>
          <w:wAfter w:w="21" w:type="dxa"/>
          <w:trHeight w:val="294"/>
        </w:trPr>
        <w:tc>
          <w:tcPr>
            <w:tcW w:w="1105" w:type="dxa"/>
            <w:tcBorders>
              <w:top w:val="nil"/>
              <w:left w:val="nil"/>
              <w:bottom w:val="single" w:sz="8" w:space="0" w:color="auto"/>
              <w:right w:val="nil"/>
            </w:tcBorders>
            <w:shd w:val="clear" w:color="auto" w:fill="auto"/>
            <w:noWrap/>
            <w:vAlign w:val="bottom"/>
            <w:hideMark/>
          </w:tcPr>
          <w:p w:rsidR="00BC5368" w:rsidRPr="003D0027" w:rsidRDefault="00BC5368" w:rsidP="005A1981">
            <w:pPr>
              <w:rPr>
                <w:rFonts w:eastAsia="Times New Roman" w:cs="Times New Roman"/>
                <w:color w:val="000000"/>
                <w:sz w:val="20"/>
                <w:lang w:eastAsia="hr-HR"/>
              </w:rPr>
            </w:pPr>
            <w:r w:rsidRPr="003D0027">
              <w:rPr>
                <w:rFonts w:eastAsia="Times New Roman" w:cs="Times New Roman"/>
                <w:color w:val="000000"/>
                <w:sz w:val="20"/>
                <w:lang w:eastAsia="hr-HR"/>
              </w:rPr>
              <w:t>LH</w:t>
            </w:r>
          </w:p>
        </w:tc>
        <w:tc>
          <w:tcPr>
            <w:tcW w:w="1364" w:type="dxa"/>
            <w:gridSpan w:val="2"/>
            <w:tcBorders>
              <w:top w:val="nil"/>
              <w:left w:val="nil"/>
              <w:bottom w:val="single" w:sz="8" w:space="0" w:color="auto"/>
              <w:right w:val="nil"/>
            </w:tcBorders>
            <w:shd w:val="clear" w:color="auto" w:fill="auto"/>
            <w:noWrap/>
            <w:vAlign w:val="bottom"/>
            <w:hideMark/>
          </w:tcPr>
          <w:p w:rsidR="00BC5368" w:rsidRPr="003D0027" w:rsidRDefault="00BC5368" w:rsidP="005A1981">
            <w:pPr>
              <w:jc w:val="right"/>
              <w:rPr>
                <w:rFonts w:eastAsia="Times New Roman" w:cs="Times New Roman"/>
                <w:color w:val="000000"/>
                <w:sz w:val="20"/>
                <w:lang w:eastAsia="hr-HR"/>
              </w:rPr>
            </w:pPr>
            <w:r>
              <w:rPr>
                <w:rFonts w:eastAsia="Times New Roman" w:cs="Times New Roman"/>
                <w:color w:val="000000"/>
                <w:sz w:val="20"/>
                <w:lang w:eastAsia="hr-HR"/>
              </w:rPr>
              <w:t>60997,5581</w:t>
            </w:r>
          </w:p>
        </w:tc>
        <w:tc>
          <w:tcPr>
            <w:tcW w:w="1301" w:type="dxa"/>
            <w:gridSpan w:val="2"/>
            <w:tcBorders>
              <w:top w:val="nil"/>
              <w:left w:val="nil"/>
              <w:bottom w:val="single" w:sz="8" w:space="0" w:color="auto"/>
              <w:right w:val="nil"/>
            </w:tcBorders>
            <w:shd w:val="clear" w:color="auto" w:fill="auto"/>
            <w:noWrap/>
            <w:vAlign w:val="bottom"/>
            <w:hideMark/>
          </w:tcPr>
          <w:p w:rsidR="00BC5368" w:rsidRPr="003D0027" w:rsidRDefault="00BC5368" w:rsidP="005A1981">
            <w:pPr>
              <w:jc w:val="right"/>
              <w:rPr>
                <w:rFonts w:eastAsia="Times New Roman" w:cs="Times New Roman"/>
                <w:color w:val="000000"/>
                <w:sz w:val="20"/>
                <w:lang w:eastAsia="hr-HR"/>
              </w:rPr>
            </w:pPr>
            <w:r>
              <w:rPr>
                <w:rFonts w:eastAsia="Times New Roman" w:cs="Times New Roman"/>
                <w:color w:val="000000"/>
                <w:sz w:val="20"/>
                <w:lang w:eastAsia="hr-HR"/>
              </w:rPr>
              <w:t>11696,8890</w:t>
            </w:r>
          </w:p>
        </w:tc>
        <w:tc>
          <w:tcPr>
            <w:tcW w:w="1326" w:type="dxa"/>
            <w:tcBorders>
              <w:top w:val="nil"/>
              <w:left w:val="nil"/>
              <w:bottom w:val="single" w:sz="8" w:space="0" w:color="auto"/>
              <w:right w:val="nil"/>
            </w:tcBorders>
            <w:shd w:val="clear" w:color="auto" w:fill="auto"/>
            <w:noWrap/>
            <w:vAlign w:val="bottom"/>
            <w:hideMark/>
          </w:tcPr>
          <w:p w:rsidR="00BC5368" w:rsidRPr="003D0027" w:rsidRDefault="00BC5368" w:rsidP="005A1981">
            <w:pPr>
              <w:jc w:val="right"/>
              <w:rPr>
                <w:rFonts w:eastAsia="Times New Roman" w:cs="Times New Roman"/>
                <w:color w:val="000000"/>
                <w:sz w:val="20"/>
                <w:lang w:eastAsia="hr-HR"/>
              </w:rPr>
            </w:pPr>
            <w:r>
              <w:rPr>
                <w:rFonts w:eastAsia="Times New Roman" w:cs="Times New Roman"/>
                <w:color w:val="000000"/>
                <w:sz w:val="20"/>
                <w:lang w:eastAsia="hr-HR"/>
              </w:rPr>
              <w:t>5,21485309</w:t>
            </w:r>
          </w:p>
        </w:tc>
        <w:tc>
          <w:tcPr>
            <w:tcW w:w="1354" w:type="dxa"/>
            <w:tcBorders>
              <w:top w:val="nil"/>
              <w:left w:val="nil"/>
              <w:bottom w:val="single" w:sz="8" w:space="0" w:color="auto"/>
              <w:right w:val="nil"/>
            </w:tcBorders>
            <w:shd w:val="clear" w:color="auto" w:fill="auto"/>
            <w:noWrap/>
            <w:vAlign w:val="bottom"/>
            <w:hideMark/>
          </w:tcPr>
          <w:p w:rsidR="00BC5368" w:rsidRPr="003D0027" w:rsidRDefault="00BC5368" w:rsidP="005A1981">
            <w:pPr>
              <w:jc w:val="right"/>
              <w:rPr>
                <w:rFonts w:eastAsia="Times New Roman" w:cs="Times New Roman"/>
                <w:color w:val="000000"/>
                <w:sz w:val="20"/>
                <w:lang w:eastAsia="hr-HR"/>
              </w:rPr>
            </w:pPr>
            <w:r>
              <w:rPr>
                <w:rFonts w:eastAsia="Times New Roman" w:cs="Times New Roman"/>
                <w:color w:val="000000"/>
                <w:sz w:val="20"/>
                <w:lang w:eastAsia="hr-HR"/>
              </w:rPr>
              <w:t>0,00198605</w:t>
            </w:r>
          </w:p>
        </w:tc>
        <w:tc>
          <w:tcPr>
            <w:tcW w:w="1408" w:type="dxa"/>
            <w:gridSpan w:val="2"/>
            <w:tcBorders>
              <w:top w:val="nil"/>
              <w:left w:val="nil"/>
              <w:bottom w:val="single" w:sz="8" w:space="0" w:color="auto"/>
              <w:right w:val="nil"/>
            </w:tcBorders>
            <w:shd w:val="clear" w:color="auto" w:fill="auto"/>
            <w:noWrap/>
            <w:vAlign w:val="bottom"/>
            <w:hideMark/>
          </w:tcPr>
          <w:p w:rsidR="00BC5368" w:rsidRPr="003D0027" w:rsidRDefault="00BC5368" w:rsidP="005A1981">
            <w:pPr>
              <w:jc w:val="right"/>
              <w:rPr>
                <w:rFonts w:eastAsia="Times New Roman" w:cs="Times New Roman"/>
                <w:color w:val="000000"/>
                <w:sz w:val="20"/>
                <w:lang w:eastAsia="hr-HR"/>
              </w:rPr>
            </w:pPr>
            <w:r>
              <w:rPr>
                <w:rFonts w:eastAsia="Times New Roman" w:cs="Times New Roman"/>
                <w:color w:val="000000"/>
                <w:sz w:val="20"/>
                <w:lang w:eastAsia="hr-HR"/>
              </w:rPr>
              <w:t>32376,3016</w:t>
            </w:r>
          </w:p>
        </w:tc>
        <w:tc>
          <w:tcPr>
            <w:tcW w:w="1316" w:type="dxa"/>
            <w:tcBorders>
              <w:top w:val="nil"/>
              <w:left w:val="nil"/>
              <w:bottom w:val="single" w:sz="8" w:space="0" w:color="auto"/>
              <w:right w:val="nil"/>
            </w:tcBorders>
            <w:shd w:val="clear" w:color="auto" w:fill="auto"/>
            <w:noWrap/>
            <w:vAlign w:val="bottom"/>
            <w:hideMark/>
          </w:tcPr>
          <w:p w:rsidR="00BC5368" w:rsidRPr="003D0027" w:rsidRDefault="00BC5368" w:rsidP="005A1981">
            <w:pPr>
              <w:jc w:val="right"/>
              <w:rPr>
                <w:rFonts w:eastAsia="Times New Roman" w:cs="Times New Roman"/>
                <w:color w:val="000000"/>
                <w:sz w:val="20"/>
                <w:lang w:eastAsia="hr-HR"/>
              </w:rPr>
            </w:pPr>
            <w:r>
              <w:rPr>
                <w:rFonts w:eastAsia="Times New Roman" w:cs="Times New Roman"/>
                <w:color w:val="000000"/>
                <w:sz w:val="20"/>
                <w:lang w:eastAsia="hr-HR"/>
              </w:rPr>
              <w:t>89618,8146</w:t>
            </w:r>
          </w:p>
        </w:tc>
      </w:tr>
    </w:tbl>
    <w:p w:rsidR="00BC5368" w:rsidRDefault="00BC5368" w:rsidP="00BC5368">
      <w:pPr>
        <w:ind w:firstLine="567"/>
        <w:jc w:val="both"/>
        <w:rPr>
          <w:lang w:val="en-US"/>
        </w:rPr>
      </w:pPr>
    </w:p>
    <w:p w:rsidR="00BC5368" w:rsidRDefault="00BC5368" w:rsidP="00BC5368">
      <w:pPr>
        <w:ind w:firstLine="567"/>
        <w:jc w:val="both"/>
        <w:rPr>
          <w:lang w:val="en-US"/>
        </w:rPr>
      </w:pPr>
      <w:r w:rsidRPr="00695348">
        <w:rPr>
          <w:rFonts w:eastAsia="Book Antiqua" w:cs="Times New Roman"/>
          <w:lang w:val="en-US"/>
        </w:rPr>
        <w:t>The proposed model is as follows</w:t>
      </w:r>
      <w:r w:rsidR="000F52CE">
        <w:rPr>
          <w:rFonts w:eastAsia="Book Antiqua" w:cs="Times New Roman"/>
          <w:lang w:val="en-US"/>
        </w:rPr>
        <w:t>:</w:t>
      </w:r>
      <w:r w:rsidRPr="00695348">
        <w:rPr>
          <w:rFonts w:eastAsia="Book Antiqua" w:cs="Times New Roman"/>
          <w:lang w:val="en-US"/>
        </w:rPr>
        <w:t xml:space="preserve"> </w:t>
      </w:r>
      <w:r>
        <w:rPr>
          <w:rFonts w:eastAsia="Book Antiqua" w:cs="Times New Roman"/>
          <w:lang w:val="en-US"/>
        </w:rPr>
        <w:t>GDP</w:t>
      </w:r>
      <w:r w:rsidRPr="00695348">
        <w:rPr>
          <w:rFonts w:eastAsia="Book Antiqua" w:cs="Times New Roman"/>
          <w:lang w:val="en-US"/>
        </w:rPr>
        <w:t>=</w:t>
      </w:r>
      <w:r w:rsidRPr="003C2DD6">
        <w:rPr>
          <w:rFonts w:eastAsia="Times New Roman" w:cs="Times New Roman"/>
          <w:color w:val="000000"/>
          <w:lang w:eastAsia="hr-HR"/>
        </w:rPr>
        <w:t>1936767395</w:t>
      </w:r>
      <w:r w:rsidRPr="003D0027">
        <w:rPr>
          <w:rFonts w:eastAsia="Times New Roman" w:cs="Times New Roman"/>
          <w:color w:val="000000"/>
          <w:lang w:eastAsia="hr-HR"/>
        </w:rPr>
        <w:t>-</w:t>
      </w:r>
      <w:r w:rsidRPr="00695348">
        <w:rPr>
          <w:rFonts w:eastAsia="Times New Roman" w:cs="Times New Roman"/>
          <w:color w:val="000000"/>
          <w:lang w:eastAsia="hr-HR"/>
        </w:rPr>
        <w:t>37701</w:t>
      </w:r>
      <w:proofErr w:type="gramStart"/>
      <w:r w:rsidRPr="00695348">
        <w:rPr>
          <w:rFonts w:eastAsia="Times New Roman" w:cs="Times New Roman"/>
          <w:color w:val="000000"/>
          <w:lang w:eastAsia="hr-HR"/>
        </w:rPr>
        <w:t>,2845</w:t>
      </w:r>
      <w:proofErr w:type="gramEnd"/>
      <w:r w:rsidR="000F52CE">
        <w:rPr>
          <w:rFonts w:eastAsia="Times New Roman" w:cs="Times New Roman"/>
          <w:color w:val="000000"/>
          <w:lang w:eastAsia="hr-HR"/>
        </w:rPr>
        <w:t xml:space="preserve"> </w:t>
      </w:r>
      <w:r>
        <w:rPr>
          <w:rFonts w:eastAsia="Book Antiqua" w:cs="Times New Roman"/>
          <w:lang w:val="en-US"/>
        </w:rPr>
        <w:t>(Loans to enterprises)</w:t>
      </w:r>
      <w:r w:rsidR="000F52CE">
        <w:rPr>
          <w:rFonts w:eastAsia="Book Antiqua" w:cs="Times New Roman"/>
          <w:lang w:val="en-US"/>
        </w:rPr>
        <w:t xml:space="preserve"> </w:t>
      </w:r>
      <w:r w:rsidRPr="00695348">
        <w:rPr>
          <w:rFonts w:eastAsia="Book Antiqua" w:cs="Times New Roman"/>
          <w:lang w:val="en-US"/>
        </w:rPr>
        <w:t>+</w:t>
      </w:r>
      <w:r w:rsidRPr="00695348">
        <w:rPr>
          <w:rFonts w:eastAsia="Times New Roman" w:cs="Times New Roman"/>
          <w:color w:val="000000"/>
          <w:sz w:val="20"/>
          <w:lang w:eastAsia="hr-HR"/>
        </w:rPr>
        <w:t xml:space="preserve"> </w:t>
      </w:r>
      <w:r w:rsidRPr="00695348">
        <w:rPr>
          <w:rFonts w:eastAsia="Times New Roman" w:cs="Times New Roman"/>
          <w:color w:val="000000"/>
          <w:lang w:eastAsia="hr-HR"/>
        </w:rPr>
        <w:t>60997,5581</w:t>
      </w:r>
      <w:r w:rsidR="000F52CE">
        <w:rPr>
          <w:rFonts w:eastAsia="Times New Roman" w:cs="Times New Roman"/>
          <w:color w:val="000000"/>
          <w:lang w:eastAsia="hr-HR"/>
        </w:rPr>
        <w:t xml:space="preserve"> </w:t>
      </w:r>
      <w:r w:rsidRPr="00695348">
        <w:rPr>
          <w:rFonts w:eastAsia="Book Antiqua" w:cs="Times New Roman"/>
          <w:lang w:val="en-US"/>
        </w:rPr>
        <w:t>(</w:t>
      </w:r>
      <w:r>
        <w:rPr>
          <w:rFonts w:eastAsia="Book Antiqua" w:cs="Times New Roman"/>
          <w:lang w:val="en-US"/>
        </w:rPr>
        <w:t>Loans to household</w:t>
      </w:r>
      <w:r w:rsidR="000F52CE">
        <w:rPr>
          <w:rFonts w:eastAsia="Book Antiqua" w:cs="Times New Roman"/>
          <w:lang w:val="en-US"/>
        </w:rPr>
        <w:t>s</w:t>
      </w:r>
      <w:r w:rsidRPr="00695348">
        <w:rPr>
          <w:rFonts w:eastAsia="Book Antiqua" w:cs="Times New Roman"/>
          <w:lang w:val="en-US"/>
        </w:rPr>
        <w:t>) +</w:t>
      </w:r>
      <w:r w:rsidRPr="00695348">
        <w:rPr>
          <w:rFonts w:eastAsia="Calibri" w:cs="Times New Roman"/>
          <w:szCs w:val="24"/>
        </w:rPr>
        <w:t xml:space="preserve"> </w:t>
      </w:r>
      <w:r w:rsidRPr="00D8531D">
        <w:rPr>
          <w:rFonts w:eastAsia="Calibri" w:cs="Times New Roman"/>
          <w:szCs w:val="24"/>
        </w:rPr>
        <w:t>ε</w:t>
      </w:r>
      <w:r w:rsidRPr="00695348">
        <w:rPr>
          <w:rFonts w:eastAsia="Book Antiqua" w:cs="Times New Roman"/>
          <w:lang w:val="en-US"/>
        </w:rPr>
        <w:t>.</w:t>
      </w:r>
      <w:r>
        <w:rPr>
          <w:rFonts w:eastAsia="Book Antiqua" w:cs="Times New Roman"/>
          <w:lang w:val="en-US"/>
        </w:rPr>
        <w:t xml:space="preserve"> </w:t>
      </w:r>
      <w:r w:rsidRPr="00695348">
        <w:rPr>
          <w:lang w:val="en-US"/>
        </w:rPr>
        <w:t xml:space="preserve">The regression analysis in which the level of significance is 0.005 </w:t>
      </w:r>
      <w:r>
        <w:rPr>
          <w:lang w:val="en-US"/>
        </w:rPr>
        <w:t>showed that adjusted R2 is 0.957</w:t>
      </w:r>
      <w:r w:rsidRPr="00695348">
        <w:rPr>
          <w:lang w:val="en-US"/>
        </w:rPr>
        <w:t>, indicating that</w:t>
      </w:r>
      <w:r>
        <w:rPr>
          <w:lang w:val="en-US"/>
        </w:rPr>
        <w:t xml:space="preserve"> the installed model explains 95</w:t>
      </w:r>
      <w:r w:rsidRPr="00695348">
        <w:rPr>
          <w:lang w:val="en-US"/>
        </w:rPr>
        <w:t xml:space="preserve">% of variation expressed in </w:t>
      </w:r>
      <w:r>
        <w:rPr>
          <w:lang w:val="en-US"/>
        </w:rPr>
        <w:t>GDP</w:t>
      </w:r>
      <w:r w:rsidRPr="00695348">
        <w:rPr>
          <w:lang w:val="en-US"/>
        </w:rPr>
        <w:t>, and the very significance of the presented model is very acceptable considering that</w:t>
      </w:r>
      <w:r w:rsidR="000F52CE">
        <w:rPr>
          <w:lang w:val="en-US"/>
        </w:rPr>
        <w:t xml:space="preserve"> it</w:t>
      </w:r>
      <w:r w:rsidRPr="00695348">
        <w:rPr>
          <w:lang w:val="en-US"/>
        </w:rPr>
        <w:t xml:space="preserve"> is 0.00000</w:t>
      </w:r>
      <w:r>
        <w:rPr>
          <w:lang w:val="en-US"/>
        </w:rPr>
        <w:t>323</w:t>
      </w:r>
      <w:r w:rsidRPr="00695348">
        <w:rPr>
          <w:lang w:val="en-US"/>
        </w:rPr>
        <w:t xml:space="preserve">. Both observed variables are highly significant for the tested </w:t>
      </w:r>
      <w:r>
        <w:rPr>
          <w:lang w:val="en-US"/>
        </w:rPr>
        <w:t xml:space="preserve">model </w:t>
      </w:r>
      <w:r w:rsidRPr="00695348">
        <w:rPr>
          <w:lang w:val="en-US"/>
        </w:rPr>
        <w:t xml:space="preserve">given that the value of both variables t is less than the value of F, and is also higher than the </w:t>
      </w:r>
      <w:r>
        <w:rPr>
          <w:lang w:val="en-US"/>
        </w:rPr>
        <w:t>one.</w:t>
      </w:r>
      <w:r w:rsidRPr="00695348">
        <w:rPr>
          <w:lang w:val="en-US"/>
        </w:rPr>
        <w:t xml:space="preserve"> It also confirmed the significance o</w:t>
      </w:r>
      <w:r>
        <w:rPr>
          <w:lang w:val="en-US"/>
        </w:rPr>
        <w:t xml:space="preserve">f the observed variables, the </w:t>
      </w:r>
      <w:r w:rsidRPr="00695348">
        <w:rPr>
          <w:lang w:val="en-US"/>
        </w:rPr>
        <w:t xml:space="preserve">P </w:t>
      </w:r>
      <w:r>
        <w:rPr>
          <w:lang w:val="en-US"/>
        </w:rPr>
        <w:t xml:space="preserve">value </w:t>
      </w:r>
      <w:r w:rsidRPr="00695348">
        <w:rPr>
          <w:lang w:val="en-US"/>
        </w:rPr>
        <w:t xml:space="preserve">that meets the criteria of &lt;0.05. </w:t>
      </w:r>
    </w:p>
    <w:p w:rsidR="00BC5368" w:rsidRDefault="000F52CE" w:rsidP="00BC5368">
      <w:pPr>
        <w:ind w:firstLine="567"/>
        <w:jc w:val="both"/>
        <w:rPr>
          <w:lang w:val="en-US"/>
        </w:rPr>
      </w:pPr>
      <w:r>
        <w:rPr>
          <w:lang w:val="en-US"/>
        </w:rPr>
        <w:t xml:space="preserve">For the </w:t>
      </w:r>
      <w:r w:rsidR="00BC5368">
        <w:rPr>
          <w:lang w:val="en-US"/>
        </w:rPr>
        <w:t xml:space="preserve">regression analysis of </w:t>
      </w:r>
      <w:r>
        <w:rPr>
          <w:lang w:val="en-US"/>
        </w:rPr>
        <w:t xml:space="preserve">the impact of </w:t>
      </w:r>
      <w:r w:rsidR="00BC5368">
        <w:rPr>
          <w:lang w:val="en-US"/>
        </w:rPr>
        <w:t>household</w:t>
      </w:r>
      <w:r>
        <w:rPr>
          <w:lang w:val="en-US"/>
        </w:rPr>
        <w:t>s</w:t>
      </w:r>
      <w:r w:rsidR="00BC5368">
        <w:rPr>
          <w:lang w:val="en-US"/>
        </w:rPr>
        <w:t xml:space="preserve"> and enterprise</w:t>
      </w:r>
      <w:r>
        <w:rPr>
          <w:lang w:val="en-US"/>
        </w:rPr>
        <w:t>s</w:t>
      </w:r>
      <w:r w:rsidR="00BC5368">
        <w:rPr>
          <w:lang w:val="en-US"/>
        </w:rPr>
        <w:t xml:space="preserve"> </w:t>
      </w:r>
      <w:r>
        <w:rPr>
          <w:lang w:val="en-US"/>
        </w:rPr>
        <w:t xml:space="preserve">on the </w:t>
      </w:r>
      <w:r w:rsidR="00BC5368">
        <w:rPr>
          <w:lang w:val="en-US"/>
        </w:rPr>
        <w:t>Macedonian GDP</w:t>
      </w:r>
      <w:r>
        <w:rPr>
          <w:lang w:val="en-US"/>
        </w:rPr>
        <w:t>,</w:t>
      </w:r>
      <w:r w:rsidR="00BC5368">
        <w:rPr>
          <w:lang w:val="en-US"/>
        </w:rPr>
        <w:t xml:space="preserve"> the last year is not taken in consideration because </w:t>
      </w:r>
      <w:r>
        <w:rPr>
          <w:lang w:val="en-US"/>
        </w:rPr>
        <w:t xml:space="preserve">it is an outlier - </w:t>
      </w:r>
      <w:r w:rsidR="00BC5368">
        <w:rPr>
          <w:lang w:val="en-US"/>
        </w:rPr>
        <w:t xml:space="preserve">it </w:t>
      </w:r>
      <w:r w:rsidR="00BC5368" w:rsidRPr="008F0E37">
        <w:rPr>
          <w:lang w:val="en-US"/>
        </w:rPr>
        <w:t>deviates considerably</w:t>
      </w:r>
      <w:r w:rsidR="00BC5368">
        <w:rPr>
          <w:lang w:val="en-US"/>
        </w:rPr>
        <w:t xml:space="preserve"> and </w:t>
      </w:r>
      <w:r>
        <w:rPr>
          <w:lang w:val="en-US"/>
        </w:rPr>
        <w:t>its impact it just to be</w:t>
      </w:r>
      <w:r w:rsidR="00BC5368">
        <w:rPr>
          <w:lang w:val="en-US"/>
        </w:rPr>
        <w:t xml:space="preserve"> manifest</w:t>
      </w:r>
      <w:r>
        <w:rPr>
          <w:lang w:val="en-US"/>
        </w:rPr>
        <w:t>ed</w:t>
      </w:r>
      <w:r w:rsidR="00BC5368">
        <w:rPr>
          <w:lang w:val="en-US"/>
        </w:rPr>
        <w:t xml:space="preserve"> in full scale in </w:t>
      </w:r>
      <w:r>
        <w:rPr>
          <w:lang w:val="en-US"/>
        </w:rPr>
        <w:t xml:space="preserve">the </w:t>
      </w:r>
      <w:r w:rsidR="001B1E0E">
        <w:rPr>
          <w:lang w:val="en-US"/>
        </w:rPr>
        <w:t>next years, as can be seen in Table 7.</w:t>
      </w:r>
    </w:p>
    <w:p w:rsidR="00BC5368" w:rsidRDefault="00BC5368" w:rsidP="00BC5368">
      <w:pPr>
        <w:ind w:firstLine="567"/>
        <w:jc w:val="both"/>
        <w:rPr>
          <w:lang w:val="en-US"/>
        </w:rPr>
      </w:pPr>
    </w:p>
    <w:p w:rsidR="000F52CE" w:rsidRDefault="000F52CE" w:rsidP="00BC5368">
      <w:pPr>
        <w:jc w:val="both"/>
        <w:rPr>
          <w:lang w:val="en-US"/>
        </w:rPr>
      </w:pPr>
    </w:p>
    <w:p w:rsidR="00BC5368" w:rsidRDefault="00BC5368" w:rsidP="00BC5368">
      <w:pPr>
        <w:jc w:val="both"/>
        <w:rPr>
          <w:lang w:val="en-US"/>
        </w:rPr>
      </w:pPr>
      <w:r>
        <w:rPr>
          <w:lang w:val="en-US"/>
        </w:rPr>
        <w:t xml:space="preserve">Table 7 Regression analysis </w:t>
      </w:r>
      <w:r>
        <w:rPr>
          <w:rFonts w:cs="Times New Roman"/>
          <w:lang w:val="en-US"/>
        </w:rPr>
        <w:t>—</w:t>
      </w:r>
      <w:r>
        <w:rPr>
          <w:lang w:val="en-US"/>
        </w:rPr>
        <w:t xml:space="preserve"> influence of bank loans </w:t>
      </w:r>
      <w:r w:rsidR="001B1E0E">
        <w:rPr>
          <w:lang w:val="en-US"/>
        </w:rPr>
        <w:t xml:space="preserve">on </w:t>
      </w:r>
      <w:r>
        <w:rPr>
          <w:lang w:val="en-US"/>
        </w:rPr>
        <w:t xml:space="preserve">Macedonian GDP  </w:t>
      </w:r>
    </w:p>
    <w:tbl>
      <w:tblPr>
        <w:tblW w:w="9195" w:type="dxa"/>
        <w:tblInd w:w="93" w:type="dxa"/>
        <w:tblLook w:val="04A0" w:firstRow="1" w:lastRow="0" w:firstColumn="1" w:lastColumn="0" w:noHBand="0" w:noVBand="1"/>
      </w:tblPr>
      <w:tblGrid>
        <w:gridCol w:w="1195"/>
        <w:gridCol w:w="663"/>
        <w:gridCol w:w="581"/>
        <w:gridCol w:w="1120"/>
        <w:gridCol w:w="181"/>
        <w:gridCol w:w="1301"/>
        <w:gridCol w:w="1266"/>
        <w:gridCol w:w="1141"/>
        <w:gridCol w:w="273"/>
        <w:gridCol w:w="1414"/>
        <w:gridCol w:w="60"/>
      </w:tblGrid>
      <w:tr w:rsidR="00BC5368" w:rsidRPr="003C2DD6" w:rsidTr="005A1981">
        <w:trPr>
          <w:trHeight w:val="288"/>
        </w:trPr>
        <w:tc>
          <w:tcPr>
            <w:tcW w:w="1858" w:type="dxa"/>
            <w:gridSpan w:val="2"/>
            <w:tcBorders>
              <w:top w:val="single" w:sz="4" w:space="0" w:color="auto"/>
            </w:tcBorders>
            <w:shd w:val="clear" w:color="auto" w:fill="auto"/>
            <w:noWrap/>
            <w:vAlign w:val="bottom"/>
            <w:hideMark/>
          </w:tcPr>
          <w:p w:rsidR="00BC5368" w:rsidRPr="003C2DD6" w:rsidRDefault="00BC5368" w:rsidP="005A1981">
            <w:pPr>
              <w:rPr>
                <w:rFonts w:eastAsia="Times New Roman" w:cs="Times New Roman"/>
                <w:color w:val="000000"/>
                <w:sz w:val="20"/>
                <w:lang w:eastAsia="hr-HR"/>
              </w:rPr>
            </w:pPr>
            <w:proofErr w:type="spellStart"/>
            <w:r w:rsidRPr="003C2DD6">
              <w:rPr>
                <w:rFonts w:eastAsia="Times New Roman" w:cs="Times New Roman"/>
                <w:color w:val="000000"/>
                <w:sz w:val="20"/>
                <w:lang w:eastAsia="hr-HR"/>
              </w:rPr>
              <w:t>Multiple</w:t>
            </w:r>
            <w:proofErr w:type="spellEnd"/>
            <w:r w:rsidRPr="003C2DD6">
              <w:rPr>
                <w:rFonts w:eastAsia="Times New Roman" w:cs="Times New Roman"/>
                <w:color w:val="000000"/>
                <w:sz w:val="20"/>
                <w:lang w:eastAsia="hr-HR"/>
              </w:rPr>
              <w:t xml:space="preserve"> R</w:t>
            </w:r>
          </w:p>
        </w:tc>
        <w:tc>
          <w:tcPr>
            <w:tcW w:w="1701" w:type="dxa"/>
            <w:gridSpan w:val="2"/>
            <w:tcBorders>
              <w:top w:val="single" w:sz="4" w:space="0" w:color="auto"/>
            </w:tcBorders>
            <w:shd w:val="clear" w:color="auto" w:fill="auto"/>
            <w:noWrap/>
            <w:vAlign w:val="bottom"/>
            <w:hideMark/>
          </w:tcPr>
          <w:p w:rsidR="00BC5368" w:rsidRPr="003C2DD6" w:rsidRDefault="00BC5368" w:rsidP="005A1981">
            <w:pPr>
              <w:jc w:val="right"/>
              <w:rPr>
                <w:rFonts w:eastAsia="Times New Roman" w:cs="Times New Roman"/>
                <w:color w:val="000000"/>
                <w:sz w:val="20"/>
                <w:lang w:eastAsia="hr-HR"/>
              </w:rPr>
            </w:pPr>
            <w:r w:rsidRPr="003C2DD6">
              <w:rPr>
                <w:rFonts w:eastAsia="Times New Roman" w:cs="Times New Roman"/>
                <w:color w:val="000000"/>
                <w:sz w:val="20"/>
                <w:lang w:eastAsia="hr-HR"/>
              </w:rPr>
              <w:t>0,98650473</w:t>
            </w:r>
          </w:p>
        </w:tc>
        <w:tc>
          <w:tcPr>
            <w:tcW w:w="3889" w:type="dxa"/>
            <w:gridSpan w:val="4"/>
            <w:tcBorders>
              <w:top w:val="single" w:sz="4" w:space="0" w:color="auto"/>
              <w:left w:val="nil"/>
            </w:tcBorders>
          </w:tcPr>
          <w:p w:rsidR="00BC5368" w:rsidRPr="003C2DD6" w:rsidRDefault="00BC5368" w:rsidP="005A1981">
            <w:pPr>
              <w:jc w:val="right"/>
              <w:rPr>
                <w:rFonts w:eastAsia="Times New Roman" w:cs="Times New Roman"/>
                <w:color w:val="000000"/>
                <w:sz w:val="20"/>
                <w:lang w:eastAsia="hr-HR"/>
              </w:rPr>
            </w:pPr>
          </w:p>
        </w:tc>
        <w:tc>
          <w:tcPr>
            <w:tcW w:w="1747" w:type="dxa"/>
            <w:gridSpan w:val="3"/>
            <w:tcBorders>
              <w:top w:val="single" w:sz="4" w:space="0" w:color="auto"/>
            </w:tcBorders>
          </w:tcPr>
          <w:p w:rsidR="00BC5368" w:rsidRPr="003C2DD6" w:rsidRDefault="00BC5368" w:rsidP="005A1981">
            <w:pPr>
              <w:jc w:val="right"/>
              <w:rPr>
                <w:rFonts w:eastAsia="Times New Roman" w:cs="Times New Roman"/>
                <w:color w:val="000000"/>
                <w:sz w:val="20"/>
                <w:lang w:eastAsia="hr-HR"/>
              </w:rPr>
            </w:pPr>
          </w:p>
        </w:tc>
      </w:tr>
      <w:tr w:rsidR="00BC5368" w:rsidRPr="003C2DD6" w:rsidTr="005A1981">
        <w:trPr>
          <w:trHeight w:val="288"/>
        </w:trPr>
        <w:tc>
          <w:tcPr>
            <w:tcW w:w="1858" w:type="dxa"/>
            <w:gridSpan w:val="2"/>
            <w:shd w:val="clear" w:color="auto" w:fill="auto"/>
            <w:noWrap/>
            <w:vAlign w:val="bottom"/>
            <w:hideMark/>
          </w:tcPr>
          <w:p w:rsidR="00BC5368" w:rsidRPr="003C2DD6" w:rsidRDefault="00BC5368" w:rsidP="005A1981">
            <w:pPr>
              <w:rPr>
                <w:rFonts w:eastAsia="Times New Roman" w:cs="Times New Roman"/>
                <w:color w:val="000000"/>
                <w:sz w:val="20"/>
                <w:lang w:eastAsia="hr-HR"/>
              </w:rPr>
            </w:pPr>
            <w:r w:rsidRPr="003C2DD6">
              <w:rPr>
                <w:rFonts w:eastAsia="Times New Roman" w:cs="Times New Roman"/>
                <w:color w:val="000000"/>
                <w:sz w:val="20"/>
                <w:lang w:eastAsia="hr-HR"/>
              </w:rPr>
              <w:t xml:space="preserve">R </w:t>
            </w:r>
            <w:proofErr w:type="spellStart"/>
            <w:r w:rsidRPr="003C2DD6">
              <w:rPr>
                <w:rFonts w:eastAsia="Times New Roman" w:cs="Times New Roman"/>
                <w:color w:val="000000"/>
                <w:sz w:val="20"/>
                <w:lang w:eastAsia="hr-HR"/>
              </w:rPr>
              <w:t>Square</w:t>
            </w:r>
            <w:proofErr w:type="spellEnd"/>
          </w:p>
        </w:tc>
        <w:tc>
          <w:tcPr>
            <w:tcW w:w="1701" w:type="dxa"/>
            <w:gridSpan w:val="2"/>
            <w:shd w:val="clear" w:color="auto" w:fill="auto"/>
            <w:noWrap/>
            <w:vAlign w:val="bottom"/>
            <w:hideMark/>
          </w:tcPr>
          <w:p w:rsidR="00BC5368" w:rsidRPr="003C2DD6" w:rsidRDefault="00BC5368" w:rsidP="005A1981">
            <w:pPr>
              <w:jc w:val="right"/>
              <w:rPr>
                <w:rFonts w:eastAsia="Times New Roman" w:cs="Times New Roman"/>
                <w:color w:val="000000"/>
                <w:sz w:val="20"/>
                <w:lang w:eastAsia="hr-HR"/>
              </w:rPr>
            </w:pPr>
            <w:r w:rsidRPr="003C2DD6">
              <w:rPr>
                <w:rFonts w:eastAsia="Times New Roman" w:cs="Times New Roman"/>
                <w:color w:val="000000"/>
                <w:sz w:val="20"/>
                <w:lang w:eastAsia="hr-HR"/>
              </w:rPr>
              <w:t>0,973191582</w:t>
            </w:r>
          </w:p>
        </w:tc>
        <w:tc>
          <w:tcPr>
            <w:tcW w:w="3889" w:type="dxa"/>
            <w:gridSpan w:val="4"/>
            <w:tcBorders>
              <w:left w:val="nil"/>
            </w:tcBorders>
          </w:tcPr>
          <w:p w:rsidR="00BC5368" w:rsidRPr="003C2DD6" w:rsidRDefault="00BC5368" w:rsidP="005A1981">
            <w:pPr>
              <w:jc w:val="right"/>
              <w:rPr>
                <w:rFonts w:eastAsia="Times New Roman" w:cs="Times New Roman"/>
                <w:color w:val="000000"/>
                <w:sz w:val="20"/>
                <w:lang w:eastAsia="hr-HR"/>
              </w:rPr>
            </w:pPr>
          </w:p>
        </w:tc>
        <w:tc>
          <w:tcPr>
            <w:tcW w:w="1747" w:type="dxa"/>
            <w:gridSpan w:val="3"/>
          </w:tcPr>
          <w:p w:rsidR="00BC5368" w:rsidRPr="003C2DD6" w:rsidRDefault="00BC5368" w:rsidP="005A1981">
            <w:pPr>
              <w:jc w:val="right"/>
              <w:rPr>
                <w:rFonts w:eastAsia="Times New Roman" w:cs="Times New Roman"/>
                <w:color w:val="000000"/>
                <w:sz w:val="20"/>
                <w:lang w:eastAsia="hr-HR"/>
              </w:rPr>
            </w:pPr>
          </w:p>
        </w:tc>
      </w:tr>
      <w:tr w:rsidR="00BC5368" w:rsidRPr="003C2DD6" w:rsidTr="005A1981">
        <w:trPr>
          <w:trHeight w:val="288"/>
        </w:trPr>
        <w:tc>
          <w:tcPr>
            <w:tcW w:w="1858" w:type="dxa"/>
            <w:gridSpan w:val="2"/>
            <w:shd w:val="clear" w:color="auto" w:fill="auto"/>
            <w:noWrap/>
            <w:vAlign w:val="bottom"/>
            <w:hideMark/>
          </w:tcPr>
          <w:p w:rsidR="00BC5368" w:rsidRPr="003C2DD6" w:rsidRDefault="00BC5368" w:rsidP="005A1981">
            <w:pPr>
              <w:rPr>
                <w:rFonts w:eastAsia="Times New Roman" w:cs="Times New Roman"/>
                <w:color w:val="000000"/>
                <w:sz w:val="20"/>
                <w:lang w:eastAsia="hr-HR"/>
              </w:rPr>
            </w:pPr>
            <w:proofErr w:type="spellStart"/>
            <w:r w:rsidRPr="003C2DD6">
              <w:rPr>
                <w:rFonts w:eastAsia="Times New Roman" w:cs="Times New Roman"/>
                <w:color w:val="000000"/>
                <w:sz w:val="20"/>
                <w:lang w:eastAsia="hr-HR"/>
              </w:rPr>
              <w:t>Adjusted</w:t>
            </w:r>
            <w:proofErr w:type="spellEnd"/>
            <w:r w:rsidRPr="003C2DD6">
              <w:rPr>
                <w:rFonts w:eastAsia="Times New Roman" w:cs="Times New Roman"/>
                <w:color w:val="000000"/>
                <w:sz w:val="20"/>
                <w:lang w:eastAsia="hr-HR"/>
              </w:rPr>
              <w:t xml:space="preserve"> R </w:t>
            </w:r>
            <w:proofErr w:type="spellStart"/>
            <w:r w:rsidRPr="003C2DD6">
              <w:rPr>
                <w:rFonts w:eastAsia="Times New Roman" w:cs="Times New Roman"/>
                <w:color w:val="000000"/>
                <w:sz w:val="20"/>
                <w:lang w:eastAsia="hr-HR"/>
              </w:rPr>
              <w:t>Square</w:t>
            </w:r>
            <w:proofErr w:type="spellEnd"/>
          </w:p>
        </w:tc>
        <w:tc>
          <w:tcPr>
            <w:tcW w:w="1701" w:type="dxa"/>
            <w:gridSpan w:val="2"/>
            <w:shd w:val="clear" w:color="auto" w:fill="auto"/>
            <w:noWrap/>
            <w:vAlign w:val="bottom"/>
            <w:hideMark/>
          </w:tcPr>
          <w:p w:rsidR="00BC5368" w:rsidRPr="003C2DD6" w:rsidRDefault="00BC5368" w:rsidP="005A1981">
            <w:pPr>
              <w:jc w:val="right"/>
              <w:rPr>
                <w:rFonts w:eastAsia="Times New Roman" w:cs="Times New Roman"/>
                <w:color w:val="000000"/>
                <w:sz w:val="20"/>
                <w:lang w:eastAsia="hr-HR"/>
              </w:rPr>
            </w:pPr>
            <w:r w:rsidRPr="003C2DD6">
              <w:rPr>
                <w:rFonts w:eastAsia="Times New Roman" w:cs="Times New Roman"/>
                <w:color w:val="000000"/>
                <w:sz w:val="20"/>
                <w:lang w:eastAsia="hr-HR"/>
              </w:rPr>
              <w:t>0,962468215</w:t>
            </w:r>
          </w:p>
        </w:tc>
        <w:tc>
          <w:tcPr>
            <w:tcW w:w="3889" w:type="dxa"/>
            <w:gridSpan w:val="4"/>
            <w:tcBorders>
              <w:left w:val="nil"/>
            </w:tcBorders>
          </w:tcPr>
          <w:p w:rsidR="00BC5368" w:rsidRPr="003C2DD6" w:rsidRDefault="00BC5368" w:rsidP="005A1981">
            <w:pPr>
              <w:jc w:val="right"/>
              <w:rPr>
                <w:rFonts w:eastAsia="Times New Roman" w:cs="Times New Roman"/>
                <w:color w:val="000000"/>
                <w:sz w:val="20"/>
                <w:lang w:eastAsia="hr-HR"/>
              </w:rPr>
            </w:pPr>
          </w:p>
        </w:tc>
        <w:tc>
          <w:tcPr>
            <w:tcW w:w="1747" w:type="dxa"/>
            <w:gridSpan w:val="3"/>
          </w:tcPr>
          <w:p w:rsidR="00BC5368" w:rsidRPr="003C2DD6" w:rsidRDefault="00BC5368" w:rsidP="005A1981">
            <w:pPr>
              <w:jc w:val="right"/>
              <w:rPr>
                <w:rFonts w:eastAsia="Times New Roman" w:cs="Times New Roman"/>
                <w:color w:val="000000"/>
                <w:sz w:val="20"/>
                <w:lang w:eastAsia="hr-HR"/>
              </w:rPr>
            </w:pPr>
          </w:p>
        </w:tc>
      </w:tr>
      <w:tr w:rsidR="00BC5368" w:rsidRPr="003C2DD6" w:rsidTr="005A1981">
        <w:trPr>
          <w:trHeight w:val="288"/>
        </w:trPr>
        <w:tc>
          <w:tcPr>
            <w:tcW w:w="1858" w:type="dxa"/>
            <w:gridSpan w:val="2"/>
            <w:shd w:val="clear" w:color="auto" w:fill="auto"/>
            <w:noWrap/>
            <w:vAlign w:val="bottom"/>
            <w:hideMark/>
          </w:tcPr>
          <w:p w:rsidR="00BC5368" w:rsidRPr="003C2DD6" w:rsidRDefault="00BC5368" w:rsidP="005A1981">
            <w:pPr>
              <w:rPr>
                <w:rFonts w:eastAsia="Times New Roman" w:cs="Times New Roman"/>
                <w:color w:val="000000"/>
                <w:sz w:val="20"/>
                <w:lang w:eastAsia="hr-HR"/>
              </w:rPr>
            </w:pPr>
            <w:r w:rsidRPr="003C2DD6">
              <w:rPr>
                <w:rFonts w:eastAsia="Times New Roman" w:cs="Times New Roman"/>
                <w:color w:val="000000"/>
                <w:sz w:val="20"/>
                <w:lang w:eastAsia="hr-HR"/>
              </w:rPr>
              <w:t xml:space="preserve">Standard </w:t>
            </w:r>
            <w:proofErr w:type="spellStart"/>
            <w:r w:rsidRPr="003C2DD6">
              <w:rPr>
                <w:rFonts w:eastAsia="Times New Roman" w:cs="Times New Roman"/>
                <w:color w:val="000000"/>
                <w:sz w:val="20"/>
                <w:lang w:eastAsia="hr-HR"/>
              </w:rPr>
              <w:t>Error</w:t>
            </w:r>
            <w:proofErr w:type="spellEnd"/>
          </w:p>
        </w:tc>
        <w:tc>
          <w:tcPr>
            <w:tcW w:w="1701" w:type="dxa"/>
            <w:gridSpan w:val="2"/>
            <w:shd w:val="clear" w:color="auto" w:fill="auto"/>
            <w:noWrap/>
            <w:vAlign w:val="bottom"/>
            <w:hideMark/>
          </w:tcPr>
          <w:p w:rsidR="00BC5368" w:rsidRPr="003C2DD6" w:rsidRDefault="00BC5368" w:rsidP="005A1981">
            <w:pPr>
              <w:jc w:val="right"/>
              <w:rPr>
                <w:rFonts w:eastAsia="Times New Roman" w:cs="Times New Roman"/>
                <w:color w:val="000000"/>
                <w:sz w:val="20"/>
                <w:lang w:eastAsia="hr-HR"/>
              </w:rPr>
            </w:pPr>
            <w:r w:rsidRPr="003C2DD6">
              <w:rPr>
                <w:rFonts w:eastAsia="Times New Roman" w:cs="Times New Roman"/>
                <w:color w:val="000000"/>
                <w:sz w:val="20"/>
                <w:lang w:eastAsia="hr-HR"/>
              </w:rPr>
              <w:t>376460380,1</w:t>
            </w:r>
          </w:p>
        </w:tc>
        <w:tc>
          <w:tcPr>
            <w:tcW w:w="3889" w:type="dxa"/>
            <w:gridSpan w:val="4"/>
            <w:tcBorders>
              <w:left w:val="nil"/>
            </w:tcBorders>
          </w:tcPr>
          <w:p w:rsidR="00BC5368" w:rsidRPr="003C2DD6" w:rsidRDefault="00BC5368" w:rsidP="005A1981">
            <w:pPr>
              <w:jc w:val="right"/>
              <w:rPr>
                <w:rFonts w:eastAsia="Times New Roman" w:cs="Times New Roman"/>
                <w:color w:val="000000"/>
                <w:sz w:val="20"/>
                <w:lang w:eastAsia="hr-HR"/>
              </w:rPr>
            </w:pPr>
          </w:p>
        </w:tc>
        <w:tc>
          <w:tcPr>
            <w:tcW w:w="1747" w:type="dxa"/>
            <w:gridSpan w:val="3"/>
          </w:tcPr>
          <w:p w:rsidR="00BC5368" w:rsidRPr="003C2DD6" w:rsidRDefault="00BC5368" w:rsidP="005A1981">
            <w:pPr>
              <w:jc w:val="right"/>
              <w:rPr>
                <w:rFonts w:eastAsia="Times New Roman" w:cs="Times New Roman"/>
                <w:color w:val="000000"/>
                <w:sz w:val="20"/>
                <w:lang w:eastAsia="hr-HR"/>
              </w:rPr>
            </w:pPr>
          </w:p>
        </w:tc>
      </w:tr>
      <w:tr w:rsidR="00BC5368" w:rsidRPr="003C2DD6" w:rsidTr="005A1981">
        <w:trPr>
          <w:trHeight w:val="300"/>
        </w:trPr>
        <w:tc>
          <w:tcPr>
            <w:tcW w:w="1858" w:type="dxa"/>
            <w:gridSpan w:val="2"/>
            <w:tcBorders>
              <w:bottom w:val="single" w:sz="4" w:space="0" w:color="auto"/>
            </w:tcBorders>
            <w:shd w:val="clear" w:color="auto" w:fill="auto"/>
            <w:noWrap/>
            <w:vAlign w:val="bottom"/>
            <w:hideMark/>
          </w:tcPr>
          <w:p w:rsidR="00BC5368" w:rsidRPr="003C2DD6" w:rsidRDefault="00BC5368" w:rsidP="005A1981">
            <w:pPr>
              <w:rPr>
                <w:rFonts w:eastAsia="Times New Roman" w:cs="Times New Roman"/>
                <w:color w:val="000000"/>
                <w:sz w:val="20"/>
                <w:lang w:eastAsia="hr-HR"/>
              </w:rPr>
            </w:pPr>
            <w:proofErr w:type="spellStart"/>
            <w:r w:rsidRPr="003C2DD6">
              <w:rPr>
                <w:rFonts w:eastAsia="Times New Roman" w:cs="Times New Roman"/>
                <w:color w:val="000000"/>
                <w:sz w:val="20"/>
                <w:lang w:eastAsia="hr-HR"/>
              </w:rPr>
              <w:t>Observations</w:t>
            </w:r>
            <w:proofErr w:type="spellEnd"/>
          </w:p>
        </w:tc>
        <w:tc>
          <w:tcPr>
            <w:tcW w:w="1701" w:type="dxa"/>
            <w:gridSpan w:val="2"/>
            <w:tcBorders>
              <w:bottom w:val="single" w:sz="4" w:space="0" w:color="auto"/>
            </w:tcBorders>
            <w:shd w:val="clear" w:color="auto" w:fill="auto"/>
            <w:noWrap/>
            <w:vAlign w:val="bottom"/>
            <w:hideMark/>
          </w:tcPr>
          <w:p w:rsidR="00BC5368" w:rsidRPr="003C2DD6" w:rsidRDefault="00BC5368" w:rsidP="005A1981">
            <w:pPr>
              <w:jc w:val="right"/>
              <w:rPr>
                <w:rFonts w:eastAsia="Times New Roman" w:cs="Times New Roman"/>
                <w:color w:val="000000"/>
                <w:sz w:val="20"/>
                <w:lang w:eastAsia="hr-HR"/>
              </w:rPr>
            </w:pPr>
            <w:r w:rsidRPr="003C2DD6">
              <w:rPr>
                <w:rFonts w:eastAsia="Times New Roman" w:cs="Times New Roman"/>
                <w:color w:val="000000"/>
                <w:sz w:val="20"/>
                <w:lang w:eastAsia="hr-HR"/>
              </w:rPr>
              <w:t>8</w:t>
            </w:r>
          </w:p>
        </w:tc>
        <w:tc>
          <w:tcPr>
            <w:tcW w:w="3889" w:type="dxa"/>
            <w:gridSpan w:val="4"/>
            <w:tcBorders>
              <w:left w:val="nil"/>
            </w:tcBorders>
          </w:tcPr>
          <w:p w:rsidR="00BC5368" w:rsidRPr="003C2DD6" w:rsidRDefault="00BC5368" w:rsidP="005A1981">
            <w:pPr>
              <w:jc w:val="right"/>
              <w:rPr>
                <w:rFonts w:eastAsia="Times New Roman" w:cs="Times New Roman"/>
                <w:color w:val="000000"/>
                <w:sz w:val="20"/>
                <w:lang w:eastAsia="hr-HR"/>
              </w:rPr>
            </w:pPr>
          </w:p>
        </w:tc>
        <w:tc>
          <w:tcPr>
            <w:tcW w:w="1747" w:type="dxa"/>
            <w:gridSpan w:val="3"/>
          </w:tcPr>
          <w:p w:rsidR="00BC5368" w:rsidRPr="003C2DD6" w:rsidRDefault="00BC5368" w:rsidP="005A1981">
            <w:pPr>
              <w:jc w:val="right"/>
              <w:rPr>
                <w:rFonts w:eastAsia="Times New Roman" w:cs="Times New Roman"/>
                <w:color w:val="000000"/>
                <w:sz w:val="20"/>
                <w:lang w:eastAsia="hr-HR"/>
              </w:rPr>
            </w:pPr>
          </w:p>
        </w:tc>
      </w:tr>
      <w:tr w:rsidR="00BC5368" w:rsidRPr="008F0E37" w:rsidTr="005A1981">
        <w:trPr>
          <w:gridAfter w:val="1"/>
          <w:wAfter w:w="60" w:type="dxa"/>
          <w:trHeight w:val="300"/>
        </w:trPr>
        <w:tc>
          <w:tcPr>
            <w:tcW w:w="1195" w:type="dxa"/>
            <w:tcBorders>
              <w:top w:val="nil"/>
              <w:left w:val="nil"/>
              <w:bottom w:val="nil"/>
              <w:right w:val="nil"/>
            </w:tcBorders>
            <w:shd w:val="clear" w:color="auto" w:fill="auto"/>
            <w:noWrap/>
            <w:vAlign w:val="bottom"/>
            <w:hideMark/>
          </w:tcPr>
          <w:p w:rsidR="00BC5368" w:rsidRPr="008F0E37" w:rsidRDefault="00BC5368" w:rsidP="005A1981">
            <w:pPr>
              <w:rPr>
                <w:rFonts w:eastAsia="Times New Roman" w:cs="Times New Roman"/>
                <w:color w:val="000000"/>
                <w:sz w:val="20"/>
                <w:szCs w:val="20"/>
                <w:lang w:eastAsia="hr-HR"/>
              </w:rPr>
            </w:pPr>
            <w:r w:rsidRPr="008F0E37">
              <w:rPr>
                <w:rFonts w:eastAsia="Times New Roman" w:cs="Times New Roman"/>
                <w:color w:val="000000"/>
                <w:sz w:val="20"/>
                <w:szCs w:val="20"/>
                <w:lang w:eastAsia="hr-HR"/>
              </w:rPr>
              <w:t>ANOVA</w:t>
            </w:r>
          </w:p>
        </w:tc>
        <w:tc>
          <w:tcPr>
            <w:tcW w:w="1244" w:type="dxa"/>
            <w:gridSpan w:val="2"/>
            <w:tcBorders>
              <w:top w:val="nil"/>
              <w:left w:val="nil"/>
              <w:bottom w:val="nil"/>
              <w:right w:val="nil"/>
            </w:tcBorders>
            <w:shd w:val="clear" w:color="auto" w:fill="auto"/>
            <w:noWrap/>
            <w:vAlign w:val="bottom"/>
            <w:hideMark/>
          </w:tcPr>
          <w:p w:rsidR="00BC5368" w:rsidRPr="008F0E37" w:rsidRDefault="00BC5368" w:rsidP="005A1981">
            <w:pPr>
              <w:rPr>
                <w:rFonts w:eastAsia="Times New Roman" w:cs="Times New Roman"/>
                <w:color w:val="000000"/>
                <w:sz w:val="20"/>
                <w:szCs w:val="20"/>
                <w:lang w:eastAsia="hr-HR"/>
              </w:rPr>
            </w:pPr>
          </w:p>
        </w:tc>
        <w:tc>
          <w:tcPr>
            <w:tcW w:w="1301" w:type="dxa"/>
            <w:gridSpan w:val="2"/>
            <w:tcBorders>
              <w:top w:val="nil"/>
              <w:left w:val="nil"/>
              <w:bottom w:val="nil"/>
              <w:right w:val="nil"/>
            </w:tcBorders>
            <w:shd w:val="clear" w:color="auto" w:fill="auto"/>
            <w:noWrap/>
            <w:vAlign w:val="bottom"/>
            <w:hideMark/>
          </w:tcPr>
          <w:p w:rsidR="00BC5368" w:rsidRPr="008F0E37" w:rsidRDefault="00BC5368" w:rsidP="005A1981">
            <w:pPr>
              <w:rPr>
                <w:rFonts w:eastAsia="Times New Roman" w:cs="Times New Roman"/>
                <w:color w:val="000000"/>
                <w:sz w:val="20"/>
                <w:szCs w:val="20"/>
                <w:lang w:eastAsia="hr-HR"/>
              </w:rPr>
            </w:pPr>
          </w:p>
        </w:tc>
        <w:tc>
          <w:tcPr>
            <w:tcW w:w="1301" w:type="dxa"/>
            <w:tcBorders>
              <w:top w:val="nil"/>
              <w:left w:val="nil"/>
              <w:bottom w:val="nil"/>
              <w:right w:val="nil"/>
            </w:tcBorders>
            <w:shd w:val="clear" w:color="auto" w:fill="auto"/>
            <w:noWrap/>
            <w:vAlign w:val="bottom"/>
            <w:hideMark/>
          </w:tcPr>
          <w:p w:rsidR="00BC5368" w:rsidRPr="008F0E37" w:rsidRDefault="00BC5368" w:rsidP="005A1981">
            <w:pPr>
              <w:rPr>
                <w:rFonts w:eastAsia="Times New Roman" w:cs="Times New Roman"/>
                <w:color w:val="000000"/>
                <w:sz w:val="20"/>
                <w:szCs w:val="20"/>
                <w:lang w:eastAsia="hr-HR"/>
              </w:rPr>
            </w:pPr>
          </w:p>
        </w:tc>
        <w:tc>
          <w:tcPr>
            <w:tcW w:w="1266" w:type="dxa"/>
            <w:tcBorders>
              <w:top w:val="nil"/>
              <w:left w:val="nil"/>
              <w:bottom w:val="nil"/>
              <w:right w:val="nil"/>
            </w:tcBorders>
            <w:shd w:val="clear" w:color="auto" w:fill="auto"/>
            <w:noWrap/>
            <w:vAlign w:val="bottom"/>
            <w:hideMark/>
          </w:tcPr>
          <w:p w:rsidR="00BC5368" w:rsidRPr="008F0E37" w:rsidRDefault="00BC5368" w:rsidP="005A1981">
            <w:pPr>
              <w:rPr>
                <w:rFonts w:eastAsia="Times New Roman" w:cs="Times New Roman"/>
                <w:color w:val="000000"/>
                <w:sz w:val="20"/>
                <w:szCs w:val="20"/>
                <w:lang w:eastAsia="hr-HR"/>
              </w:rPr>
            </w:pPr>
          </w:p>
        </w:tc>
        <w:tc>
          <w:tcPr>
            <w:tcW w:w="1414" w:type="dxa"/>
            <w:gridSpan w:val="2"/>
            <w:tcBorders>
              <w:top w:val="nil"/>
              <w:left w:val="nil"/>
              <w:bottom w:val="nil"/>
              <w:right w:val="nil"/>
            </w:tcBorders>
            <w:shd w:val="clear" w:color="auto" w:fill="auto"/>
            <w:noWrap/>
            <w:vAlign w:val="bottom"/>
            <w:hideMark/>
          </w:tcPr>
          <w:p w:rsidR="00BC5368" w:rsidRPr="008F0E37" w:rsidRDefault="00BC5368" w:rsidP="005A1981">
            <w:pPr>
              <w:rPr>
                <w:rFonts w:eastAsia="Times New Roman" w:cs="Times New Roman"/>
                <w:color w:val="000000"/>
                <w:sz w:val="20"/>
                <w:szCs w:val="20"/>
                <w:lang w:eastAsia="hr-HR"/>
              </w:rPr>
            </w:pPr>
          </w:p>
        </w:tc>
        <w:tc>
          <w:tcPr>
            <w:tcW w:w="1414" w:type="dxa"/>
            <w:tcBorders>
              <w:top w:val="nil"/>
              <w:left w:val="nil"/>
              <w:bottom w:val="nil"/>
              <w:right w:val="nil"/>
            </w:tcBorders>
            <w:shd w:val="clear" w:color="auto" w:fill="auto"/>
            <w:noWrap/>
            <w:vAlign w:val="bottom"/>
            <w:hideMark/>
          </w:tcPr>
          <w:p w:rsidR="00BC5368" w:rsidRPr="008F0E37" w:rsidRDefault="00BC5368" w:rsidP="005A1981">
            <w:pPr>
              <w:rPr>
                <w:rFonts w:eastAsia="Times New Roman" w:cs="Times New Roman"/>
                <w:color w:val="000000"/>
                <w:sz w:val="20"/>
                <w:szCs w:val="20"/>
                <w:lang w:eastAsia="hr-HR"/>
              </w:rPr>
            </w:pPr>
          </w:p>
        </w:tc>
      </w:tr>
      <w:tr w:rsidR="00BC5368" w:rsidRPr="008F0E37" w:rsidTr="005A1981">
        <w:trPr>
          <w:gridAfter w:val="1"/>
          <w:wAfter w:w="60" w:type="dxa"/>
          <w:trHeight w:val="288"/>
        </w:trPr>
        <w:tc>
          <w:tcPr>
            <w:tcW w:w="1195" w:type="dxa"/>
            <w:tcBorders>
              <w:top w:val="single" w:sz="8" w:space="0" w:color="auto"/>
              <w:left w:val="nil"/>
              <w:bottom w:val="single" w:sz="4" w:space="0" w:color="auto"/>
              <w:right w:val="nil"/>
            </w:tcBorders>
            <w:shd w:val="clear" w:color="auto" w:fill="auto"/>
            <w:noWrap/>
            <w:vAlign w:val="bottom"/>
            <w:hideMark/>
          </w:tcPr>
          <w:p w:rsidR="00BC5368" w:rsidRPr="008F0E37" w:rsidRDefault="00BC5368" w:rsidP="005A1981">
            <w:pPr>
              <w:jc w:val="center"/>
              <w:rPr>
                <w:rFonts w:eastAsia="Times New Roman" w:cs="Times New Roman"/>
                <w:i/>
                <w:iCs/>
                <w:color w:val="000000"/>
                <w:sz w:val="20"/>
                <w:szCs w:val="20"/>
                <w:lang w:eastAsia="hr-HR"/>
              </w:rPr>
            </w:pPr>
            <w:r w:rsidRPr="008F0E37">
              <w:rPr>
                <w:rFonts w:eastAsia="Times New Roman" w:cs="Times New Roman"/>
                <w:i/>
                <w:iCs/>
                <w:color w:val="000000"/>
                <w:sz w:val="20"/>
                <w:szCs w:val="20"/>
                <w:lang w:eastAsia="hr-HR"/>
              </w:rPr>
              <w:t> </w:t>
            </w:r>
          </w:p>
        </w:tc>
        <w:tc>
          <w:tcPr>
            <w:tcW w:w="1244" w:type="dxa"/>
            <w:gridSpan w:val="2"/>
            <w:tcBorders>
              <w:top w:val="single" w:sz="8" w:space="0" w:color="auto"/>
              <w:left w:val="nil"/>
              <w:bottom w:val="single" w:sz="4" w:space="0" w:color="auto"/>
              <w:right w:val="nil"/>
            </w:tcBorders>
            <w:shd w:val="clear" w:color="auto" w:fill="auto"/>
            <w:noWrap/>
            <w:vAlign w:val="bottom"/>
            <w:hideMark/>
          </w:tcPr>
          <w:p w:rsidR="00BC5368" w:rsidRPr="008F0E37" w:rsidRDefault="00BC5368" w:rsidP="005A1981">
            <w:pPr>
              <w:jc w:val="center"/>
              <w:rPr>
                <w:rFonts w:eastAsia="Times New Roman" w:cs="Times New Roman"/>
                <w:i/>
                <w:iCs/>
                <w:color w:val="000000"/>
                <w:sz w:val="20"/>
                <w:szCs w:val="20"/>
                <w:lang w:eastAsia="hr-HR"/>
              </w:rPr>
            </w:pPr>
            <w:proofErr w:type="spellStart"/>
            <w:r w:rsidRPr="008F0E37">
              <w:rPr>
                <w:rFonts w:eastAsia="Times New Roman" w:cs="Times New Roman"/>
                <w:i/>
                <w:iCs/>
                <w:color w:val="000000"/>
                <w:sz w:val="20"/>
                <w:szCs w:val="20"/>
                <w:lang w:eastAsia="hr-HR"/>
              </w:rPr>
              <w:t>df</w:t>
            </w:r>
            <w:proofErr w:type="spellEnd"/>
          </w:p>
        </w:tc>
        <w:tc>
          <w:tcPr>
            <w:tcW w:w="1301" w:type="dxa"/>
            <w:gridSpan w:val="2"/>
            <w:tcBorders>
              <w:top w:val="single" w:sz="8" w:space="0" w:color="auto"/>
              <w:left w:val="nil"/>
              <w:bottom w:val="single" w:sz="4" w:space="0" w:color="auto"/>
              <w:right w:val="nil"/>
            </w:tcBorders>
            <w:shd w:val="clear" w:color="auto" w:fill="auto"/>
            <w:noWrap/>
            <w:vAlign w:val="bottom"/>
            <w:hideMark/>
          </w:tcPr>
          <w:p w:rsidR="00BC5368" w:rsidRPr="008F0E37" w:rsidRDefault="00BC5368" w:rsidP="005A1981">
            <w:pPr>
              <w:jc w:val="center"/>
              <w:rPr>
                <w:rFonts w:eastAsia="Times New Roman" w:cs="Times New Roman"/>
                <w:i/>
                <w:iCs/>
                <w:color w:val="000000"/>
                <w:sz w:val="20"/>
                <w:szCs w:val="20"/>
                <w:lang w:eastAsia="hr-HR"/>
              </w:rPr>
            </w:pPr>
            <w:r w:rsidRPr="008F0E37">
              <w:rPr>
                <w:rFonts w:eastAsia="Times New Roman" w:cs="Times New Roman"/>
                <w:i/>
                <w:iCs/>
                <w:color w:val="000000"/>
                <w:sz w:val="20"/>
                <w:szCs w:val="20"/>
                <w:lang w:eastAsia="hr-HR"/>
              </w:rPr>
              <w:t>SS</w:t>
            </w:r>
          </w:p>
        </w:tc>
        <w:tc>
          <w:tcPr>
            <w:tcW w:w="1301" w:type="dxa"/>
            <w:tcBorders>
              <w:top w:val="single" w:sz="8" w:space="0" w:color="auto"/>
              <w:left w:val="nil"/>
              <w:bottom w:val="single" w:sz="4" w:space="0" w:color="auto"/>
              <w:right w:val="nil"/>
            </w:tcBorders>
            <w:shd w:val="clear" w:color="auto" w:fill="auto"/>
            <w:noWrap/>
            <w:vAlign w:val="bottom"/>
            <w:hideMark/>
          </w:tcPr>
          <w:p w:rsidR="00BC5368" w:rsidRPr="008F0E37" w:rsidRDefault="00BC5368" w:rsidP="005A1981">
            <w:pPr>
              <w:jc w:val="center"/>
              <w:rPr>
                <w:rFonts w:eastAsia="Times New Roman" w:cs="Times New Roman"/>
                <w:i/>
                <w:iCs/>
                <w:color w:val="000000"/>
                <w:sz w:val="20"/>
                <w:szCs w:val="20"/>
                <w:lang w:eastAsia="hr-HR"/>
              </w:rPr>
            </w:pPr>
            <w:r w:rsidRPr="008F0E37">
              <w:rPr>
                <w:rFonts w:eastAsia="Times New Roman" w:cs="Times New Roman"/>
                <w:i/>
                <w:iCs/>
                <w:color w:val="000000"/>
                <w:sz w:val="20"/>
                <w:szCs w:val="20"/>
                <w:lang w:eastAsia="hr-HR"/>
              </w:rPr>
              <w:t>MS</w:t>
            </w:r>
          </w:p>
        </w:tc>
        <w:tc>
          <w:tcPr>
            <w:tcW w:w="1266" w:type="dxa"/>
            <w:tcBorders>
              <w:top w:val="single" w:sz="8" w:space="0" w:color="auto"/>
              <w:left w:val="nil"/>
              <w:bottom w:val="single" w:sz="4" w:space="0" w:color="auto"/>
              <w:right w:val="nil"/>
            </w:tcBorders>
            <w:shd w:val="clear" w:color="auto" w:fill="auto"/>
            <w:noWrap/>
            <w:vAlign w:val="bottom"/>
            <w:hideMark/>
          </w:tcPr>
          <w:p w:rsidR="00BC5368" w:rsidRPr="008F0E37" w:rsidRDefault="00BC5368" w:rsidP="005A1981">
            <w:pPr>
              <w:jc w:val="center"/>
              <w:rPr>
                <w:rFonts w:eastAsia="Times New Roman" w:cs="Times New Roman"/>
                <w:i/>
                <w:iCs/>
                <w:color w:val="000000"/>
                <w:sz w:val="20"/>
                <w:szCs w:val="20"/>
                <w:lang w:eastAsia="hr-HR"/>
              </w:rPr>
            </w:pPr>
            <w:r w:rsidRPr="008F0E37">
              <w:rPr>
                <w:rFonts w:eastAsia="Times New Roman" w:cs="Times New Roman"/>
                <w:i/>
                <w:iCs/>
                <w:color w:val="000000"/>
                <w:sz w:val="20"/>
                <w:szCs w:val="20"/>
                <w:lang w:eastAsia="hr-HR"/>
              </w:rPr>
              <w:t>F</w:t>
            </w:r>
          </w:p>
        </w:tc>
        <w:tc>
          <w:tcPr>
            <w:tcW w:w="1414" w:type="dxa"/>
            <w:gridSpan w:val="2"/>
            <w:tcBorders>
              <w:top w:val="single" w:sz="8" w:space="0" w:color="auto"/>
              <w:left w:val="nil"/>
              <w:bottom w:val="single" w:sz="4" w:space="0" w:color="auto"/>
              <w:right w:val="nil"/>
            </w:tcBorders>
            <w:shd w:val="clear" w:color="auto" w:fill="auto"/>
            <w:noWrap/>
            <w:vAlign w:val="bottom"/>
            <w:hideMark/>
          </w:tcPr>
          <w:p w:rsidR="00BC5368" w:rsidRPr="008F0E37" w:rsidRDefault="00BC5368" w:rsidP="005A1981">
            <w:pPr>
              <w:jc w:val="center"/>
              <w:rPr>
                <w:rFonts w:eastAsia="Times New Roman" w:cs="Times New Roman"/>
                <w:i/>
                <w:iCs/>
                <w:color w:val="000000"/>
                <w:sz w:val="20"/>
                <w:szCs w:val="20"/>
                <w:lang w:eastAsia="hr-HR"/>
              </w:rPr>
            </w:pPr>
            <w:proofErr w:type="spellStart"/>
            <w:r w:rsidRPr="008F0E37">
              <w:rPr>
                <w:rFonts w:eastAsia="Times New Roman" w:cs="Times New Roman"/>
                <w:i/>
                <w:iCs/>
                <w:color w:val="000000"/>
                <w:sz w:val="20"/>
                <w:szCs w:val="20"/>
                <w:lang w:eastAsia="hr-HR"/>
              </w:rPr>
              <w:t>Significance</w:t>
            </w:r>
            <w:proofErr w:type="spellEnd"/>
            <w:r w:rsidRPr="008F0E37">
              <w:rPr>
                <w:rFonts w:eastAsia="Times New Roman" w:cs="Times New Roman"/>
                <w:i/>
                <w:iCs/>
                <w:color w:val="000000"/>
                <w:sz w:val="20"/>
                <w:szCs w:val="20"/>
                <w:lang w:eastAsia="hr-HR"/>
              </w:rPr>
              <w:t xml:space="preserve"> F</w:t>
            </w:r>
          </w:p>
        </w:tc>
        <w:tc>
          <w:tcPr>
            <w:tcW w:w="1414" w:type="dxa"/>
            <w:tcBorders>
              <w:top w:val="nil"/>
              <w:left w:val="nil"/>
              <w:bottom w:val="nil"/>
              <w:right w:val="nil"/>
            </w:tcBorders>
            <w:shd w:val="clear" w:color="auto" w:fill="auto"/>
            <w:noWrap/>
            <w:vAlign w:val="bottom"/>
            <w:hideMark/>
          </w:tcPr>
          <w:p w:rsidR="00BC5368" w:rsidRPr="008F0E37" w:rsidRDefault="00BC5368" w:rsidP="005A1981">
            <w:pPr>
              <w:rPr>
                <w:rFonts w:eastAsia="Times New Roman" w:cs="Times New Roman"/>
                <w:color w:val="000000"/>
                <w:sz w:val="20"/>
                <w:szCs w:val="20"/>
                <w:lang w:eastAsia="hr-HR"/>
              </w:rPr>
            </w:pPr>
          </w:p>
        </w:tc>
      </w:tr>
      <w:tr w:rsidR="00BC5368" w:rsidRPr="008F0E37" w:rsidTr="005A1981">
        <w:trPr>
          <w:gridAfter w:val="1"/>
          <w:wAfter w:w="60" w:type="dxa"/>
          <w:trHeight w:val="288"/>
        </w:trPr>
        <w:tc>
          <w:tcPr>
            <w:tcW w:w="1195" w:type="dxa"/>
            <w:tcBorders>
              <w:top w:val="nil"/>
              <w:left w:val="nil"/>
              <w:bottom w:val="nil"/>
              <w:right w:val="nil"/>
            </w:tcBorders>
            <w:shd w:val="clear" w:color="auto" w:fill="auto"/>
            <w:noWrap/>
            <w:vAlign w:val="bottom"/>
            <w:hideMark/>
          </w:tcPr>
          <w:p w:rsidR="00BC5368" w:rsidRPr="008F0E37" w:rsidRDefault="00BC5368" w:rsidP="005A1981">
            <w:pPr>
              <w:rPr>
                <w:rFonts w:eastAsia="Times New Roman" w:cs="Times New Roman"/>
                <w:color w:val="000000"/>
                <w:sz w:val="20"/>
                <w:szCs w:val="20"/>
                <w:lang w:eastAsia="hr-HR"/>
              </w:rPr>
            </w:pPr>
            <w:proofErr w:type="spellStart"/>
            <w:r w:rsidRPr="008F0E37">
              <w:rPr>
                <w:rFonts w:eastAsia="Times New Roman" w:cs="Times New Roman"/>
                <w:color w:val="000000"/>
                <w:sz w:val="20"/>
                <w:szCs w:val="20"/>
                <w:lang w:eastAsia="hr-HR"/>
              </w:rPr>
              <w:t>Regression</w:t>
            </w:r>
            <w:proofErr w:type="spellEnd"/>
          </w:p>
        </w:tc>
        <w:tc>
          <w:tcPr>
            <w:tcW w:w="1244" w:type="dxa"/>
            <w:gridSpan w:val="2"/>
            <w:tcBorders>
              <w:top w:val="nil"/>
              <w:left w:val="nil"/>
              <w:bottom w:val="nil"/>
              <w:right w:val="nil"/>
            </w:tcBorders>
            <w:shd w:val="clear" w:color="auto" w:fill="auto"/>
            <w:noWrap/>
            <w:vAlign w:val="bottom"/>
            <w:hideMark/>
          </w:tcPr>
          <w:p w:rsidR="00BC5368" w:rsidRPr="008F0E37" w:rsidRDefault="00BC5368" w:rsidP="005A1981">
            <w:pPr>
              <w:jc w:val="right"/>
              <w:rPr>
                <w:rFonts w:eastAsia="Times New Roman" w:cs="Times New Roman"/>
                <w:color w:val="000000"/>
                <w:sz w:val="20"/>
                <w:szCs w:val="20"/>
                <w:lang w:eastAsia="hr-HR"/>
              </w:rPr>
            </w:pPr>
            <w:r w:rsidRPr="008F0E37">
              <w:rPr>
                <w:rFonts w:eastAsia="Times New Roman" w:cs="Times New Roman"/>
                <w:color w:val="000000"/>
                <w:sz w:val="20"/>
                <w:szCs w:val="20"/>
                <w:lang w:eastAsia="hr-HR"/>
              </w:rPr>
              <w:t>2</w:t>
            </w:r>
          </w:p>
        </w:tc>
        <w:tc>
          <w:tcPr>
            <w:tcW w:w="1301" w:type="dxa"/>
            <w:gridSpan w:val="2"/>
            <w:tcBorders>
              <w:top w:val="nil"/>
              <w:left w:val="nil"/>
              <w:bottom w:val="nil"/>
              <w:right w:val="nil"/>
            </w:tcBorders>
            <w:shd w:val="clear" w:color="auto" w:fill="auto"/>
            <w:noWrap/>
            <w:vAlign w:val="bottom"/>
            <w:hideMark/>
          </w:tcPr>
          <w:p w:rsidR="00BC5368" w:rsidRPr="008F0E37" w:rsidRDefault="00BC5368" w:rsidP="005A1981">
            <w:pPr>
              <w:jc w:val="right"/>
              <w:rPr>
                <w:rFonts w:eastAsia="Times New Roman" w:cs="Times New Roman"/>
                <w:color w:val="000000"/>
                <w:sz w:val="20"/>
                <w:szCs w:val="20"/>
                <w:lang w:eastAsia="hr-HR"/>
              </w:rPr>
            </w:pPr>
            <w:r w:rsidRPr="008F0E37">
              <w:rPr>
                <w:rFonts w:eastAsia="Times New Roman" w:cs="Times New Roman"/>
                <w:color w:val="000000"/>
                <w:sz w:val="20"/>
                <w:szCs w:val="20"/>
                <w:lang w:eastAsia="hr-HR"/>
              </w:rPr>
              <w:t>2,57238E+19</w:t>
            </w:r>
          </w:p>
        </w:tc>
        <w:tc>
          <w:tcPr>
            <w:tcW w:w="1301" w:type="dxa"/>
            <w:tcBorders>
              <w:top w:val="nil"/>
              <w:left w:val="nil"/>
              <w:bottom w:val="nil"/>
              <w:right w:val="nil"/>
            </w:tcBorders>
            <w:shd w:val="clear" w:color="auto" w:fill="auto"/>
            <w:noWrap/>
            <w:vAlign w:val="bottom"/>
            <w:hideMark/>
          </w:tcPr>
          <w:p w:rsidR="00BC5368" w:rsidRPr="008F0E37" w:rsidRDefault="00BC5368" w:rsidP="005A1981">
            <w:pPr>
              <w:jc w:val="right"/>
              <w:rPr>
                <w:rFonts w:eastAsia="Times New Roman" w:cs="Times New Roman"/>
                <w:color w:val="000000"/>
                <w:sz w:val="20"/>
                <w:szCs w:val="20"/>
                <w:lang w:eastAsia="hr-HR"/>
              </w:rPr>
            </w:pPr>
            <w:r w:rsidRPr="008F0E37">
              <w:rPr>
                <w:rFonts w:eastAsia="Times New Roman" w:cs="Times New Roman"/>
                <w:color w:val="000000"/>
                <w:sz w:val="20"/>
                <w:szCs w:val="20"/>
                <w:lang w:eastAsia="hr-HR"/>
              </w:rPr>
              <w:t>1,28619E+19</w:t>
            </w:r>
          </w:p>
        </w:tc>
        <w:tc>
          <w:tcPr>
            <w:tcW w:w="1266" w:type="dxa"/>
            <w:tcBorders>
              <w:top w:val="nil"/>
              <w:left w:val="nil"/>
              <w:bottom w:val="nil"/>
              <w:right w:val="nil"/>
            </w:tcBorders>
            <w:shd w:val="clear" w:color="auto" w:fill="auto"/>
            <w:noWrap/>
            <w:vAlign w:val="bottom"/>
            <w:hideMark/>
          </w:tcPr>
          <w:p w:rsidR="00BC5368" w:rsidRPr="008F0E37" w:rsidRDefault="00BC5368" w:rsidP="005A1981">
            <w:pPr>
              <w:jc w:val="right"/>
              <w:rPr>
                <w:rFonts w:eastAsia="Times New Roman" w:cs="Times New Roman"/>
                <w:color w:val="000000"/>
                <w:sz w:val="20"/>
                <w:szCs w:val="20"/>
                <w:lang w:eastAsia="hr-HR"/>
              </w:rPr>
            </w:pPr>
            <w:r w:rsidRPr="008F0E37">
              <w:rPr>
                <w:rFonts w:eastAsia="Times New Roman" w:cs="Times New Roman"/>
                <w:color w:val="000000"/>
                <w:sz w:val="20"/>
                <w:szCs w:val="20"/>
                <w:lang w:eastAsia="hr-HR"/>
              </w:rPr>
              <w:t>90,75429043</w:t>
            </w:r>
          </w:p>
        </w:tc>
        <w:tc>
          <w:tcPr>
            <w:tcW w:w="1414" w:type="dxa"/>
            <w:gridSpan w:val="2"/>
            <w:tcBorders>
              <w:top w:val="nil"/>
              <w:left w:val="nil"/>
              <w:bottom w:val="nil"/>
              <w:right w:val="nil"/>
            </w:tcBorders>
            <w:shd w:val="clear" w:color="auto" w:fill="auto"/>
            <w:noWrap/>
            <w:vAlign w:val="bottom"/>
            <w:hideMark/>
          </w:tcPr>
          <w:p w:rsidR="00BC5368" w:rsidRPr="008F0E37" w:rsidRDefault="00BC5368" w:rsidP="005A1981">
            <w:pPr>
              <w:jc w:val="right"/>
              <w:rPr>
                <w:rFonts w:eastAsia="Times New Roman" w:cs="Times New Roman"/>
                <w:color w:val="000000"/>
                <w:sz w:val="20"/>
                <w:szCs w:val="20"/>
                <w:lang w:eastAsia="hr-HR"/>
              </w:rPr>
            </w:pPr>
            <w:r w:rsidRPr="008F0E37">
              <w:rPr>
                <w:rFonts w:eastAsia="Times New Roman" w:cs="Times New Roman"/>
                <w:color w:val="000000"/>
                <w:sz w:val="20"/>
                <w:szCs w:val="20"/>
                <w:lang w:eastAsia="hr-HR"/>
              </w:rPr>
              <w:t>0,000117673</w:t>
            </w:r>
          </w:p>
        </w:tc>
        <w:tc>
          <w:tcPr>
            <w:tcW w:w="1414" w:type="dxa"/>
            <w:tcBorders>
              <w:top w:val="nil"/>
              <w:left w:val="nil"/>
              <w:bottom w:val="nil"/>
              <w:right w:val="nil"/>
            </w:tcBorders>
            <w:shd w:val="clear" w:color="auto" w:fill="auto"/>
            <w:noWrap/>
            <w:vAlign w:val="bottom"/>
            <w:hideMark/>
          </w:tcPr>
          <w:p w:rsidR="00BC5368" w:rsidRPr="008F0E37" w:rsidRDefault="00BC5368" w:rsidP="005A1981">
            <w:pPr>
              <w:rPr>
                <w:rFonts w:eastAsia="Times New Roman" w:cs="Times New Roman"/>
                <w:color w:val="000000"/>
                <w:sz w:val="20"/>
                <w:szCs w:val="20"/>
                <w:lang w:eastAsia="hr-HR"/>
              </w:rPr>
            </w:pPr>
          </w:p>
        </w:tc>
      </w:tr>
      <w:tr w:rsidR="00BC5368" w:rsidRPr="008F0E37" w:rsidTr="005A1981">
        <w:trPr>
          <w:gridAfter w:val="1"/>
          <w:wAfter w:w="60" w:type="dxa"/>
          <w:trHeight w:val="288"/>
        </w:trPr>
        <w:tc>
          <w:tcPr>
            <w:tcW w:w="1195" w:type="dxa"/>
            <w:tcBorders>
              <w:top w:val="nil"/>
              <w:left w:val="nil"/>
              <w:right w:val="nil"/>
            </w:tcBorders>
            <w:shd w:val="clear" w:color="auto" w:fill="auto"/>
            <w:noWrap/>
            <w:vAlign w:val="bottom"/>
            <w:hideMark/>
          </w:tcPr>
          <w:p w:rsidR="00BC5368" w:rsidRPr="008F0E37" w:rsidRDefault="00BC5368" w:rsidP="005A1981">
            <w:pPr>
              <w:rPr>
                <w:rFonts w:eastAsia="Times New Roman" w:cs="Times New Roman"/>
                <w:color w:val="000000"/>
                <w:sz w:val="20"/>
                <w:szCs w:val="20"/>
                <w:lang w:eastAsia="hr-HR"/>
              </w:rPr>
            </w:pPr>
            <w:proofErr w:type="spellStart"/>
            <w:r w:rsidRPr="008F0E37">
              <w:rPr>
                <w:rFonts w:eastAsia="Times New Roman" w:cs="Times New Roman"/>
                <w:color w:val="000000"/>
                <w:sz w:val="20"/>
                <w:szCs w:val="20"/>
                <w:lang w:eastAsia="hr-HR"/>
              </w:rPr>
              <w:t>Residual</w:t>
            </w:r>
            <w:proofErr w:type="spellEnd"/>
          </w:p>
        </w:tc>
        <w:tc>
          <w:tcPr>
            <w:tcW w:w="1244" w:type="dxa"/>
            <w:gridSpan w:val="2"/>
            <w:tcBorders>
              <w:top w:val="nil"/>
              <w:left w:val="nil"/>
              <w:right w:val="nil"/>
            </w:tcBorders>
            <w:shd w:val="clear" w:color="auto" w:fill="auto"/>
            <w:noWrap/>
            <w:vAlign w:val="bottom"/>
            <w:hideMark/>
          </w:tcPr>
          <w:p w:rsidR="00BC5368" w:rsidRPr="008F0E37" w:rsidRDefault="00BC5368" w:rsidP="005A1981">
            <w:pPr>
              <w:jc w:val="right"/>
              <w:rPr>
                <w:rFonts w:eastAsia="Times New Roman" w:cs="Times New Roman"/>
                <w:color w:val="000000"/>
                <w:sz w:val="20"/>
                <w:szCs w:val="20"/>
                <w:lang w:eastAsia="hr-HR"/>
              </w:rPr>
            </w:pPr>
            <w:r w:rsidRPr="008F0E37">
              <w:rPr>
                <w:rFonts w:eastAsia="Times New Roman" w:cs="Times New Roman"/>
                <w:color w:val="000000"/>
                <w:sz w:val="20"/>
                <w:szCs w:val="20"/>
                <w:lang w:eastAsia="hr-HR"/>
              </w:rPr>
              <w:t>5</w:t>
            </w:r>
          </w:p>
        </w:tc>
        <w:tc>
          <w:tcPr>
            <w:tcW w:w="1301" w:type="dxa"/>
            <w:gridSpan w:val="2"/>
            <w:tcBorders>
              <w:top w:val="nil"/>
              <w:left w:val="nil"/>
              <w:right w:val="nil"/>
            </w:tcBorders>
            <w:shd w:val="clear" w:color="auto" w:fill="auto"/>
            <w:noWrap/>
            <w:vAlign w:val="bottom"/>
            <w:hideMark/>
          </w:tcPr>
          <w:p w:rsidR="00BC5368" w:rsidRPr="008F0E37" w:rsidRDefault="00BC5368" w:rsidP="005A1981">
            <w:pPr>
              <w:jc w:val="right"/>
              <w:rPr>
                <w:rFonts w:eastAsia="Times New Roman" w:cs="Times New Roman"/>
                <w:color w:val="000000"/>
                <w:sz w:val="20"/>
                <w:szCs w:val="20"/>
                <w:lang w:eastAsia="hr-HR"/>
              </w:rPr>
            </w:pPr>
            <w:r w:rsidRPr="008F0E37">
              <w:rPr>
                <w:rFonts w:eastAsia="Times New Roman" w:cs="Times New Roman"/>
                <w:color w:val="000000"/>
                <w:sz w:val="20"/>
                <w:szCs w:val="20"/>
                <w:lang w:eastAsia="hr-HR"/>
              </w:rPr>
              <w:t>7,08612E+17</w:t>
            </w:r>
          </w:p>
        </w:tc>
        <w:tc>
          <w:tcPr>
            <w:tcW w:w="1301" w:type="dxa"/>
            <w:tcBorders>
              <w:top w:val="nil"/>
              <w:left w:val="nil"/>
              <w:right w:val="nil"/>
            </w:tcBorders>
            <w:shd w:val="clear" w:color="auto" w:fill="auto"/>
            <w:noWrap/>
            <w:vAlign w:val="bottom"/>
            <w:hideMark/>
          </w:tcPr>
          <w:p w:rsidR="00BC5368" w:rsidRPr="008F0E37" w:rsidRDefault="00BC5368" w:rsidP="005A1981">
            <w:pPr>
              <w:jc w:val="right"/>
              <w:rPr>
                <w:rFonts w:eastAsia="Times New Roman" w:cs="Times New Roman"/>
                <w:color w:val="000000"/>
                <w:sz w:val="20"/>
                <w:szCs w:val="20"/>
                <w:lang w:eastAsia="hr-HR"/>
              </w:rPr>
            </w:pPr>
            <w:r w:rsidRPr="008F0E37">
              <w:rPr>
                <w:rFonts w:eastAsia="Times New Roman" w:cs="Times New Roman"/>
                <w:color w:val="000000"/>
                <w:sz w:val="20"/>
                <w:szCs w:val="20"/>
                <w:lang w:eastAsia="hr-HR"/>
              </w:rPr>
              <w:t>1,41722E+17</w:t>
            </w:r>
          </w:p>
        </w:tc>
        <w:tc>
          <w:tcPr>
            <w:tcW w:w="1266" w:type="dxa"/>
            <w:tcBorders>
              <w:top w:val="nil"/>
              <w:left w:val="nil"/>
              <w:right w:val="nil"/>
            </w:tcBorders>
            <w:shd w:val="clear" w:color="auto" w:fill="auto"/>
            <w:noWrap/>
            <w:vAlign w:val="bottom"/>
            <w:hideMark/>
          </w:tcPr>
          <w:p w:rsidR="00BC5368" w:rsidRPr="008F0E37" w:rsidRDefault="00BC5368" w:rsidP="005A1981">
            <w:pPr>
              <w:rPr>
                <w:rFonts w:eastAsia="Times New Roman" w:cs="Times New Roman"/>
                <w:color w:val="000000"/>
                <w:sz w:val="20"/>
                <w:szCs w:val="20"/>
                <w:lang w:eastAsia="hr-HR"/>
              </w:rPr>
            </w:pPr>
          </w:p>
        </w:tc>
        <w:tc>
          <w:tcPr>
            <w:tcW w:w="1414" w:type="dxa"/>
            <w:gridSpan w:val="2"/>
            <w:tcBorders>
              <w:top w:val="nil"/>
              <w:left w:val="nil"/>
              <w:right w:val="nil"/>
            </w:tcBorders>
            <w:shd w:val="clear" w:color="auto" w:fill="auto"/>
            <w:noWrap/>
            <w:vAlign w:val="bottom"/>
            <w:hideMark/>
          </w:tcPr>
          <w:p w:rsidR="00BC5368" w:rsidRPr="008F0E37" w:rsidRDefault="00BC5368" w:rsidP="005A1981">
            <w:pPr>
              <w:rPr>
                <w:rFonts w:eastAsia="Times New Roman" w:cs="Times New Roman"/>
                <w:color w:val="000000"/>
                <w:sz w:val="20"/>
                <w:szCs w:val="20"/>
                <w:lang w:eastAsia="hr-HR"/>
              </w:rPr>
            </w:pPr>
          </w:p>
        </w:tc>
        <w:tc>
          <w:tcPr>
            <w:tcW w:w="1414" w:type="dxa"/>
            <w:tcBorders>
              <w:top w:val="nil"/>
              <w:left w:val="nil"/>
              <w:right w:val="nil"/>
            </w:tcBorders>
            <w:shd w:val="clear" w:color="auto" w:fill="auto"/>
            <w:noWrap/>
            <w:vAlign w:val="bottom"/>
            <w:hideMark/>
          </w:tcPr>
          <w:p w:rsidR="00BC5368" w:rsidRPr="008F0E37" w:rsidRDefault="00BC5368" w:rsidP="005A1981">
            <w:pPr>
              <w:rPr>
                <w:rFonts w:eastAsia="Times New Roman" w:cs="Times New Roman"/>
                <w:color w:val="000000"/>
                <w:sz w:val="20"/>
                <w:szCs w:val="20"/>
                <w:lang w:eastAsia="hr-HR"/>
              </w:rPr>
            </w:pPr>
          </w:p>
        </w:tc>
      </w:tr>
      <w:tr w:rsidR="00BC5368" w:rsidRPr="008F0E37" w:rsidTr="005A1981">
        <w:trPr>
          <w:gridAfter w:val="1"/>
          <w:wAfter w:w="60" w:type="dxa"/>
          <w:trHeight w:val="300"/>
        </w:trPr>
        <w:tc>
          <w:tcPr>
            <w:tcW w:w="1195" w:type="dxa"/>
            <w:tcBorders>
              <w:top w:val="nil"/>
              <w:left w:val="nil"/>
              <w:bottom w:val="single" w:sz="4" w:space="0" w:color="auto"/>
              <w:right w:val="nil"/>
            </w:tcBorders>
            <w:shd w:val="clear" w:color="auto" w:fill="auto"/>
            <w:noWrap/>
            <w:vAlign w:val="bottom"/>
            <w:hideMark/>
          </w:tcPr>
          <w:p w:rsidR="00BC5368" w:rsidRPr="008F0E37" w:rsidRDefault="00BC5368" w:rsidP="005A1981">
            <w:pPr>
              <w:rPr>
                <w:rFonts w:eastAsia="Times New Roman" w:cs="Times New Roman"/>
                <w:color w:val="000000"/>
                <w:sz w:val="20"/>
                <w:szCs w:val="20"/>
                <w:lang w:eastAsia="hr-HR"/>
              </w:rPr>
            </w:pPr>
            <w:r w:rsidRPr="008F0E37">
              <w:rPr>
                <w:rFonts w:eastAsia="Times New Roman" w:cs="Times New Roman"/>
                <w:color w:val="000000"/>
                <w:sz w:val="20"/>
                <w:szCs w:val="20"/>
                <w:lang w:eastAsia="hr-HR"/>
              </w:rPr>
              <w:t>Total</w:t>
            </w:r>
          </w:p>
        </w:tc>
        <w:tc>
          <w:tcPr>
            <w:tcW w:w="1244" w:type="dxa"/>
            <w:gridSpan w:val="2"/>
            <w:tcBorders>
              <w:top w:val="nil"/>
              <w:left w:val="nil"/>
              <w:bottom w:val="single" w:sz="4" w:space="0" w:color="auto"/>
              <w:right w:val="nil"/>
            </w:tcBorders>
            <w:shd w:val="clear" w:color="auto" w:fill="auto"/>
            <w:noWrap/>
            <w:vAlign w:val="bottom"/>
            <w:hideMark/>
          </w:tcPr>
          <w:p w:rsidR="00BC5368" w:rsidRPr="008F0E37" w:rsidRDefault="00BC5368" w:rsidP="005A1981">
            <w:pPr>
              <w:jc w:val="right"/>
              <w:rPr>
                <w:rFonts w:eastAsia="Times New Roman" w:cs="Times New Roman"/>
                <w:color w:val="000000"/>
                <w:sz w:val="20"/>
                <w:szCs w:val="20"/>
                <w:lang w:eastAsia="hr-HR"/>
              </w:rPr>
            </w:pPr>
            <w:r w:rsidRPr="008F0E37">
              <w:rPr>
                <w:rFonts w:eastAsia="Times New Roman" w:cs="Times New Roman"/>
                <w:color w:val="000000"/>
                <w:sz w:val="20"/>
                <w:szCs w:val="20"/>
                <w:lang w:eastAsia="hr-HR"/>
              </w:rPr>
              <w:t>7</w:t>
            </w:r>
          </w:p>
        </w:tc>
        <w:tc>
          <w:tcPr>
            <w:tcW w:w="1301" w:type="dxa"/>
            <w:gridSpan w:val="2"/>
            <w:tcBorders>
              <w:top w:val="nil"/>
              <w:left w:val="nil"/>
              <w:bottom w:val="single" w:sz="4" w:space="0" w:color="auto"/>
              <w:right w:val="nil"/>
            </w:tcBorders>
            <w:shd w:val="clear" w:color="auto" w:fill="auto"/>
            <w:noWrap/>
            <w:vAlign w:val="bottom"/>
            <w:hideMark/>
          </w:tcPr>
          <w:p w:rsidR="00BC5368" w:rsidRPr="008F0E37" w:rsidRDefault="00BC5368" w:rsidP="005A1981">
            <w:pPr>
              <w:jc w:val="right"/>
              <w:rPr>
                <w:rFonts w:eastAsia="Times New Roman" w:cs="Times New Roman"/>
                <w:color w:val="000000"/>
                <w:sz w:val="20"/>
                <w:szCs w:val="20"/>
                <w:lang w:eastAsia="hr-HR"/>
              </w:rPr>
            </w:pPr>
            <w:r w:rsidRPr="008F0E37">
              <w:rPr>
                <w:rFonts w:eastAsia="Times New Roman" w:cs="Times New Roman"/>
                <w:color w:val="000000"/>
                <w:sz w:val="20"/>
                <w:szCs w:val="20"/>
                <w:lang w:eastAsia="hr-HR"/>
              </w:rPr>
              <w:t>2,64324E+19</w:t>
            </w:r>
          </w:p>
        </w:tc>
        <w:tc>
          <w:tcPr>
            <w:tcW w:w="1301" w:type="dxa"/>
            <w:tcBorders>
              <w:top w:val="nil"/>
              <w:left w:val="nil"/>
              <w:bottom w:val="single" w:sz="4" w:space="0" w:color="auto"/>
              <w:right w:val="nil"/>
            </w:tcBorders>
            <w:shd w:val="clear" w:color="auto" w:fill="auto"/>
            <w:noWrap/>
            <w:vAlign w:val="bottom"/>
            <w:hideMark/>
          </w:tcPr>
          <w:p w:rsidR="00BC5368" w:rsidRPr="008F0E37" w:rsidRDefault="00BC5368" w:rsidP="005A1981">
            <w:pPr>
              <w:rPr>
                <w:rFonts w:eastAsia="Times New Roman" w:cs="Times New Roman"/>
                <w:color w:val="000000"/>
                <w:sz w:val="20"/>
                <w:szCs w:val="20"/>
                <w:lang w:eastAsia="hr-HR"/>
              </w:rPr>
            </w:pPr>
            <w:r w:rsidRPr="008F0E37">
              <w:rPr>
                <w:rFonts w:eastAsia="Times New Roman" w:cs="Times New Roman"/>
                <w:color w:val="000000"/>
                <w:sz w:val="20"/>
                <w:szCs w:val="20"/>
                <w:lang w:eastAsia="hr-HR"/>
              </w:rPr>
              <w:t> </w:t>
            </w:r>
          </w:p>
        </w:tc>
        <w:tc>
          <w:tcPr>
            <w:tcW w:w="1266" w:type="dxa"/>
            <w:tcBorders>
              <w:top w:val="nil"/>
              <w:left w:val="nil"/>
              <w:bottom w:val="single" w:sz="4" w:space="0" w:color="auto"/>
              <w:right w:val="nil"/>
            </w:tcBorders>
            <w:shd w:val="clear" w:color="auto" w:fill="auto"/>
            <w:noWrap/>
            <w:vAlign w:val="bottom"/>
            <w:hideMark/>
          </w:tcPr>
          <w:p w:rsidR="00BC5368" w:rsidRPr="008F0E37" w:rsidRDefault="00BC5368" w:rsidP="005A1981">
            <w:pPr>
              <w:rPr>
                <w:rFonts w:eastAsia="Times New Roman" w:cs="Times New Roman"/>
                <w:color w:val="000000"/>
                <w:sz w:val="20"/>
                <w:szCs w:val="20"/>
                <w:lang w:eastAsia="hr-HR"/>
              </w:rPr>
            </w:pPr>
            <w:r w:rsidRPr="008F0E37">
              <w:rPr>
                <w:rFonts w:eastAsia="Times New Roman" w:cs="Times New Roman"/>
                <w:color w:val="000000"/>
                <w:sz w:val="20"/>
                <w:szCs w:val="20"/>
                <w:lang w:eastAsia="hr-HR"/>
              </w:rPr>
              <w:t> </w:t>
            </w:r>
          </w:p>
        </w:tc>
        <w:tc>
          <w:tcPr>
            <w:tcW w:w="1414" w:type="dxa"/>
            <w:gridSpan w:val="2"/>
            <w:tcBorders>
              <w:top w:val="nil"/>
              <w:left w:val="nil"/>
              <w:bottom w:val="single" w:sz="4" w:space="0" w:color="auto"/>
              <w:right w:val="nil"/>
            </w:tcBorders>
            <w:shd w:val="clear" w:color="auto" w:fill="auto"/>
            <w:noWrap/>
            <w:vAlign w:val="bottom"/>
            <w:hideMark/>
          </w:tcPr>
          <w:p w:rsidR="00BC5368" w:rsidRPr="008F0E37" w:rsidRDefault="00BC5368" w:rsidP="005A1981">
            <w:pPr>
              <w:rPr>
                <w:rFonts w:eastAsia="Times New Roman" w:cs="Times New Roman"/>
                <w:color w:val="000000"/>
                <w:sz w:val="20"/>
                <w:szCs w:val="20"/>
                <w:lang w:eastAsia="hr-HR"/>
              </w:rPr>
            </w:pPr>
            <w:r w:rsidRPr="008F0E37">
              <w:rPr>
                <w:rFonts w:eastAsia="Times New Roman" w:cs="Times New Roman"/>
                <w:color w:val="000000"/>
                <w:sz w:val="20"/>
                <w:szCs w:val="20"/>
                <w:lang w:eastAsia="hr-HR"/>
              </w:rPr>
              <w:t> </w:t>
            </w:r>
          </w:p>
        </w:tc>
        <w:tc>
          <w:tcPr>
            <w:tcW w:w="1414" w:type="dxa"/>
            <w:tcBorders>
              <w:top w:val="nil"/>
              <w:left w:val="nil"/>
              <w:bottom w:val="single" w:sz="4" w:space="0" w:color="auto"/>
              <w:right w:val="nil"/>
            </w:tcBorders>
            <w:shd w:val="clear" w:color="auto" w:fill="auto"/>
            <w:noWrap/>
            <w:vAlign w:val="bottom"/>
          </w:tcPr>
          <w:p w:rsidR="00BC5368" w:rsidRPr="008F0E37" w:rsidRDefault="00BC5368" w:rsidP="005A1981">
            <w:pPr>
              <w:jc w:val="both"/>
              <w:rPr>
                <w:rFonts w:eastAsia="Times New Roman" w:cs="Times New Roman"/>
                <w:color w:val="000000"/>
                <w:sz w:val="20"/>
                <w:szCs w:val="20"/>
                <w:lang w:eastAsia="hr-HR"/>
              </w:rPr>
            </w:pPr>
          </w:p>
        </w:tc>
      </w:tr>
      <w:tr w:rsidR="00BC5368" w:rsidRPr="008F0E37" w:rsidTr="005A1981">
        <w:trPr>
          <w:gridAfter w:val="1"/>
          <w:wAfter w:w="60" w:type="dxa"/>
          <w:trHeight w:val="288"/>
        </w:trPr>
        <w:tc>
          <w:tcPr>
            <w:tcW w:w="1195" w:type="dxa"/>
            <w:tcBorders>
              <w:top w:val="single" w:sz="4" w:space="0" w:color="auto"/>
              <w:left w:val="nil"/>
              <w:bottom w:val="single" w:sz="4" w:space="0" w:color="auto"/>
              <w:right w:val="nil"/>
            </w:tcBorders>
            <w:shd w:val="clear" w:color="auto" w:fill="auto"/>
            <w:noWrap/>
            <w:vAlign w:val="bottom"/>
          </w:tcPr>
          <w:p w:rsidR="00BC5368" w:rsidRDefault="00BC5368" w:rsidP="005A1981">
            <w:pPr>
              <w:jc w:val="center"/>
              <w:rPr>
                <w:rFonts w:eastAsia="Times New Roman" w:cs="Times New Roman"/>
                <w:i/>
                <w:iCs/>
                <w:color w:val="000000"/>
                <w:sz w:val="20"/>
                <w:szCs w:val="20"/>
                <w:lang w:eastAsia="hr-HR"/>
              </w:rPr>
            </w:pPr>
          </w:p>
        </w:tc>
        <w:tc>
          <w:tcPr>
            <w:tcW w:w="1244" w:type="dxa"/>
            <w:gridSpan w:val="2"/>
            <w:tcBorders>
              <w:top w:val="single" w:sz="4" w:space="0" w:color="auto"/>
              <w:left w:val="nil"/>
              <w:bottom w:val="single" w:sz="4" w:space="0" w:color="auto"/>
              <w:right w:val="nil"/>
            </w:tcBorders>
            <w:shd w:val="clear" w:color="auto" w:fill="auto"/>
            <w:noWrap/>
            <w:vAlign w:val="bottom"/>
          </w:tcPr>
          <w:p w:rsidR="00BC5368" w:rsidRPr="008F0E37" w:rsidRDefault="00BC5368" w:rsidP="005A1981">
            <w:pPr>
              <w:jc w:val="center"/>
              <w:rPr>
                <w:rFonts w:eastAsia="Times New Roman" w:cs="Times New Roman"/>
                <w:i/>
                <w:iCs/>
                <w:color w:val="000000"/>
                <w:sz w:val="20"/>
                <w:szCs w:val="20"/>
                <w:lang w:eastAsia="hr-HR"/>
              </w:rPr>
            </w:pPr>
            <w:proofErr w:type="spellStart"/>
            <w:r w:rsidRPr="008F0E37">
              <w:rPr>
                <w:rFonts w:eastAsia="Times New Roman" w:cs="Times New Roman"/>
                <w:i/>
                <w:iCs/>
                <w:color w:val="000000"/>
                <w:sz w:val="20"/>
                <w:szCs w:val="20"/>
                <w:lang w:eastAsia="hr-HR"/>
              </w:rPr>
              <w:t>Coefficients</w:t>
            </w:r>
            <w:proofErr w:type="spellEnd"/>
          </w:p>
        </w:tc>
        <w:tc>
          <w:tcPr>
            <w:tcW w:w="1301" w:type="dxa"/>
            <w:gridSpan w:val="2"/>
            <w:tcBorders>
              <w:top w:val="single" w:sz="4" w:space="0" w:color="auto"/>
              <w:left w:val="nil"/>
              <w:bottom w:val="single" w:sz="4" w:space="0" w:color="auto"/>
              <w:right w:val="nil"/>
            </w:tcBorders>
            <w:shd w:val="clear" w:color="auto" w:fill="auto"/>
            <w:noWrap/>
            <w:vAlign w:val="bottom"/>
          </w:tcPr>
          <w:p w:rsidR="00BC5368" w:rsidRPr="008F0E37" w:rsidRDefault="00BC5368" w:rsidP="005A1981">
            <w:pPr>
              <w:jc w:val="center"/>
              <w:rPr>
                <w:rFonts w:eastAsia="Times New Roman" w:cs="Times New Roman"/>
                <w:i/>
                <w:iCs/>
                <w:color w:val="000000"/>
                <w:sz w:val="20"/>
                <w:szCs w:val="20"/>
                <w:lang w:eastAsia="hr-HR"/>
              </w:rPr>
            </w:pPr>
            <w:r w:rsidRPr="008F0E37">
              <w:rPr>
                <w:rFonts w:eastAsia="Times New Roman" w:cs="Times New Roman"/>
                <w:i/>
                <w:iCs/>
                <w:color w:val="000000"/>
                <w:sz w:val="20"/>
                <w:szCs w:val="20"/>
                <w:lang w:eastAsia="hr-HR"/>
              </w:rPr>
              <w:t xml:space="preserve">Standard </w:t>
            </w:r>
            <w:proofErr w:type="spellStart"/>
            <w:r w:rsidRPr="008F0E37">
              <w:rPr>
                <w:rFonts w:eastAsia="Times New Roman" w:cs="Times New Roman"/>
                <w:i/>
                <w:iCs/>
                <w:color w:val="000000"/>
                <w:sz w:val="20"/>
                <w:szCs w:val="20"/>
                <w:lang w:eastAsia="hr-HR"/>
              </w:rPr>
              <w:t>Error</w:t>
            </w:r>
            <w:proofErr w:type="spellEnd"/>
          </w:p>
        </w:tc>
        <w:tc>
          <w:tcPr>
            <w:tcW w:w="1301" w:type="dxa"/>
            <w:tcBorders>
              <w:top w:val="single" w:sz="4" w:space="0" w:color="auto"/>
              <w:left w:val="nil"/>
              <w:bottom w:val="single" w:sz="4" w:space="0" w:color="auto"/>
              <w:right w:val="nil"/>
            </w:tcBorders>
            <w:shd w:val="clear" w:color="auto" w:fill="auto"/>
            <w:noWrap/>
            <w:vAlign w:val="bottom"/>
          </w:tcPr>
          <w:p w:rsidR="00BC5368" w:rsidRPr="008F0E37" w:rsidRDefault="00BC5368" w:rsidP="005A1981">
            <w:pPr>
              <w:jc w:val="center"/>
              <w:rPr>
                <w:rFonts w:eastAsia="Times New Roman" w:cs="Times New Roman"/>
                <w:i/>
                <w:iCs/>
                <w:color w:val="000000"/>
                <w:sz w:val="20"/>
                <w:szCs w:val="20"/>
                <w:lang w:eastAsia="hr-HR"/>
              </w:rPr>
            </w:pPr>
            <w:r w:rsidRPr="008F0E37">
              <w:rPr>
                <w:rFonts w:eastAsia="Times New Roman" w:cs="Times New Roman"/>
                <w:i/>
                <w:iCs/>
                <w:color w:val="000000"/>
                <w:sz w:val="20"/>
                <w:szCs w:val="20"/>
                <w:lang w:eastAsia="hr-HR"/>
              </w:rPr>
              <w:t>t Stat</w:t>
            </w:r>
          </w:p>
        </w:tc>
        <w:tc>
          <w:tcPr>
            <w:tcW w:w="1266" w:type="dxa"/>
            <w:tcBorders>
              <w:top w:val="single" w:sz="4" w:space="0" w:color="auto"/>
              <w:left w:val="nil"/>
              <w:bottom w:val="single" w:sz="4" w:space="0" w:color="auto"/>
              <w:right w:val="nil"/>
            </w:tcBorders>
            <w:shd w:val="clear" w:color="auto" w:fill="auto"/>
            <w:noWrap/>
            <w:vAlign w:val="bottom"/>
          </w:tcPr>
          <w:p w:rsidR="00BC5368" w:rsidRPr="008F0E37" w:rsidRDefault="00BC5368" w:rsidP="005A1981">
            <w:pPr>
              <w:jc w:val="center"/>
              <w:rPr>
                <w:rFonts w:eastAsia="Times New Roman" w:cs="Times New Roman"/>
                <w:i/>
                <w:iCs/>
                <w:color w:val="000000"/>
                <w:sz w:val="20"/>
                <w:szCs w:val="20"/>
                <w:lang w:eastAsia="hr-HR"/>
              </w:rPr>
            </w:pPr>
            <w:r w:rsidRPr="008F0E37">
              <w:rPr>
                <w:rFonts w:eastAsia="Times New Roman" w:cs="Times New Roman"/>
                <w:i/>
                <w:iCs/>
                <w:color w:val="000000"/>
                <w:sz w:val="20"/>
                <w:szCs w:val="20"/>
                <w:lang w:eastAsia="hr-HR"/>
              </w:rPr>
              <w:t>P-</w:t>
            </w:r>
            <w:proofErr w:type="spellStart"/>
            <w:r w:rsidRPr="008F0E37">
              <w:rPr>
                <w:rFonts w:eastAsia="Times New Roman" w:cs="Times New Roman"/>
                <w:i/>
                <w:iCs/>
                <w:color w:val="000000"/>
                <w:sz w:val="20"/>
                <w:szCs w:val="20"/>
                <w:lang w:eastAsia="hr-HR"/>
              </w:rPr>
              <w:t>value</w:t>
            </w:r>
            <w:proofErr w:type="spellEnd"/>
          </w:p>
        </w:tc>
        <w:tc>
          <w:tcPr>
            <w:tcW w:w="1414" w:type="dxa"/>
            <w:gridSpan w:val="2"/>
            <w:tcBorders>
              <w:top w:val="single" w:sz="4" w:space="0" w:color="auto"/>
              <w:left w:val="nil"/>
              <w:bottom w:val="single" w:sz="4" w:space="0" w:color="auto"/>
              <w:right w:val="nil"/>
            </w:tcBorders>
            <w:shd w:val="clear" w:color="auto" w:fill="auto"/>
            <w:noWrap/>
            <w:vAlign w:val="bottom"/>
          </w:tcPr>
          <w:p w:rsidR="00BC5368" w:rsidRPr="008F0E37" w:rsidRDefault="00BC5368" w:rsidP="005A1981">
            <w:pPr>
              <w:jc w:val="center"/>
              <w:rPr>
                <w:rFonts w:eastAsia="Times New Roman" w:cs="Times New Roman"/>
                <w:i/>
                <w:iCs/>
                <w:color w:val="000000"/>
                <w:sz w:val="20"/>
                <w:szCs w:val="20"/>
                <w:lang w:eastAsia="hr-HR"/>
              </w:rPr>
            </w:pPr>
            <w:proofErr w:type="spellStart"/>
            <w:r w:rsidRPr="008F0E37">
              <w:rPr>
                <w:rFonts w:eastAsia="Times New Roman" w:cs="Times New Roman"/>
                <w:i/>
                <w:iCs/>
                <w:color w:val="000000"/>
                <w:sz w:val="20"/>
                <w:szCs w:val="20"/>
                <w:lang w:eastAsia="hr-HR"/>
              </w:rPr>
              <w:t>Lower</w:t>
            </w:r>
            <w:proofErr w:type="spellEnd"/>
            <w:r w:rsidRPr="008F0E37">
              <w:rPr>
                <w:rFonts w:eastAsia="Times New Roman" w:cs="Times New Roman"/>
                <w:i/>
                <w:iCs/>
                <w:color w:val="000000"/>
                <w:sz w:val="20"/>
                <w:szCs w:val="20"/>
                <w:lang w:eastAsia="hr-HR"/>
              </w:rPr>
              <w:t xml:space="preserve"> 95%</w:t>
            </w:r>
          </w:p>
        </w:tc>
        <w:tc>
          <w:tcPr>
            <w:tcW w:w="1414" w:type="dxa"/>
            <w:tcBorders>
              <w:top w:val="single" w:sz="4" w:space="0" w:color="auto"/>
              <w:left w:val="nil"/>
              <w:bottom w:val="single" w:sz="4" w:space="0" w:color="auto"/>
              <w:right w:val="nil"/>
            </w:tcBorders>
            <w:shd w:val="clear" w:color="auto" w:fill="auto"/>
            <w:noWrap/>
            <w:vAlign w:val="bottom"/>
          </w:tcPr>
          <w:p w:rsidR="00BC5368" w:rsidRPr="008F0E37" w:rsidRDefault="00BC5368" w:rsidP="005A1981">
            <w:pPr>
              <w:jc w:val="center"/>
              <w:rPr>
                <w:rFonts w:eastAsia="Times New Roman" w:cs="Times New Roman"/>
                <w:i/>
                <w:iCs/>
                <w:color w:val="000000"/>
                <w:sz w:val="20"/>
                <w:szCs w:val="20"/>
                <w:lang w:eastAsia="hr-HR"/>
              </w:rPr>
            </w:pPr>
            <w:proofErr w:type="spellStart"/>
            <w:r w:rsidRPr="008F0E37">
              <w:rPr>
                <w:rFonts w:eastAsia="Times New Roman" w:cs="Times New Roman"/>
                <w:i/>
                <w:iCs/>
                <w:color w:val="000000"/>
                <w:sz w:val="20"/>
                <w:szCs w:val="20"/>
                <w:lang w:eastAsia="hr-HR"/>
              </w:rPr>
              <w:t>Upper</w:t>
            </w:r>
            <w:proofErr w:type="spellEnd"/>
            <w:r w:rsidRPr="008F0E37">
              <w:rPr>
                <w:rFonts w:eastAsia="Times New Roman" w:cs="Times New Roman"/>
                <w:i/>
                <w:iCs/>
                <w:color w:val="000000"/>
                <w:sz w:val="20"/>
                <w:szCs w:val="20"/>
                <w:lang w:eastAsia="hr-HR"/>
              </w:rPr>
              <w:t xml:space="preserve"> 95%</w:t>
            </w:r>
          </w:p>
        </w:tc>
      </w:tr>
      <w:tr w:rsidR="00BC5368" w:rsidRPr="008F0E37" w:rsidTr="005A1981">
        <w:trPr>
          <w:gridAfter w:val="1"/>
          <w:wAfter w:w="60" w:type="dxa"/>
          <w:trHeight w:val="288"/>
        </w:trPr>
        <w:tc>
          <w:tcPr>
            <w:tcW w:w="1195" w:type="dxa"/>
            <w:tcBorders>
              <w:top w:val="nil"/>
              <w:left w:val="nil"/>
              <w:bottom w:val="nil"/>
              <w:right w:val="nil"/>
            </w:tcBorders>
            <w:shd w:val="clear" w:color="auto" w:fill="auto"/>
            <w:noWrap/>
            <w:vAlign w:val="bottom"/>
            <w:hideMark/>
          </w:tcPr>
          <w:p w:rsidR="00BC5368" w:rsidRPr="008F0E37" w:rsidRDefault="00BC5368" w:rsidP="005A1981">
            <w:pPr>
              <w:rPr>
                <w:rFonts w:eastAsia="Times New Roman" w:cs="Times New Roman"/>
                <w:color w:val="000000"/>
                <w:sz w:val="20"/>
                <w:szCs w:val="20"/>
                <w:lang w:eastAsia="hr-HR"/>
              </w:rPr>
            </w:pPr>
            <w:proofErr w:type="spellStart"/>
            <w:r w:rsidRPr="008F0E37">
              <w:rPr>
                <w:rFonts w:eastAsia="Times New Roman" w:cs="Times New Roman"/>
                <w:color w:val="000000"/>
                <w:sz w:val="20"/>
                <w:szCs w:val="20"/>
                <w:lang w:eastAsia="hr-HR"/>
              </w:rPr>
              <w:t>Intercept</w:t>
            </w:r>
            <w:proofErr w:type="spellEnd"/>
          </w:p>
        </w:tc>
        <w:tc>
          <w:tcPr>
            <w:tcW w:w="1244" w:type="dxa"/>
            <w:gridSpan w:val="2"/>
            <w:tcBorders>
              <w:top w:val="nil"/>
              <w:left w:val="nil"/>
              <w:bottom w:val="nil"/>
              <w:right w:val="nil"/>
            </w:tcBorders>
            <w:shd w:val="clear" w:color="auto" w:fill="auto"/>
            <w:noWrap/>
            <w:vAlign w:val="bottom"/>
            <w:hideMark/>
          </w:tcPr>
          <w:p w:rsidR="00BC5368" w:rsidRPr="008F0E37" w:rsidRDefault="00BC5368" w:rsidP="005A1981">
            <w:pPr>
              <w:jc w:val="right"/>
              <w:rPr>
                <w:rFonts w:eastAsia="Times New Roman" w:cs="Times New Roman"/>
                <w:color w:val="000000"/>
                <w:sz w:val="20"/>
                <w:szCs w:val="20"/>
                <w:lang w:eastAsia="hr-HR"/>
              </w:rPr>
            </w:pPr>
            <w:r>
              <w:rPr>
                <w:rFonts w:eastAsia="Times New Roman" w:cs="Times New Roman"/>
                <w:color w:val="000000"/>
                <w:sz w:val="20"/>
                <w:szCs w:val="20"/>
                <w:lang w:eastAsia="hr-HR"/>
              </w:rPr>
              <w:t>902151171</w:t>
            </w:r>
          </w:p>
        </w:tc>
        <w:tc>
          <w:tcPr>
            <w:tcW w:w="1301" w:type="dxa"/>
            <w:gridSpan w:val="2"/>
            <w:tcBorders>
              <w:top w:val="nil"/>
              <w:left w:val="nil"/>
              <w:bottom w:val="nil"/>
              <w:right w:val="nil"/>
            </w:tcBorders>
            <w:shd w:val="clear" w:color="auto" w:fill="auto"/>
            <w:noWrap/>
            <w:vAlign w:val="bottom"/>
            <w:hideMark/>
          </w:tcPr>
          <w:p w:rsidR="00BC5368" w:rsidRPr="008F0E37" w:rsidRDefault="00BC5368" w:rsidP="005A1981">
            <w:pPr>
              <w:jc w:val="right"/>
              <w:rPr>
                <w:rFonts w:eastAsia="Times New Roman" w:cs="Times New Roman"/>
                <w:color w:val="000000"/>
                <w:sz w:val="20"/>
                <w:szCs w:val="20"/>
                <w:lang w:eastAsia="hr-HR"/>
              </w:rPr>
            </w:pPr>
            <w:r>
              <w:rPr>
                <w:rFonts w:eastAsia="Times New Roman" w:cs="Times New Roman"/>
                <w:color w:val="000000"/>
                <w:sz w:val="20"/>
                <w:szCs w:val="20"/>
                <w:lang w:eastAsia="hr-HR"/>
              </w:rPr>
              <w:t>155180467</w:t>
            </w:r>
          </w:p>
        </w:tc>
        <w:tc>
          <w:tcPr>
            <w:tcW w:w="1301" w:type="dxa"/>
            <w:tcBorders>
              <w:top w:val="nil"/>
              <w:left w:val="nil"/>
              <w:bottom w:val="nil"/>
              <w:right w:val="nil"/>
            </w:tcBorders>
            <w:shd w:val="clear" w:color="auto" w:fill="auto"/>
            <w:noWrap/>
            <w:vAlign w:val="bottom"/>
            <w:hideMark/>
          </w:tcPr>
          <w:p w:rsidR="00BC5368" w:rsidRPr="008F0E37" w:rsidRDefault="00BC5368" w:rsidP="005A1981">
            <w:pPr>
              <w:jc w:val="right"/>
              <w:rPr>
                <w:rFonts w:eastAsia="Times New Roman" w:cs="Times New Roman"/>
                <w:color w:val="000000"/>
                <w:sz w:val="20"/>
                <w:szCs w:val="20"/>
                <w:lang w:eastAsia="hr-HR"/>
              </w:rPr>
            </w:pPr>
            <w:r>
              <w:rPr>
                <w:rFonts w:eastAsia="Times New Roman" w:cs="Times New Roman"/>
                <w:color w:val="000000"/>
                <w:sz w:val="20"/>
                <w:szCs w:val="20"/>
                <w:lang w:eastAsia="hr-HR"/>
              </w:rPr>
              <w:t>5,81356139</w:t>
            </w:r>
          </w:p>
        </w:tc>
        <w:tc>
          <w:tcPr>
            <w:tcW w:w="1266" w:type="dxa"/>
            <w:tcBorders>
              <w:top w:val="nil"/>
              <w:left w:val="nil"/>
              <w:bottom w:val="nil"/>
              <w:right w:val="nil"/>
            </w:tcBorders>
            <w:shd w:val="clear" w:color="auto" w:fill="auto"/>
            <w:noWrap/>
            <w:vAlign w:val="bottom"/>
            <w:hideMark/>
          </w:tcPr>
          <w:p w:rsidR="00BC5368" w:rsidRPr="008F0E37" w:rsidRDefault="00BC5368" w:rsidP="005A1981">
            <w:pPr>
              <w:jc w:val="right"/>
              <w:rPr>
                <w:rFonts w:eastAsia="Times New Roman" w:cs="Times New Roman"/>
                <w:color w:val="000000"/>
                <w:sz w:val="20"/>
                <w:szCs w:val="20"/>
                <w:lang w:eastAsia="hr-HR"/>
              </w:rPr>
            </w:pPr>
            <w:r>
              <w:rPr>
                <w:rFonts w:eastAsia="Times New Roman" w:cs="Times New Roman"/>
                <w:color w:val="000000"/>
                <w:sz w:val="20"/>
                <w:szCs w:val="20"/>
                <w:lang w:eastAsia="hr-HR"/>
              </w:rPr>
              <w:t>0,00212525</w:t>
            </w:r>
          </w:p>
        </w:tc>
        <w:tc>
          <w:tcPr>
            <w:tcW w:w="1414" w:type="dxa"/>
            <w:gridSpan w:val="2"/>
            <w:tcBorders>
              <w:top w:val="nil"/>
              <w:left w:val="nil"/>
              <w:bottom w:val="nil"/>
              <w:right w:val="nil"/>
            </w:tcBorders>
            <w:shd w:val="clear" w:color="auto" w:fill="auto"/>
            <w:noWrap/>
            <w:vAlign w:val="bottom"/>
            <w:hideMark/>
          </w:tcPr>
          <w:p w:rsidR="00BC5368" w:rsidRPr="008F0E37" w:rsidRDefault="00BC5368" w:rsidP="005A1981">
            <w:pPr>
              <w:jc w:val="right"/>
              <w:rPr>
                <w:rFonts w:eastAsia="Times New Roman" w:cs="Times New Roman"/>
                <w:color w:val="000000"/>
                <w:sz w:val="20"/>
                <w:szCs w:val="20"/>
                <w:lang w:eastAsia="hr-HR"/>
              </w:rPr>
            </w:pPr>
            <w:r>
              <w:rPr>
                <w:rFonts w:eastAsia="Times New Roman" w:cs="Times New Roman"/>
                <w:color w:val="000000"/>
                <w:sz w:val="20"/>
                <w:szCs w:val="20"/>
                <w:lang w:eastAsia="hr-HR"/>
              </w:rPr>
              <w:t>503247082</w:t>
            </w:r>
          </w:p>
        </w:tc>
        <w:tc>
          <w:tcPr>
            <w:tcW w:w="1414" w:type="dxa"/>
            <w:tcBorders>
              <w:top w:val="nil"/>
              <w:left w:val="nil"/>
              <w:bottom w:val="nil"/>
              <w:right w:val="nil"/>
            </w:tcBorders>
            <w:shd w:val="clear" w:color="auto" w:fill="auto"/>
            <w:noWrap/>
            <w:vAlign w:val="bottom"/>
            <w:hideMark/>
          </w:tcPr>
          <w:p w:rsidR="00BC5368" w:rsidRPr="008F0E37" w:rsidRDefault="00BC5368" w:rsidP="005A1981">
            <w:pPr>
              <w:jc w:val="right"/>
              <w:rPr>
                <w:rFonts w:eastAsia="Times New Roman" w:cs="Times New Roman"/>
                <w:color w:val="000000"/>
                <w:sz w:val="20"/>
                <w:szCs w:val="20"/>
                <w:lang w:eastAsia="hr-HR"/>
              </w:rPr>
            </w:pPr>
            <w:r>
              <w:rPr>
                <w:rFonts w:eastAsia="Times New Roman" w:cs="Times New Roman"/>
                <w:color w:val="000000"/>
                <w:sz w:val="20"/>
                <w:szCs w:val="20"/>
                <w:lang w:eastAsia="hr-HR"/>
              </w:rPr>
              <w:t>1301055261</w:t>
            </w:r>
          </w:p>
        </w:tc>
      </w:tr>
      <w:tr w:rsidR="00BC5368" w:rsidRPr="008F0E37" w:rsidTr="005A1981">
        <w:trPr>
          <w:gridAfter w:val="1"/>
          <w:wAfter w:w="60" w:type="dxa"/>
          <w:trHeight w:val="288"/>
        </w:trPr>
        <w:tc>
          <w:tcPr>
            <w:tcW w:w="1195" w:type="dxa"/>
            <w:tcBorders>
              <w:top w:val="nil"/>
              <w:left w:val="nil"/>
              <w:bottom w:val="nil"/>
              <w:right w:val="nil"/>
            </w:tcBorders>
            <w:shd w:val="clear" w:color="auto" w:fill="auto"/>
            <w:noWrap/>
            <w:vAlign w:val="bottom"/>
            <w:hideMark/>
          </w:tcPr>
          <w:p w:rsidR="00BC5368" w:rsidRPr="003D0027" w:rsidRDefault="00BC5368" w:rsidP="005A1981">
            <w:pPr>
              <w:rPr>
                <w:rFonts w:eastAsia="Times New Roman" w:cs="Times New Roman"/>
                <w:color w:val="000000"/>
                <w:sz w:val="20"/>
                <w:lang w:eastAsia="hr-HR"/>
              </w:rPr>
            </w:pPr>
            <w:r w:rsidRPr="003D0027">
              <w:rPr>
                <w:rFonts w:eastAsia="Times New Roman" w:cs="Times New Roman"/>
                <w:color w:val="000000"/>
                <w:sz w:val="20"/>
                <w:lang w:eastAsia="hr-HR"/>
              </w:rPr>
              <w:t>LE</w:t>
            </w:r>
          </w:p>
        </w:tc>
        <w:tc>
          <w:tcPr>
            <w:tcW w:w="1244" w:type="dxa"/>
            <w:gridSpan w:val="2"/>
            <w:tcBorders>
              <w:top w:val="nil"/>
              <w:left w:val="nil"/>
              <w:bottom w:val="nil"/>
              <w:right w:val="nil"/>
            </w:tcBorders>
            <w:shd w:val="clear" w:color="auto" w:fill="auto"/>
            <w:noWrap/>
            <w:vAlign w:val="bottom"/>
            <w:hideMark/>
          </w:tcPr>
          <w:p w:rsidR="00BC5368" w:rsidRPr="008F0E37" w:rsidRDefault="00BC5368" w:rsidP="005A1981">
            <w:pPr>
              <w:jc w:val="right"/>
              <w:rPr>
                <w:rFonts w:eastAsia="Times New Roman" w:cs="Times New Roman"/>
                <w:color w:val="000000"/>
                <w:sz w:val="20"/>
                <w:szCs w:val="20"/>
                <w:lang w:eastAsia="hr-HR"/>
              </w:rPr>
            </w:pPr>
            <w:r>
              <w:rPr>
                <w:rFonts w:eastAsia="Times New Roman" w:cs="Times New Roman"/>
                <w:color w:val="000000"/>
                <w:sz w:val="20"/>
                <w:szCs w:val="20"/>
                <w:lang w:eastAsia="hr-HR"/>
              </w:rPr>
              <w:t>-16253,6511</w:t>
            </w:r>
          </w:p>
        </w:tc>
        <w:tc>
          <w:tcPr>
            <w:tcW w:w="1301" w:type="dxa"/>
            <w:gridSpan w:val="2"/>
            <w:tcBorders>
              <w:top w:val="nil"/>
              <w:left w:val="nil"/>
              <w:bottom w:val="nil"/>
              <w:right w:val="nil"/>
            </w:tcBorders>
            <w:shd w:val="clear" w:color="auto" w:fill="auto"/>
            <w:noWrap/>
            <w:vAlign w:val="bottom"/>
            <w:hideMark/>
          </w:tcPr>
          <w:p w:rsidR="00BC5368" w:rsidRPr="008F0E37" w:rsidRDefault="00BC5368" w:rsidP="005A1981">
            <w:pPr>
              <w:jc w:val="right"/>
              <w:rPr>
                <w:rFonts w:eastAsia="Times New Roman" w:cs="Times New Roman"/>
                <w:color w:val="000000"/>
                <w:sz w:val="20"/>
                <w:szCs w:val="20"/>
                <w:lang w:eastAsia="hr-HR"/>
              </w:rPr>
            </w:pPr>
            <w:r>
              <w:rPr>
                <w:rFonts w:eastAsia="Times New Roman" w:cs="Times New Roman"/>
                <w:color w:val="000000"/>
                <w:sz w:val="20"/>
                <w:szCs w:val="20"/>
                <w:lang w:eastAsia="hr-HR"/>
              </w:rPr>
              <w:t>5621,14330</w:t>
            </w:r>
          </w:p>
        </w:tc>
        <w:tc>
          <w:tcPr>
            <w:tcW w:w="1301" w:type="dxa"/>
            <w:tcBorders>
              <w:top w:val="nil"/>
              <w:left w:val="nil"/>
              <w:bottom w:val="nil"/>
              <w:right w:val="nil"/>
            </w:tcBorders>
            <w:shd w:val="clear" w:color="auto" w:fill="auto"/>
            <w:noWrap/>
            <w:vAlign w:val="bottom"/>
            <w:hideMark/>
          </w:tcPr>
          <w:p w:rsidR="00BC5368" w:rsidRPr="008F0E37" w:rsidRDefault="00BC5368" w:rsidP="005A1981">
            <w:pPr>
              <w:jc w:val="right"/>
              <w:rPr>
                <w:rFonts w:eastAsia="Times New Roman" w:cs="Times New Roman"/>
                <w:color w:val="000000"/>
                <w:sz w:val="20"/>
                <w:szCs w:val="20"/>
                <w:lang w:eastAsia="hr-HR"/>
              </w:rPr>
            </w:pPr>
            <w:r>
              <w:rPr>
                <w:rFonts w:eastAsia="Times New Roman" w:cs="Times New Roman"/>
                <w:color w:val="000000"/>
                <w:sz w:val="20"/>
                <w:szCs w:val="20"/>
                <w:lang w:eastAsia="hr-HR"/>
              </w:rPr>
              <w:t>-2,89152051</w:t>
            </w:r>
          </w:p>
        </w:tc>
        <w:tc>
          <w:tcPr>
            <w:tcW w:w="1266" w:type="dxa"/>
            <w:tcBorders>
              <w:top w:val="nil"/>
              <w:left w:val="nil"/>
              <w:bottom w:val="nil"/>
              <w:right w:val="nil"/>
            </w:tcBorders>
            <w:shd w:val="clear" w:color="auto" w:fill="auto"/>
            <w:noWrap/>
            <w:vAlign w:val="bottom"/>
            <w:hideMark/>
          </w:tcPr>
          <w:p w:rsidR="00BC5368" w:rsidRPr="008F0E37" w:rsidRDefault="00BC5368" w:rsidP="005A1981">
            <w:pPr>
              <w:jc w:val="right"/>
              <w:rPr>
                <w:rFonts w:eastAsia="Times New Roman" w:cs="Times New Roman"/>
                <w:color w:val="000000"/>
                <w:sz w:val="20"/>
                <w:szCs w:val="20"/>
                <w:lang w:eastAsia="hr-HR"/>
              </w:rPr>
            </w:pPr>
            <w:r>
              <w:rPr>
                <w:rFonts w:eastAsia="Times New Roman" w:cs="Times New Roman"/>
                <w:color w:val="000000"/>
                <w:sz w:val="20"/>
                <w:szCs w:val="20"/>
                <w:lang w:eastAsia="hr-HR"/>
              </w:rPr>
              <w:t>0,03412624</w:t>
            </w:r>
          </w:p>
        </w:tc>
        <w:tc>
          <w:tcPr>
            <w:tcW w:w="1414" w:type="dxa"/>
            <w:gridSpan w:val="2"/>
            <w:tcBorders>
              <w:top w:val="nil"/>
              <w:left w:val="nil"/>
              <w:bottom w:val="nil"/>
              <w:right w:val="nil"/>
            </w:tcBorders>
            <w:shd w:val="clear" w:color="auto" w:fill="auto"/>
            <w:noWrap/>
            <w:vAlign w:val="bottom"/>
            <w:hideMark/>
          </w:tcPr>
          <w:p w:rsidR="00BC5368" w:rsidRPr="008F0E37" w:rsidRDefault="00BC5368" w:rsidP="005A1981">
            <w:pPr>
              <w:jc w:val="right"/>
              <w:rPr>
                <w:rFonts w:eastAsia="Times New Roman" w:cs="Times New Roman"/>
                <w:color w:val="000000"/>
                <w:sz w:val="20"/>
                <w:szCs w:val="20"/>
                <w:lang w:eastAsia="hr-HR"/>
              </w:rPr>
            </w:pPr>
            <w:r>
              <w:rPr>
                <w:rFonts w:eastAsia="Times New Roman" w:cs="Times New Roman"/>
                <w:color w:val="000000"/>
                <w:sz w:val="20"/>
                <w:szCs w:val="20"/>
                <w:lang w:eastAsia="hr-HR"/>
              </w:rPr>
              <w:t>-30703,2600</w:t>
            </w:r>
          </w:p>
        </w:tc>
        <w:tc>
          <w:tcPr>
            <w:tcW w:w="1414" w:type="dxa"/>
            <w:tcBorders>
              <w:top w:val="nil"/>
              <w:left w:val="nil"/>
              <w:bottom w:val="nil"/>
              <w:right w:val="nil"/>
            </w:tcBorders>
            <w:shd w:val="clear" w:color="auto" w:fill="auto"/>
            <w:noWrap/>
            <w:vAlign w:val="bottom"/>
            <w:hideMark/>
          </w:tcPr>
          <w:p w:rsidR="00BC5368" w:rsidRPr="008F0E37" w:rsidRDefault="00BC5368" w:rsidP="005A1981">
            <w:pPr>
              <w:jc w:val="right"/>
              <w:rPr>
                <w:rFonts w:eastAsia="Times New Roman" w:cs="Times New Roman"/>
                <w:color w:val="000000"/>
                <w:sz w:val="20"/>
                <w:szCs w:val="20"/>
                <w:lang w:eastAsia="hr-HR"/>
              </w:rPr>
            </w:pPr>
            <w:r>
              <w:rPr>
                <w:rFonts w:eastAsia="Times New Roman" w:cs="Times New Roman"/>
                <w:color w:val="000000"/>
                <w:sz w:val="20"/>
                <w:szCs w:val="20"/>
                <w:lang w:eastAsia="hr-HR"/>
              </w:rPr>
              <w:t>-1804,04230</w:t>
            </w:r>
          </w:p>
        </w:tc>
      </w:tr>
      <w:tr w:rsidR="00BC5368" w:rsidRPr="008F0E37" w:rsidTr="005A1981">
        <w:trPr>
          <w:gridAfter w:val="1"/>
          <w:wAfter w:w="60" w:type="dxa"/>
          <w:trHeight w:val="300"/>
        </w:trPr>
        <w:tc>
          <w:tcPr>
            <w:tcW w:w="1195" w:type="dxa"/>
            <w:tcBorders>
              <w:top w:val="nil"/>
              <w:left w:val="nil"/>
              <w:bottom w:val="single" w:sz="8" w:space="0" w:color="auto"/>
              <w:right w:val="nil"/>
            </w:tcBorders>
            <w:shd w:val="clear" w:color="auto" w:fill="auto"/>
            <w:noWrap/>
            <w:vAlign w:val="bottom"/>
            <w:hideMark/>
          </w:tcPr>
          <w:p w:rsidR="00BC5368" w:rsidRPr="003D0027" w:rsidRDefault="00BC5368" w:rsidP="005A1981">
            <w:pPr>
              <w:rPr>
                <w:rFonts w:eastAsia="Times New Roman" w:cs="Times New Roman"/>
                <w:color w:val="000000"/>
                <w:sz w:val="20"/>
                <w:lang w:eastAsia="hr-HR"/>
              </w:rPr>
            </w:pPr>
            <w:r w:rsidRPr="003D0027">
              <w:rPr>
                <w:rFonts w:eastAsia="Times New Roman" w:cs="Times New Roman"/>
                <w:color w:val="000000"/>
                <w:sz w:val="20"/>
                <w:lang w:eastAsia="hr-HR"/>
              </w:rPr>
              <w:t>LH</w:t>
            </w:r>
          </w:p>
        </w:tc>
        <w:tc>
          <w:tcPr>
            <w:tcW w:w="1244" w:type="dxa"/>
            <w:gridSpan w:val="2"/>
            <w:tcBorders>
              <w:top w:val="nil"/>
              <w:left w:val="nil"/>
              <w:bottom w:val="single" w:sz="8" w:space="0" w:color="auto"/>
              <w:right w:val="nil"/>
            </w:tcBorders>
            <w:shd w:val="clear" w:color="auto" w:fill="auto"/>
            <w:noWrap/>
            <w:vAlign w:val="bottom"/>
            <w:hideMark/>
          </w:tcPr>
          <w:p w:rsidR="00BC5368" w:rsidRPr="008F0E37" w:rsidRDefault="00BC5368" w:rsidP="005A1981">
            <w:pPr>
              <w:jc w:val="right"/>
              <w:rPr>
                <w:rFonts w:eastAsia="Times New Roman" w:cs="Times New Roman"/>
                <w:color w:val="000000"/>
                <w:sz w:val="20"/>
                <w:szCs w:val="20"/>
                <w:lang w:eastAsia="hr-HR"/>
              </w:rPr>
            </w:pPr>
            <w:r>
              <w:rPr>
                <w:rFonts w:eastAsia="Times New Roman" w:cs="Times New Roman"/>
                <w:color w:val="000000"/>
                <w:sz w:val="20"/>
                <w:szCs w:val="20"/>
                <w:lang w:eastAsia="hr-HR"/>
              </w:rPr>
              <w:t>24464,3783</w:t>
            </w:r>
          </w:p>
        </w:tc>
        <w:tc>
          <w:tcPr>
            <w:tcW w:w="1301" w:type="dxa"/>
            <w:gridSpan w:val="2"/>
            <w:tcBorders>
              <w:top w:val="nil"/>
              <w:left w:val="nil"/>
              <w:bottom w:val="single" w:sz="8" w:space="0" w:color="auto"/>
              <w:right w:val="nil"/>
            </w:tcBorders>
            <w:shd w:val="clear" w:color="auto" w:fill="auto"/>
            <w:noWrap/>
            <w:vAlign w:val="bottom"/>
            <w:hideMark/>
          </w:tcPr>
          <w:p w:rsidR="00BC5368" w:rsidRPr="008F0E37" w:rsidRDefault="00BC5368" w:rsidP="005A1981">
            <w:pPr>
              <w:jc w:val="right"/>
              <w:rPr>
                <w:rFonts w:eastAsia="Times New Roman" w:cs="Times New Roman"/>
                <w:color w:val="000000"/>
                <w:sz w:val="20"/>
                <w:szCs w:val="20"/>
                <w:lang w:eastAsia="hr-HR"/>
              </w:rPr>
            </w:pPr>
            <w:r>
              <w:rPr>
                <w:rFonts w:eastAsia="Times New Roman" w:cs="Times New Roman"/>
                <w:color w:val="000000"/>
                <w:sz w:val="20"/>
                <w:szCs w:val="20"/>
                <w:lang w:eastAsia="hr-HR"/>
              </w:rPr>
              <w:t>6440,54389</w:t>
            </w:r>
          </w:p>
        </w:tc>
        <w:tc>
          <w:tcPr>
            <w:tcW w:w="1301" w:type="dxa"/>
            <w:tcBorders>
              <w:top w:val="nil"/>
              <w:left w:val="nil"/>
              <w:bottom w:val="single" w:sz="8" w:space="0" w:color="auto"/>
              <w:right w:val="nil"/>
            </w:tcBorders>
            <w:shd w:val="clear" w:color="auto" w:fill="auto"/>
            <w:noWrap/>
            <w:vAlign w:val="bottom"/>
            <w:hideMark/>
          </w:tcPr>
          <w:p w:rsidR="00BC5368" w:rsidRPr="008F0E37" w:rsidRDefault="00BC5368" w:rsidP="005A1981">
            <w:pPr>
              <w:jc w:val="right"/>
              <w:rPr>
                <w:rFonts w:eastAsia="Times New Roman" w:cs="Times New Roman"/>
                <w:color w:val="000000"/>
                <w:sz w:val="20"/>
                <w:szCs w:val="20"/>
                <w:lang w:eastAsia="hr-HR"/>
              </w:rPr>
            </w:pPr>
            <w:r>
              <w:rPr>
                <w:rFonts w:eastAsia="Times New Roman" w:cs="Times New Roman"/>
                <w:color w:val="000000"/>
                <w:sz w:val="20"/>
                <w:szCs w:val="20"/>
                <w:lang w:eastAsia="hr-HR"/>
              </w:rPr>
              <w:t>3,79849571</w:t>
            </w:r>
          </w:p>
        </w:tc>
        <w:tc>
          <w:tcPr>
            <w:tcW w:w="1266" w:type="dxa"/>
            <w:tcBorders>
              <w:top w:val="nil"/>
              <w:left w:val="nil"/>
              <w:bottom w:val="single" w:sz="8" w:space="0" w:color="auto"/>
              <w:right w:val="nil"/>
            </w:tcBorders>
            <w:shd w:val="clear" w:color="auto" w:fill="auto"/>
            <w:noWrap/>
            <w:vAlign w:val="bottom"/>
            <w:hideMark/>
          </w:tcPr>
          <w:p w:rsidR="00BC5368" w:rsidRPr="008F0E37" w:rsidRDefault="00BC5368" w:rsidP="005A1981">
            <w:pPr>
              <w:jc w:val="right"/>
              <w:rPr>
                <w:rFonts w:eastAsia="Times New Roman" w:cs="Times New Roman"/>
                <w:color w:val="000000"/>
                <w:sz w:val="20"/>
                <w:szCs w:val="20"/>
                <w:lang w:eastAsia="hr-HR"/>
              </w:rPr>
            </w:pPr>
            <w:r>
              <w:rPr>
                <w:rFonts w:eastAsia="Times New Roman" w:cs="Times New Roman"/>
                <w:color w:val="000000"/>
                <w:sz w:val="20"/>
                <w:szCs w:val="20"/>
                <w:lang w:eastAsia="hr-HR"/>
              </w:rPr>
              <w:t>0,01264793</w:t>
            </w:r>
          </w:p>
        </w:tc>
        <w:tc>
          <w:tcPr>
            <w:tcW w:w="1414" w:type="dxa"/>
            <w:gridSpan w:val="2"/>
            <w:tcBorders>
              <w:top w:val="nil"/>
              <w:left w:val="nil"/>
              <w:bottom w:val="single" w:sz="8" w:space="0" w:color="auto"/>
              <w:right w:val="nil"/>
            </w:tcBorders>
            <w:shd w:val="clear" w:color="auto" w:fill="auto"/>
            <w:noWrap/>
            <w:vAlign w:val="bottom"/>
            <w:hideMark/>
          </w:tcPr>
          <w:p w:rsidR="00BC5368" w:rsidRPr="008F0E37" w:rsidRDefault="00BC5368" w:rsidP="005A1981">
            <w:pPr>
              <w:jc w:val="right"/>
              <w:rPr>
                <w:rFonts w:eastAsia="Times New Roman" w:cs="Times New Roman"/>
                <w:color w:val="000000"/>
                <w:sz w:val="20"/>
                <w:szCs w:val="20"/>
                <w:lang w:eastAsia="hr-HR"/>
              </w:rPr>
            </w:pPr>
            <w:r>
              <w:rPr>
                <w:rFonts w:eastAsia="Times New Roman" w:cs="Times New Roman"/>
                <w:color w:val="000000"/>
                <w:sz w:val="20"/>
                <w:szCs w:val="20"/>
                <w:lang w:eastAsia="hr-HR"/>
              </w:rPr>
              <w:t>7908,4332</w:t>
            </w:r>
          </w:p>
        </w:tc>
        <w:tc>
          <w:tcPr>
            <w:tcW w:w="1414" w:type="dxa"/>
            <w:tcBorders>
              <w:top w:val="nil"/>
              <w:left w:val="nil"/>
              <w:bottom w:val="single" w:sz="8" w:space="0" w:color="auto"/>
              <w:right w:val="nil"/>
            </w:tcBorders>
            <w:shd w:val="clear" w:color="auto" w:fill="auto"/>
            <w:noWrap/>
            <w:vAlign w:val="bottom"/>
            <w:hideMark/>
          </w:tcPr>
          <w:p w:rsidR="00BC5368" w:rsidRPr="008F0E37" w:rsidRDefault="00BC5368" w:rsidP="005A1981">
            <w:pPr>
              <w:jc w:val="right"/>
              <w:rPr>
                <w:rFonts w:eastAsia="Times New Roman" w:cs="Times New Roman"/>
                <w:color w:val="000000"/>
                <w:sz w:val="20"/>
                <w:szCs w:val="20"/>
                <w:lang w:eastAsia="hr-HR"/>
              </w:rPr>
            </w:pPr>
            <w:r>
              <w:rPr>
                <w:rFonts w:eastAsia="Times New Roman" w:cs="Times New Roman"/>
                <w:color w:val="000000"/>
                <w:sz w:val="20"/>
                <w:szCs w:val="20"/>
                <w:lang w:eastAsia="hr-HR"/>
              </w:rPr>
              <w:t>41020,3235</w:t>
            </w:r>
          </w:p>
        </w:tc>
      </w:tr>
    </w:tbl>
    <w:p w:rsidR="00BC5368" w:rsidRDefault="00BC5368" w:rsidP="00BC5368">
      <w:pPr>
        <w:jc w:val="both"/>
        <w:rPr>
          <w:lang w:val="en-US"/>
        </w:rPr>
      </w:pPr>
      <w:r>
        <w:rPr>
          <w:lang w:val="en-US"/>
        </w:rPr>
        <w:t xml:space="preserve">  </w:t>
      </w:r>
    </w:p>
    <w:p w:rsidR="00BC5368" w:rsidRDefault="00BC5368" w:rsidP="00BC5368">
      <w:pPr>
        <w:ind w:firstLine="567"/>
        <w:jc w:val="both"/>
        <w:rPr>
          <w:lang w:val="en-US"/>
        </w:rPr>
      </w:pPr>
      <w:r w:rsidRPr="00695348">
        <w:rPr>
          <w:rFonts w:eastAsia="Book Antiqua" w:cs="Times New Roman"/>
          <w:lang w:val="en-US"/>
        </w:rPr>
        <w:t xml:space="preserve">The proposed model is as follows </w:t>
      </w:r>
      <w:r w:rsidRPr="003C2DD6">
        <w:rPr>
          <w:rFonts w:eastAsia="Book Antiqua" w:cs="Times New Roman"/>
          <w:szCs w:val="24"/>
          <w:lang w:val="en-US"/>
        </w:rPr>
        <w:t>GDP=</w:t>
      </w:r>
      <w:r w:rsidRPr="003C2DD6">
        <w:rPr>
          <w:rFonts w:eastAsia="Times New Roman" w:cs="Times New Roman"/>
          <w:color w:val="000000"/>
          <w:szCs w:val="24"/>
          <w:lang w:eastAsia="hr-HR"/>
        </w:rPr>
        <w:t>902151171</w:t>
      </w:r>
      <w:r>
        <w:rPr>
          <w:rFonts w:eastAsia="Times New Roman" w:cs="Times New Roman"/>
          <w:color w:val="000000"/>
          <w:szCs w:val="24"/>
          <w:lang w:eastAsia="hr-HR"/>
        </w:rPr>
        <w:t>-</w:t>
      </w:r>
      <w:r w:rsidRPr="003C2DD6">
        <w:rPr>
          <w:rFonts w:eastAsia="Times New Roman" w:cs="Times New Roman"/>
          <w:color w:val="000000"/>
          <w:szCs w:val="20"/>
          <w:lang w:eastAsia="hr-HR"/>
        </w:rPr>
        <w:t>16253</w:t>
      </w:r>
      <w:proofErr w:type="gramStart"/>
      <w:r w:rsidRPr="003C2DD6">
        <w:rPr>
          <w:rFonts w:eastAsia="Times New Roman" w:cs="Times New Roman"/>
          <w:color w:val="000000"/>
          <w:szCs w:val="20"/>
          <w:lang w:eastAsia="hr-HR"/>
        </w:rPr>
        <w:t>,6511</w:t>
      </w:r>
      <w:proofErr w:type="gramEnd"/>
      <w:r w:rsidR="001B1E0E">
        <w:rPr>
          <w:rFonts w:eastAsia="Times New Roman" w:cs="Times New Roman"/>
          <w:color w:val="000000"/>
          <w:szCs w:val="20"/>
          <w:lang w:eastAsia="hr-HR"/>
        </w:rPr>
        <w:t xml:space="preserve"> </w:t>
      </w:r>
      <w:r>
        <w:rPr>
          <w:rFonts w:eastAsia="Book Antiqua" w:cs="Times New Roman"/>
          <w:lang w:val="en-US"/>
        </w:rPr>
        <w:t>(Loans to enterprises)</w:t>
      </w:r>
      <w:r w:rsidR="001B1E0E">
        <w:rPr>
          <w:rFonts w:eastAsia="Book Antiqua" w:cs="Times New Roman"/>
          <w:lang w:val="en-US"/>
        </w:rPr>
        <w:t xml:space="preserve"> </w:t>
      </w:r>
      <w:r w:rsidRPr="00695348">
        <w:rPr>
          <w:rFonts w:eastAsia="Book Antiqua" w:cs="Times New Roman"/>
          <w:lang w:val="en-US"/>
        </w:rPr>
        <w:t>+</w:t>
      </w:r>
      <w:r w:rsidRPr="00695348">
        <w:rPr>
          <w:rFonts w:eastAsia="Times New Roman" w:cs="Times New Roman"/>
          <w:color w:val="000000"/>
          <w:sz w:val="20"/>
          <w:lang w:eastAsia="hr-HR"/>
        </w:rPr>
        <w:t xml:space="preserve"> </w:t>
      </w:r>
      <w:r w:rsidRPr="003C2DD6">
        <w:rPr>
          <w:rFonts w:eastAsia="Times New Roman" w:cs="Times New Roman"/>
          <w:color w:val="000000"/>
          <w:szCs w:val="20"/>
          <w:lang w:eastAsia="hr-HR"/>
        </w:rPr>
        <w:t>24464,3783</w:t>
      </w:r>
      <w:r w:rsidR="001B1E0E">
        <w:rPr>
          <w:rFonts w:eastAsia="Times New Roman" w:cs="Times New Roman"/>
          <w:color w:val="000000"/>
          <w:szCs w:val="20"/>
          <w:lang w:eastAsia="hr-HR"/>
        </w:rPr>
        <w:t xml:space="preserve"> </w:t>
      </w:r>
      <w:r w:rsidRPr="00695348">
        <w:rPr>
          <w:rFonts w:eastAsia="Book Antiqua" w:cs="Times New Roman"/>
          <w:lang w:val="en-US"/>
        </w:rPr>
        <w:t>(</w:t>
      </w:r>
      <w:r>
        <w:rPr>
          <w:rFonts w:eastAsia="Book Antiqua" w:cs="Times New Roman"/>
          <w:lang w:val="en-US"/>
        </w:rPr>
        <w:t>Loans to household</w:t>
      </w:r>
      <w:r w:rsidR="001B1E0E">
        <w:rPr>
          <w:rFonts w:eastAsia="Book Antiqua" w:cs="Times New Roman"/>
          <w:lang w:val="en-US"/>
        </w:rPr>
        <w:t>s</w:t>
      </w:r>
      <w:r w:rsidRPr="00695348">
        <w:rPr>
          <w:rFonts w:eastAsia="Book Antiqua" w:cs="Times New Roman"/>
          <w:lang w:val="en-US"/>
        </w:rPr>
        <w:t>)</w:t>
      </w:r>
      <w:r w:rsidR="001B1E0E">
        <w:rPr>
          <w:rFonts w:eastAsia="Book Antiqua" w:cs="Times New Roman"/>
          <w:lang w:val="en-US"/>
        </w:rPr>
        <w:t xml:space="preserve"> </w:t>
      </w:r>
      <w:r w:rsidRPr="00695348">
        <w:rPr>
          <w:rFonts w:eastAsia="Book Antiqua" w:cs="Times New Roman"/>
          <w:lang w:val="en-US"/>
        </w:rPr>
        <w:t>+</w:t>
      </w:r>
      <w:r w:rsidR="001B1E0E">
        <w:rPr>
          <w:rFonts w:eastAsia="Book Antiqua" w:cs="Times New Roman"/>
          <w:lang w:val="en-US"/>
        </w:rPr>
        <w:t xml:space="preserve"> </w:t>
      </w:r>
      <w:r w:rsidRPr="00D8531D">
        <w:rPr>
          <w:rFonts w:eastAsia="Calibri" w:cs="Times New Roman"/>
          <w:szCs w:val="24"/>
        </w:rPr>
        <w:t>ε</w:t>
      </w:r>
      <w:r w:rsidRPr="00695348">
        <w:rPr>
          <w:rFonts w:eastAsia="Book Antiqua" w:cs="Times New Roman"/>
          <w:lang w:val="en-US"/>
        </w:rPr>
        <w:t>.</w:t>
      </w:r>
      <w:r>
        <w:rPr>
          <w:rFonts w:eastAsia="Book Antiqua" w:cs="Times New Roman"/>
          <w:lang w:val="en-US"/>
        </w:rPr>
        <w:t xml:space="preserve"> </w:t>
      </w:r>
      <w:r w:rsidRPr="00695348">
        <w:rPr>
          <w:lang w:val="en-US"/>
        </w:rPr>
        <w:t xml:space="preserve">The regression analysis in which the level of significance is 0.005 </w:t>
      </w:r>
      <w:r>
        <w:rPr>
          <w:lang w:val="en-US"/>
        </w:rPr>
        <w:t>showed that adjusted R2 is 0.962</w:t>
      </w:r>
      <w:r w:rsidRPr="00695348">
        <w:rPr>
          <w:lang w:val="en-US"/>
        </w:rPr>
        <w:t>, indicating that</w:t>
      </w:r>
      <w:r>
        <w:rPr>
          <w:lang w:val="en-US"/>
        </w:rPr>
        <w:t xml:space="preserve"> the installed model explains 96</w:t>
      </w:r>
      <w:r w:rsidRPr="00695348">
        <w:rPr>
          <w:lang w:val="en-US"/>
        </w:rPr>
        <w:t xml:space="preserve">% of variation expressed in </w:t>
      </w:r>
      <w:r>
        <w:rPr>
          <w:lang w:val="en-US"/>
        </w:rPr>
        <w:t>GDP</w:t>
      </w:r>
      <w:r w:rsidRPr="00695348">
        <w:rPr>
          <w:lang w:val="en-US"/>
        </w:rPr>
        <w:t xml:space="preserve">, and the very significance of the presented model is acceptable considering that </w:t>
      </w:r>
      <w:r w:rsidRPr="00C3594B">
        <w:rPr>
          <w:szCs w:val="24"/>
          <w:lang w:val="en-US"/>
        </w:rPr>
        <w:t xml:space="preserve">is </w:t>
      </w:r>
      <w:r w:rsidRPr="00C3594B">
        <w:rPr>
          <w:rFonts w:eastAsia="Times New Roman" w:cs="Times New Roman"/>
          <w:color w:val="000000"/>
          <w:szCs w:val="24"/>
          <w:lang w:eastAsia="hr-HR"/>
        </w:rPr>
        <w:t>0.000117673</w:t>
      </w:r>
      <w:r w:rsidRPr="00C3594B">
        <w:rPr>
          <w:szCs w:val="24"/>
          <w:lang w:val="en-US"/>
        </w:rPr>
        <w:t>. Both observed</w:t>
      </w:r>
      <w:r w:rsidRPr="00695348">
        <w:rPr>
          <w:lang w:val="en-US"/>
        </w:rPr>
        <w:t xml:space="preserve"> variables are highly significant for the tested </w:t>
      </w:r>
      <w:r>
        <w:rPr>
          <w:lang w:val="en-US"/>
        </w:rPr>
        <w:t xml:space="preserve">model </w:t>
      </w:r>
      <w:r w:rsidRPr="00695348">
        <w:rPr>
          <w:lang w:val="en-US"/>
        </w:rPr>
        <w:t xml:space="preserve">given that the value of both variables t is less than the value of F, and is also higher than </w:t>
      </w:r>
      <w:r>
        <w:rPr>
          <w:lang w:val="en-US"/>
        </w:rPr>
        <w:t>one.</w:t>
      </w:r>
      <w:r w:rsidRPr="00695348">
        <w:rPr>
          <w:lang w:val="en-US"/>
        </w:rPr>
        <w:t xml:space="preserve"> It also confirmed the significance o</w:t>
      </w:r>
      <w:r>
        <w:rPr>
          <w:lang w:val="en-US"/>
        </w:rPr>
        <w:t xml:space="preserve">f the observed variables, the </w:t>
      </w:r>
      <w:r w:rsidRPr="00695348">
        <w:rPr>
          <w:lang w:val="en-US"/>
        </w:rPr>
        <w:t xml:space="preserve">P </w:t>
      </w:r>
      <w:r>
        <w:rPr>
          <w:lang w:val="en-US"/>
        </w:rPr>
        <w:t xml:space="preserve">value </w:t>
      </w:r>
      <w:r w:rsidRPr="00695348">
        <w:rPr>
          <w:lang w:val="en-US"/>
        </w:rPr>
        <w:t>that meets the criteria of &lt;0.05.</w:t>
      </w:r>
    </w:p>
    <w:p w:rsidR="00BC5368" w:rsidRDefault="001B1E0E" w:rsidP="00BC5368">
      <w:pPr>
        <w:ind w:firstLine="567"/>
        <w:jc w:val="both"/>
        <w:rPr>
          <w:lang w:val="en-US"/>
        </w:rPr>
      </w:pPr>
      <w:r>
        <w:rPr>
          <w:lang w:val="en-US"/>
        </w:rPr>
        <w:t>The p</w:t>
      </w:r>
      <w:r w:rsidR="00BC5368">
        <w:rPr>
          <w:lang w:val="en-US"/>
        </w:rPr>
        <w:t xml:space="preserve">resented regression analyses confirm that bank loans have significant impact </w:t>
      </w:r>
      <w:r>
        <w:rPr>
          <w:lang w:val="en-US"/>
        </w:rPr>
        <w:t xml:space="preserve">on </w:t>
      </w:r>
      <w:r w:rsidR="00BC5368">
        <w:rPr>
          <w:lang w:val="en-US"/>
        </w:rPr>
        <w:t xml:space="preserve">the growth or decline of Croatian and Macedonian GDP. These analyses verify </w:t>
      </w:r>
      <w:r>
        <w:rPr>
          <w:lang w:val="en-US"/>
        </w:rPr>
        <w:t xml:space="preserve">the fact that </w:t>
      </w:r>
      <w:r w:rsidR="00BC5368">
        <w:rPr>
          <w:lang w:val="en-US"/>
        </w:rPr>
        <w:t xml:space="preserve">banks have </w:t>
      </w:r>
      <w:r>
        <w:rPr>
          <w:lang w:val="en-US"/>
        </w:rPr>
        <w:t xml:space="preserve">a major impact </w:t>
      </w:r>
      <w:r w:rsidR="00BC5368">
        <w:rPr>
          <w:lang w:val="en-US"/>
        </w:rPr>
        <w:t xml:space="preserve">on </w:t>
      </w:r>
      <w:r>
        <w:rPr>
          <w:lang w:val="en-US"/>
        </w:rPr>
        <w:t xml:space="preserve">the </w:t>
      </w:r>
      <w:r w:rsidR="00BC5368">
        <w:rPr>
          <w:lang w:val="en-US"/>
        </w:rPr>
        <w:t xml:space="preserve">entire economy, especially </w:t>
      </w:r>
      <w:r>
        <w:rPr>
          <w:lang w:val="en-US"/>
        </w:rPr>
        <w:t>on entrepreneurial</w:t>
      </w:r>
      <w:r w:rsidR="00BC5368">
        <w:rPr>
          <w:lang w:val="en-US"/>
        </w:rPr>
        <w:t xml:space="preserve"> development.   </w:t>
      </w:r>
    </w:p>
    <w:p w:rsidR="00BC5368" w:rsidRPr="00695348" w:rsidRDefault="00BC5368" w:rsidP="00BC5368">
      <w:pPr>
        <w:jc w:val="both"/>
        <w:rPr>
          <w:lang w:val="en-US"/>
        </w:rPr>
      </w:pPr>
    </w:p>
    <w:p w:rsidR="00BC5368" w:rsidRDefault="00BC5368" w:rsidP="00BC5368">
      <w:pPr>
        <w:jc w:val="center"/>
        <w:rPr>
          <w:b/>
          <w:szCs w:val="24"/>
          <w:lang w:val="en-US"/>
        </w:rPr>
      </w:pPr>
      <w:r>
        <w:rPr>
          <w:b/>
          <w:szCs w:val="24"/>
          <w:lang w:val="en-US"/>
        </w:rPr>
        <w:t xml:space="preserve">5. Conclusion and Recommendations </w:t>
      </w:r>
    </w:p>
    <w:p w:rsidR="00BC5368" w:rsidRDefault="00BC5368" w:rsidP="00BC5368">
      <w:pPr>
        <w:ind w:firstLine="567"/>
        <w:jc w:val="both"/>
        <w:rPr>
          <w:lang w:val="en-US"/>
        </w:rPr>
      </w:pPr>
    </w:p>
    <w:p w:rsidR="00BC5368" w:rsidRDefault="00BC5368" w:rsidP="00BC5368">
      <w:pPr>
        <w:ind w:firstLine="567"/>
        <w:jc w:val="both"/>
        <w:rPr>
          <w:lang w:val="en-US"/>
        </w:rPr>
      </w:pPr>
      <w:r>
        <w:rPr>
          <w:lang w:val="en-US"/>
        </w:rPr>
        <w:t xml:space="preserve">From </w:t>
      </w:r>
      <w:r w:rsidR="005A1981">
        <w:rPr>
          <w:lang w:val="en-US"/>
        </w:rPr>
        <w:t xml:space="preserve">the </w:t>
      </w:r>
      <w:r>
        <w:rPr>
          <w:lang w:val="en-US"/>
        </w:rPr>
        <w:t xml:space="preserve">presented time series analysis of the privatization and transformation of </w:t>
      </w:r>
      <w:r w:rsidR="005A1981">
        <w:rPr>
          <w:lang w:val="en-US"/>
        </w:rPr>
        <w:t xml:space="preserve">Croatian and Macedonian </w:t>
      </w:r>
      <w:r>
        <w:rPr>
          <w:lang w:val="en-US"/>
        </w:rPr>
        <w:t xml:space="preserve">bank markets and </w:t>
      </w:r>
      <w:r w:rsidR="005A1981">
        <w:rPr>
          <w:lang w:val="en-US"/>
        </w:rPr>
        <w:t xml:space="preserve">the </w:t>
      </w:r>
      <w:r w:rsidR="00EA21E0">
        <w:rPr>
          <w:lang w:val="en-US"/>
        </w:rPr>
        <w:t xml:space="preserve">examined </w:t>
      </w:r>
      <w:r>
        <w:rPr>
          <w:lang w:val="en-US"/>
        </w:rPr>
        <w:t xml:space="preserve">structure of </w:t>
      </w:r>
      <w:r w:rsidR="00EA21E0">
        <w:rPr>
          <w:lang w:val="en-US"/>
        </w:rPr>
        <w:t>the banking sector</w:t>
      </w:r>
      <w:r>
        <w:rPr>
          <w:lang w:val="en-US"/>
        </w:rPr>
        <w:t xml:space="preserve"> structure</w:t>
      </w:r>
      <w:r w:rsidR="00EA21E0">
        <w:rPr>
          <w:lang w:val="en-US"/>
        </w:rPr>
        <w:t>,</w:t>
      </w:r>
      <w:r>
        <w:rPr>
          <w:lang w:val="en-US"/>
        </w:rPr>
        <w:t xml:space="preserve"> i.e.</w:t>
      </w:r>
      <w:r w:rsidR="00EA21E0">
        <w:rPr>
          <w:lang w:val="en-US"/>
        </w:rPr>
        <w:t xml:space="preserve"> the</w:t>
      </w:r>
      <w:r>
        <w:rPr>
          <w:lang w:val="en-US"/>
        </w:rPr>
        <w:t xml:space="preserve"> lending behavior of banks</w:t>
      </w:r>
      <w:r w:rsidR="00EA21E0">
        <w:rPr>
          <w:lang w:val="en-US"/>
        </w:rPr>
        <w:t>,</w:t>
      </w:r>
      <w:r>
        <w:rPr>
          <w:lang w:val="en-US"/>
        </w:rPr>
        <w:t xml:space="preserve"> as well as </w:t>
      </w:r>
      <w:r w:rsidR="00EA21E0">
        <w:rPr>
          <w:lang w:val="en-US"/>
        </w:rPr>
        <w:t xml:space="preserve">the </w:t>
      </w:r>
      <w:r>
        <w:rPr>
          <w:lang w:val="en-US"/>
        </w:rPr>
        <w:t xml:space="preserve">presented regression analyses </w:t>
      </w:r>
      <w:r w:rsidR="00EA21E0">
        <w:rPr>
          <w:lang w:val="en-US"/>
        </w:rPr>
        <w:t xml:space="preserve">which help study the impact they have on the countries’ respective Gross Domestic Products, it </w:t>
      </w:r>
      <w:r>
        <w:rPr>
          <w:lang w:val="en-US"/>
        </w:rPr>
        <w:t xml:space="preserve">can be concluded that banks </w:t>
      </w:r>
      <w:r w:rsidR="00EA21E0">
        <w:rPr>
          <w:lang w:val="en-US"/>
        </w:rPr>
        <w:t xml:space="preserve">are the </w:t>
      </w:r>
      <w:r>
        <w:rPr>
          <w:lang w:val="en-US"/>
        </w:rPr>
        <w:t xml:space="preserve">central finance subjects </w:t>
      </w:r>
      <w:r w:rsidR="00EA21E0">
        <w:rPr>
          <w:lang w:val="en-US"/>
        </w:rPr>
        <w:t xml:space="preserve">with a </w:t>
      </w:r>
      <w:r>
        <w:rPr>
          <w:lang w:val="en-US"/>
        </w:rPr>
        <w:t xml:space="preserve">direct impact </w:t>
      </w:r>
      <w:r w:rsidR="00EA21E0">
        <w:rPr>
          <w:lang w:val="en-US"/>
        </w:rPr>
        <w:t>on the overall economic</w:t>
      </w:r>
      <w:r>
        <w:rPr>
          <w:lang w:val="en-US"/>
        </w:rPr>
        <w:t xml:space="preserve"> activity. Banks in Croatia </w:t>
      </w:r>
      <w:r w:rsidR="00EA21E0">
        <w:rPr>
          <w:lang w:val="en-US"/>
        </w:rPr>
        <w:t xml:space="preserve">were privatized, and now in possession </w:t>
      </w:r>
      <w:r>
        <w:rPr>
          <w:lang w:val="en-US"/>
        </w:rPr>
        <w:t>by Austrian, Italian, France and Hungarian banks</w:t>
      </w:r>
      <w:r w:rsidR="00EA21E0">
        <w:rPr>
          <w:lang w:val="en-US"/>
        </w:rPr>
        <w:t>, while their counterparts</w:t>
      </w:r>
      <w:r>
        <w:rPr>
          <w:lang w:val="en-US"/>
        </w:rPr>
        <w:t xml:space="preserve"> in Macedonia </w:t>
      </w:r>
      <w:r w:rsidR="00EA21E0">
        <w:rPr>
          <w:lang w:val="en-US"/>
        </w:rPr>
        <w:t xml:space="preserve">were privatized by banks from </w:t>
      </w:r>
      <w:r>
        <w:rPr>
          <w:lang w:val="en-US"/>
        </w:rPr>
        <w:t xml:space="preserve">Greece, Slovenia, France, Austria and </w:t>
      </w:r>
      <w:r w:rsidR="00EA21E0">
        <w:rPr>
          <w:lang w:val="en-US"/>
        </w:rPr>
        <w:t>various f</w:t>
      </w:r>
      <w:r>
        <w:rPr>
          <w:lang w:val="en-US"/>
        </w:rPr>
        <w:t xml:space="preserve">oreign portfolio investors. Croatian and Macedonian banks </w:t>
      </w:r>
      <w:r w:rsidR="00FF1FA2">
        <w:rPr>
          <w:lang w:val="en-US"/>
        </w:rPr>
        <w:t xml:space="preserve">were </w:t>
      </w:r>
      <w:r>
        <w:rPr>
          <w:lang w:val="en-US"/>
        </w:rPr>
        <w:t xml:space="preserve">established as </w:t>
      </w:r>
      <w:r w:rsidR="00FF1FA2">
        <w:rPr>
          <w:lang w:val="en-US"/>
        </w:rPr>
        <w:t xml:space="preserve">subsidiary </w:t>
      </w:r>
      <w:r>
        <w:rPr>
          <w:lang w:val="en-US"/>
        </w:rPr>
        <w:t xml:space="preserve">companies </w:t>
      </w:r>
      <w:r w:rsidR="00FF1FA2">
        <w:rPr>
          <w:lang w:val="en-US"/>
        </w:rPr>
        <w:t xml:space="preserve">whose EU-based </w:t>
      </w:r>
      <w:r>
        <w:rPr>
          <w:lang w:val="en-US"/>
        </w:rPr>
        <w:t xml:space="preserve">parents </w:t>
      </w:r>
      <w:r w:rsidR="00FF1FA2">
        <w:rPr>
          <w:lang w:val="en-US"/>
        </w:rPr>
        <w:t xml:space="preserve">were </w:t>
      </w:r>
      <w:r>
        <w:rPr>
          <w:lang w:val="en-US"/>
        </w:rPr>
        <w:t xml:space="preserve">directly or indirectly involved in </w:t>
      </w:r>
      <w:r w:rsidR="00FF1FA2">
        <w:rPr>
          <w:lang w:val="en-US"/>
        </w:rPr>
        <w:t xml:space="preserve">the global </w:t>
      </w:r>
      <w:r>
        <w:rPr>
          <w:lang w:val="en-US"/>
        </w:rPr>
        <w:t xml:space="preserve">“Credit </w:t>
      </w:r>
      <w:proofErr w:type="spellStart"/>
      <w:r>
        <w:rPr>
          <w:lang w:val="en-US"/>
        </w:rPr>
        <w:t>cisis</w:t>
      </w:r>
      <w:proofErr w:type="spellEnd"/>
      <w:r>
        <w:rPr>
          <w:lang w:val="en-US"/>
        </w:rPr>
        <w:t xml:space="preserve">”. </w:t>
      </w:r>
    </w:p>
    <w:p w:rsidR="00BC5368" w:rsidRDefault="00BC5368" w:rsidP="00BC5368">
      <w:pPr>
        <w:ind w:firstLine="567"/>
        <w:jc w:val="both"/>
        <w:rPr>
          <w:lang w:val="en-US"/>
        </w:rPr>
      </w:pPr>
      <w:r>
        <w:rPr>
          <w:lang w:val="en-US"/>
        </w:rPr>
        <w:tab/>
        <w:t xml:space="preserve">Despite </w:t>
      </w:r>
      <w:r w:rsidR="00A303E1">
        <w:rPr>
          <w:lang w:val="en-US"/>
        </w:rPr>
        <w:t xml:space="preserve">the perseverance of the </w:t>
      </w:r>
      <w:r>
        <w:rPr>
          <w:lang w:val="en-US"/>
        </w:rPr>
        <w:t>financial crisis</w:t>
      </w:r>
      <w:r w:rsidR="00A303E1">
        <w:rPr>
          <w:lang w:val="en-US"/>
        </w:rPr>
        <w:t>, one can witness</w:t>
      </w:r>
      <w:r>
        <w:rPr>
          <w:lang w:val="en-US"/>
        </w:rPr>
        <w:t xml:space="preserve"> the continued growth of bank loans to enterprises and especially to households. </w:t>
      </w:r>
      <w:r w:rsidR="00A303E1">
        <w:rPr>
          <w:lang w:val="en-US"/>
        </w:rPr>
        <w:t xml:space="preserve">Perhaps the main </w:t>
      </w:r>
      <w:r>
        <w:rPr>
          <w:lang w:val="en-US"/>
        </w:rPr>
        <w:t xml:space="preserve">reasons </w:t>
      </w:r>
      <w:r w:rsidR="00A303E1">
        <w:rPr>
          <w:lang w:val="en-US"/>
        </w:rPr>
        <w:t>for the persistence of that phen</w:t>
      </w:r>
      <w:r>
        <w:rPr>
          <w:lang w:val="en-US"/>
        </w:rPr>
        <w:t>omen</w:t>
      </w:r>
      <w:r w:rsidR="00A303E1">
        <w:rPr>
          <w:lang w:val="en-US"/>
        </w:rPr>
        <w:t>on</w:t>
      </w:r>
      <w:r>
        <w:rPr>
          <w:lang w:val="en-US"/>
        </w:rPr>
        <w:t xml:space="preserve"> can be found </w:t>
      </w:r>
      <w:r w:rsidR="00A303E1">
        <w:rPr>
          <w:lang w:val="en-US"/>
        </w:rPr>
        <w:t xml:space="preserve">in </w:t>
      </w:r>
      <w:r>
        <w:rPr>
          <w:lang w:val="en-US"/>
        </w:rPr>
        <w:t xml:space="preserve">the noticeably higher interest rates in </w:t>
      </w:r>
      <w:r w:rsidR="00A303E1">
        <w:rPr>
          <w:lang w:val="en-US"/>
        </w:rPr>
        <w:t xml:space="preserve">the emerging </w:t>
      </w:r>
      <w:r>
        <w:rPr>
          <w:lang w:val="en-US"/>
        </w:rPr>
        <w:t xml:space="preserve">markets of </w:t>
      </w:r>
      <w:r w:rsidR="00A303E1">
        <w:rPr>
          <w:lang w:val="en-US"/>
        </w:rPr>
        <w:t xml:space="preserve">the subsidiary bank </w:t>
      </w:r>
      <w:r>
        <w:rPr>
          <w:lang w:val="en-US"/>
        </w:rPr>
        <w:t>companies</w:t>
      </w:r>
      <w:r w:rsidR="00A303E1">
        <w:rPr>
          <w:lang w:val="en-US"/>
        </w:rPr>
        <w:t>, when compared to the more mature and developed markets of their parent banks.</w:t>
      </w:r>
      <w:r>
        <w:rPr>
          <w:lang w:val="en-US"/>
        </w:rPr>
        <w:t xml:space="preserve"> Although </w:t>
      </w:r>
      <w:r w:rsidR="00A303E1">
        <w:rPr>
          <w:lang w:val="en-US"/>
        </w:rPr>
        <w:t xml:space="preserve">the justifications that </w:t>
      </w:r>
      <w:r>
        <w:rPr>
          <w:lang w:val="en-US"/>
        </w:rPr>
        <w:t xml:space="preserve">banks </w:t>
      </w:r>
      <w:r w:rsidR="00A303E1">
        <w:rPr>
          <w:lang w:val="en-US"/>
        </w:rPr>
        <w:t xml:space="preserve">cite for </w:t>
      </w:r>
      <w:r>
        <w:rPr>
          <w:lang w:val="en-US"/>
        </w:rPr>
        <w:t xml:space="preserve">higher interest rates </w:t>
      </w:r>
      <w:r w:rsidR="00A303E1">
        <w:rPr>
          <w:lang w:val="en-US"/>
        </w:rPr>
        <w:t xml:space="preserve">include the existence of </w:t>
      </w:r>
      <w:r>
        <w:rPr>
          <w:lang w:val="en-US"/>
        </w:rPr>
        <w:t xml:space="preserve">higher credit </w:t>
      </w:r>
      <w:r w:rsidR="00A303E1">
        <w:rPr>
          <w:lang w:val="en-US"/>
        </w:rPr>
        <w:t xml:space="preserve">and political </w:t>
      </w:r>
      <w:r>
        <w:rPr>
          <w:lang w:val="en-US"/>
        </w:rPr>
        <w:t>risk, the price of money is significantly burden</w:t>
      </w:r>
      <w:r w:rsidR="00A303E1">
        <w:rPr>
          <w:lang w:val="en-US"/>
        </w:rPr>
        <w:t>ed</w:t>
      </w:r>
      <w:r>
        <w:rPr>
          <w:lang w:val="en-US"/>
        </w:rPr>
        <w:t xml:space="preserve"> under the high profit margin that those banks have.</w:t>
      </w:r>
    </w:p>
    <w:p w:rsidR="00BC5368" w:rsidRDefault="00BC5368" w:rsidP="00BC5368">
      <w:pPr>
        <w:ind w:firstLine="567"/>
        <w:jc w:val="both"/>
        <w:rPr>
          <w:szCs w:val="24"/>
          <w:lang w:val="en-US"/>
        </w:rPr>
      </w:pPr>
      <w:r>
        <w:rPr>
          <w:lang w:val="en-US"/>
        </w:rPr>
        <w:lastRenderedPageBreak/>
        <w:t xml:space="preserve">For further and faster </w:t>
      </w:r>
      <w:r w:rsidRPr="00F200AF">
        <w:rPr>
          <w:lang w:val="en-US"/>
        </w:rPr>
        <w:t>development of the e</w:t>
      </w:r>
      <w:r w:rsidR="002F417F">
        <w:rPr>
          <w:szCs w:val="24"/>
          <w:lang w:val="en-US"/>
        </w:rPr>
        <w:t xml:space="preserve">ntrepreneurial activity </w:t>
      </w:r>
      <w:r>
        <w:rPr>
          <w:szCs w:val="24"/>
          <w:lang w:val="en-US"/>
        </w:rPr>
        <w:t xml:space="preserve">and </w:t>
      </w:r>
      <w:r w:rsidR="002F417F">
        <w:rPr>
          <w:szCs w:val="24"/>
          <w:lang w:val="en-US"/>
        </w:rPr>
        <w:t xml:space="preserve">the </w:t>
      </w:r>
      <w:r>
        <w:rPr>
          <w:szCs w:val="24"/>
          <w:lang w:val="en-US"/>
        </w:rPr>
        <w:t xml:space="preserve">economy as </w:t>
      </w:r>
      <w:r w:rsidR="002F417F">
        <w:rPr>
          <w:szCs w:val="24"/>
          <w:lang w:val="en-US"/>
        </w:rPr>
        <w:t xml:space="preserve">a </w:t>
      </w:r>
      <w:r>
        <w:rPr>
          <w:szCs w:val="24"/>
          <w:lang w:val="en-US"/>
        </w:rPr>
        <w:t xml:space="preserve">whole in </w:t>
      </w:r>
      <w:r w:rsidR="002F417F">
        <w:rPr>
          <w:szCs w:val="24"/>
          <w:lang w:val="en-US"/>
        </w:rPr>
        <w:t xml:space="preserve">both </w:t>
      </w:r>
      <w:r>
        <w:rPr>
          <w:szCs w:val="24"/>
          <w:lang w:val="en-US"/>
        </w:rPr>
        <w:t>Croatia and Macedonia</w:t>
      </w:r>
      <w:r w:rsidR="002F417F">
        <w:rPr>
          <w:szCs w:val="24"/>
          <w:lang w:val="en-US"/>
        </w:rPr>
        <w:t xml:space="preserve">, </w:t>
      </w:r>
      <w:r>
        <w:rPr>
          <w:szCs w:val="24"/>
          <w:lang w:val="en-US"/>
        </w:rPr>
        <w:t xml:space="preserve">it is necessary </w:t>
      </w:r>
      <w:r w:rsidR="002F417F">
        <w:rPr>
          <w:szCs w:val="24"/>
          <w:lang w:val="en-US"/>
        </w:rPr>
        <w:t xml:space="preserve">for </w:t>
      </w:r>
      <w:r>
        <w:rPr>
          <w:szCs w:val="24"/>
          <w:lang w:val="en-US"/>
        </w:rPr>
        <w:t xml:space="preserve">private banks that have </w:t>
      </w:r>
      <w:r w:rsidR="002F417F">
        <w:rPr>
          <w:szCs w:val="24"/>
          <w:lang w:val="en-US"/>
        </w:rPr>
        <w:t xml:space="preserve">the </w:t>
      </w:r>
      <w:r>
        <w:rPr>
          <w:szCs w:val="24"/>
          <w:lang w:val="en-US"/>
        </w:rPr>
        <w:t>main control over the money market and it</w:t>
      </w:r>
      <w:r w:rsidR="002F417F">
        <w:rPr>
          <w:szCs w:val="24"/>
          <w:lang w:val="en-US"/>
        </w:rPr>
        <w:t>s</w:t>
      </w:r>
      <w:r>
        <w:rPr>
          <w:szCs w:val="24"/>
          <w:lang w:val="en-US"/>
        </w:rPr>
        <w:t xml:space="preserve"> supply</w:t>
      </w:r>
      <w:r w:rsidR="002F417F">
        <w:rPr>
          <w:szCs w:val="24"/>
          <w:lang w:val="en-US"/>
        </w:rPr>
        <w:t xml:space="preserve"> </w:t>
      </w:r>
      <w:r>
        <w:rPr>
          <w:szCs w:val="24"/>
          <w:lang w:val="en-US"/>
        </w:rPr>
        <w:t>to lower their profit margins</w:t>
      </w:r>
      <w:r w:rsidR="002F417F">
        <w:rPr>
          <w:szCs w:val="24"/>
          <w:lang w:val="en-US"/>
        </w:rPr>
        <w:t xml:space="preserve">, or for </w:t>
      </w:r>
      <w:r>
        <w:rPr>
          <w:szCs w:val="24"/>
          <w:lang w:val="en-US"/>
        </w:rPr>
        <w:t xml:space="preserve">governments </w:t>
      </w:r>
      <w:r w:rsidR="002F417F">
        <w:rPr>
          <w:szCs w:val="24"/>
          <w:lang w:val="en-US"/>
        </w:rPr>
        <w:t xml:space="preserve">to </w:t>
      </w:r>
      <w:r>
        <w:rPr>
          <w:szCs w:val="24"/>
          <w:lang w:val="en-US"/>
        </w:rPr>
        <w:t xml:space="preserve">guarantee </w:t>
      </w:r>
      <w:r w:rsidR="002F417F">
        <w:rPr>
          <w:szCs w:val="24"/>
          <w:lang w:val="en-US"/>
        </w:rPr>
        <w:t xml:space="preserve">their </w:t>
      </w:r>
      <w:r>
        <w:rPr>
          <w:szCs w:val="24"/>
          <w:lang w:val="en-US"/>
        </w:rPr>
        <w:t xml:space="preserve">help </w:t>
      </w:r>
      <w:r w:rsidR="002F417F">
        <w:rPr>
          <w:szCs w:val="24"/>
          <w:lang w:val="en-US"/>
        </w:rPr>
        <w:t xml:space="preserve">with </w:t>
      </w:r>
      <w:r>
        <w:rPr>
          <w:szCs w:val="24"/>
          <w:lang w:val="en-US"/>
        </w:rPr>
        <w:t xml:space="preserve">new investments </w:t>
      </w:r>
      <w:r w:rsidR="002F417F">
        <w:rPr>
          <w:szCs w:val="24"/>
          <w:lang w:val="en-US"/>
        </w:rPr>
        <w:t xml:space="preserve">and offer </w:t>
      </w:r>
      <w:r>
        <w:rPr>
          <w:szCs w:val="24"/>
          <w:lang w:val="en-US"/>
        </w:rPr>
        <w:t xml:space="preserve">grants and </w:t>
      </w:r>
      <w:r w:rsidRPr="00F200AF">
        <w:rPr>
          <w:szCs w:val="24"/>
          <w:lang w:val="en-US"/>
        </w:rPr>
        <w:t>incentive</w:t>
      </w:r>
      <w:r w:rsidR="002F417F">
        <w:rPr>
          <w:szCs w:val="24"/>
          <w:lang w:val="en-US"/>
        </w:rPr>
        <w:t>s</w:t>
      </w:r>
      <w:r>
        <w:rPr>
          <w:szCs w:val="24"/>
          <w:lang w:val="en-US"/>
        </w:rPr>
        <w:t>.</w:t>
      </w:r>
      <w:r w:rsidRPr="00F200AF">
        <w:rPr>
          <w:szCs w:val="24"/>
          <w:lang w:val="en-US"/>
        </w:rPr>
        <w:t xml:space="preserve"> </w:t>
      </w:r>
    </w:p>
    <w:p w:rsidR="00BC5368" w:rsidRDefault="00BC5368" w:rsidP="00BC5368">
      <w:pPr>
        <w:jc w:val="both"/>
        <w:rPr>
          <w:szCs w:val="24"/>
          <w:lang w:val="en-US"/>
        </w:rPr>
      </w:pPr>
    </w:p>
    <w:p w:rsidR="00BC5368" w:rsidRDefault="00BC5368" w:rsidP="00BC5368">
      <w:pPr>
        <w:jc w:val="both"/>
        <w:rPr>
          <w:b/>
          <w:lang w:val="en-US"/>
        </w:rPr>
      </w:pPr>
      <w:r w:rsidRPr="00F200AF">
        <w:rPr>
          <w:b/>
          <w:szCs w:val="24"/>
          <w:lang w:val="en-US"/>
        </w:rPr>
        <w:t>Reference</w:t>
      </w:r>
      <w:r w:rsidR="003E25E2">
        <w:rPr>
          <w:b/>
          <w:szCs w:val="24"/>
          <w:lang w:val="en-US"/>
        </w:rPr>
        <w:t>s</w:t>
      </w:r>
    </w:p>
    <w:p w:rsidR="00BC5368" w:rsidRDefault="00BC5368" w:rsidP="00BC5368">
      <w:pPr>
        <w:jc w:val="both"/>
        <w:rPr>
          <w:b/>
          <w:lang w:val="en-US"/>
        </w:rPr>
      </w:pPr>
    </w:p>
    <w:sdt>
      <w:sdtPr>
        <w:rPr>
          <w:rFonts w:eastAsiaTheme="minorHAnsi" w:cstheme="minorBidi"/>
          <w:b w:val="0"/>
          <w:bCs w:val="0"/>
          <w:sz w:val="24"/>
          <w:szCs w:val="24"/>
        </w:rPr>
        <w:id w:val="-352959873"/>
        <w:docPartObj>
          <w:docPartGallery w:val="Bibliographies"/>
          <w:docPartUnique/>
        </w:docPartObj>
      </w:sdtPr>
      <w:sdtEndPr>
        <w:rPr>
          <w:b/>
          <w:szCs w:val="22"/>
        </w:rPr>
      </w:sdtEndPr>
      <w:sdtContent>
        <w:p w:rsidR="00BC5368" w:rsidRPr="00F200AF" w:rsidRDefault="00BC5368" w:rsidP="00BC5368">
          <w:pPr>
            <w:pStyle w:val="Heading1"/>
            <w:numPr>
              <w:ilvl w:val="0"/>
              <w:numId w:val="1"/>
            </w:numPr>
            <w:ind w:left="0" w:firstLine="0"/>
            <w:jc w:val="both"/>
            <w:rPr>
              <w:b w:val="0"/>
              <w:noProof/>
              <w:sz w:val="24"/>
              <w:szCs w:val="24"/>
            </w:rPr>
          </w:pPr>
          <w:r w:rsidRPr="00F200AF">
            <w:rPr>
              <w:b w:val="0"/>
              <w:bCs w:val="0"/>
              <w:sz w:val="24"/>
              <w:szCs w:val="24"/>
            </w:rPr>
            <w:fldChar w:fldCharType="begin"/>
          </w:r>
          <w:r w:rsidRPr="00F200AF">
            <w:rPr>
              <w:b w:val="0"/>
              <w:sz w:val="24"/>
              <w:szCs w:val="24"/>
            </w:rPr>
            <w:instrText xml:space="preserve"> BIBLIOGRAPHY </w:instrText>
          </w:r>
          <w:r w:rsidRPr="00F200AF">
            <w:rPr>
              <w:b w:val="0"/>
              <w:bCs w:val="0"/>
              <w:sz w:val="24"/>
              <w:szCs w:val="24"/>
            </w:rPr>
            <w:fldChar w:fldCharType="separate"/>
          </w:r>
          <w:r w:rsidRPr="00F200AF">
            <w:rPr>
              <w:b w:val="0"/>
              <w:noProof/>
              <w:sz w:val="24"/>
              <w:szCs w:val="24"/>
            </w:rPr>
            <w:t xml:space="preserve">(2011). </w:t>
          </w:r>
          <w:r w:rsidRPr="00F200AF">
            <w:rPr>
              <w:b w:val="0"/>
              <w:i/>
              <w:iCs/>
              <w:noProof/>
              <w:sz w:val="24"/>
              <w:szCs w:val="24"/>
            </w:rPr>
            <w:t>Annual Report.</w:t>
          </w:r>
          <w:r w:rsidRPr="00F200AF">
            <w:rPr>
              <w:b w:val="0"/>
              <w:noProof/>
              <w:sz w:val="24"/>
              <w:szCs w:val="24"/>
            </w:rPr>
            <w:t xml:space="preserve"> Zagreb: Croatian National Bank.</w:t>
          </w:r>
        </w:p>
        <w:p w:rsidR="00BC5368" w:rsidRPr="00F200AF" w:rsidRDefault="00BC5368" w:rsidP="00BC5368">
          <w:pPr>
            <w:pStyle w:val="Bibliography"/>
            <w:numPr>
              <w:ilvl w:val="0"/>
              <w:numId w:val="1"/>
            </w:numPr>
            <w:ind w:left="0" w:firstLine="0"/>
            <w:jc w:val="both"/>
            <w:rPr>
              <w:noProof/>
              <w:szCs w:val="24"/>
            </w:rPr>
          </w:pPr>
          <w:r w:rsidRPr="00F200AF">
            <w:rPr>
              <w:noProof/>
              <w:szCs w:val="24"/>
            </w:rPr>
            <w:t xml:space="preserve">(2011). </w:t>
          </w:r>
          <w:r w:rsidRPr="00F200AF">
            <w:rPr>
              <w:i/>
              <w:iCs/>
              <w:noProof/>
              <w:szCs w:val="24"/>
            </w:rPr>
            <w:t>Annual Report .</w:t>
          </w:r>
          <w:r w:rsidRPr="00F200AF">
            <w:rPr>
              <w:noProof/>
              <w:szCs w:val="24"/>
            </w:rPr>
            <w:t xml:space="preserve"> Skopje: National Bank of the Republic of Macedonia.</w:t>
          </w:r>
        </w:p>
        <w:p w:rsidR="00BC5368" w:rsidRPr="00F200AF" w:rsidRDefault="00BC5368" w:rsidP="00BC5368">
          <w:pPr>
            <w:pStyle w:val="Bibliography"/>
            <w:numPr>
              <w:ilvl w:val="0"/>
              <w:numId w:val="1"/>
            </w:numPr>
            <w:ind w:left="0" w:firstLine="0"/>
            <w:jc w:val="both"/>
            <w:rPr>
              <w:noProof/>
              <w:szCs w:val="24"/>
              <w:lang w:val="en-US"/>
            </w:rPr>
          </w:pPr>
          <w:r w:rsidRPr="00F200AF">
            <w:rPr>
              <w:i/>
              <w:iCs/>
              <w:noProof/>
              <w:szCs w:val="24"/>
              <w:lang w:val="en-US"/>
            </w:rPr>
            <w:t>The World Bank</w:t>
          </w:r>
          <w:r w:rsidRPr="00F200AF">
            <w:rPr>
              <w:noProof/>
              <w:szCs w:val="24"/>
              <w:lang w:val="en-US"/>
            </w:rPr>
            <w:t>. (2012, September 2). Retrieved from The World Bank Group: http://www.worldbank.org/</w:t>
          </w:r>
        </w:p>
        <w:p w:rsidR="00BC5368" w:rsidRPr="00F200AF" w:rsidRDefault="00BC5368" w:rsidP="00BC5368">
          <w:pPr>
            <w:pStyle w:val="Bibliography"/>
            <w:numPr>
              <w:ilvl w:val="0"/>
              <w:numId w:val="1"/>
            </w:numPr>
            <w:ind w:left="0" w:firstLine="0"/>
            <w:jc w:val="both"/>
            <w:rPr>
              <w:noProof/>
              <w:szCs w:val="24"/>
              <w:lang w:val="en-US"/>
            </w:rPr>
          </w:pPr>
          <w:r w:rsidRPr="00F200AF">
            <w:rPr>
              <w:noProof/>
              <w:szCs w:val="24"/>
              <w:lang w:val="en-US"/>
            </w:rPr>
            <w:t xml:space="preserve">Aiginger, K. (2010). The Great Recession vs. the Great Depression: Stylized Facts on Siblings That Were Given Different Foster Parents. </w:t>
          </w:r>
          <w:r w:rsidRPr="00F200AF">
            <w:rPr>
              <w:i/>
              <w:iCs/>
              <w:noProof/>
              <w:szCs w:val="24"/>
              <w:lang w:val="en-US"/>
            </w:rPr>
            <w:t>Economics, 4</w:t>
          </w:r>
          <w:r w:rsidRPr="00F200AF">
            <w:rPr>
              <w:noProof/>
              <w:szCs w:val="24"/>
              <w:lang w:val="en-US"/>
            </w:rPr>
            <w:t>(18), 1-41.</w:t>
          </w:r>
        </w:p>
        <w:p w:rsidR="00BC5368" w:rsidRPr="00F200AF" w:rsidRDefault="00BC5368" w:rsidP="00BC5368">
          <w:pPr>
            <w:pStyle w:val="Bibliography"/>
            <w:numPr>
              <w:ilvl w:val="0"/>
              <w:numId w:val="1"/>
            </w:numPr>
            <w:ind w:left="0" w:firstLine="0"/>
            <w:jc w:val="both"/>
            <w:rPr>
              <w:noProof/>
              <w:szCs w:val="24"/>
              <w:lang w:val="en-US"/>
            </w:rPr>
          </w:pPr>
          <w:r w:rsidRPr="00F200AF">
            <w:rPr>
              <w:noProof/>
              <w:szCs w:val="24"/>
              <w:lang w:val="en-US"/>
            </w:rPr>
            <w:t xml:space="preserve">Almunia, M., Bénétrix, A. S., Eicheng, B., O'Rourke, K. H., &amp; Rua, G. (2009, November). From Great Depression to Great Credit Crisis: Similarities, Differences and Lessons. </w:t>
          </w:r>
          <w:r w:rsidRPr="00F200AF">
            <w:rPr>
              <w:i/>
              <w:iCs/>
              <w:noProof/>
              <w:szCs w:val="24"/>
              <w:lang w:val="en-US"/>
            </w:rPr>
            <w:t>NBER Working Paper No. 15524</w:t>
          </w:r>
          <w:r w:rsidRPr="00F200AF">
            <w:rPr>
              <w:noProof/>
              <w:szCs w:val="24"/>
              <w:lang w:val="en-US"/>
            </w:rPr>
            <w:t>, 1-57.</w:t>
          </w:r>
        </w:p>
        <w:p w:rsidR="00BC5368" w:rsidRPr="00F200AF" w:rsidRDefault="00BC5368" w:rsidP="00BC5368">
          <w:pPr>
            <w:pStyle w:val="Bibliography"/>
            <w:numPr>
              <w:ilvl w:val="0"/>
              <w:numId w:val="1"/>
            </w:numPr>
            <w:ind w:left="0" w:firstLine="0"/>
            <w:jc w:val="both"/>
            <w:rPr>
              <w:noProof/>
              <w:szCs w:val="24"/>
              <w:lang w:val="en-US"/>
            </w:rPr>
          </w:pPr>
          <w:r w:rsidRPr="00F200AF">
            <w:rPr>
              <w:noProof/>
              <w:szCs w:val="24"/>
              <w:lang w:val="en-US"/>
            </w:rPr>
            <w:t xml:space="preserve">Berglöf, E., Korniyenko, Y., Plek, A., &amp; Zettelmeyer, J. (2010). Understanding the crisis in emerging Europe. </w:t>
          </w:r>
          <w:r w:rsidRPr="00F200AF">
            <w:rPr>
              <w:i/>
              <w:iCs/>
              <w:noProof/>
              <w:szCs w:val="24"/>
              <w:lang w:val="en-US"/>
            </w:rPr>
            <w:t>Public Policy Review, 6</w:t>
          </w:r>
          <w:r w:rsidRPr="00F200AF">
            <w:rPr>
              <w:noProof/>
              <w:szCs w:val="24"/>
              <w:lang w:val="en-US"/>
            </w:rPr>
            <w:t>(6), 985-1008.</w:t>
          </w:r>
        </w:p>
        <w:p w:rsidR="00BC5368" w:rsidRPr="00F200AF" w:rsidRDefault="00BC5368" w:rsidP="00BC5368">
          <w:pPr>
            <w:pStyle w:val="Bibliography"/>
            <w:numPr>
              <w:ilvl w:val="0"/>
              <w:numId w:val="1"/>
            </w:numPr>
            <w:ind w:left="0" w:firstLine="0"/>
            <w:jc w:val="both"/>
            <w:rPr>
              <w:noProof/>
              <w:szCs w:val="24"/>
            </w:rPr>
          </w:pPr>
          <w:r w:rsidRPr="00F200AF">
            <w:rPr>
              <w:noProof/>
              <w:szCs w:val="24"/>
            </w:rPr>
            <w:t xml:space="preserve">Bexheti, A. (2010). Anti-Crisis Measures in the Republic of Macedonia and their Effects – Are they Sufficient? 2010 March. </w:t>
          </w:r>
          <w:r w:rsidRPr="00F200AF">
            <w:rPr>
              <w:i/>
              <w:iCs/>
              <w:noProof/>
              <w:szCs w:val="24"/>
            </w:rPr>
            <w:t xml:space="preserve">Bamberg Economic Research Group on Government and Growth Working Paper Series No. 70 </w:t>
          </w:r>
          <w:r w:rsidRPr="00F200AF">
            <w:rPr>
              <w:noProof/>
              <w:szCs w:val="24"/>
            </w:rPr>
            <w:t>, 1-30.</w:t>
          </w:r>
        </w:p>
        <w:p w:rsidR="00BC5368" w:rsidRPr="00F200AF" w:rsidRDefault="00BC5368" w:rsidP="00BC5368">
          <w:pPr>
            <w:pStyle w:val="Bibliography"/>
            <w:numPr>
              <w:ilvl w:val="0"/>
              <w:numId w:val="1"/>
            </w:numPr>
            <w:ind w:left="0" w:firstLine="0"/>
            <w:jc w:val="both"/>
            <w:rPr>
              <w:noProof/>
              <w:szCs w:val="24"/>
              <w:lang w:val="en-US"/>
            </w:rPr>
          </w:pPr>
          <w:r w:rsidRPr="00F200AF">
            <w:rPr>
              <w:noProof/>
              <w:szCs w:val="24"/>
              <w:lang w:val="en-US"/>
            </w:rPr>
            <w:t xml:space="preserve">Bogoev, J. (2010). Banks’ Risk Preferences and Their Impact on the Loan Supply Function: Empirical Investigation for the Case of the Republic of Macedonia. </w:t>
          </w:r>
          <w:r w:rsidRPr="00F200AF">
            <w:rPr>
              <w:i/>
              <w:iCs/>
              <w:noProof/>
              <w:szCs w:val="24"/>
              <w:lang w:val="en-US"/>
            </w:rPr>
            <w:t>Privredna kretanja i ekonomska politika, 20</w:t>
          </w:r>
          <w:r w:rsidRPr="00F200AF">
            <w:rPr>
              <w:noProof/>
              <w:szCs w:val="24"/>
              <w:lang w:val="en-US"/>
            </w:rPr>
            <w:t>(124), 63-109.</w:t>
          </w:r>
        </w:p>
        <w:p w:rsidR="00BC5368" w:rsidRPr="00F200AF" w:rsidRDefault="00BC5368" w:rsidP="00BC5368">
          <w:pPr>
            <w:pStyle w:val="Bibliography"/>
            <w:numPr>
              <w:ilvl w:val="0"/>
              <w:numId w:val="1"/>
            </w:numPr>
            <w:ind w:left="0" w:firstLine="0"/>
            <w:jc w:val="both"/>
            <w:rPr>
              <w:noProof/>
              <w:szCs w:val="24"/>
              <w:lang w:val="en-US"/>
            </w:rPr>
          </w:pPr>
          <w:r w:rsidRPr="00F200AF">
            <w:rPr>
              <w:noProof/>
              <w:szCs w:val="24"/>
              <w:lang w:val="en-US"/>
            </w:rPr>
            <w:t xml:space="preserve">Bucevska, V. (2011). The Role of Remittances in Financial Crisis: Empirical Evidence From Macedonia. </w:t>
          </w:r>
          <w:r w:rsidRPr="00F200AF">
            <w:rPr>
              <w:i/>
              <w:iCs/>
              <w:noProof/>
              <w:szCs w:val="24"/>
              <w:lang w:val="en-US"/>
            </w:rPr>
            <w:t>Ekonomska istraživanja, 24</w:t>
          </w:r>
          <w:r w:rsidRPr="00F200AF">
            <w:rPr>
              <w:noProof/>
              <w:szCs w:val="24"/>
              <w:lang w:val="en-US"/>
            </w:rPr>
            <w:t>(4), 75-90.</w:t>
          </w:r>
        </w:p>
        <w:p w:rsidR="00BC5368" w:rsidRPr="00F200AF" w:rsidRDefault="00BC5368" w:rsidP="00BC5368">
          <w:pPr>
            <w:pStyle w:val="Bibliography"/>
            <w:numPr>
              <w:ilvl w:val="0"/>
              <w:numId w:val="1"/>
            </w:numPr>
            <w:ind w:left="0" w:firstLine="0"/>
            <w:jc w:val="both"/>
            <w:rPr>
              <w:noProof/>
              <w:szCs w:val="24"/>
              <w:lang w:val="en-US"/>
            </w:rPr>
          </w:pPr>
          <w:r w:rsidRPr="00F200AF">
            <w:rPr>
              <w:noProof/>
              <w:szCs w:val="24"/>
              <w:lang w:val="en-US"/>
            </w:rPr>
            <w:t xml:space="preserve">Claessens, S., Dell’Ariccia, G., Igan, D., &amp; Laeven, L. (2010). Lessons and Policy Implications from the Global Financial Crisis. </w:t>
          </w:r>
          <w:r w:rsidRPr="00F200AF">
            <w:rPr>
              <w:i/>
              <w:iCs/>
              <w:noProof/>
              <w:szCs w:val="24"/>
              <w:lang w:val="en-US"/>
            </w:rPr>
            <w:t>IMF Working Paper WP/10/44</w:t>
          </w:r>
          <w:r w:rsidRPr="00F200AF">
            <w:rPr>
              <w:noProof/>
              <w:szCs w:val="24"/>
              <w:lang w:val="en-US"/>
            </w:rPr>
            <w:t>, 1-40.</w:t>
          </w:r>
        </w:p>
        <w:p w:rsidR="00BC5368" w:rsidRPr="00F200AF" w:rsidRDefault="00BC5368" w:rsidP="00BC5368">
          <w:pPr>
            <w:pStyle w:val="Bibliography"/>
            <w:numPr>
              <w:ilvl w:val="0"/>
              <w:numId w:val="1"/>
            </w:numPr>
            <w:ind w:left="0" w:firstLine="0"/>
            <w:jc w:val="both"/>
            <w:rPr>
              <w:noProof/>
              <w:szCs w:val="24"/>
            </w:rPr>
          </w:pPr>
          <w:r w:rsidRPr="00F200AF">
            <w:rPr>
              <w:noProof/>
              <w:szCs w:val="24"/>
            </w:rPr>
            <w:t xml:space="preserve">Dalić, M. (2002). Usporedna analiza hrvatskog financijskog sustava i financijskih sustava naprednih tranzicijskih zemalja. </w:t>
          </w:r>
          <w:r w:rsidRPr="00F200AF">
            <w:rPr>
              <w:i/>
              <w:iCs/>
              <w:noProof/>
              <w:szCs w:val="24"/>
            </w:rPr>
            <w:t>Privredna kretanja i ekonomska politika, 92</w:t>
          </w:r>
          <w:r w:rsidRPr="00F200AF">
            <w:rPr>
              <w:noProof/>
              <w:szCs w:val="24"/>
            </w:rPr>
            <w:t>, 27-52.</w:t>
          </w:r>
        </w:p>
        <w:p w:rsidR="00BC5368" w:rsidRPr="00F200AF" w:rsidRDefault="00BC5368" w:rsidP="00BC5368">
          <w:pPr>
            <w:pStyle w:val="Bibliography"/>
            <w:numPr>
              <w:ilvl w:val="0"/>
              <w:numId w:val="1"/>
            </w:numPr>
            <w:ind w:left="0" w:firstLine="0"/>
            <w:jc w:val="both"/>
            <w:rPr>
              <w:noProof/>
              <w:szCs w:val="24"/>
              <w:lang w:val="en-US"/>
            </w:rPr>
          </w:pPr>
          <w:r w:rsidRPr="00F200AF">
            <w:rPr>
              <w:noProof/>
              <w:szCs w:val="24"/>
              <w:lang w:val="en-US"/>
            </w:rPr>
            <w:t>Davcev, L. (2010). Hidden Socks From t</w:t>
          </w:r>
          <w:bookmarkStart w:id="0" w:name="_GoBack"/>
          <w:bookmarkEnd w:id="0"/>
          <w:r w:rsidRPr="00F200AF">
            <w:rPr>
              <w:noProof/>
              <w:szCs w:val="24"/>
              <w:lang w:val="en-US"/>
            </w:rPr>
            <w:t xml:space="preserve">he Economics Crisis in Macedonia During. </w:t>
          </w:r>
          <w:r w:rsidRPr="00F200AF">
            <w:rPr>
              <w:i/>
              <w:iCs/>
              <w:noProof/>
              <w:szCs w:val="24"/>
              <w:lang w:val="en-US"/>
            </w:rPr>
            <w:t>Acta Technica Corviniensis – Bulletin of Engineering, 4</w:t>
          </w:r>
          <w:r w:rsidRPr="00F200AF">
            <w:rPr>
              <w:noProof/>
              <w:szCs w:val="24"/>
              <w:lang w:val="en-US"/>
            </w:rPr>
            <w:t>, 51-56.</w:t>
          </w:r>
        </w:p>
        <w:p w:rsidR="00BC5368" w:rsidRPr="00F200AF" w:rsidRDefault="00BC5368" w:rsidP="00BC5368">
          <w:pPr>
            <w:pStyle w:val="Bibliography"/>
            <w:numPr>
              <w:ilvl w:val="0"/>
              <w:numId w:val="1"/>
            </w:numPr>
            <w:ind w:left="0" w:firstLine="0"/>
            <w:jc w:val="both"/>
            <w:rPr>
              <w:noProof/>
              <w:szCs w:val="24"/>
              <w:lang w:val="en-US"/>
            </w:rPr>
          </w:pPr>
          <w:r w:rsidRPr="00F200AF">
            <w:rPr>
              <w:noProof/>
              <w:szCs w:val="24"/>
              <w:lang w:val="en-US"/>
            </w:rPr>
            <w:t xml:space="preserve">Erkens, D. H., Hung, M., &amp; Matos, P. (2012). Corporate Governance in the 2007-2008 Financial Crisis: Evidence from Financial Institutions Worldwide. </w:t>
          </w:r>
          <w:r w:rsidRPr="00F200AF">
            <w:rPr>
              <w:i/>
              <w:iCs/>
              <w:noProof/>
              <w:szCs w:val="24"/>
              <w:lang w:val="en-US"/>
            </w:rPr>
            <w:t>Journal of Corporate Finance, 18</w:t>
          </w:r>
          <w:r w:rsidRPr="00F200AF">
            <w:rPr>
              <w:noProof/>
              <w:szCs w:val="24"/>
              <w:lang w:val="en-US"/>
            </w:rPr>
            <w:t>(2), 389-411.</w:t>
          </w:r>
        </w:p>
        <w:p w:rsidR="00BC5368" w:rsidRPr="00F200AF" w:rsidRDefault="00BC5368" w:rsidP="00BC5368">
          <w:pPr>
            <w:pStyle w:val="Bibliography"/>
            <w:numPr>
              <w:ilvl w:val="0"/>
              <w:numId w:val="1"/>
            </w:numPr>
            <w:ind w:left="0" w:firstLine="0"/>
            <w:jc w:val="both"/>
            <w:rPr>
              <w:noProof/>
              <w:szCs w:val="24"/>
              <w:lang w:val="en-US"/>
            </w:rPr>
          </w:pPr>
          <w:r w:rsidRPr="00F200AF">
            <w:rPr>
              <w:noProof/>
              <w:szCs w:val="24"/>
              <w:lang w:val="en-US"/>
            </w:rPr>
            <w:t xml:space="preserve">Jankov, L. (Ed.). (2004). </w:t>
          </w:r>
          <w:r w:rsidRPr="00F200AF">
            <w:rPr>
              <w:i/>
              <w:iCs/>
              <w:noProof/>
              <w:szCs w:val="24"/>
              <w:lang w:val="en-US"/>
            </w:rPr>
            <w:t>Annual Report 2004.</w:t>
          </w:r>
          <w:r w:rsidRPr="00F200AF">
            <w:rPr>
              <w:noProof/>
              <w:szCs w:val="24"/>
              <w:lang w:val="en-US"/>
            </w:rPr>
            <w:t xml:space="preserve"> Zagreb: Croatian National Bank.</w:t>
          </w:r>
        </w:p>
        <w:p w:rsidR="00BC5368" w:rsidRPr="00F200AF" w:rsidRDefault="00BC5368" w:rsidP="00BC5368">
          <w:pPr>
            <w:pStyle w:val="Bibliography"/>
            <w:numPr>
              <w:ilvl w:val="0"/>
              <w:numId w:val="1"/>
            </w:numPr>
            <w:ind w:left="0" w:firstLine="0"/>
            <w:jc w:val="both"/>
            <w:rPr>
              <w:noProof/>
              <w:szCs w:val="24"/>
            </w:rPr>
          </w:pPr>
          <w:r w:rsidRPr="00F200AF">
            <w:rPr>
              <w:noProof/>
              <w:szCs w:val="24"/>
            </w:rPr>
            <w:t xml:space="preserve">Jurman, A. (2009). Financijski potencijal hrvatskih banka, obilježja i projekcija rasta. </w:t>
          </w:r>
          <w:r w:rsidRPr="00F200AF">
            <w:rPr>
              <w:i/>
              <w:iCs/>
              <w:noProof/>
              <w:szCs w:val="24"/>
            </w:rPr>
            <w:t>Ekonomska istraživanja, 22</w:t>
          </w:r>
          <w:r w:rsidRPr="00F200AF">
            <w:rPr>
              <w:noProof/>
              <w:szCs w:val="24"/>
            </w:rPr>
            <w:t>(1), 60-80.</w:t>
          </w:r>
        </w:p>
        <w:p w:rsidR="00BC5368" w:rsidRPr="00F200AF" w:rsidRDefault="00BC5368" w:rsidP="00BC5368">
          <w:pPr>
            <w:pStyle w:val="Bibliography"/>
            <w:numPr>
              <w:ilvl w:val="0"/>
              <w:numId w:val="1"/>
            </w:numPr>
            <w:ind w:left="0" w:firstLine="0"/>
            <w:jc w:val="both"/>
            <w:rPr>
              <w:noProof/>
              <w:szCs w:val="24"/>
            </w:rPr>
          </w:pPr>
          <w:r w:rsidRPr="00F200AF">
            <w:rPr>
              <w:noProof/>
              <w:szCs w:val="24"/>
            </w:rPr>
            <w:t xml:space="preserve">Mihaljek, D. (2009). The global financial crisis and fiscal policy in Central and Eastern Europe: the 2009 Croatian budget odyssey. </w:t>
          </w:r>
          <w:r w:rsidRPr="00F200AF">
            <w:rPr>
              <w:i/>
              <w:iCs/>
              <w:noProof/>
              <w:szCs w:val="24"/>
            </w:rPr>
            <w:t>Financial Theory and Practice, 33</w:t>
          </w:r>
          <w:r w:rsidRPr="00F200AF">
            <w:rPr>
              <w:noProof/>
              <w:szCs w:val="24"/>
            </w:rPr>
            <w:t>(3), 239 - 272.</w:t>
          </w:r>
        </w:p>
        <w:p w:rsidR="00BC5368" w:rsidRPr="00F200AF" w:rsidRDefault="00BC5368" w:rsidP="00BC5368">
          <w:pPr>
            <w:pStyle w:val="Bibliography"/>
            <w:numPr>
              <w:ilvl w:val="0"/>
              <w:numId w:val="1"/>
            </w:numPr>
            <w:ind w:left="0" w:firstLine="0"/>
            <w:jc w:val="both"/>
            <w:rPr>
              <w:noProof/>
              <w:szCs w:val="24"/>
              <w:lang w:val="en-US"/>
            </w:rPr>
          </w:pPr>
          <w:r w:rsidRPr="00F200AF">
            <w:rPr>
              <w:noProof/>
              <w:szCs w:val="24"/>
              <w:lang w:val="en-US"/>
            </w:rPr>
            <w:t xml:space="preserve">Radosevic, D. (2012). Capital Account Management In Croatia And Debt Crisis In European Monetary Union: A Reappraisal. </w:t>
          </w:r>
          <w:r w:rsidRPr="00F200AF">
            <w:rPr>
              <w:i/>
              <w:iCs/>
              <w:noProof/>
              <w:szCs w:val="24"/>
              <w:lang w:val="en-US"/>
            </w:rPr>
            <w:t>Ekonomski pregled, 63</w:t>
          </w:r>
          <w:r w:rsidRPr="00F200AF">
            <w:rPr>
              <w:noProof/>
              <w:szCs w:val="24"/>
              <w:lang w:val="en-US"/>
            </w:rPr>
            <w:t>(3-4), 127-161.</w:t>
          </w:r>
        </w:p>
        <w:p w:rsidR="00BC5368" w:rsidRPr="00F200AF" w:rsidRDefault="00BC5368" w:rsidP="00BC5368">
          <w:pPr>
            <w:pStyle w:val="Bibliography"/>
            <w:numPr>
              <w:ilvl w:val="0"/>
              <w:numId w:val="1"/>
            </w:numPr>
            <w:ind w:left="0" w:firstLine="0"/>
            <w:jc w:val="both"/>
            <w:rPr>
              <w:noProof/>
              <w:szCs w:val="24"/>
              <w:lang w:val="en-US"/>
            </w:rPr>
          </w:pPr>
          <w:r w:rsidRPr="00F200AF">
            <w:rPr>
              <w:noProof/>
              <w:szCs w:val="24"/>
              <w:lang w:val="en-US"/>
            </w:rPr>
            <w:t xml:space="preserve">Sohinger, J., &amp; Horvatin, D. (2006). International Capital Flows and Financial Markets in Transition Economies: The Case of Croatia Sohinger . </w:t>
          </w:r>
          <w:r w:rsidRPr="00F200AF">
            <w:rPr>
              <w:i/>
              <w:iCs/>
              <w:noProof/>
              <w:szCs w:val="24"/>
              <w:lang w:val="en-US"/>
            </w:rPr>
            <w:t>Other Recent Work, Institute of European Studies, UC Berkeley</w:t>
          </w:r>
          <w:r w:rsidRPr="00F200AF">
            <w:rPr>
              <w:noProof/>
              <w:szCs w:val="24"/>
              <w:lang w:val="en-US"/>
            </w:rPr>
            <w:t>, 1-27.</w:t>
          </w:r>
        </w:p>
        <w:p w:rsidR="00BC5368" w:rsidRPr="00F200AF" w:rsidRDefault="00BC5368" w:rsidP="00BC5368">
          <w:pPr>
            <w:pStyle w:val="Bibliography"/>
            <w:numPr>
              <w:ilvl w:val="0"/>
              <w:numId w:val="1"/>
            </w:numPr>
            <w:ind w:left="0" w:firstLine="0"/>
            <w:jc w:val="both"/>
            <w:rPr>
              <w:noProof/>
              <w:szCs w:val="24"/>
            </w:rPr>
          </w:pPr>
          <w:r w:rsidRPr="00F200AF">
            <w:rPr>
              <w:noProof/>
              <w:szCs w:val="24"/>
            </w:rPr>
            <w:t xml:space="preserve">Tang, H., Zoli, E., &amp; Klytchnikova, I. (2000). </w:t>
          </w:r>
          <w:r w:rsidRPr="00F200AF">
            <w:rPr>
              <w:i/>
              <w:iCs/>
              <w:noProof/>
              <w:szCs w:val="24"/>
            </w:rPr>
            <w:t>Banking Crises in Transition Countries Fiscal Costs and Related Issues.</w:t>
          </w:r>
          <w:r w:rsidRPr="00F200AF">
            <w:rPr>
              <w:noProof/>
              <w:szCs w:val="24"/>
            </w:rPr>
            <w:t xml:space="preserve"> Washington, D.C.: World Bank, Europe and Central Asia Region, Poverty Reduction and Economic Management Sector Unit. Preuzeto 1. Septhember 2012 iz http://www-</w:t>
          </w:r>
          <w:r w:rsidRPr="00F200AF">
            <w:rPr>
              <w:noProof/>
              <w:szCs w:val="24"/>
            </w:rPr>
            <w:lastRenderedPageBreak/>
            <w:t>wds.worldbank.org/external/default/WDSContentServer/IW3P/IB/2000/12/15/000094946_00111805313297/Rendered/PDF/multi_page.pdf</w:t>
          </w:r>
        </w:p>
        <w:p w:rsidR="00BC5368" w:rsidRPr="00F200AF" w:rsidRDefault="00BC5368" w:rsidP="00BC5368">
          <w:pPr>
            <w:pStyle w:val="Bibliography"/>
            <w:numPr>
              <w:ilvl w:val="0"/>
              <w:numId w:val="1"/>
            </w:numPr>
            <w:ind w:left="0" w:firstLine="0"/>
            <w:jc w:val="both"/>
            <w:rPr>
              <w:noProof/>
              <w:szCs w:val="24"/>
              <w:lang w:val="en-US"/>
            </w:rPr>
          </w:pPr>
          <w:r w:rsidRPr="00F200AF">
            <w:rPr>
              <w:noProof/>
              <w:szCs w:val="24"/>
              <w:lang w:val="en-US"/>
            </w:rPr>
            <w:t xml:space="preserve">Yilmaz, R., &amp; Koyuncu, C. (2010). Foreign bank participation and banking crises in transition economies. </w:t>
          </w:r>
          <w:r w:rsidRPr="00F200AF">
            <w:rPr>
              <w:i/>
              <w:iCs/>
              <w:noProof/>
              <w:szCs w:val="24"/>
              <w:lang w:val="en-US"/>
            </w:rPr>
            <w:t>23</w:t>
          </w:r>
          <w:r w:rsidRPr="00F200AF">
            <w:rPr>
              <w:noProof/>
              <w:szCs w:val="24"/>
              <w:lang w:val="en-US"/>
            </w:rPr>
            <w:t>(1), 15-29.</w:t>
          </w:r>
        </w:p>
        <w:p w:rsidR="00BC5368" w:rsidRPr="00F200AF" w:rsidRDefault="00BC5368" w:rsidP="00BC5368">
          <w:pPr>
            <w:pStyle w:val="Bibliography"/>
            <w:numPr>
              <w:ilvl w:val="0"/>
              <w:numId w:val="1"/>
            </w:numPr>
            <w:ind w:left="0" w:firstLine="0"/>
            <w:jc w:val="both"/>
            <w:rPr>
              <w:noProof/>
              <w:szCs w:val="24"/>
              <w:lang w:val="en-US"/>
            </w:rPr>
          </w:pPr>
          <w:r w:rsidRPr="00F200AF">
            <w:rPr>
              <w:noProof/>
              <w:szCs w:val="24"/>
              <w:lang w:val="en-US"/>
            </w:rPr>
            <w:t xml:space="preserve">Zikovic, S., &amp; Aktan, B. (2009). Global financial crisis and VaR performance in emerging markets: A case of EU candidate states - Turkey and Croatia. </w:t>
          </w:r>
          <w:r w:rsidRPr="00F200AF">
            <w:rPr>
              <w:i/>
              <w:iCs/>
              <w:noProof/>
              <w:szCs w:val="24"/>
              <w:lang w:val="en-US"/>
            </w:rPr>
            <w:t>Zbornik radova Ekonomskog fakulteta u Rijeci: casopis za ekonomsku teoriju i praksu, 27</w:t>
          </w:r>
          <w:r w:rsidRPr="00F200AF">
            <w:rPr>
              <w:noProof/>
              <w:szCs w:val="24"/>
              <w:lang w:val="en-US"/>
            </w:rPr>
            <w:t>(1), 149 - 170.</w:t>
          </w:r>
        </w:p>
        <w:p w:rsidR="00BB4490" w:rsidRDefault="00BC5368" w:rsidP="00BC5368">
          <w:pPr>
            <w:jc w:val="both"/>
            <w:rPr>
              <w:lang w:val="en-US"/>
            </w:rPr>
          </w:pPr>
          <w:r w:rsidRPr="00F200AF">
            <w:rPr>
              <w:bCs/>
              <w:szCs w:val="24"/>
            </w:rPr>
            <w:fldChar w:fldCharType="end"/>
          </w:r>
        </w:p>
      </w:sdtContent>
    </w:sdt>
    <w:sectPr w:rsidR="00BB449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7A2A" w:rsidRDefault="004D7A2A" w:rsidP="004F3148">
      <w:r>
        <w:separator/>
      </w:r>
    </w:p>
  </w:endnote>
  <w:endnote w:type="continuationSeparator" w:id="0">
    <w:p w:rsidR="004D7A2A" w:rsidRDefault="004D7A2A" w:rsidP="004F3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entury Schoolbook">
    <w:panose1 w:val="02040604050505020304"/>
    <w:charset w:val="EE"/>
    <w:family w:val="roman"/>
    <w:pitch w:val="variable"/>
    <w:sig w:usb0="00000287" w:usb1="00000000" w:usb2="00000000" w:usb3="00000000" w:csb0="0000009F" w:csb1="00000000"/>
  </w:font>
  <w:font w:name="Belwe Lt BT">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2362819"/>
      <w:docPartObj>
        <w:docPartGallery w:val="Page Numbers (Bottom of Page)"/>
        <w:docPartUnique/>
      </w:docPartObj>
    </w:sdtPr>
    <w:sdtEndPr>
      <w:rPr>
        <w:noProof/>
      </w:rPr>
    </w:sdtEndPr>
    <w:sdtContent>
      <w:p w:rsidR="00F217C9" w:rsidRDefault="00F217C9">
        <w:pPr>
          <w:pStyle w:val="Footer"/>
          <w:jc w:val="right"/>
        </w:pPr>
        <w:r>
          <w:fldChar w:fldCharType="begin"/>
        </w:r>
        <w:r>
          <w:instrText xml:space="preserve"> PAGE   \* MERGEFORMAT </w:instrText>
        </w:r>
        <w:r>
          <w:fldChar w:fldCharType="separate"/>
        </w:r>
        <w:r w:rsidR="00922D6A">
          <w:rPr>
            <w:noProof/>
          </w:rPr>
          <w:t>11</w:t>
        </w:r>
        <w:r>
          <w:rPr>
            <w:noProof/>
          </w:rPr>
          <w:fldChar w:fldCharType="end"/>
        </w:r>
      </w:p>
    </w:sdtContent>
  </w:sdt>
  <w:p w:rsidR="00F217C9" w:rsidRDefault="00F217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7A2A" w:rsidRDefault="004D7A2A" w:rsidP="004F3148">
      <w:r>
        <w:separator/>
      </w:r>
    </w:p>
  </w:footnote>
  <w:footnote w:type="continuationSeparator" w:id="0">
    <w:p w:rsidR="004D7A2A" w:rsidRDefault="004D7A2A" w:rsidP="004F3148">
      <w:r>
        <w:continuationSeparator/>
      </w:r>
    </w:p>
  </w:footnote>
  <w:footnote w:id="1">
    <w:p w:rsidR="00F217C9" w:rsidRPr="004F3148" w:rsidRDefault="00F217C9">
      <w:pPr>
        <w:pStyle w:val="FootnoteText"/>
      </w:pPr>
      <w:r>
        <w:rPr>
          <w:rStyle w:val="FootnoteReference"/>
        </w:rPr>
        <w:footnoteRef/>
      </w:r>
      <w:r>
        <w:t xml:space="preserve"> Balkan Institute </w:t>
      </w:r>
      <w:proofErr w:type="spellStart"/>
      <w:r>
        <w:t>of</w:t>
      </w:r>
      <w:proofErr w:type="spellEnd"/>
      <w:r>
        <w:t xml:space="preserve"> </w:t>
      </w:r>
      <w:proofErr w:type="spellStart"/>
      <w:r>
        <w:t>Behavioral</w:t>
      </w:r>
      <w:proofErr w:type="spellEnd"/>
      <w:r>
        <w:t xml:space="preserve"> </w:t>
      </w:r>
      <w:proofErr w:type="spellStart"/>
      <w:r>
        <w:t>Research</w:t>
      </w:r>
      <w:proofErr w:type="spellEnd"/>
      <w:r>
        <w:t xml:space="preserve">, </w:t>
      </w:r>
      <w:hyperlink r:id="rId1" w:history="1">
        <w:r w:rsidRPr="00E13703">
          <w:rPr>
            <w:rStyle w:val="Hyperlink"/>
          </w:rPr>
          <w:t>gjosevska@gmail.com</w:t>
        </w:r>
      </w:hyperlink>
    </w:p>
  </w:footnote>
  <w:footnote w:id="2">
    <w:p w:rsidR="00F217C9" w:rsidRPr="004F3148" w:rsidRDefault="00F217C9">
      <w:pPr>
        <w:pStyle w:val="FootnoteText"/>
        <w:rPr>
          <w:lang w:val="en-US"/>
        </w:rPr>
      </w:pPr>
      <w:r>
        <w:rPr>
          <w:rStyle w:val="FootnoteReference"/>
        </w:rPr>
        <w:footnoteRef/>
      </w:r>
      <w:r>
        <w:t xml:space="preserve"> </w:t>
      </w:r>
      <w:r>
        <w:rPr>
          <w:lang w:val="en-US"/>
        </w:rPr>
        <w:t xml:space="preserve">University of Rijeka, Faculty of Tourism and Hospitality Management, </w:t>
      </w:r>
      <w:hyperlink r:id="rId2" w:history="1">
        <w:r w:rsidRPr="00077D94">
          <w:rPr>
            <w:rStyle w:val="Hyperlink"/>
            <w:lang w:val="en-US"/>
          </w:rPr>
          <w:t>gorank@fthm.hr</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575839"/>
    <w:multiLevelType w:val="hybridMultilevel"/>
    <w:tmpl w:val="BC127BE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B3B"/>
    <w:rsid w:val="00012FFD"/>
    <w:rsid w:val="00051F9C"/>
    <w:rsid w:val="00072EC4"/>
    <w:rsid w:val="000752BD"/>
    <w:rsid w:val="00076E64"/>
    <w:rsid w:val="00084B3B"/>
    <w:rsid w:val="000A0C81"/>
    <w:rsid w:val="000A3A47"/>
    <w:rsid w:val="000B7B64"/>
    <w:rsid w:val="000D4492"/>
    <w:rsid w:val="000D478A"/>
    <w:rsid w:val="000E44EC"/>
    <w:rsid w:val="000F2569"/>
    <w:rsid w:val="000F52CE"/>
    <w:rsid w:val="00114D0F"/>
    <w:rsid w:val="00140BFB"/>
    <w:rsid w:val="00174F90"/>
    <w:rsid w:val="001836F5"/>
    <w:rsid w:val="001A47D9"/>
    <w:rsid w:val="001B1E0E"/>
    <w:rsid w:val="001D3D1A"/>
    <w:rsid w:val="00202D92"/>
    <w:rsid w:val="00207D48"/>
    <w:rsid w:val="0021128C"/>
    <w:rsid w:val="00215AF8"/>
    <w:rsid w:val="00222B20"/>
    <w:rsid w:val="00244460"/>
    <w:rsid w:val="002653FB"/>
    <w:rsid w:val="002662FB"/>
    <w:rsid w:val="0028082A"/>
    <w:rsid w:val="002B318C"/>
    <w:rsid w:val="002F1C15"/>
    <w:rsid w:val="002F37BC"/>
    <w:rsid w:val="002F417F"/>
    <w:rsid w:val="00314A32"/>
    <w:rsid w:val="0031723D"/>
    <w:rsid w:val="00325D81"/>
    <w:rsid w:val="003376B6"/>
    <w:rsid w:val="0034212F"/>
    <w:rsid w:val="00347AF5"/>
    <w:rsid w:val="00366E2A"/>
    <w:rsid w:val="003719B3"/>
    <w:rsid w:val="003740E3"/>
    <w:rsid w:val="003A4F4E"/>
    <w:rsid w:val="003C056E"/>
    <w:rsid w:val="003C38F4"/>
    <w:rsid w:val="003C7C69"/>
    <w:rsid w:val="003D01F6"/>
    <w:rsid w:val="003D0A06"/>
    <w:rsid w:val="003D1ADF"/>
    <w:rsid w:val="003E2163"/>
    <w:rsid w:val="003E25E2"/>
    <w:rsid w:val="003E4BB3"/>
    <w:rsid w:val="00403329"/>
    <w:rsid w:val="00413578"/>
    <w:rsid w:val="0041735A"/>
    <w:rsid w:val="004316BC"/>
    <w:rsid w:val="0044537D"/>
    <w:rsid w:val="0045691A"/>
    <w:rsid w:val="004770E3"/>
    <w:rsid w:val="004823BF"/>
    <w:rsid w:val="004905A1"/>
    <w:rsid w:val="004A4FA9"/>
    <w:rsid w:val="004D7A2A"/>
    <w:rsid w:val="004F3148"/>
    <w:rsid w:val="004F7D38"/>
    <w:rsid w:val="00521052"/>
    <w:rsid w:val="00541423"/>
    <w:rsid w:val="00541EBA"/>
    <w:rsid w:val="0056209D"/>
    <w:rsid w:val="0056703D"/>
    <w:rsid w:val="005742B2"/>
    <w:rsid w:val="00576F24"/>
    <w:rsid w:val="005819F6"/>
    <w:rsid w:val="005A1981"/>
    <w:rsid w:val="005E180B"/>
    <w:rsid w:val="005E5C1B"/>
    <w:rsid w:val="00602F6F"/>
    <w:rsid w:val="00604AA6"/>
    <w:rsid w:val="00604C6B"/>
    <w:rsid w:val="00606316"/>
    <w:rsid w:val="006351D9"/>
    <w:rsid w:val="006451EA"/>
    <w:rsid w:val="00666725"/>
    <w:rsid w:val="006718F3"/>
    <w:rsid w:val="006B3EE5"/>
    <w:rsid w:val="006D048D"/>
    <w:rsid w:val="006D2868"/>
    <w:rsid w:val="006D2A14"/>
    <w:rsid w:val="006E7724"/>
    <w:rsid w:val="00712148"/>
    <w:rsid w:val="007219D6"/>
    <w:rsid w:val="00730326"/>
    <w:rsid w:val="00746207"/>
    <w:rsid w:val="00775232"/>
    <w:rsid w:val="0078210D"/>
    <w:rsid w:val="0078350D"/>
    <w:rsid w:val="007A130D"/>
    <w:rsid w:val="007A1E14"/>
    <w:rsid w:val="007C0E04"/>
    <w:rsid w:val="007D0884"/>
    <w:rsid w:val="007D3A77"/>
    <w:rsid w:val="007D4573"/>
    <w:rsid w:val="0081458B"/>
    <w:rsid w:val="008178E0"/>
    <w:rsid w:val="00843CC4"/>
    <w:rsid w:val="00845044"/>
    <w:rsid w:val="00852306"/>
    <w:rsid w:val="008566E2"/>
    <w:rsid w:val="008806EB"/>
    <w:rsid w:val="00880DAC"/>
    <w:rsid w:val="0088718A"/>
    <w:rsid w:val="00891710"/>
    <w:rsid w:val="0089358A"/>
    <w:rsid w:val="008A2689"/>
    <w:rsid w:val="008A54D3"/>
    <w:rsid w:val="008B0EF1"/>
    <w:rsid w:val="008B5026"/>
    <w:rsid w:val="008E1C7F"/>
    <w:rsid w:val="008E2FCE"/>
    <w:rsid w:val="008E57E0"/>
    <w:rsid w:val="00922D6A"/>
    <w:rsid w:val="00926ED0"/>
    <w:rsid w:val="009547C9"/>
    <w:rsid w:val="00961D40"/>
    <w:rsid w:val="009627DD"/>
    <w:rsid w:val="00972A25"/>
    <w:rsid w:val="00975C91"/>
    <w:rsid w:val="009771D4"/>
    <w:rsid w:val="009A41DD"/>
    <w:rsid w:val="009B63F7"/>
    <w:rsid w:val="009E7B64"/>
    <w:rsid w:val="009F0429"/>
    <w:rsid w:val="00A000BF"/>
    <w:rsid w:val="00A07B3A"/>
    <w:rsid w:val="00A1335A"/>
    <w:rsid w:val="00A1414B"/>
    <w:rsid w:val="00A15BEF"/>
    <w:rsid w:val="00A303E1"/>
    <w:rsid w:val="00A34D44"/>
    <w:rsid w:val="00A4477F"/>
    <w:rsid w:val="00A4749C"/>
    <w:rsid w:val="00A639E7"/>
    <w:rsid w:val="00A67D7A"/>
    <w:rsid w:val="00A71500"/>
    <w:rsid w:val="00A821D7"/>
    <w:rsid w:val="00A856F7"/>
    <w:rsid w:val="00A96618"/>
    <w:rsid w:val="00AA4F53"/>
    <w:rsid w:val="00AC088B"/>
    <w:rsid w:val="00AC10B6"/>
    <w:rsid w:val="00AC3DDF"/>
    <w:rsid w:val="00AD7343"/>
    <w:rsid w:val="00AE66C4"/>
    <w:rsid w:val="00AF3052"/>
    <w:rsid w:val="00B407F5"/>
    <w:rsid w:val="00B64A5A"/>
    <w:rsid w:val="00B658D3"/>
    <w:rsid w:val="00B80564"/>
    <w:rsid w:val="00B824BC"/>
    <w:rsid w:val="00B96645"/>
    <w:rsid w:val="00B97930"/>
    <w:rsid w:val="00BA1091"/>
    <w:rsid w:val="00BA5A24"/>
    <w:rsid w:val="00BB4490"/>
    <w:rsid w:val="00BC5368"/>
    <w:rsid w:val="00BD14EC"/>
    <w:rsid w:val="00BD47BE"/>
    <w:rsid w:val="00BD577A"/>
    <w:rsid w:val="00BF22BD"/>
    <w:rsid w:val="00BF5CEB"/>
    <w:rsid w:val="00C0394F"/>
    <w:rsid w:val="00C21607"/>
    <w:rsid w:val="00C34B67"/>
    <w:rsid w:val="00C37097"/>
    <w:rsid w:val="00C51314"/>
    <w:rsid w:val="00C51403"/>
    <w:rsid w:val="00C60755"/>
    <w:rsid w:val="00C60B7C"/>
    <w:rsid w:val="00C723A6"/>
    <w:rsid w:val="00C81A3D"/>
    <w:rsid w:val="00C841EF"/>
    <w:rsid w:val="00C84661"/>
    <w:rsid w:val="00C847C9"/>
    <w:rsid w:val="00C94201"/>
    <w:rsid w:val="00C95DF5"/>
    <w:rsid w:val="00CC4289"/>
    <w:rsid w:val="00CD15FC"/>
    <w:rsid w:val="00CD1A22"/>
    <w:rsid w:val="00CF03CE"/>
    <w:rsid w:val="00D20FC9"/>
    <w:rsid w:val="00D37268"/>
    <w:rsid w:val="00D833FF"/>
    <w:rsid w:val="00D835EA"/>
    <w:rsid w:val="00D93D35"/>
    <w:rsid w:val="00D95547"/>
    <w:rsid w:val="00DD4577"/>
    <w:rsid w:val="00DF1300"/>
    <w:rsid w:val="00E01070"/>
    <w:rsid w:val="00E02A13"/>
    <w:rsid w:val="00E040C2"/>
    <w:rsid w:val="00E056E7"/>
    <w:rsid w:val="00E21A97"/>
    <w:rsid w:val="00E30669"/>
    <w:rsid w:val="00E47E19"/>
    <w:rsid w:val="00E906CF"/>
    <w:rsid w:val="00E968AE"/>
    <w:rsid w:val="00EA21E0"/>
    <w:rsid w:val="00EA4777"/>
    <w:rsid w:val="00EB0779"/>
    <w:rsid w:val="00EC15F6"/>
    <w:rsid w:val="00EC1D9D"/>
    <w:rsid w:val="00EC36D7"/>
    <w:rsid w:val="00EC3AC5"/>
    <w:rsid w:val="00EC5233"/>
    <w:rsid w:val="00ED2CD7"/>
    <w:rsid w:val="00EF4A3A"/>
    <w:rsid w:val="00EF5F51"/>
    <w:rsid w:val="00F021E9"/>
    <w:rsid w:val="00F07EF7"/>
    <w:rsid w:val="00F15D44"/>
    <w:rsid w:val="00F16F98"/>
    <w:rsid w:val="00F217C9"/>
    <w:rsid w:val="00F24C29"/>
    <w:rsid w:val="00F2793E"/>
    <w:rsid w:val="00F40CD8"/>
    <w:rsid w:val="00F71175"/>
    <w:rsid w:val="00FA1CB1"/>
    <w:rsid w:val="00FA5457"/>
    <w:rsid w:val="00FC4FA8"/>
    <w:rsid w:val="00FF1FA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8E0"/>
    <w:pPr>
      <w:spacing w:after="0" w:line="240" w:lineRule="auto"/>
    </w:pPr>
    <w:rPr>
      <w:rFonts w:ascii="Times New Roman" w:hAnsi="Times New Roman"/>
      <w:sz w:val="24"/>
    </w:rPr>
  </w:style>
  <w:style w:type="paragraph" w:styleId="Heading1">
    <w:name w:val="heading 1"/>
    <w:basedOn w:val="Normal"/>
    <w:next w:val="Normal"/>
    <w:link w:val="Heading1Char"/>
    <w:uiPriority w:val="9"/>
    <w:qFormat/>
    <w:rsid w:val="006451EA"/>
    <w:pPr>
      <w:keepNext/>
      <w:keepLines/>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A07B3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51EA"/>
    <w:rPr>
      <w:rFonts w:ascii="Times New Roman" w:eastAsiaTheme="majorEastAsia" w:hAnsi="Times New Roman" w:cstheme="majorBidi"/>
      <w:b/>
      <w:bCs/>
      <w:sz w:val="28"/>
      <w:szCs w:val="28"/>
    </w:rPr>
  </w:style>
  <w:style w:type="paragraph" w:styleId="FootnoteText">
    <w:name w:val="footnote text"/>
    <w:basedOn w:val="Normal"/>
    <w:link w:val="FootnoteTextChar"/>
    <w:uiPriority w:val="99"/>
    <w:semiHidden/>
    <w:unhideWhenUsed/>
    <w:rsid w:val="004F3148"/>
    <w:rPr>
      <w:sz w:val="20"/>
      <w:szCs w:val="20"/>
    </w:rPr>
  </w:style>
  <w:style w:type="character" w:customStyle="1" w:styleId="FootnoteTextChar">
    <w:name w:val="Footnote Text Char"/>
    <w:basedOn w:val="DefaultParagraphFont"/>
    <w:link w:val="FootnoteText"/>
    <w:uiPriority w:val="99"/>
    <w:semiHidden/>
    <w:rsid w:val="004F3148"/>
    <w:rPr>
      <w:rFonts w:ascii="Times New Roman" w:hAnsi="Times New Roman"/>
      <w:sz w:val="20"/>
      <w:szCs w:val="20"/>
    </w:rPr>
  </w:style>
  <w:style w:type="character" w:styleId="FootnoteReference">
    <w:name w:val="footnote reference"/>
    <w:basedOn w:val="DefaultParagraphFont"/>
    <w:uiPriority w:val="99"/>
    <w:semiHidden/>
    <w:unhideWhenUsed/>
    <w:rsid w:val="004F3148"/>
    <w:rPr>
      <w:vertAlign w:val="superscript"/>
    </w:rPr>
  </w:style>
  <w:style w:type="character" w:styleId="Hyperlink">
    <w:name w:val="Hyperlink"/>
    <w:basedOn w:val="DefaultParagraphFont"/>
    <w:uiPriority w:val="99"/>
    <w:unhideWhenUsed/>
    <w:rsid w:val="004F3148"/>
    <w:rPr>
      <w:color w:val="0000FF" w:themeColor="hyperlink"/>
      <w:u w:val="single"/>
    </w:rPr>
  </w:style>
  <w:style w:type="paragraph" w:styleId="ListParagraph">
    <w:name w:val="List Paragraph"/>
    <w:basedOn w:val="Normal"/>
    <w:uiPriority w:val="34"/>
    <w:qFormat/>
    <w:rsid w:val="00E906CF"/>
    <w:pPr>
      <w:ind w:left="720"/>
      <w:contextualSpacing/>
    </w:pPr>
  </w:style>
  <w:style w:type="paragraph" w:styleId="BalloonText">
    <w:name w:val="Balloon Text"/>
    <w:basedOn w:val="Normal"/>
    <w:link w:val="BalloonTextChar"/>
    <w:uiPriority w:val="99"/>
    <w:semiHidden/>
    <w:unhideWhenUsed/>
    <w:rsid w:val="004905A1"/>
    <w:rPr>
      <w:rFonts w:ascii="Tahoma" w:hAnsi="Tahoma" w:cs="Tahoma"/>
      <w:sz w:val="16"/>
      <w:szCs w:val="16"/>
    </w:rPr>
  </w:style>
  <w:style w:type="character" w:customStyle="1" w:styleId="BalloonTextChar">
    <w:name w:val="Balloon Text Char"/>
    <w:basedOn w:val="DefaultParagraphFont"/>
    <w:link w:val="BalloonText"/>
    <w:uiPriority w:val="99"/>
    <w:semiHidden/>
    <w:rsid w:val="004905A1"/>
    <w:rPr>
      <w:rFonts w:ascii="Tahoma" w:hAnsi="Tahoma" w:cs="Tahoma"/>
      <w:sz w:val="16"/>
      <w:szCs w:val="16"/>
    </w:rPr>
  </w:style>
  <w:style w:type="character" w:customStyle="1" w:styleId="Heading2Char">
    <w:name w:val="Heading 2 Char"/>
    <w:basedOn w:val="DefaultParagraphFont"/>
    <w:link w:val="Heading2"/>
    <w:uiPriority w:val="9"/>
    <w:semiHidden/>
    <w:rsid w:val="00A07B3A"/>
    <w:rPr>
      <w:rFonts w:asciiTheme="majorHAnsi" w:eastAsiaTheme="majorEastAsia" w:hAnsiTheme="majorHAnsi" w:cstheme="majorBidi"/>
      <w:b/>
      <w:bCs/>
      <w:color w:val="4F81BD" w:themeColor="accent1"/>
      <w:sz w:val="26"/>
      <w:szCs w:val="26"/>
    </w:rPr>
  </w:style>
  <w:style w:type="character" w:customStyle="1" w:styleId="searchword">
    <w:name w:val="searchword"/>
    <w:basedOn w:val="DefaultParagraphFont"/>
    <w:rsid w:val="00A07B3A"/>
  </w:style>
  <w:style w:type="character" w:customStyle="1" w:styleId="apple-converted-space">
    <w:name w:val="apple-converted-space"/>
    <w:basedOn w:val="DefaultParagraphFont"/>
    <w:rsid w:val="00A07B3A"/>
  </w:style>
  <w:style w:type="paragraph" w:customStyle="1" w:styleId="Default">
    <w:name w:val="Default"/>
    <w:rsid w:val="00A07B3A"/>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CD15FC"/>
    <w:rPr>
      <w:i/>
      <w:iCs/>
    </w:rPr>
  </w:style>
  <w:style w:type="character" w:customStyle="1" w:styleId="economics-e-m">
    <w:name w:val="economics-e-m"/>
    <w:basedOn w:val="DefaultParagraphFont"/>
    <w:rsid w:val="00CD15FC"/>
  </w:style>
  <w:style w:type="paragraph" w:styleId="Bibliography">
    <w:name w:val="Bibliography"/>
    <w:basedOn w:val="Normal"/>
    <w:next w:val="Normal"/>
    <w:uiPriority w:val="37"/>
    <w:unhideWhenUsed/>
    <w:rsid w:val="00202D92"/>
  </w:style>
  <w:style w:type="paragraph" w:styleId="NormalWeb">
    <w:name w:val="Normal (Web)"/>
    <w:basedOn w:val="Normal"/>
    <w:uiPriority w:val="99"/>
    <w:unhideWhenUsed/>
    <w:rsid w:val="00E30669"/>
    <w:pPr>
      <w:spacing w:before="100" w:beforeAutospacing="1" w:after="100" w:afterAutospacing="1"/>
    </w:pPr>
    <w:rPr>
      <w:rFonts w:eastAsia="Times New Roman" w:cs="Times New Roman"/>
      <w:szCs w:val="24"/>
      <w:lang w:eastAsia="hr-HR"/>
    </w:rPr>
  </w:style>
  <w:style w:type="character" w:styleId="Strong">
    <w:name w:val="Strong"/>
    <w:basedOn w:val="DefaultParagraphFont"/>
    <w:uiPriority w:val="22"/>
    <w:qFormat/>
    <w:rsid w:val="00C723A6"/>
    <w:rPr>
      <w:b/>
      <w:bCs/>
    </w:rPr>
  </w:style>
  <w:style w:type="character" w:customStyle="1" w:styleId="meta">
    <w:name w:val="meta"/>
    <w:basedOn w:val="DefaultParagraphFont"/>
    <w:rsid w:val="00114D0F"/>
  </w:style>
  <w:style w:type="character" w:styleId="FollowedHyperlink">
    <w:name w:val="FollowedHyperlink"/>
    <w:basedOn w:val="DefaultParagraphFont"/>
    <w:uiPriority w:val="99"/>
    <w:semiHidden/>
    <w:unhideWhenUsed/>
    <w:rsid w:val="00114D0F"/>
    <w:rPr>
      <w:color w:val="800080" w:themeColor="followedHyperlink"/>
      <w:u w:val="single"/>
    </w:rPr>
  </w:style>
  <w:style w:type="character" w:customStyle="1" w:styleId="marclinepart">
    <w:name w:val="marclinepart"/>
    <w:basedOn w:val="DefaultParagraphFont"/>
    <w:rsid w:val="00D95547"/>
  </w:style>
  <w:style w:type="table" w:styleId="TableGrid">
    <w:name w:val="Table Grid"/>
    <w:basedOn w:val="TableNormal"/>
    <w:uiPriority w:val="59"/>
    <w:rsid w:val="00BD57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B1E0E"/>
    <w:pPr>
      <w:tabs>
        <w:tab w:val="center" w:pos="4680"/>
        <w:tab w:val="right" w:pos="9360"/>
      </w:tabs>
    </w:pPr>
  </w:style>
  <w:style w:type="character" w:customStyle="1" w:styleId="HeaderChar">
    <w:name w:val="Header Char"/>
    <w:basedOn w:val="DefaultParagraphFont"/>
    <w:link w:val="Header"/>
    <w:uiPriority w:val="99"/>
    <w:rsid w:val="001B1E0E"/>
    <w:rPr>
      <w:rFonts w:ascii="Times New Roman" w:hAnsi="Times New Roman"/>
      <w:sz w:val="24"/>
    </w:rPr>
  </w:style>
  <w:style w:type="paragraph" w:styleId="Footer">
    <w:name w:val="footer"/>
    <w:basedOn w:val="Normal"/>
    <w:link w:val="FooterChar"/>
    <w:uiPriority w:val="99"/>
    <w:unhideWhenUsed/>
    <w:rsid w:val="001B1E0E"/>
    <w:pPr>
      <w:tabs>
        <w:tab w:val="center" w:pos="4680"/>
        <w:tab w:val="right" w:pos="9360"/>
      </w:tabs>
    </w:pPr>
  </w:style>
  <w:style w:type="character" w:customStyle="1" w:styleId="FooterChar">
    <w:name w:val="Footer Char"/>
    <w:basedOn w:val="DefaultParagraphFont"/>
    <w:link w:val="Footer"/>
    <w:uiPriority w:val="99"/>
    <w:rsid w:val="001B1E0E"/>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8E0"/>
    <w:pPr>
      <w:spacing w:after="0" w:line="240" w:lineRule="auto"/>
    </w:pPr>
    <w:rPr>
      <w:rFonts w:ascii="Times New Roman" w:hAnsi="Times New Roman"/>
      <w:sz w:val="24"/>
    </w:rPr>
  </w:style>
  <w:style w:type="paragraph" w:styleId="Heading1">
    <w:name w:val="heading 1"/>
    <w:basedOn w:val="Normal"/>
    <w:next w:val="Normal"/>
    <w:link w:val="Heading1Char"/>
    <w:uiPriority w:val="9"/>
    <w:qFormat/>
    <w:rsid w:val="006451EA"/>
    <w:pPr>
      <w:keepNext/>
      <w:keepLines/>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A07B3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51EA"/>
    <w:rPr>
      <w:rFonts w:ascii="Times New Roman" w:eastAsiaTheme="majorEastAsia" w:hAnsi="Times New Roman" w:cstheme="majorBidi"/>
      <w:b/>
      <w:bCs/>
      <w:sz w:val="28"/>
      <w:szCs w:val="28"/>
    </w:rPr>
  </w:style>
  <w:style w:type="paragraph" w:styleId="FootnoteText">
    <w:name w:val="footnote text"/>
    <w:basedOn w:val="Normal"/>
    <w:link w:val="FootnoteTextChar"/>
    <w:uiPriority w:val="99"/>
    <w:semiHidden/>
    <w:unhideWhenUsed/>
    <w:rsid w:val="004F3148"/>
    <w:rPr>
      <w:sz w:val="20"/>
      <w:szCs w:val="20"/>
    </w:rPr>
  </w:style>
  <w:style w:type="character" w:customStyle="1" w:styleId="FootnoteTextChar">
    <w:name w:val="Footnote Text Char"/>
    <w:basedOn w:val="DefaultParagraphFont"/>
    <w:link w:val="FootnoteText"/>
    <w:uiPriority w:val="99"/>
    <w:semiHidden/>
    <w:rsid w:val="004F3148"/>
    <w:rPr>
      <w:rFonts w:ascii="Times New Roman" w:hAnsi="Times New Roman"/>
      <w:sz w:val="20"/>
      <w:szCs w:val="20"/>
    </w:rPr>
  </w:style>
  <w:style w:type="character" w:styleId="FootnoteReference">
    <w:name w:val="footnote reference"/>
    <w:basedOn w:val="DefaultParagraphFont"/>
    <w:uiPriority w:val="99"/>
    <w:semiHidden/>
    <w:unhideWhenUsed/>
    <w:rsid w:val="004F3148"/>
    <w:rPr>
      <w:vertAlign w:val="superscript"/>
    </w:rPr>
  </w:style>
  <w:style w:type="character" w:styleId="Hyperlink">
    <w:name w:val="Hyperlink"/>
    <w:basedOn w:val="DefaultParagraphFont"/>
    <w:uiPriority w:val="99"/>
    <w:unhideWhenUsed/>
    <w:rsid w:val="004F3148"/>
    <w:rPr>
      <w:color w:val="0000FF" w:themeColor="hyperlink"/>
      <w:u w:val="single"/>
    </w:rPr>
  </w:style>
  <w:style w:type="paragraph" w:styleId="ListParagraph">
    <w:name w:val="List Paragraph"/>
    <w:basedOn w:val="Normal"/>
    <w:uiPriority w:val="34"/>
    <w:qFormat/>
    <w:rsid w:val="00E906CF"/>
    <w:pPr>
      <w:ind w:left="720"/>
      <w:contextualSpacing/>
    </w:pPr>
  </w:style>
  <w:style w:type="paragraph" w:styleId="BalloonText">
    <w:name w:val="Balloon Text"/>
    <w:basedOn w:val="Normal"/>
    <w:link w:val="BalloonTextChar"/>
    <w:uiPriority w:val="99"/>
    <w:semiHidden/>
    <w:unhideWhenUsed/>
    <w:rsid w:val="004905A1"/>
    <w:rPr>
      <w:rFonts w:ascii="Tahoma" w:hAnsi="Tahoma" w:cs="Tahoma"/>
      <w:sz w:val="16"/>
      <w:szCs w:val="16"/>
    </w:rPr>
  </w:style>
  <w:style w:type="character" w:customStyle="1" w:styleId="BalloonTextChar">
    <w:name w:val="Balloon Text Char"/>
    <w:basedOn w:val="DefaultParagraphFont"/>
    <w:link w:val="BalloonText"/>
    <w:uiPriority w:val="99"/>
    <w:semiHidden/>
    <w:rsid w:val="004905A1"/>
    <w:rPr>
      <w:rFonts w:ascii="Tahoma" w:hAnsi="Tahoma" w:cs="Tahoma"/>
      <w:sz w:val="16"/>
      <w:szCs w:val="16"/>
    </w:rPr>
  </w:style>
  <w:style w:type="character" w:customStyle="1" w:styleId="Heading2Char">
    <w:name w:val="Heading 2 Char"/>
    <w:basedOn w:val="DefaultParagraphFont"/>
    <w:link w:val="Heading2"/>
    <w:uiPriority w:val="9"/>
    <w:semiHidden/>
    <w:rsid w:val="00A07B3A"/>
    <w:rPr>
      <w:rFonts w:asciiTheme="majorHAnsi" w:eastAsiaTheme="majorEastAsia" w:hAnsiTheme="majorHAnsi" w:cstheme="majorBidi"/>
      <w:b/>
      <w:bCs/>
      <w:color w:val="4F81BD" w:themeColor="accent1"/>
      <w:sz w:val="26"/>
      <w:szCs w:val="26"/>
    </w:rPr>
  </w:style>
  <w:style w:type="character" w:customStyle="1" w:styleId="searchword">
    <w:name w:val="searchword"/>
    <w:basedOn w:val="DefaultParagraphFont"/>
    <w:rsid w:val="00A07B3A"/>
  </w:style>
  <w:style w:type="character" w:customStyle="1" w:styleId="apple-converted-space">
    <w:name w:val="apple-converted-space"/>
    <w:basedOn w:val="DefaultParagraphFont"/>
    <w:rsid w:val="00A07B3A"/>
  </w:style>
  <w:style w:type="paragraph" w:customStyle="1" w:styleId="Default">
    <w:name w:val="Default"/>
    <w:rsid w:val="00A07B3A"/>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CD15FC"/>
    <w:rPr>
      <w:i/>
      <w:iCs/>
    </w:rPr>
  </w:style>
  <w:style w:type="character" w:customStyle="1" w:styleId="economics-e-m">
    <w:name w:val="economics-e-m"/>
    <w:basedOn w:val="DefaultParagraphFont"/>
    <w:rsid w:val="00CD15FC"/>
  </w:style>
  <w:style w:type="paragraph" w:styleId="Bibliography">
    <w:name w:val="Bibliography"/>
    <w:basedOn w:val="Normal"/>
    <w:next w:val="Normal"/>
    <w:uiPriority w:val="37"/>
    <w:unhideWhenUsed/>
    <w:rsid w:val="00202D92"/>
  </w:style>
  <w:style w:type="paragraph" w:styleId="NormalWeb">
    <w:name w:val="Normal (Web)"/>
    <w:basedOn w:val="Normal"/>
    <w:uiPriority w:val="99"/>
    <w:unhideWhenUsed/>
    <w:rsid w:val="00E30669"/>
    <w:pPr>
      <w:spacing w:before="100" w:beforeAutospacing="1" w:after="100" w:afterAutospacing="1"/>
    </w:pPr>
    <w:rPr>
      <w:rFonts w:eastAsia="Times New Roman" w:cs="Times New Roman"/>
      <w:szCs w:val="24"/>
      <w:lang w:eastAsia="hr-HR"/>
    </w:rPr>
  </w:style>
  <w:style w:type="character" w:styleId="Strong">
    <w:name w:val="Strong"/>
    <w:basedOn w:val="DefaultParagraphFont"/>
    <w:uiPriority w:val="22"/>
    <w:qFormat/>
    <w:rsid w:val="00C723A6"/>
    <w:rPr>
      <w:b/>
      <w:bCs/>
    </w:rPr>
  </w:style>
  <w:style w:type="character" w:customStyle="1" w:styleId="meta">
    <w:name w:val="meta"/>
    <w:basedOn w:val="DefaultParagraphFont"/>
    <w:rsid w:val="00114D0F"/>
  </w:style>
  <w:style w:type="character" w:styleId="FollowedHyperlink">
    <w:name w:val="FollowedHyperlink"/>
    <w:basedOn w:val="DefaultParagraphFont"/>
    <w:uiPriority w:val="99"/>
    <w:semiHidden/>
    <w:unhideWhenUsed/>
    <w:rsid w:val="00114D0F"/>
    <w:rPr>
      <w:color w:val="800080" w:themeColor="followedHyperlink"/>
      <w:u w:val="single"/>
    </w:rPr>
  </w:style>
  <w:style w:type="character" w:customStyle="1" w:styleId="marclinepart">
    <w:name w:val="marclinepart"/>
    <w:basedOn w:val="DefaultParagraphFont"/>
    <w:rsid w:val="00D95547"/>
  </w:style>
  <w:style w:type="table" w:styleId="TableGrid">
    <w:name w:val="Table Grid"/>
    <w:basedOn w:val="TableNormal"/>
    <w:uiPriority w:val="59"/>
    <w:rsid w:val="00BD57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B1E0E"/>
    <w:pPr>
      <w:tabs>
        <w:tab w:val="center" w:pos="4680"/>
        <w:tab w:val="right" w:pos="9360"/>
      </w:tabs>
    </w:pPr>
  </w:style>
  <w:style w:type="character" w:customStyle="1" w:styleId="HeaderChar">
    <w:name w:val="Header Char"/>
    <w:basedOn w:val="DefaultParagraphFont"/>
    <w:link w:val="Header"/>
    <w:uiPriority w:val="99"/>
    <w:rsid w:val="001B1E0E"/>
    <w:rPr>
      <w:rFonts w:ascii="Times New Roman" w:hAnsi="Times New Roman"/>
      <w:sz w:val="24"/>
    </w:rPr>
  </w:style>
  <w:style w:type="paragraph" w:styleId="Footer">
    <w:name w:val="footer"/>
    <w:basedOn w:val="Normal"/>
    <w:link w:val="FooterChar"/>
    <w:uiPriority w:val="99"/>
    <w:unhideWhenUsed/>
    <w:rsid w:val="001B1E0E"/>
    <w:pPr>
      <w:tabs>
        <w:tab w:val="center" w:pos="4680"/>
        <w:tab w:val="right" w:pos="9360"/>
      </w:tabs>
    </w:pPr>
  </w:style>
  <w:style w:type="character" w:customStyle="1" w:styleId="FooterChar">
    <w:name w:val="Footer Char"/>
    <w:basedOn w:val="DefaultParagraphFont"/>
    <w:link w:val="Footer"/>
    <w:uiPriority w:val="99"/>
    <w:rsid w:val="001B1E0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214210">
      <w:bodyDiv w:val="1"/>
      <w:marLeft w:val="0"/>
      <w:marRight w:val="0"/>
      <w:marTop w:val="0"/>
      <w:marBottom w:val="0"/>
      <w:divBdr>
        <w:top w:val="none" w:sz="0" w:space="0" w:color="auto"/>
        <w:left w:val="none" w:sz="0" w:space="0" w:color="auto"/>
        <w:bottom w:val="none" w:sz="0" w:space="0" w:color="auto"/>
        <w:right w:val="none" w:sz="0" w:space="0" w:color="auto"/>
      </w:divBdr>
    </w:div>
    <w:div w:id="814030502">
      <w:bodyDiv w:val="1"/>
      <w:marLeft w:val="0"/>
      <w:marRight w:val="0"/>
      <w:marTop w:val="0"/>
      <w:marBottom w:val="0"/>
      <w:divBdr>
        <w:top w:val="none" w:sz="0" w:space="0" w:color="auto"/>
        <w:left w:val="none" w:sz="0" w:space="0" w:color="auto"/>
        <w:bottom w:val="none" w:sz="0" w:space="0" w:color="auto"/>
        <w:right w:val="none" w:sz="0" w:space="0" w:color="auto"/>
      </w:divBdr>
    </w:div>
    <w:div w:id="845437075">
      <w:bodyDiv w:val="1"/>
      <w:marLeft w:val="0"/>
      <w:marRight w:val="0"/>
      <w:marTop w:val="0"/>
      <w:marBottom w:val="0"/>
      <w:divBdr>
        <w:top w:val="none" w:sz="0" w:space="0" w:color="auto"/>
        <w:left w:val="none" w:sz="0" w:space="0" w:color="auto"/>
        <w:bottom w:val="none" w:sz="0" w:space="0" w:color="auto"/>
        <w:right w:val="none" w:sz="0" w:space="0" w:color="auto"/>
      </w:divBdr>
    </w:div>
    <w:div w:id="888372883">
      <w:bodyDiv w:val="1"/>
      <w:marLeft w:val="0"/>
      <w:marRight w:val="0"/>
      <w:marTop w:val="0"/>
      <w:marBottom w:val="0"/>
      <w:divBdr>
        <w:top w:val="none" w:sz="0" w:space="0" w:color="auto"/>
        <w:left w:val="none" w:sz="0" w:space="0" w:color="auto"/>
        <w:bottom w:val="none" w:sz="0" w:space="0" w:color="auto"/>
        <w:right w:val="none" w:sz="0" w:space="0" w:color="auto"/>
      </w:divBdr>
    </w:div>
    <w:div w:id="931820674">
      <w:bodyDiv w:val="1"/>
      <w:marLeft w:val="0"/>
      <w:marRight w:val="0"/>
      <w:marTop w:val="0"/>
      <w:marBottom w:val="0"/>
      <w:divBdr>
        <w:top w:val="none" w:sz="0" w:space="0" w:color="auto"/>
        <w:left w:val="none" w:sz="0" w:space="0" w:color="auto"/>
        <w:bottom w:val="none" w:sz="0" w:space="0" w:color="auto"/>
        <w:right w:val="none" w:sz="0" w:space="0" w:color="auto"/>
      </w:divBdr>
    </w:div>
    <w:div w:id="979070799">
      <w:bodyDiv w:val="1"/>
      <w:marLeft w:val="0"/>
      <w:marRight w:val="0"/>
      <w:marTop w:val="0"/>
      <w:marBottom w:val="0"/>
      <w:divBdr>
        <w:top w:val="none" w:sz="0" w:space="0" w:color="auto"/>
        <w:left w:val="none" w:sz="0" w:space="0" w:color="auto"/>
        <w:bottom w:val="none" w:sz="0" w:space="0" w:color="auto"/>
        <w:right w:val="none" w:sz="0" w:space="0" w:color="auto"/>
      </w:divBdr>
    </w:div>
    <w:div w:id="1144933509">
      <w:bodyDiv w:val="1"/>
      <w:marLeft w:val="0"/>
      <w:marRight w:val="0"/>
      <w:marTop w:val="0"/>
      <w:marBottom w:val="0"/>
      <w:divBdr>
        <w:top w:val="none" w:sz="0" w:space="0" w:color="auto"/>
        <w:left w:val="none" w:sz="0" w:space="0" w:color="auto"/>
        <w:bottom w:val="none" w:sz="0" w:space="0" w:color="auto"/>
        <w:right w:val="none" w:sz="0" w:space="0" w:color="auto"/>
      </w:divBdr>
    </w:div>
    <w:div w:id="1398210578">
      <w:bodyDiv w:val="1"/>
      <w:marLeft w:val="0"/>
      <w:marRight w:val="0"/>
      <w:marTop w:val="0"/>
      <w:marBottom w:val="0"/>
      <w:divBdr>
        <w:top w:val="none" w:sz="0" w:space="0" w:color="auto"/>
        <w:left w:val="none" w:sz="0" w:space="0" w:color="auto"/>
        <w:bottom w:val="none" w:sz="0" w:space="0" w:color="auto"/>
        <w:right w:val="none" w:sz="0" w:space="0" w:color="auto"/>
      </w:divBdr>
      <w:divsChild>
        <w:div w:id="909921428">
          <w:marLeft w:val="0"/>
          <w:marRight w:val="0"/>
          <w:marTop w:val="0"/>
          <w:marBottom w:val="0"/>
          <w:divBdr>
            <w:top w:val="none" w:sz="0" w:space="0" w:color="auto"/>
            <w:left w:val="none" w:sz="0" w:space="0" w:color="auto"/>
            <w:bottom w:val="none" w:sz="0" w:space="0" w:color="auto"/>
            <w:right w:val="none" w:sz="0" w:space="0" w:color="auto"/>
          </w:divBdr>
          <w:divsChild>
            <w:div w:id="864248767">
              <w:marLeft w:val="0"/>
              <w:marRight w:val="0"/>
              <w:marTop w:val="0"/>
              <w:marBottom w:val="0"/>
              <w:divBdr>
                <w:top w:val="none" w:sz="0" w:space="0" w:color="auto"/>
                <w:left w:val="none" w:sz="0" w:space="0" w:color="auto"/>
                <w:bottom w:val="none" w:sz="0" w:space="0" w:color="auto"/>
                <w:right w:val="none" w:sz="0" w:space="0" w:color="auto"/>
              </w:divBdr>
            </w:div>
          </w:divsChild>
        </w:div>
        <w:div w:id="1924947315">
          <w:marLeft w:val="0"/>
          <w:marRight w:val="0"/>
          <w:marTop w:val="0"/>
          <w:marBottom w:val="0"/>
          <w:divBdr>
            <w:top w:val="none" w:sz="0" w:space="0" w:color="auto"/>
            <w:left w:val="none" w:sz="0" w:space="0" w:color="auto"/>
            <w:bottom w:val="none" w:sz="0" w:space="0" w:color="auto"/>
            <w:right w:val="none" w:sz="0" w:space="0" w:color="auto"/>
          </w:divBdr>
        </w:div>
      </w:divsChild>
    </w:div>
    <w:div w:id="1471170008">
      <w:bodyDiv w:val="1"/>
      <w:marLeft w:val="0"/>
      <w:marRight w:val="0"/>
      <w:marTop w:val="0"/>
      <w:marBottom w:val="0"/>
      <w:divBdr>
        <w:top w:val="none" w:sz="0" w:space="0" w:color="auto"/>
        <w:left w:val="none" w:sz="0" w:space="0" w:color="auto"/>
        <w:bottom w:val="none" w:sz="0" w:space="0" w:color="auto"/>
        <w:right w:val="none" w:sz="0" w:space="0" w:color="auto"/>
      </w:divBdr>
    </w:div>
    <w:div w:id="1472946567">
      <w:bodyDiv w:val="1"/>
      <w:marLeft w:val="0"/>
      <w:marRight w:val="0"/>
      <w:marTop w:val="0"/>
      <w:marBottom w:val="0"/>
      <w:divBdr>
        <w:top w:val="none" w:sz="0" w:space="0" w:color="auto"/>
        <w:left w:val="none" w:sz="0" w:space="0" w:color="auto"/>
        <w:bottom w:val="none" w:sz="0" w:space="0" w:color="auto"/>
        <w:right w:val="none" w:sz="0" w:space="0" w:color="auto"/>
      </w:divBdr>
    </w:div>
    <w:div w:id="1561480374">
      <w:bodyDiv w:val="1"/>
      <w:marLeft w:val="0"/>
      <w:marRight w:val="0"/>
      <w:marTop w:val="0"/>
      <w:marBottom w:val="0"/>
      <w:divBdr>
        <w:top w:val="none" w:sz="0" w:space="0" w:color="auto"/>
        <w:left w:val="none" w:sz="0" w:space="0" w:color="auto"/>
        <w:bottom w:val="none" w:sz="0" w:space="0" w:color="auto"/>
        <w:right w:val="none" w:sz="0" w:space="0" w:color="auto"/>
      </w:divBdr>
    </w:div>
    <w:div w:id="1748115130">
      <w:bodyDiv w:val="1"/>
      <w:marLeft w:val="0"/>
      <w:marRight w:val="0"/>
      <w:marTop w:val="0"/>
      <w:marBottom w:val="0"/>
      <w:divBdr>
        <w:top w:val="none" w:sz="0" w:space="0" w:color="auto"/>
        <w:left w:val="none" w:sz="0" w:space="0" w:color="auto"/>
        <w:bottom w:val="none" w:sz="0" w:space="0" w:color="auto"/>
        <w:right w:val="none" w:sz="0" w:space="0" w:color="auto"/>
      </w:divBdr>
    </w:div>
    <w:div w:id="1981304127">
      <w:bodyDiv w:val="1"/>
      <w:marLeft w:val="0"/>
      <w:marRight w:val="0"/>
      <w:marTop w:val="0"/>
      <w:marBottom w:val="0"/>
      <w:divBdr>
        <w:top w:val="none" w:sz="0" w:space="0" w:color="auto"/>
        <w:left w:val="none" w:sz="0" w:space="0" w:color="auto"/>
        <w:bottom w:val="none" w:sz="0" w:space="0" w:color="auto"/>
        <w:right w:val="none" w:sz="0" w:space="0" w:color="auto"/>
      </w:divBdr>
      <w:divsChild>
        <w:div w:id="132410488">
          <w:marLeft w:val="0"/>
          <w:marRight w:val="0"/>
          <w:marTop w:val="0"/>
          <w:marBottom w:val="0"/>
          <w:divBdr>
            <w:top w:val="none" w:sz="0" w:space="0" w:color="auto"/>
            <w:left w:val="none" w:sz="0" w:space="0" w:color="auto"/>
            <w:bottom w:val="none" w:sz="0" w:space="0" w:color="auto"/>
            <w:right w:val="none" w:sz="0" w:space="0" w:color="auto"/>
          </w:divBdr>
          <w:divsChild>
            <w:div w:id="254092704">
              <w:marLeft w:val="0"/>
              <w:marRight w:val="0"/>
              <w:marTop w:val="0"/>
              <w:marBottom w:val="0"/>
              <w:divBdr>
                <w:top w:val="none" w:sz="0" w:space="0" w:color="auto"/>
                <w:left w:val="none" w:sz="0" w:space="0" w:color="auto"/>
                <w:bottom w:val="none" w:sz="0" w:space="0" w:color="auto"/>
                <w:right w:val="none" w:sz="0" w:space="0" w:color="auto"/>
              </w:divBdr>
            </w:div>
          </w:divsChild>
        </w:div>
        <w:div w:id="13283615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s>
</file>

<file path=word/_rels/footnotes.xml.rels><?xml version="1.0" encoding="UTF-8" standalone="yes"?>
<Relationships xmlns="http://schemas.openxmlformats.org/package/2006/relationships"><Relationship Id="rId2" Type="http://schemas.openxmlformats.org/officeDocument/2006/relationships/hyperlink" Target="mailto:gorank@fthm.hr" TargetMode="External"/><Relationship Id="rId1" Type="http://schemas.openxmlformats.org/officeDocument/2006/relationships/hyperlink" Target="mailto:gjosevska@gmail.co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Project%20Professional%202007\Office%20Project%20Professional%202007%20(English)\Templates\1033\Knjige\Clanci2\REDETE\Izracuni\Broj%20banaka%20po%20vlasni&#353;tvu.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Project%20Professional%202007\Office%20Project%20Professional%202007%20(English)\Templates\1033\Knjige\Clanci2\REDETE\Izracuni\Krediti%20nefinancijskom%20sektoru%20-%20trg%20drustvima%20makedonij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r-HR"/>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plotArea>
      <c:layout>
        <c:manualLayout>
          <c:layoutTarget val="inner"/>
          <c:xMode val="edge"/>
          <c:yMode val="edge"/>
          <c:x val="0.10804291509015919"/>
          <c:y val="6.5289442986293383E-2"/>
          <c:w val="0.61273630568906157"/>
          <c:h val="0.78669523370428296"/>
        </c:manualLayout>
      </c:layout>
      <c:lineChart>
        <c:grouping val="standard"/>
        <c:varyColors val="0"/>
        <c:ser>
          <c:idx val="1"/>
          <c:order val="0"/>
          <c:tx>
            <c:strRef>
              <c:f>Sheet1!$B$18</c:f>
              <c:strCache>
                <c:ptCount val="1"/>
                <c:pt idx="0">
                  <c:v>Domestic private banks CRO</c:v>
                </c:pt>
              </c:strCache>
            </c:strRef>
          </c:tx>
          <c:spPr>
            <a:ln>
              <a:solidFill>
                <a:schemeClr val="tx2">
                  <a:lumMod val="60000"/>
                  <a:lumOff val="40000"/>
                </a:schemeClr>
              </a:solidFill>
            </a:ln>
          </c:spPr>
          <c:marker>
            <c:symbol val="none"/>
          </c:marker>
          <c:cat>
            <c:numRef>
              <c:f>Sheet1!$C$17:$K$17</c:f>
              <c:numCache>
                <c:formatCode>General</c:formatCode>
                <c:ptCount val="9"/>
                <c:pt idx="0">
                  <c:v>2003</c:v>
                </c:pt>
                <c:pt idx="1">
                  <c:v>2004</c:v>
                </c:pt>
                <c:pt idx="2">
                  <c:v>2005</c:v>
                </c:pt>
                <c:pt idx="3">
                  <c:v>2006</c:v>
                </c:pt>
                <c:pt idx="4">
                  <c:v>2007</c:v>
                </c:pt>
                <c:pt idx="5">
                  <c:v>2008</c:v>
                </c:pt>
                <c:pt idx="6">
                  <c:v>2009</c:v>
                </c:pt>
                <c:pt idx="7">
                  <c:v>2010</c:v>
                </c:pt>
                <c:pt idx="8">
                  <c:v>2011</c:v>
                </c:pt>
              </c:numCache>
            </c:numRef>
          </c:cat>
          <c:val>
            <c:numRef>
              <c:f>Sheet1!$C$18:$K$18</c:f>
              <c:numCache>
                <c:formatCode>General</c:formatCode>
                <c:ptCount val="9"/>
                <c:pt idx="0">
                  <c:v>20</c:v>
                </c:pt>
                <c:pt idx="1">
                  <c:v>20</c:v>
                </c:pt>
                <c:pt idx="2">
                  <c:v>18</c:v>
                </c:pt>
                <c:pt idx="3">
                  <c:v>16</c:v>
                </c:pt>
                <c:pt idx="4">
                  <c:v>15</c:v>
                </c:pt>
                <c:pt idx="5">
                  <c:v>16</c:v>
                </c:pt>
                <c:pt idx="6">
                  <c:v>17</c:v>
                </c:pt>
                <c:pt idx="7">
                  <c:v>16</c:v>
                </c:pt>
                <c:pt idx="8">
                  <c:v>13</c:v>
                </c:pt>
              </c:numCache>
            </c:numRef>
          </c:val>
          <c:smooth val="0"/>
        </c:ser>
        <c:ser>
          <c:idx val="2"/>
          <c:order val="1"/>
          <c:tx>
            <c:strRef>
              <c:f>Sheet1!$B$19</c:f>
              <c:strCache>
                <c:ptCount val="1"/>
                <c:pt idx="0">
                  <c:v>State owned banks CRO</c:v>
                </c:pt>
              </c:strCache>
            </c:strRef>
          </c:tx>
          <c:spPr>
            <a:ln>
              <a:solidFill>
                <a:schemeClr val="accent5">
                  <a:lumMod val="60000"/>
                  <a:lumOff val="40000"/>
                </a:schemeClr>
              </a:solidFill>
            </a:ln>
          </c:spPr>
          <c:marker>
            <c:symbol val="none"/>
          </c:marker>
          <c:cat>
            <c:numRef>
              <c:f>Sheet1!$C$17:$K$17</c:f>
              <c:numCache>
                <c:formatCode>General</c:formatCode>
                <c:ptCount val="9"/>
                <c:pt idx="0">
                  <c:v>2003</c:v>
                </c:pt>
                <c:pt idx="1">
                  <c:v>2004</c:v>
                </c:pt>
                <c:pt idx="2">
                  <c:v>2005</c:v>
                </c:pt>
                <c:pt idx="3">
                  <c:v>2006</c:v>
                </c:pt>
                <c:pt idx="4">
                  <c:v>2007</c:v>
                </c:pt>
                <c:pt idx="5">
                  <c:v>2008</c:v>
                </c:pt>
                <c:pt idx="6">
                  <c:v>2009</c:v>
                </c:pt>
                <c:pt idx="7">
                  <c:v>2010</c:v>
                </c:pt>
                <c:pt idx="8">
                  <c:v>2011</c:v>
                </c:pt>
              </c:numCache>
            </c:numRef>
          </c:cat>
          <c:val>
            <c:numRef>
              <c:f>Sheet1!$C$19:$K$19</c:f>
              <c:numCache>
                <c:formatCode>General</c:formatCode>
                <c:ptCount val="9"/>
                <c:pt idx="0">
                  <c:v>2</c:v>
                </c:pt>
                <c:pt idx="1">
                  <c:v>2</c:v>
                </c:pt>
                <c:pt idx="2">
                  <c:v>2</c:v>
                </c:pt>
                <c:pt idx="3">
                  <c:v>2</c:v>
                </c:pt>
                <c:pt idx="4">
                  <c:v>2</c:v>
                </c:pt>
                <c:pt idx="5">
                  <c:v>2</c:v>
                </c:pt>
                <c:pt idx="6">
                  <c:v>2</c:v>
                </c:pt>
                <c:pt idx="7">
                  <c:v>2</c:v>
                </c:pt>
                <c:pt idx="8">
                  <c:v>2</c:v>
                </c:pt>
              </c:numCache>
            </c:numRef>
          </c:val>
          <c:smooth val="0"/>
        </c:ser>
        <c:ser>
          <c:idx val="3"/>
          <c:order val="2"/>
          <c:tx>
            <c:strRef>
              <c:f>Sheet1!$B$20</c:f>
              <c:strCache>
                <c:ptCount val="1"/>
                <c:pt idx="0">
                  <c:v>Foreign banks CRO</c:v>
                </c:pt>
              </c:strCache>
            </c:strRef>
          </c:tx>
          <c:spPr>
            <a:ln>
              <a:solidFill>
                <a:schemeClr val="tx2">
                  <a:lumMod val="75000"/>
                </a:schemeClr>
              </a:solidFill>
            </a:ln>
          </c:spPr>
          <c:marker>
            <c:symbol val="none"/>
          </c:marker>
          <c:cat>
            <c:numRef>
              <c:f>Sheet1!$C$17:$K$17</c:f>
              <c:numCache>
                <c:formatCode>General</c:formatCode>
                <c:ptCount val="9"/>
                <c:pt idx="0">
                  <c:v>2003</c:v>
                </c:pt>
                <c:pt idx="1">
                  <c:v>2004</c:v>
                </c:pt>
                <c:pt idx="2">
                  <c:v>2005</c:v>
                </c:pt>
                <c:pt idx="3">
                  <c:v>2006</c:v>
                </c:pt>
                <c:pt idx="4">
                  <c:v>2007</c:v>
                </c:pt>
                <c:pt idx="5">
                  <c:v>2008</c:v>
                </c:pt>
                <c:pt idx="6">
                  <c:v>2009</c:v>
                </c:pt>
                <c:pt idx="7">
                  <c:v>2010</c:v>
                </c:pt>
                <c:pt idx="8">
                  <c:v>2011</c:v>
                </c:pt>
              </c:numCache>
            </c:numRef>
          </c:cat>
          <c:val>
            <c:numRef>
              <c:f>Sheet1!$C$20:$K$20</c:f>
              <c:numCache>
                <c:formatCode>General</c:formatCode>
                <c:ptCount val="9"/>
                <c:pt idx="0">
                  <c:v>19</c:v>
                </c:pt>
                <c:pt idx="1">
                  <c:v>15</c:v>
                </c:pt>
                <c:pt idx="2">
                  <c:v>14</c:v>
                </c:pt>
                <c:pt idx="3">
                  <c:v>15</c:v>
                </c:pt>
                <c:pt idx="4">
                  <c:v>16</c:v>
                </c:pt>
                <c:pt idx="5">
                  <c:v>16</c:v>
                </c:pt>
                <c:pt idx="6">
                  <c:v>15</c:v>
                </c:pt>
                <c:pt idx="7">
                  <c:v>16</c:v>
                </c:pt>
                <c:pt idx="8">
                  <c:v>17</c:v>
                </c:pt>
              </c:numCache>
            </c:numRef>
          </c:val>
          <c:smooth val="0"/>
        </c:ser>
        <c:ser>
          <c:idx val="4"/>
          <c:order val="3"/>
          <c:tx>
            <c:strRef>
              <c:f>Sheet1!$B$21</c:f>
              <c:strCache>
                <c:ptCount val="1"/>
                <c:pt idx="0">
                  <c:v>Domestic private banks FYROM</c:v>
                </c:pt>
              </c:strCache>
            </c:strRef>
          </c:tx>
          <c:spPr>
            <a:ln>
              <a:solidFill>
                <a:srgbClr val="CC00FF"/>
              </a:solidFill>
            </a:ln>
          </c:spPr>
          <c:marker>
            <c:symbol val="none"/>
          </c:marker>
          <c:cat>
            <c:numRef>
              <c:f>Sheet1!$C$17:$K$17</c:f>
              <c:numCache>
                <c:formatCode>General</c:formatCode>
                <c:ptCount val="9"/>
                <c:pt idx="0">
                  <c:v>2003</c:v>
                </c:pt>
                <c:pt idx="1">
                  <c:v>2004</c:v>
                </c:pt>
                <c:pt idx="2">
                  <c:v>2005</c:v>
                </c:pt>
                <c:pt idx="3">
                  <c:v>2006</c:v>
                </c:pt>
                <c:pt idx="4">
                  <c:v>2007</c:v>
                </c:pt>
                <c:pt idx="5">
                  <c:v>2008</c:v>
                </c:pt>
                <c:pt idx="6">
                  <c:v>2009</c:v>
                </c:pt>
                <c:pt idx="7">
                  <c:v>2010</c:v>
                </c:pt>
                <c:pt idx="8">
                  <c:v>2011</c:v>
                </c:pt>
              </c:numCache>
            </c:numRef>
          </c:cat>
          <c:val>
            <c:numRef>
              <c:f>Sheet1!$C$21:$K$21</c:f>
              <c:numCache>
                <c:formatCode>General</c:formatCode>
                <c:ptCount val="9"/>
                <c:pt idx="0">
                  <c:v>12</c:v>
                </c:pt>
                <c:pt idx="1">
                  <c:v>12</c:v>
                </c:pt>
                <c:pt idx="2">
                  <c:v>11</c:v>
                </c:pt>
                <c:pt idx="3">
                  <c:v>10</c:v>
                </c:pt>
                <c:pt idx="4">
                  <c:v>9</c:v>
                </c:pt>
                <c:pt idx="5">
                  <c:v>9</c:v>
                </c:pt>
                <c:pt idx="6">
                  <c:v>9</c:v>
                </c:pt>
                <c:pt idx="7">
                  <c:v>9</c:v>
                </c:pt>
                <c:pt idx="8">
                  <c:v>8</c:v>
                </c:pt>
              </c:numCache>
            </c:numRef>
          </c:val>
          <c:smooth val="0"/>
        </c:ser>
        <c:ser>
          <c:idx val="5"/>
          <c:order val="4"/>
          <c:tx>
            <c:strRef>
              <c:f>Sheet1!$B$22</c:f>
              <c:strCache>
                <c:ptCount val="1"/>
                <c:pt idx="0">
                  <c:v>State owned banks FYROM</c:v>
                </c:pt>
              </c:strCache>
            </c:strRef>
          </c:tx>
          <c:spPr>
            <a:ln>
              <a:solidFill>
                <a:srgbClr val="FF0000"/>
              </a:solidFill>
            </a:ln>
          </c:spPr>
          <c:marker>
            <c:symbol val="none"/>
          </c:marker>
          <c:cat>
            <c:numRef>
              <c:f>Sheet1!$C$17:$K$17</c:f>
              <c:numCache>
                <c:formatCode>General</c:formatCode>
                <c:ptCount val="9"/>
                <c:pt idx="0">
                  <c:v>2003</c:v>
                </c:pt>
                <c:pt idx="1">
                  <c:v>2004</c:v>
                </c:pt>
                <c:pt idx="2">
                  <c:v>2005</c:v>
                </c:pt>
                <c:pt idx="3">
                  <c:v>2006</c:v>
                </c:pt>
                <c:pt idx="4">
                  <c:v>2007</c:v>
                </c:pt>
                <c:pt idx="5">
                  <c:v>2008</c:v>
                </c:pt>
                <c:pt idx="6">
                  <c:v>2009</c:v>
                </c:pt>
                <c:pt idx="7">
                  <c:v>2010</c:v>
                </c:pt>
                <c:pt idx="8">
                  <c:v>2011</c:v>
                </c:pt>
              </c:numCache>
            </c:numRef>
          </c:cat>
          <c:val>
            <c:numRef>
              <c:f>Sheet1!$C$22:$K$22</c:f>
              <c:numCache>
                <c:formatCode>General</c:formatCode>
                <c:ptCount val="9"/>
                <c:pt idx="0">
                  <c:v>1</c:v>
                </c:pt>
                <c:pt idx="1">
                  <c:v>1</c:v>
                </c:pt>
                <c:pt idx="2">
                  <c:v>1</c:v>
                </c:pt>
                <c:pt idx="3">
                  <c:v>1</c:v>
                </c:pt>
                <c:pt idx="4">
                  <c:v>1</c:v>
                </c:pt>
                <c:pt idx="5">
                  <c:v>1</c:v>
                </c:pt>
                <c:pt idx="6">
                  <c:v>1</c:v>
                </c:pt>
                <c:pt idx="7">
                  <c:v>1</c:v>
                </c:pt>
                <c:pt idx="8">
                  <c:v>1</c:v>
                </c:pt>
              </c:numCache>
            </c:numRef>
          </c:val>
          <c:smooth val="0"/>
        </c:ser>
        <c:ser>
          <c:idx val="6"/>
          <c:order val="5"/>
          <c:tx>
            <c:strRef>
              <c:f>Sheet1!$B$23</c:f>
              <c:strCache>
                <c:ptCount val="1"/>
                <c:pt idx="0">
                  <c:v>Foreign banks FYROM</c:v>
                </c:pt>
              </c:strCache>
            </c:strRef>
          </c:tx>
          <c:spPr>
            <a:ln>
              <a:solidFill>
                <a:srgbClr val="FF9999"/>
              </a:solidFill>
            </a:ln>
          </c:spPr>
          <c:marker>
            <c:symbol val="none"/>
          </c:marker>
          <c:cat>
            <c:numRef>
              <c:f>Sheet1!$C$17:$K$17</c:f>
              <c:numCache>
                <c:formatCode>General</c:formatCode>
                <c:ptCount val="9"/>
                <c:pt idx="0">
                  <c:v>2003</c:v>
                </c:pt>
                <c:pt idx="1">
                  <c:v>2004</c:v>
                </c:pt>
                <c:pt idx="2">
                  <c:v>2005</c:v>
                </c:pt>
                <c:pt idx="3">
                  <c:v>2006</c:v>
                </c:pt>
                <c:pt idx="4">
                  <c:v>2007</c:v>
                </c:pt>
                <c:pt idx="5">
                  <c:v>2008</c:v>
                </c:pt>
                <c:pt idx="6">
                  <c:v>2009</c:v>
                </c:pt>
                <c:pt idx="7">
                  <c:v>2010</c:v>
                </c:pt>
                <c:pt idx="8">
                  <c:v>2011</c:v>
                </c:pt>
              </c:numCache>
            </c:numRef>
          </c:cat>
          <c:val>
            <c:numRef>
              <c:f>Sheet1!$C$23:$K$23</c:f>
              <c:numCache>
                <c:formatCode>General</c:formatCode>
                <c:ptCount val="9"/>
                <c:pt idx="0">
                  <c:v>8</c:v>
                </c:pt>
                <c:pt idx="1">
                  <c:v>8</c:v>
                </c:pt>
                <c:pt idx="2">
                  <c:v>8</c:v>
                </c:pt>
                <c:pt idx="3">
                  <c:v>8</c:v>
                </c:pt>
                <c:pt idx="4">
                  <c:v>8</c:v>
                </c:pt>
                <c:pt idx="5">
                  <c:v>8</c:v>
                </c:pt>
                <c:pt idx="6">
                  <c:v>8</c:v>
                </c:pt>
                <c:pt idx="7">
                  <c:v>8</c:v>
                </c:pt>
                <c:pt idx="8">
                  <c:v>8</c:v>
                </c:pt>
              </c:numCache>
            </c:numRef>
          </c:val>
          <c:smooth val="0"/>
        </c:ser>
        <c:dLbls>
          <c:showLegendKey val="0"/>
          <c:showVal val="0"/>
          <c:showCatName val="0"/>
          <c:showSerName val="0"/>
          <c:showPercent val="0"/>
          <c:showBubbleSize val="0"/>
        </c:dLbls>
        <c:marker val="1"/>
        <c:smooth val="0"/>
        <c:axId val="144299520"/>
        <c:axId val="44734080"/>
      </c:lineChart>
      <c:catAx>
        <c:axId val="144299520"/>
        <c:scaling>
          <c:orientation val="minMax"/>
        </c:scaling>
        <c:delete val="0"/>
        <c:axPos val="b"/>
        <c:title>
          <c:tx>
            <c:rich>
              <a:bodyPr/>
              <a:lstStyle/>
              <a:p>
                <a:pPr>
                  <a:defRPr b="0"/>
                </a:pPr>
                <a:r>
                  <a:rPr lang="hr-HR" b="0"/>
                  <a:t>Year</a:t>
                </a:r>
              </a:p>
            </c:rich>
          </c:tx>
          <c:overlay val="0"/>
        </c:title>
        <c:numFmt formatCode="General" sourceLinked="1"/>
        <c:majorTickMark val="out"/>
        <c:minorTickMark val="none"/>
        <c:tickLblPos val="nextTo"/>
        <c:crossAx val="44734080"/>
        <c:crosses val="autoZero"/>
        <c:auto val="1"/>
        <c:lblAlgn val="ctr"/>
        <c:lblOffset val="100"/>
        <c:noMultiLvlLbl val="0"/>
      </c:catAx>
      <c:valAx>
        <c:axId val="44734080"/>
        <c:scaling>
          <c:orientation val="minMax"/>
        </c:scaling>
        <c:delete val="0"/>
        <c:axPos val="l"/>
        <c:majorGridlines/>
        <c:title>
          <c:tx>
            <c:rich>
              <a:bodyPr rot="-5400000" vert="horz"/>
              <a:lstStyle/>
              <a:p>
                <a:pPr>
                  <a:defRPr b="0"/>
                </a:pPr>
                <a:r>
                  <a:rPr lang="hr-HR" b="0"/>
                  <a:t>Number of banks</a:t>
                </a:r>
              </a:p>
            </c:rich>
          </c:tx>
          <c:overlay val="0"/>
        </c:title>
        <c:numFmt formatCode="General" sourceLinked="1"/>
        <c:majorTickMark val="out"/>
        <c:minorTickMark val="none"/>
        <c:tickLblPos val="nextTo"/>
        <c:crossAx val="144299520"/>
        <c:crosses val="autoZero"/>
        <c:crossBetween val="between"/>
        <c:majorUnit val="3"/>
      </c:valAx>
    </c:plotArea>
    <c:legend>
      <c:legendPos val="r"/>
      <c:layout>
        <c:manualLayout>
          <c:xMode val="edge"/>
          <c:yMode val="edge"/>
          <c:x val="0.75324675324675328"/>
          <c:y val="0.11458916593759114"/>
          <c:w val="0.23376623376623376"/>
          <c:h val="0.83563648293963255"/>
        </c:manualLayout>
      </c:layout>
      <c:overlay val="0"/>
    </c:legend>
    <c:plotVisOnly val="1"/>
    <c:dispBlanksAs val="gap"/>
    <c:showDLblsOverMax val="0"/>
  </c:chart>
  <c:txPr>
    <a:bodyPr/>
    <a:lstStyle/>
    <a:p>
      <a:pPr>
        <a:defRPr sz="1100">
          <a:latin typeface="Times New Roman" pitchFamily="18" charset="0"/>
          <a:cs typeface="Times New Roman" pitchFamily="18" charset="0"/>
        </a:defRPr>
      </a:pPr>
      <a:endParaRPr lang="sr-Latn-R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1"/>
          <c:order val="0"/>
          <c:tx>
            <c:strRef>
              <c:f>Sheet1!$A$44</c:f>
              <c:strCache>
                <c:ptCount val="1"/>
                <c:pt idx="0">
                  <c:v>LE in Dollars FYROM</c:v>
                </c:pt>
              </c:strCache>
            </c:strRef>
          </c:tx>
          <c:invertIfNegative val="0"/>
          <c:cat>
            <c:numRef>
              <c:f>Sheet1!$B$40:$J$40</c:f>
              <c:numCache>
                <c:formatCode>General</c:formatCode>
                <c:ptCount val="9"/>
                <c:pt idx="0">
                  <c:v>2003</c:v>
                </c:pt>
                <c:pt idx="1">
                  <c:v>2004</c:v>
                </c:pt>
                <c:pt idx="2">
                  <c:v>2005</c:v>
                </c:pt>
                <c:pt idx="3">
                  <c:v>2006</c:v>
                </c:pt>
                <c:pt idx="4">
                  <c:v>2007</c:v>
                </c:pt>
                <c:pt idx="5">
                  <c:v>2008</c:v>
                </c:pt>
                <c:pt idx="6">
                  <c:v>2009</c:v>
                </c:pt>
                <c:pt idx="7">
                  <c:v>2010</c:v>
                </c:pt>
                <c:pt idx="8">
                  <c:v>2011</c:v>
                </c:pt>
              </c:numCache>
            </c:numRef>
          </c:cat>
          <c:val>
            <c:numRef>
              <c:f>Sheet1!$B$44:$J$44</c:f>
              <c:numCache>
                <c:formatCode>#,##0</c:formatCode>
                <c:ptCount val="9"/>
                <c:pt idx="0">
                  <c:v>7456.9064772532265</c:v>
                </c:pt>
                <c:pt idx="1">
                  <c:v>9470.7676870285704</c:v>
                </c:pt>
                <c:pt idx="2">
                  <c:v>10913.571463368949</c:v>
                </c:pt>
                <c:pt idx="3">
                  <c:v>13184.092378268813</c:v>
                </c:pt>
                <c:pt idx="4">
                  <c:v>18284.939686518952</c:v>
                </c:pt>
                <c:pt idx="5">
                  <c:v>26249.625309755585</c:v>
                </c:pt>
                <c:pt idx="6">
                  <c:v>28215.244974208388</c:v>
                </c:pt>
                <c:pt idx="7">
                  <c:v>28713.07577535681</c:v>
                </c:pt>
                <c:pt idx="8">
                  <c:v>52917.584648262833</c:v>
                </c:pt>
              </c:numCache>
            </c:numRef>
          </c:val>
        </c:ser>
        <c:ser>
          <c:idx val="2"/>
          <c:order val="1"/>
          <c:tx>
            <c:strRef>
              <c:f>Sheet1!$A$49</c:f>
              <c:strCache>
                <c:ptCount val="1"/>
                <c:pt idx="0">
                  <c:v>LH in Dollars FYROM</c:v>
                </c:pt>
              </c:strCache>
            </c:strRef>
          </c:tx>
          <c:invertIfNegative val="0"/>
          <c:cat>
            <c:numRef>
              <c:f>Sheet1!$B$40:$J$40</c:f>
              <c:numCache>
                <c:formatCode>General</c:formatCode>
                <c:ptCount val="9"/>
                <c:pt idx="0">
                  <c:v>2003</c:v>
                </c:pt>
                <c:pt idx="1">
                  <c:v>2004</c:v>
                </c:pt>
                <c:pt idx="2">
                  <c:v>2005</c:v>
                </c:pt>
                <c:pt idx="3">
                  <c:v>2006</c:v>
                </c:pt>
                <c:pt idx="4">
                  <c:v>2007</c:v>
                </c:pt>
                <c:pt idx="5">
                  <c:v>2008</c:v>
                </c:pt>
                <c:pt idx="6">
                  <c:v>2009</c:v>
                </c:pt>
                <c:pt idx="7">
                  <c:v>2010</c:v>
                </c:pt>
                <c:pt idx="8">
                  <c:v>2011</c:v>
                </c:pt>
              </c:numCache>
            </c:numRef>
          </c:cat>
          <c:val>
            <c:numRef>
              <c:f>Sheet1!$B$49:$J$49</c:f>
              <c:numCache>
                <c:formatCode>#,##0</c:formatCode>
                <c:ptCount val="9"/>
                <c:pt idx="0">
                  <c:v>1824.5743650400259</c:v>
                </c:pt>
                <c:pt idx="1">
                  <c:v>3243.335685755721</c:v>
                </c:pt>
                <c:pt idx="2">
                  <c:v>4901.338205234345</c:v>
                </c:pt>
                <c:pt idx="3">
                  <c:v>6792.2131229680745</c:v>
                </c:pt>
                <c:pt idx="4">
                  <c:v>11128.549970871141</c:v>
                </c:pt>
                <c:pt idx="5">
                  <c:v>17799.050263333498</c:v>
                </c:pt>
                <c:pt idx="6">
                  <c:v>19552.375450886979</c:v>
                </c:pt>
                <c:pt idx="7">
                  <c:v>19070.05551965913</c:v>
                </c:pt>
                <c:pt idx="8">
                  <c:v>21447.463392328766</c:v>
                </c:pt>
              </c:numCache>
            </c:numRef>
          </c:val>
        </c:ser>
        <c:ser>
          <c:idx val="3"/>
          <c:order val="2"/>
          <c:tx>
            <c:strRef>
              <c:f>Sheet1!$A$54</c:f>
              <c:strCache>
                <c:ptCount val="1"/>
                <c:pt idx="0">
                  <c:v>LE in Dollars CRO</c:v>
                </c:pt>
              </c:strCache>
            </c:strRef>
          </c:tx>
          <c:invertIfNegative val="0"/>
          <c:cat>
            <c:numRef>
              <c:f>Sheet1!$B$40:$J$40</c:f>
              <c:numCache>
                <c:formatCode>General</c:formatCode>
                <c:ptCount val="9"/>
                <c:pt idx="0">
                  <c:v>2003</c:v>
                </c:pt>
                <c:pt idx="1">
                  <c:v>2004</c:v>
                </c:pt>
                <c:pt idx="2">
                  <c:v>2005</c:v>
                </c:pt>
                <c:pt idx="3">
                  <c:v>2006</c:v>
                </c:pt>
                <c:pt idx="4">
                  <c:v>2007</c:v>
                </c:pt>
                <c:pt idx="5">
                  <c:v>2008</c:v>
                </c:pt>
                <c:pt idx="6">
                  <c:v>2009</c:v>
                </c:pt>
                <c:pt idx="7">
                  <c:v>2010</c:v>
                </c:pt>
                <c:pt idx="8">
                  <c:v>2011</c:v>
                </c:pt>
              </c:numCache>
            </c:numRef>
          </c:cat>
          <c:val>
            <c:numRef>
              <c:f>Sheet1!$B$54:$J$54</c:f>
              <c:numCache>
                <c:formatCode>#,##0</c:formatCode>
                <c:ptCount val="9"/>
                <c:pt idx="0">
                  <c:v>86216.80643090322</c:v>
                </c:pt>
                <c:pt idx="1">
                  <c:v>101187.02832592331</c:v>
                </c:pt>
                <c:pt idx="2">
                  <c:v>114446.94664191332</c:v>
                </c:pt>
                <c:pt idx="3">
                  <c:v>143596.897680472</c:v>
                </c:pt>
                <c:pt idx="4">
                  <c:v>186492.93472951755</c:v>
                </c:pt>
                <c:pt idx="5">
                  <c:v>221128.71532595053</c:v>
                </c:pt>
                <c:pt idx="6">
                  <c:v>222509.44790381283</c:v>
                </c:pt>
                <c:pt idx="7">
                  <c:v>226871.88050470874</c:v>
                </c:pt>
                <c:pt idx="8">
                  <c:v>253552.96131609497</c:v>
                </c:pt>
              </c:numCache>
            </c:numRef>
          </c:val>
        </c:ser>
        <c:ser>
          <c:idx val="4"/>
          <c:order val="3"/>
          <c:tx>
            <c:strRef>
              <c:f>Sheet1!$A$59</c:f>
              <c:strCache>
                <c:ptCount val="1"/>
                <c:pt idx="0">
                  <c:v>LH in Dollars CRO</c:v>
                </c:pt>
              </c:strCache>
            </c:strRef>
          </c:tx>
          <c:invertIfNegative val="0"/>
          <c:cat>
            <c:numRef>
              <c:f>Sheet1!$B$40:$J$40</c:f>
              <c:numCache>
                <c:formatCode>General</c:formatCode>
                <c:ptCount val="9"/>
                <c:pt idx="0">
                  <c:v>2003</c:v>
                </c:pt>
                <c:pt idx="1">
                  <c:v>2004</c:v>
                </c:pt>
                <c:pt idx="2">
                  <c:v>2005</c:v>
                </c:pt>
                <c:pt idx="3">
                  <c:v>2006</c:v>
                </c:pt>
                <c:pt idx="4">
                  <c:v>2007</c:v>
                </c:pt>
                <c:pt idx="5">
                  <c:v>2008</c:v>
                </c:pt>
                <c:pt idx="6">
                  <c:v>2009</c:v>
                </c:pt>
                <c:pt idx="7">
                  <c:v>2010</c:v>
                </c:pt>
                <c:pt idx="8">
                  <c:v>2011</c:v>
                </c:pt>
              </c:numCache>
            </c:numRef>
          </c:cat>
          <c:val>
            <c:numRef>
              <c:f>Sheet1!$B$59:$J$59</c:f>
              <c:numCache>
                <c:formatCode>#,##0</c:formatCode>
                <c:ptCount val="9"/>
                <c:pt idx="0">
                  <c:v>89302.130243026593</c:v>
                </c:pt>
                <c:pt idx="1">
                  <c:v>117417.79907700395</c:v>
                </c:pt>
                <c:pt idx="2">
                  <c:v>143412.34210424367</c:v>
                </c:pt>
                <c:pt idx="3">
                  <c:v>179459.93548161371</c:v>
                </c:pt>
                <c:pt idx="4">
                  <c:v>235841.47418065809</c:v>
                </c:pt>
                <c:pt idx="5">
                  <c:v>291959.75574462191</c:v>
                </c:pt>
                <c:pt idx="6">
                  <c:v>282531.06337281771</c:v>
                </c:pt>
                <c:pt idx="7">
                  <c:v>271009.84574441658</c:v>
                </c:pt>
                <c:pt idx="8">
                  <c:v>287108.60701647901</c:v>
                </c:pt>
              </c:numCache>
            </c:numRef>
          </c:val>
        </c:ser>
        <c:dLbls>
          <c:showLegendKey val="0"/>
          <c:showVal val="0"/>
          <c:showCatName val="0"/>
          <c:showSerName val="0"/>
          <c:showPercent val="0"/>
          <c:showBubbleSize val="0"/>
        </c:dLbls>
        <c:gapWidth val="150"/>
        <c:axId val="141406720"/>
        <c:axId val="77094912"/>
      </c:barChart>
      <c:catAx>
        <c:axId val="141406720"/>
        <c:scaling>
          <c:orientation val="minMax"/>
        </c:scaling>
        <c:delete val="0"/>
        <c:axPos val="b"/>
        <c:numFmt formatCode="General" sourceLinked="1"/>
        <c:majorTickMark val="out"/>
        <c:minorTickMark val="none"/>
        <c:tickLblPos val="nextTo"/>
        <c:crossAx val="77094912"/>
        <c:crosses val="autoZero"/>
        <c:auto val="1"/>
        <c:lblAlgn val="ctr"/>
        <c:lblOffset val="100"/>
        <c:noMultiLvlLbl val="0"/>
      </c:catAx>
      <c:valAx>
        <c:axId val="77094912"/>
        <c:scaling>
          <c:orientation val="minMax"/>
        </c:scaling>
        <c:delete val="0"/>
        <c:axPos val="l"/>
        <c:majorGridlines/>
        <c:title>
          <c:tx>
            <c:rich>
              <a:bodyPr rot="-5400000" vert="horz"/>
              <a:lstStyle/>
              <a:p>
                <a:pPr>
                  <a:defRPr/>
                </a:pPr>
                <a:r>
                  <a:rPr lang="hr-HR"/>
                  <a:t>in Million</a:t>
                </a:r>
                <a:r>
                  <a:rPr lang="hr-HR" baseline="0"/>
                  <a:t> Dollars</a:t>
                </a:r>
                <a:endParaRPr lang="hr-HR"/>
              </a:p>
            </c:rich>
          </c:tx>
          <c:overlay val="0"/>
        </c:title>
        <c:numFmt formatCode="#,##0" sourceLinked="1"/>
        <c:majorTickMark val="out"/>
        <c:minorTickMark val="none"/>
        <c:tickLblPos val="nextTo"/>
        <c:crossAx val="141406720"/>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Alm09</b:Tag>
    <b:SourceType>JournalArticle</b:SourceType>
    <b:Guid>{56363429-F8E2-45CC-A809-46D47C74D2A7}</b:Guid>
    <b:LCID>en-US</b:LCID>
    <b:Title>From Great Depression to Great Credit Crisis: Similarities, Differences and Lessons</b:Title>
    <b:JournalName>NBER Working Paper No. 15524</b:JournalName>
    <b:Year>2009</b:Year>
    <b:Pages>1-57</b:Pages>
    <b:Author>
      <b:Author>
        <b:NameList>
          <b:Person>
            <b:Last>Almunia</b:Last>
            <b:First>Miguel</b:First>
          </b:Person>
          <b:Person>
            <b:Last>Bénétrix</b:Last>
            <b:Middle>S.</b:Middle>
            <b:First>Agustín</b:First>
          </b:Person>
          <b:Person>
            <b:Last>Eicheng</b:Last>
            <b:First>Barry</b:First>
          </b:Person>
          <b:Person>
            <b:Last>O'Rourke</b:Last>
            <b:Middle>H</b:Middle>
            <b:First>Kevin</b:First>
          </b:Person>
          <b:Person>
            <b:Last>Rua</b:Last>
            <b:First>Gisela</b:First>
          </b:Person>
        </b:NameList>
      </b:Author>
    </b:Author>
    <b:Month>November</b:Month>
    <b:RefOrder>3</b:RefOrder>
  </b:Source>
  <b:Source>
    <b:Tag>Aig10</b:Tag>
    <b:SourceType>JournalArticle</b:SourceType>
    <b:Guid>{16BD3D49-B8F8-442B-8B5E-89A78685F11F}</b:Guid>
    <b:Title>The Great Recession vs. the Great Depression: Stylized Facts on Siblings That Were Given Different Foster Parents</b:Title>
    <b:JournalName>Economics</b:JournalName>
    <b:Year>2010</b:Year>
    <b:Pages>1-41</b:Pages>
    <b:Author>
      <b:Author>
        <b:NameList>
          <b:Person>
            <b:Last>Aiginger</b:Last>
            <b:First>Karl</b:First>
          </b:Person>
        </b:NameList>
      </b:Author>
    </b:Author>
    <b:LCID>en-US</b:LCID>
    <b:Volume>4</b:Volume>
    <b:Issue>18</b:Issue>
    <b:RefOrder>4</b:RefOrder>
  </b:Source>
  <b:Source>
    <b:Tag>Cla10</b:Tag>
    <b:SourceType>JournalArticle</b:SourceType>
    <b:Guid>{EBCD117D-743F-41A6-939B-460403D03740}</b:Guid>
    <b:Title>Lessons and Policy Implications from the Global Financial Crisis</b:Title>
    <b:JournalName>IMF Working Paper WP/10/44</b:JournalName>
    <b:Year>2010</b:Year>
    <b:Pages>1-40</b:Pages>
    <b:Author>
      <b:Author>
        <b:NameList>
          <b:Person>
            <b:Last>Claessens</b:Last>
            <b:First>Stijn</b:First>
          </b:Person>
          <b:Person>
            <b:Last>Dell’Ariccia</b:Last>
            <b:First>Giovanni</b:First>
          </b:Person>
          <b:Person>
            <b:Last>Igan</b:Last>
            <b:First>Deniz</b:First>
          </b:Person>
          <b:Person>
            <b:Last>Laeven</b:Last>
            <b:First>Luc</b:First>
          </b:Person>
        </b:NameList>
      </b:Author>
    </b:Author>
    <b:LCID>en-US</b:LCID>
    <b:RefOrder>5</b:RefOrder>
  </b:Source>
  <b:Source>
    <b:Tag>Erk12</b:Tag>
    <b:SourceType>JournalArticle</b:SourceType>
    <b:Guid>{E5FE09CB-1B78-400C-8FEC-E06A3F3B7BAA}</b:Guid>
    <b:Title>Corporate Governance in the 2007-2008 Financial Crisis: Evidence from Financial Institutions Worldwide</b:Title>
    <b:JournalName>Journal of Corporate Finance</b:JournalName>
    <b:Year>2012</b:Year>
    <b:Pages>389-411</b:Pages>
    <b:Author>
      <b:Author>
        <b:NameList>
          <b:Person>
            <b:Last>Erkens</b:Last>
            <b:Middle>H.</b:Middle>
            <b:First>David</b:First>
          </b:Person>
          <b:Person>
            <b:Last>Hung</b:Last>
            <b:First>Mingyi</b:First>
          </b:Person>
          <b:Person>
            <b:Last>Matos</b:Last>
            <b:First>Pedro</b:First>
          </b:Person>
        </b:NameList>
      </b:Author>
    </b:Author>
    <b:Volume>18</b:Volume>
    <b:Issue>2</b:Issue>
    <b:LCID>en-US</b:LCID>
    <b:RefOrder>6</b:RefOrder>
  </b:Source>
  <b:Source>
    <b:Tag>Bex10</b:Tag>
    <b:SourceType>JournalArticle</b:SourceType>
    <b:Guid>{C1243EAF-3C34-4B2E-9EA7-A6B58FE5E601}</b:Guid>
    <b:Title>Anti-Crisis Measures in the Republic of Macedonia and their Effects – Are they Sufficient?  2010 March</b:Title>
    <b:JournalName>Bamberg Economic Research Group on Government and Growth Working Paper Series No. 70 </b:JournalName>
    <b:Year>2010</b:Year>
    <b:Pages>1-30</b:Pages>
    <b:Author>
      <b:Author>
        <b:NameList>
          <b:Person>
            <b:Last>Bexheti</b:Last>
            <b:First>Abdulmenaf</b:First>
          </b:Person>
        </b:NameList>
      </b:Author>
    </b:Author>
    <b:RefOrder>7</b:RefOrder>
  </b:Source>
  <b:Source>
    <b:Tag>Dav10</b:Tag>
    <b:SourceType>JournalArticle</b:SourceType>
    <b:Guid>{DAF694EE-4113-42FF-ADEA-28D5AED54446}</b:Guid>
    <b:Title>Hidden Socks From the Economics Crisis in Macedonia During</b:Title>
    <b:JournalName>Acta Technica Corviniensis – Bulletin of Engineering</b:JournalName>
    <b:Year>2010</b:Year>
    <b:Pages>51-56</b:Pages>
    <b:Author>
      <b:Author>
        <b:NameList>
          <b:Person>
            <b:Last>Davcev</b:Last>
            <b:First>Ljupco</b:First>
          </b:Person>
        </b:NameList>
      </b:Author>
    </b:Author>
    <b:LCID>en-US</b:LCID>
    <b:Volume>4</b:Volume>
    <b:RefOrder>8</b:RefOrder>
  </b:Source>
  <b:Source>
    <b:Tag>Buc11</b:Tag>
    <b:SourceType>JournalArticle</b:SourceType>
    <b:Guid>{50712314-D3E9-4C86-9A41-D9A7D9174C3F}</b:Guid>
    <b:Title>The Role of Remittances in Financial Crisis: Empirical Evidence From Macedonia</b:Title>
    <b:JournalName>Ekonomska istraživanja</b:JournalName>
    <b:Year>2011</b:Year>
    <b:Pages>75-90</b:Pages>
    <b:Author>
      <b:Author>
        <b:NameList>
          <b:Person>
            <b:Last>Bucevska</b:Last>
            <b:First>Vesna</b:First>
          </b:Person>
        </b:NameList>
      </b:Author>
    </b:Author>
    <b:LCID>en-US</b:LCID>
    <b:Volume>24</b:Volume>
    <b:Issue>4</b:Issue>
    <b:RefOrder>9</b:RefOrder>
  </b:Source>
  <b:Source>
    <b:Tag>Rad12</b:Tag>
    <b:SourceType>JournalArticle</b:SourceType>
    <b:Guid>{E910E2C6-0F4D-438F-88CA-DA83926BBB97}</b:Guid>
    <b:LCID>en-US</b:LCID>
    <b:Title>Capital Account Management In Croatia And Debt Crisis In European Monetary Union: A Reappraisal</b:Title>
    <b:JournalName>Ekonomski pregled</b:JournalName>
    <b:Year>2012</b:Year>
    <b:Pages>127-161</b:Pages>
    <b:Author>
      <b:Author>
        <b:NameList>
          <b:Person>
            <b:Last>Radosevic</b:Last>
            <b:First>Dubravko</b:First>
          </b:Person>
        </b:NameList>
      </b:Author>
    </b:Author>
    <b:Volume>63</b:Volume>
    <b:Issue>3-4</b:Issue>
    <b:RefOrder>10</b:RefOrder>
  </b:Source>
  <b:Source>
    <b:Tag>Zik09</b:Tag>
    <b:SourceType>JournalArticle</b:SourceType>
    <b:Guid>{E5E3A0FD-8538-46F5-9C93-222100647D32}</b:Guid>
    <b:Title>Global financial crisis and VaR performance in emerging markets: A case of EU candidate states - Turkey and Croatia</b:Title>
    <b:JournalName>Zbornik radova Ekonomskog fakulteta u Rijeci: casopis za ekonomsku teoriju i praksu</b:JournalName>
    <b:Year>2009</b:Year>
    <b:Pages>149 - 170</b:Pages>
    <b:Author>
      <b:Author>
        <b:NameList>
          <b:Person>
            <b:Last>Zikovic</b:Last>
            <b:First>Sasa</b:First>
          </b:Person>
          <b:Person>
            <b:Last>Aktan</b:Last>
            <b:First>Bora </b:First>
          </b:Person>
        </b:NameList>
      </b:Author>
    </b:Author>
    <b:LCID>en-US</b:LCID>
    <b:Volume>27</b:Volume>
    <b:Issue>1</b:Issue>
    <b:RefOrder>11</b:RefOrder>
  </b:Source>
  <b:Source>
    <b:Tag>Mih09</b:Tag>
    <b:SourceType>JournalArticle</b:SourceType>
    <b:Guid>{2CB28316-7742-4D31-A080-1FAD6584DFAB}</b:Guid>
    <b:Title>The global financial crisis and fiscal policy in Central and Eastern Europe: the 2009 Croatian budget odyssey</b:Title>
    <b:JournalName>Financial Theory and Practice</b:JournalName>
    <b:Year>2009</b:Year>
    <b:Pages>239 - 272</b:Pages>
    <b:Author>
      <b:Author>
        <b:NameList>
          <b:Person>
            <b:Last>Mihaljek</b:Last>
            <b:First>Dubravko</b:First>
          </b:Person>
        </b:NameList>
      </b:Author>
    </b:Author>
    <b:Volume>33</b:Volume>
    <b:Issue>3</b:Issue>
    <b:RefOrder>12</b:RefOrder>
  </b:Source>
  <b:Source>
    <b:Tag>Soh06</b:Tag>
    <b:SourceType>JournalArticle</b:SourceType>
    <b:Guid>{54F8AC9B-1138-49AF-8A55-FC104389EB32}</b:Guid>
    <b:LCID>en-US</b:LCID>
    <b:Title>International Capital Flows and Financial Markets in Transition Economies: The Case of Croatia Sohinger </b:Title>
    <b:JournalName>Other Recent Work, Institute of European Studies, UC Berkeley</b:JournalName>
    <b:Year>2006</b:Year>
    <b:Pages>1-27</b:Pages>
    <b:Author>
      <b:Author>
        <b:NameList>
          <b:Person>
            <b:Last>Sohinger</b:Last>
            <b:First>Jasminka</b:First>
          </b:Person>
          <b:Person>
            <b:Last>Horvatin</b:Last>
            <b:First>Darko</b:First>
          </b:Person>
        </b:NameList>
      </b:Author>
    </b:Author>
    <b:RefOrder>13</b:RefOrder>
  </b:Source>
  <b:Source>
    <b:Tag>Dal021</b:Tag>
    <b:SourceType>JournalArticle</b:SourceType>
    <b:Guid>{07DBE442-2F81-41DB-977A-B9E0CA104B60}</b:Guid>
    <b:Title>Usporedna analiza hrvatskog financijskog sustava i financijskih sustava naprednih tranzicijskih zemalja</b:Title>
    <b:JournalName>Privredna kretanja i ekonomska politika</b:JournalName>
    <b:Year>2002</b:Year>
    <b:Pages>27-52</b:Pages>
    <b:Author>
      <b:Author>
        <b:NameList>
          <b:Person>
            <b:Last>Dalić</b:Last>
            <b:First>Martina</b:First>
          </b:Person>
        </b:NameList>
      </b:Author>
    </b:Author>
    <b:Volume>92</b:Volume>
    <b:RefOrder>14</b:RefOrder>
  </b:Source>
  <b:Source>
    <b:Tag>Tan00</b:Tag>
    <b:SourceType>Book</b:SourceType>
    <b:Guid>{9B669240-9DF3-4D74-9B43-A372B7B251BE}</b:Guid>
    <b:Title>Banking Crises in Transition Countries Fiscal Costs and Related Issues</b:Title>
    <b:Year>2000</b:Year>
    <b:City>Washington, D.C.</b:City>
    <b:Publisher>World Bank, Europe and Central Asia Region, Poverty Reduction and Economic Management Sector Unit</b:Publisher>
    <b:Author>
      <b:Author>
        <b:NameList>
          <b:Person>
            <b:Last>Tang</b:Last>
            <b:First>Helena</b:First>
          </b:Person>
          <b:Person>
            <b:Last>Zoli</b:Last>
            <b:First>Edda</b:First>
          </b:Person>
          <b:Person>
            <b:Last>Klytchnikova</b:Last>
            <b:First>Irina</b:First>
          </b:Person>
        </b:NameList>
      </b:Author>
    </b:Author>
    <b:Comments>Online Book</b:Comments>
    <b:YearAccessed>2012</b:YearAccessed>
    <b:MonthAccessed>Septhember</b:MonthAccessed>
    <b:DayAccessed>1</b:DayAccessed>
    <b:URL>http://www-wds.worldbank.org/external/default/WDSContentServer/IW3P/IB/2000/12/15/000094946_00111805313297/Rendered/PDF/multi_page.pdf</b:URL>
    <b:RefOrder>15</b:RefOrder>
  </b:Source>
  <b:Source>
    <b:Tag>Jan04</b:Tag>
    <b:SourceType>Book</b:SourceType>
    <b:Guid>{CB4E25D5-F15B-4E36-AAFE-AFA588D92EE6}</b:Guid>
    <b:Title>Annual Report 2004</b:Title>
    <b:Year>2004</b:Year>
    <b:City>Zagreb</b:City>
    <b:Publisher>Croatian National Bank</b:Publisher>
    <b:Author>
      <b:Editor>
        <b:NameList>
          <b:Person>
            <b:Last>Jankov</b:Last>
            <b:First>Ljubinko</b:First>
          </b:Person>
        </b:NameList>
      </b:Editor>
    </b:Author>
    <b:LCID>en-US</b:LCID>
    <b:RefOrder>1</b:RefOrder>
  </b:Source>
  <b:Source>
    <b:Tag>Jur09</b:Tag>
    <b:SourceType>JournalArticle</b:SourceType>
    <b:Guid>{78C644D5-87B8-4079-9704-1AB8F19900EE}</b:Guid>
    <b:Title>Financijski potencijal hrvatskih banka, obilježja i projekcija rasta</b:Title>
    <b:Year>2009</b:Year>
    <b:Author>
      <b:Author>
        <b:NameList>
          <b:Person>
            <b:Last>Jurman</b:Last>
            <b:First>Antun</b:First>
          </b:Person>
        </b:NameList>
      </b:Author>
    </b:Author>
    <b:JournalName>Ekonomska istraživanja</b:JournalName>
    <b:Pages>60-80</b:Pages>
    <b:Volume>22</b:Volume>
    <b:Issue>1</b:Issue>
    <b:RefOrder>16</b:RefOrder>
  </b:Source>
  <b:Source>
    <b:Tag>Bog10</b:Tag>
    <b:SourceType>JournalArticle</b:SourceType>
    <b:Guid>{2D22D762-8834-4D0A-88E4-7D5A8BB66A64}</b:Guid>
    <b:LCID>en-US</b:LCID>
    <b:Title>Banks’ Risk Preferences and Their Impact on the Loan Supply Function: Empirical Investigation for the Case of the Republic of Macedonia</b:Title>
    <b:JournalName>Privredna kretanja i ekonomska politika</b:JournalName>
    <b:Year>2010</b:Year>
    <b:Pages>63-109</b:Pages>
    <b:Volume>20</b:Volume>
    <b:Issue>124</b:Issue>
    <b:Author>
      <b:Author>
        <b:NameList>
          <b:Person>
            <b:Last>Bogoev</b:Last>
            <b:First>Jane</b:First>
          </b:Person>
        </b:NameList>
      </b:Author>
    </b:Author>
    <b:RefOrder>17</b:RefOrder>
  </b:Source>
  <b:Source>
    <b:Tag>Yil10</b:Tag>
    <b:SourceType>JournalArticle</b:SourceType>
    <b:Guid>{A7781DB3-7736-40A9-89C8-8485A7FB5CB6}</b:Guid>
    <b:LCID>en-US</b:LCID>
    <b:Title>Foreign bank participation and banking crises in transition economies</b:Title>
    <b:Year>2010</b:Year>
    <b:Pages>15-29</b:Pages>
    <b:Volume>23</b:Volume>
    <b:Issue>1</b:Issue>
    <b:Author>
      <b:Author>
        <b:NameList>
          <b:Person>
            <b:Last>Yilmaz</b:Last>
            <b:First>Rasim</b:First>
          </b:Person>
          <b:Person>
            <b:Last>Koyuncu</b:Last>
            <b:First>Cuneyt</b:First>
          </b:Person>
        </b:NameList>
      </b:Author>
    </b:Author>
    <b:RefOrder>18</b:RefOrder>
  </b:Source>
  <b:Source>
    <b:Tag>Ber10</b:Tag>
    <b:SourceType>JournalArticle</b:SourceType>
    <b:Guid>{CA126F09-6BE2-41F7-AB6A-2DE684159176}</b:Guid>
    <b:LCID>en-US</b:LCID>
    <b:Title>Understanding the crisis in emerging Europe</b:Title>
    <b:JournalName>Public Policy Review</b:JournalName>
    <b:Year>2010</b:Year>
    <b:Pages>985-1008</b:Pages>
    <b:Author>
      <b:Author>
        <b:NameList>
          <b:Person>
            <b:Last>Berglöf</b:Last>
            <b:First>Erik</b:First>
          </b:Person>
          <b:Person>
            <b:Last>Korniyenko</b:Last>
            <b:First>Yevgeniya</b:First>
          </b:Person>
          <b:Person>
            <b:Last>Plek</b:Last>
            <b:First>Alexander</b:First>
          </b:Person>
          <b:Person>
            <b:Last>Zettelmeyer</b:Last>
            <b:First>Jeromin</b:First>
          </b:Person>
        </b:NameList>
      </b:Author>
    </b:Author>
    <b:Volume>6</b:Volume>
    <b:Issue>6</b:Issue>
    <b:RefOrder>2</b:RefOrder>
  </b:Source>
  <b:Source>
    <b:Tag>The12</b:Tag>
    <b:SourceType>InternetSite</b:SourceType>
    <b:Guid>{B68E0C7D-6EF0-4F4A-88E7-DF99D041D09C}</b:Guid>
    <b:Title>The World Bank</b:Title>
    <b:Year>2012</b:Year>
    <b:LCID>en-US</b:LCID>
    <b:Month>September</b:Month>
    <b:Day>2</b:Day>
    <b:URL>http://www.worldbank.org/</b:URL>
    <b:InternetSiteTitle>The World Bank Group</b:InternetSiteTitle>
    <b:RefOrder>3</b:RefOrder>
  </b:Source>
  <b:Source>
    <b:Tag>Ann11</b:Tag>
    <b:SourceType>Report</b:SourceType>
    <b:Guid>{4B8B1735-F2A9-4389-B9E9-5F164A6FD0AA}</b:Guid>
    <b:Title>Annual Report </b:Title>
    <b:Year>2011</b:Year>
    <b:Publisher>National Bank of the Republic of Macedonia</b:Publisher>
    <b:City>Skopje</b:City>
    <b:RefOrder>20</b:RefOrder>
  </b:Source>
  <b:Source>
    <b:Tag>Ann111</b:Tag>
    <b:SourceType>Report</b:SourceType>
    <b:Guid>{170CD95B-CD5D-4EC1-877C-3869F3D81C53}</b:Guid>
    <b:Title>Annual Report</b:Title>
    <b:Year>2011</b:Year>
    <b:Publisher>Croatian National Bank</b:Publisher>
    <b:City>Zagreb</b:City>
    <b:RefOrder>21</b:RefOrder>
  </b:Source>
</b:Sources>
</file>

<file path=customXml/itemProps1.xml><?xml version="1.0" encoding="utf-8"?>
<ds:datastoreItem xmlns:ds="http://schemas.openxmlformats.org/officeDocument/2006/customXml" ds:itemID="{60B1B12B-296F-4362-B805-A0E30739C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5462</Words>
  <Characters>31140</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Goran</dc:creator>
  <cp:lastModifiedBy>Goran</cp:lastModifiedBy>
  <cp:revision>3</cp:revision>
  <dcterms:created xsi:type="dcterms:W3CDTF">2012-09-20T20:35:00Z</dcterms:created>
  <dcterms:modified xsi:type="dcterms:W3CDTF">2012-09-20T20:48:00Z</dcterms:modified>
</cp:coreProperties>
</file>