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34D" w:rsidRDefault="00F85F2E" w:rsidP="001823D0">
      <w:pPr>
        <w:spacing w:line="240" w:lineRule="auto"/>
        <w:jc w:val="center"/>
        <w:rPr>
          <w:b/>
          <w:caps/>
          <w:szCs w:val="28"/>
          <w:lang w:val="en-US"/>
        </w:rPr>
      </w:pPr>
      <w:r w:rsidRPr="0062134D">
        <w:rPr>
          <w:b/>
          <w:caps/>
          <w:szCs w:val="28"/>
          <w:lang w:val="en-US"/>
        </w:rPr>
        <w:t>Coordination of fiscal and monetary policy in terms of financ</w:t>
      </w:r>
      <w:r w:rsidR="009B005A" w:rsidRPr="0062134D">
        <w:rPr>
          <w:b/>
          <w:caps/>
          <w:szCs w:val="28"/>
          <w:lang w:val="en-US"/>
        </w:rPr>
        <w:t>ial crisis and their importance</w:t>
      </w:r>
      <w:r w:rsidRPr="0062134D">
        <w:rPr>
          <w:b/>
          <w:caps/>
          <w:szCs w:val="28"/>
          <w:lang w:val="en-US"/>
        </w:rPr>
        <w:t xml:space="preserve"> for the Transition Economies</w:t>
      </w:r>
    </w:p>
    <w:p w:rsidR="001823D0" w:rsidRPr="001823D0" w:rsidRDefault="001823D0" w:rsidP="001823D0">
      <w:pPr>
        <w:spacing w:line="240" w:lineRule="auto"/>
        <w:jc w:val="center"/>
        <w:rPr>
          <w:b/>
          <w:caps/>
          <w:sz w:val="22"/>
          <w:szCs w:val="22"/>
          <w:lang w:val="en-US"/>
        </w:rPr>
      </w:pPr>
    </w:p>
    <w:p w:rsidR="0062134D" w:rsidRPr="001823D0" w:rsidRDefault="0062134D" w:rsidP="001823D0">
      <w:pPr>
        <w:spacing w:line="240" w:lineRule="auto"/>
        <w:jc w:val="center"/>
        <w:rPr>
          <w:b/>
          <w:caps/>
          <w:sz w:val="22"/>
          <w:szCs w:val="22"/>
          <w:lang w:val="en-US"/>
        </w:rPr>
      </w:pPr>
      <w:r w:rsidRPr="001823D0">
        <w:rPr>
          <w:b/>
          <w:caps/>
          <w:sz w:val="22"/>
          <w:szCs w:val="22"/>
          <w:lang w:val="en-US"/>
        </w:rPr>
        <w:t xml:space="preserve">VASILKA GABER, </w:t>
      </w:r>
      <w:proofErr w:type="spellStart"/>
      <w:r w:rsidRPr="001823D0">
        <w:rPr>
          <w:b/>
          <w:sz w:val="22"/>
          <w:szCs w:val="22"/>
          <w:lang w:val="en-US"/>
        </w:rPr>
        <w:t>MSc</w:t>
      </w:r>
      <w:proofErr w:type="spellEnd"/>
      <w:r w:rsidRPr="001823D0">
        <w:rPr>
          <w:rStyle w:val="FootnoteReference"/>
          <w:b/>
          <w:sz w:val="22"/>
          <w:szCs w:val="22"/>
          <w:lang w:val="en-US"/>
        </w:rPr>
        <w:footnoteReference w:id="1"/>
      </w:r>
    </w:p>
    <w:p w:rsidR="0062134D" w:rsidRPr="001823D0" w:rsidRDefault="0062134D" w:rsidP="001823D0">
      <w:pPr>
        <w:spacing w:line="240" w:lineRule="auto"/>
        <w:jc w:val="center"/>
        <w:rPr>
          <w:b/>
          <w:sz w:val="22"/>
          <w:szCs w:val="22"/>
          <w:lang w:val="en-US"/>
        </w:rPr>
      </w:pPr>
      <w:r w:rsidRPr="001823D0">
        <w:rPr>
          <w:b/>
          <w:caps/>
          <w:sz w:val="22"/>
          <w:szCs w:val="22"/>
          <w:lang w:val="en-US"/>
        </w:rPr>
        <w:t>STEVAN GABER, P</w:t>
      </w:r>
      <w:r w:rsidRPr="001823D0">
        <w:rPr>
          <w:b/>
          <w:sz w:val="22"/>
          <w:szCs w:val="22"/>
          <w:lang w:val="en-US"/>
        </w:rPr>
        <w:t>hD</w:t>
      </w:r>
      <w:r w:rsidRPr="001823D0">
        <w:rPr>
          <w:rStyle w:val="FootnoteReference"/>
          <w:b/>
          <w:sz w:val="22"/>
          <w:szCs w:val="22"/>
          <w:lang w:val="en-US"/>
        </w:rPr>
        <w:footnoteReference w:id="2"/>
      </w:r>
    </w:p>
    <w:p w:rsidR="00B73F18" w:rsidRDefault="00B73F18" w:rsidP="001823D0">
      <w:pPr>
        <w:spacing w:line="240" w:lineRule="auto"/>
        <w:jc w:val="center"/>
      </w:pPr>
    </w:p>
    <w:p w:rsidR="00B73F18" w:rsidRDefault="00B73F18" w:rsidP="001823D0">
      <w:pPr>
        <w:spacing w:line="240" w:lineRule="auto"/>
      </w:pPr>
    </w:p>
    <w:p w:rsidR="00B73F18" w:rsidRPr="0062134D" w:rsidRDefault="00B73F18" w:rsidP="001823D0">
      <w:pPr>
        <w:spacing w:line="240" w:lineRule="auto"/>
        <w:rPr>
          <w:b/>
          <w:szCs w:val="24"/>
          <w:lang w:val="en-US"/>
        </w:rPr>
      </w:pPr>
      <w:r w:rsidRPr="0062134D">
        <w:rPr>
          <w:b/>
          <w:szCs w:val="24"/>
          <w:lang w:val="en-US"/>
        </w:rPr>
        <w:t>ABSTRACT</w:t>
      </w:r>
    </w:p>
    <w:p w:rsidR="00B73F18" w:rsidRPr="0062134D" w:rsidRDefault="00C9353C" w:rsidP="001823D0">
      <w:pPr>
        <w:autoSpaceDE w:val="0"/>
        <w:autoSpaceDN w:val="0"/>
        <w:adjustRightInd w:val="0"/>
        <w:spacing w:after="0" w:line="240" w:lineRule="auto"/>
        <w:ind w:firstLine="567"/>
        <w:jc w:val="both"/>
        <w:rPr>
          <w:rFonts w:cs="Times New Roman"/>
          <w:i/>
          <w:sz w:val="22"/>
          <w:szCs w:val="22"/>
          <w:lang w:val="en-US"/>
        </w:rPr>
      </w:pPr>
      <w:r w:rsidRPr="0062134D">
        <w:rPr>
          <w:i/>
          <w:sz w:val="22"/>
          <w:szCs w:val="22"/>
          <w:lang w:val="en-US"/>
        </w:rPr>
        <w:t>The world today is facing the most difficult and the most complicated crisis, starting from the time of the G</w:t>
      </w:r>
      <w:r w:rsidR="00BD67AA" w:rsidRPr="0062134D">
        <w:rPr>
          <w:i/>
          <w:sz w:val="22"/>
          <w:szCs w:val="22"/>
          <w:lang w:val="en-US"/>
        </w:rPr>
        <w:t xml:space="preserve">reat Depression. The crisis significantly emphasized the role of fiscal policy </w:t>
      </w:r>
      <w:r w:rsidR="00190BB6" w:rsidRPr="0062134D">
        <w:rPr>
          <w:i/>
          <w:sz w:val="22"/>
          <w:szCs w:val="22"/>
          <w:lang w:val="en-US"/>
        </w:rPr>
        <w:t xml:space="preserve">as important to increase </w:t>
      </w:r>
      <w:r w:rsidR="00BD67AA" w:rsidRPr="0062134D">
        <w:rPr>
          <w:i/>
          <w:sz w:val="22"/>
          <w:szCs w:val="22"/>
          <w:lang w:val="en-US"/>
        </w:rPr>
        <w:t xml:space="preserve">the aggregate </w:t>
      </w:r>
      <w:r w:rsidR="00190BB6" w:rsidRPr="0062134D">
        <w:rPr>
          <w:i/>
          <w:sz w:val="22"/>
          <w:szCs w:val="22"/>
          <w:lang w:val="en-US"/>
        </w:rPr>
        <w:t>demand and to recover the financial sector.</w:t>
      </w:r>
      <w:r w:rsidR="000F3E9D" w:rsidRPr="0062134D">
        <w:rPr>
          <w:i/>
          <w:sz w:val="22"/>
          <w:szCs w:val="22"/>
          <w:lang w:val="en-US"/>
        </w:rPr>
        <w:t xml:space="preserve"> We are aware of the biggest coordination of monetary and fiscal policy until today, in which through aggressive monetary and fiscal measures was allowed quicker overcoming </w:t>
      </w:r>
      <w:r w:rsidR="00A55713" w:rsidRPr="0062134D">
        <w:rPr>
          <w:i/>
          <w:sz w:val="22"/>
          <w:szCs w:val="22"/>
          <w:lang w:val="en-US"/>
        </w:rPr>
        <w:t>of</w:t>
      </w:r>
      <w:r w:rsidR="000F3E9D" w:rsidRPr="0062134D">
        <w:rPr>
          <w:i/>
          <w:sz w:val="22"/>
          <w:szCs w:val="22"/>
          <w:lang w:val="en-US"/>
        </w:rPr>
        <w:t xml:space="preserve"> the consequences of the crisis, taking corrective action in the financial architecture</w:t>
      </w:r>
      <w:r w:rsidR="00A55713" w:rsidRPr="0062134D">
        <w:rPr>
          <w:i/>
          <w:sz w:val="22"/>
          <w:szCs w:val="22"/>
          <w:lang w:val="en-US"/>
        </w:rPr>
        <w:t>, a</w:t>
      </w:r>
      <w:r w:rsidR="000F3E9D" w:rsidRPr="0062134D">
        <w:rPr>
          <w:i/>
          <w:sz w:val="22"/>
          <w:szCs w:val="22"/>
          <w:lang w:val="en-US"/>
        </w:rPr>
        <w:t xml:space="preserve">doption of new rules for the regulation of financial markets and financial institutions, and greater care in handling </w:t>
      </w:r>
      <w:r w:rsidR="00A55713" w:rsidRPr="0062134D">
        <w:rPr>
          <w:i/>
          <w:sz w:val="22"/>
          <w:szCs w:val="22"/>
          <w:lang w:val="en-US"/>
        </w:rPr>
        <w:t>with</w:t>
      </w:r>
      <w:r w:rsidR="000F3E9D" w:rsidRPr="0062134D">
        <w:rPr>
          <w:i/>
          <w:sz w:val="22"/>
          <w:szCs w:val="22"/>
          <w:lang w:val="en-US"/>
        </w:rPr>
        <w:t xml:space="preserve"> complicated and modern financial derivates.</w:t>
      </w:r>
      <w:r w:rsidR="001C6BAA" w:rsidRPr="0062134D">
        <w:rPr>
          <w:i/>
          <w:sz w:val="22"/>
          <w:szCs w:val="22"/>
          <w:lang w:val="en-US"/>
        </w:rPr>
        <w:t xml:space="preserve"> The aim of this paper is to realize the most important aspect of the </w:t>
      </w:r>
      <w:r w:rsidR="00F85F2E" w:rsidRPr="0062134D">
        <w:rPr>
          <w:i/>
          <w:sz w:val="22"/>
          <w:szCs w:val="22"/>
          <w:lang w:val="en-US"/>
        </w:rPr>
        <w:t xml:space="preserve">European </w:t>
      </w:r>
      <w:r w:rsidR="001C6BAA" w:rsidRPr="0062134D">
        <w:rPr>
          <w:i/>
          <w:sz w:val="22"/>
          <w:szCs w:val="22"/>
          <w:lang w:val="en-US"/>
        </w:rPr>
        <w:t xml:space="preserve">crisis: </w:t>
      </w:r>
      <w:r w:rsidR="00825BC5" w:rsidRPr="0062134D">
        <w:rPr>
          <w:i/>
          <w:sz w:val="22"/>
          <w:szCs w:val="22"/>
          <w:lang w:val="en-US"/>
        </w:rPr>
        <w:t>the coordination of fiscal and monetary policy and their importance for the transition economies (including Eastern Europe and CIF members)</w:t>
      </w:r>
      <w:r w:rsidR="001C6BAA" w:rsidRPr="0062134D">
        <w:rPr>
          <w:i/>
          <w:sz w:val="22"/>
          <w:szCs w:val="22"/>
          <w:lang w:val="en-US"/>
        </w:rPr>
        <w:t xml:space="preserve">. </w:t>
      </w:r>
      <w:r w:rsidR="00825BC5" w:rsidRPr="0062134D">
        <w:rPr>
          <w:rFonts w:cs="Times New Roman"/>
          <w:i/>
          <w:sz w:val="22"/>
          <w:szCs w:val="22"/>
          <w:lang w:val="en-US"/>
        </w:rPr>
        <w:t>Financial crises have a significant and permanent effect</w:t>
      </w:r>
      <w:r w:rsidR="009B005A" w:rsidRPr="0062134D">
        <w:rPr>
          <w:rFonts w:cs="Times New Roman"/>
          <w:i/>
          <w:sz w:val="22"/>
          <w:szCs w:val="22"/>
          <w:lang w:val="en-US"/>
        </w:rPr>
        <w:t xml:space="preserve"> on the</w:t>
      </w:r>
      <w:r w:rsidR="00825BC5" w:rsidRPr="0062134D">
        <w:rPr>
          <w:rFonts w:cs="Times New Roman"/>
          <w:i/>
          <w:sz w:val="22"/>
          <w:szCs w:val="22"/>
          <w:lang w:val="en-US"/>
        </w:rPr>
        <w:t>s</w:t>
      </w:r>
      <w:r w:rsidR="009B005A" w:rsidRPr="0062134D">
        <w:rPr>
          <w:rFonts w:cs="Times New Roman"/>
          <w:i/>
          <w:sz w:val="22"/>
          <w:szCs w:val="22"/>
          <w:lang w:val="en-US"/>
        </w:rPr>
        <w:t>e</w:t>
      </w:r>
      <w:r w:rsidR="00825BC5" w:rsidRPr="0062134D">
        <w:rPr>
          <w:rFonts w:cs="Times New Roman"/>
          <w:i/>
          <w:sz w:val="22"/>
          <w:szCs w:val="22"/>
          <w:lang w:val="en-US"/>
        </w:rPr>
        <w:t xml:space="preserve"> countries, lowering long-term output by about 17 percent. The effect is more important in smaller countries, with relative higher dependence on external financing, and in which the banking sector noticed more important financial disequilibria. We also found that fiscal policy measures have been the most efficient tools in dealing with the crises, while the role of monetary policy instruments has been rather blinded. Exchange rate resulted to be more a propagator than a crises absorber, while the IMF credit has been found to have positive (but not significant) impact on growth performance. Finally, the effect for the CEECs is much bigger than in the EU advanced economies, for which we found that financial crises lowers long-term output only by 2 percent. </w:t>
      </w:r>
      <w:r w:rsidR="001E76AF" w:rsidRPr="0062134D">
        <w:rPr>
          <w:i/>
          <w:sz w:val="22"/>
          <w:szCs w:val="22"/>
          <w:lang w:val="en-US"/>
        </w:rPr>
        <w:t xml:space="preserve">The </w:t>
      </w:r>
      <w:r w:rsidR="001F1C08" w:rsidRPr="0062134D">
        <w:rPr>
          <w:i/>
          <w:sz w:val="22"/>
          <w:szCs w:val="22"/>
          <w:lang w:val="en-US"/>
        </w:rPr>
        <w:t>necessity</w:t>
      </w:r>
      <w:r w:rsidR="001E76AF" w:rsidRPr="0062134D">
        <w:rPr>
          <w:i/>
          <w:sz w:val="22"/>
          <w:szCs w:val="22"/>
          <w:lang w:val="en-US"/>
        </w:rPr>
        <w:t xml:space="preserve"> for fiscal adjustment is </w:t>
      </w:r>
      <w:r w:rsidR="00620959" w:rsidRPr="0062134D">
        <w:rPr>
          <w:i/>
          <w:sz w:val="22"/>
          <w:szCs w:val="22"/>
          <w:lang w:val="en-US"/>
        </w:rPr>
        <w:t>required</w:t>
      </w:r>
      <w:r w:rsidR="001E76AF" w:rsidRPr="0062134D">
        <w:rPr>
          <w:i/>
          <w:sz w:val="22"/>
          <w:szCs w:val="22"/>
          <w:lang w:val="en-US"/>
        </w:rPr>
        <w:t xml:space="preserve"> step of fiscal authorities to stabilize the economy and to achieve financial stability and sustainable economic growth in the long term.</w:t>
      </w:r>
    </w:p>
    <w:p w:rsidR="00FB137C" w:rsidRDefault="00FB137C" w:rsidP="001823D0">
      <w:pPr>
        <w:spacing w:line="240" w:lineRule="auto"/>
        <w:jc w:val="both"/>
        <w:rPr>
          <w:szCs w:val="24"/>
          <w:lang w:val="en-US"/>
        </w:rPr>
      </w:pPr>
    </w:p>
    <w:p w:rsidR="00FB137C" w:rsidRDefault="00FB137C" w:rsidP="001823D0">
      <w:pPr>
        <w:spacing w:line="240" w:lineRule="auto"/>
        <w:jc w:val="both"/>
        <w:rPr>
          <w:i/>
          <w:sz w:val="22"/>
          <w:szCs w:val="22"/>
          <w:lang w:val="en-US"/>
        </w:rPr>
      </w:pPr>
      <w:r w:rsidRPr="0062134D">
        <w:rPr>
          <w:b/>
          <w:i/>
          <w:sz w:val="22"/>
          <w:szCs w:val="22"/>
          <w:lang w:val="en-US"/>
        </w:rPr>
        <w:t>Key words:</w:t>
      </w:r>
      <w:r w:rsidRPr="0062134D">
        <w:rPr>
          <w:b/>
          <w:i/>
          <w:sz w:val="22"/>
          <w:szCs w:val="22"/>
        </w:rPr>
        <w:t xml:space="preserve"> </w:t>
      </w:r>
      <w:r w:rsidRPr="0062134D">
        <w:rPr>
          <w:i/>
          <w:sz w:val="22"/>
          <w:szCs w:val="22"/>
          <w:lang w:val="en-US"/>
        </w:rPr>
        <w:t xml:space="preserve">financial crisis, </w:t>
      </w:r>
      <w:r w:rsidR="00527695" w:rsidRPr="0062134D">
        <w:rPr>
          <w:i/>
          <w:sz w:val="22"/>
          <w:szCs w:val="22"/>
          <w:lang w:val="en-US"/>
        </w:rPr>
        <w:t>fiscal policy</w:t>
      </w:r>
      <w:r w:rsidRPr="0062134D">
        <w:rPr>
          <w:i/>
          <w:sz w:val="22"/>
          <w:szCs w:val="22"/>
          <w:lang w:val="en-US"/>
        </w:rPr>
        <w:t>,</w:t>
      </w:r>
      <w:r w:rsidR="00BC36B0" w:rsidRPr="0062134D">
        <w:rPr>
          <w:i/>
          <w:sz w:val="22"/>
          <w:szCs w:val="22"/>
          <w:lang w:val="en-US"/>
        </w:rPr>
        <w:t xml:space="preserve"> </w:t>
      </w:r>
      <w:r w:rsidR="00D93A68" w:rsidRPr="0062134D">
        <w:rPr>
          <w:i/>
          <w:sz w:val="22"/>
          <w:szCs w:val="22"/>
          <w:lang w:val="en-US"/>
        </w:rPr>
        <w:t xml:space="preserve">monetary policies, transition economies, output, </w:t>
      </w:r>
      <w:r w:rsidR="00BC36B0" w:rsidRPr="0062134D">
        <w:rPr>
          <w:i/>
          <w:sz w:val="22"/>
          <w:szCs w:val="22"/>
          <w:lang w:val="en-US"/>
        </w:rPr>
        <w:t>reforms</w:t>
      </w:r>
      <w:r w:rsidR="0062134D">
        <w:rPr>
          <w:i/>
          <w:sz w:val="22"/>
          <w:szCs w:val="22"/>
          <w:lang w:val="en-US"/>
        </w:rPr>
        <w:t>.</w:t>
      </w:r>
    </w:p>
    <w:p w:rsidR="001823D0" w:rsidRDefault="001823D0" w:rsidP="001823D0">
      <w:pPr>
        <w:spacing w:line="240" w:lineRule="auto"/>
        <w:jc w:val="both"/>
        <w:rPr>
          <w:i/>
          <w:sz w:val="22"/>
          <w:szCs w:val="22"/>
          <w:lang w:val="en-US"/>
        </w:rPr>
      </w:pPr>
    </w:p>
    <w:p w:rsidR="001823D0" w:rsidRDefault="001823D0" w:rsidP="001823D0">
      <w:pPr>
        <w:spacing w:line="240" w:lineRule="auto"/>
        <w:rPr>
          <w:i/>
          <w:sz w:val="22"/>
          <w:szCs w:val="22"/>
          <w:lang w:val="en-US"/>
        </w:rPr>
      </w:pPr>
      <w:r>
        <w:rPr>
          <w:i/>
          <w:sz w:val="22"/>
          <w:szCs w:val="22"/>
          <w:lang w:val="en-US"/>
        </w:rPr>
        <w:br w:type="page"/>
      </w:r>
    </w:p>
    <w:p w:rsidR="001823D0" w:rsidRPr="00B53F44" w:rsidRDefault="001823D0" w:rsidP="001823D0">
      <w:pPr>
        <w:pStyle w:val="ListParagraph"/>
        <w:spacing w:line="240" w:lineRule="auto"/>
        <w:ind w:left="0" w:firstLine="567"/>
        <w:jc w:val="center"/>
        <w:rPr>
          <w:rFonts w:cs="Times New Roman"/>
          <w:b/>
          <w:smallCaps/>
          <w:szCs w:val="24"/>
          <w:lang w:val="en-US"/>
        </w:rPr>
      </w:pPr>
      <w:r w:rsidRPr="00B53F44">
        <w:rPr>
          <w:rFonts w:cs="Times New Roman"/>
          <w:b/>
          <w:smallCaps/>
          <w:szCs w:val="24"/>
          <w:lang w:val="en-US"/>
        </w:rPr>
        <w:lastRenderedPageBreak/>
        <w:t>Introduction</w:t>
      </w:r>
    </w:p>
    <w:p w:rsidR="001823D0" w:rsidRPr="00861941" w:rsidRDefault="001823D0" w:rsidP="001823D0">
      <w:pPr>
        <w:spacing w:after="0" w:line="240" w:lineRule="auto"/>
        <w:ind w:firstLine="567"/>
        <w:jc w:val="both"/>
        <w:rPr>
          <w:rFonts w:cs="Times New Roman"/>
          <w:szCs w:val="24"/>
          <w:lang w:val="en-US"/>
        </w:rPr>
      </w:pPr>
      <w:r w:rsidRPr="00861941">
        <w:rPr>
          <w:rFonts w:cs="Times New Roman"/>
          <w:szCs w:val="24"/>
          <w:lang w:val="en-US"/>
        </w:rPr>
        <w:t>We live in a time that will be remembered in our memory as a repetition of the experience of the Great Depression, but with much wiser political responses. If we have the chance to read about the tragic events of 1929’s and the collapse of the economy, now we are able to closely follow every painful economic scream, prudent and coordinated responses of fiscal and monetary authorities, the awareness of urgent regulatory reform and above all caution trading with “financial weapons of mass destruction” (financial derivatives) and the necessity for reform of the entire financial infrastructure. The crisis highlighted the importance of healthy public finances. Governments should be consolidated during good times if they want to have the opportunity to maneuver during bad times. According to monetary policy, the crisis demonstrated the importance of independent central banks, dedicated fully and credibly to their main objective – price stability.</w:t>
      </w:r>
      <w:r w:rsidRPr="00861941">
        <w:rPr>
          <w:rFonts w:cs="Times New Roman"/>
          <w:szCs w:val="24"/>
        </w:rPr>
        <w:t xml:space="preserve"> </w:t>
      </w:r>
      <w:r w:rsidRPr="00861941">
        <w:rPr>
          <w:rFonts w:cs="Times New Roman"/>
          <w:szCs w:val="24"/>
          <w:lang w:val="en-US"/>
        </w:rPr>
        <w:t>Fiscal and monetary authorities have a crucial role in maintaining economic recovery. Governments must devise and implement credible strategies for recovery of the banking sector and to ensure that discretionary measures implemented during crisis will show positive results. During the crisis, fiscal policies provide support to the economy in the short run, with a significant increase in fiscal deficit. But now, fiscal deficits are high in many countries, which entail the necessity of thinking about fiscal sustainability and public solvency</w:t>
      </w:r>
      <w:r w:rsidRPr="00861941">
        <w:rPr>
          <w:rFonts w:cs="Times New Roman"/>
          <w:szCs w:val="24"/>
        </w:rPr>
        <w:t xml:space="preserve">. </w:t>
      </w:r>
    </w:p>
    <w:p w:rsidR="001823D0" w:rsidRPr="00861941" w:rsidRDefault="001823D0" w:rsidP="001823D0">
      <w:pPr>
        <w:spacing w:after="0" w:line="240" w:lineRule="auto"/>
        <w:ind w:firstLine="567"/>
        <w:jc w:val="both"/>
        <w:rPr>
          <w:rFonts w:cs="Times New Roman"/>
          <w:szCs w:val="24"/>
          <w:lang w:val="en-US"/>
        </w:rPr>
      </w:pPr>
      <w:r w:rsidRPr="00861941">
        <w:rPr>
          <w:rFonts w:cs="Times New Roman"/>
          <w:szCs w:val="24"/>
          <w:lang w:val="en-US"/>
        </w:rPr>
        <w:t>The key question for fiscal policy is not “when” and “how” but “how soon” to begin with fiscal consolidation.</w:t>
      </w:r>
      <w:r w:rsidRPr="00861941">
        <w:rPr>
          <w:rFonts w:cs="Times New Roman"/>
          <w:szCs w:val="24"/>
        </w:rPr>
        <w:t xml:space="preserve"> </w:t>
      </w:r>
      <w:r w:rsidRPr="00861941">
        <w:rPr>
          <w:rFonts w:cs="Times New Roman"/>
          <w:szCs w:val="24"/>
          <w:lang w:val="en-US"/>
        </w:rPr>
        <w:t>In the long run, fiscal consolidation – in other words moving from unsustainable to the sustainable public finances, is more important for economic growth. Does that mean that in the current conditions fiscal coordination should be postponed until recovery is finished? It is clear that early fiscal tightening that moves economy in recession should be avoided, but it would be better how fast the fiscal policy is adjusted.</w:t>
      </w:r>
    </w:p>
    <w:p w:rsidR="001823D0" w:rsidRPr="00861941" w:rsidRDefault="001823D0" w:rsidP="001823D0">
      <w:pPr>
        <w:spacing w:after="0" w:line="240" w:lineRule="auto"/>
        <w:ind w:firstLine="567"/>
        <w:jc w:val="both"/>
        <w:rPr>
          <w:rFonts w:cs="Times New Roman"/>
          <w:szCs w:val="24"/>
          <w:lang w:val="en-US"/>
        </w:rPr>
      </w:pPr>
      <w:r w:rsidRPr="00861941">
        <w:rPr>
          <w:rFonts w:cs="Times New Roman"/>
          <w:szCs w:val="24"/>
          <w:lang w:val="en-US"/>
        </w:rPr>
        <w:t>As long as fiscal policy is on unsustainable path with public debt indicators that are growing, social costs of further delay in adjustment would exceed the cost if governments would react as soon as possible in fiscal consolidation. However, credible and detailed plans for fiscal adjustment should restore the investor confidence, creating favorable and long-term business climate and stable, credible financial institutions. In addition, the financial crisis by the World Bank is defined as financial event that eliminate or distort important part of bank capital in the financial system. Financial crisis have two fundamental dimensions: one of them is financial, the other is the panic that often trigger, initiates the crisis. In the world differentiate several types of financial crises: banking, currency</w:t>
      </w:r>
      <w:r w:rsidRPr="00861941">
        <w:rPr>
          <w:rFonts w:cs="Times New Roman"/>
          <w:szCs w:val="24"/>
        </w:rPr>
        <w:t xml:space="preserve">, </w:t>
      </w:r>
      <w:r w:rsidRPr="00861941">
        <w:rPr>
          <w:rFonts w:cs="Times New Roman"/>
          <w:szCs w:val="24"/>
          <w:lang w:val="en-US"/>
        </w:rPr>
        <w:t>bubbles and stock market crashes, debt and twin crises.</w:t>
      </w:r>
    </w:p>
    <w:p w:rsidR="001823D0" w:rsidRPr="00861941" w:rsidRDefault="001823D0" w:rsidP="001823D0">
      <w:pPr>
        <w:spacing w:after="0" w:line="240" w:lineRule="auto"/>
        <w:ind w:firstLine="567"/>
        <w:jc w:val="both"/>
        <w:rPr>
          <w:rFonts w:cs="Times New Roman"/>
          <w:szCs w:val="24"/>
          <w:lang w:val="en-US"/>
        </w:rPr>
      </w:pPr>
      <w:r w:rsidRPr="00861941">
        <w:rPr>
          <w:rFonts w:cs="Times New Roman"/>
          <w:szCs w:val="24"/>
          <w:lang w:val="en-US"/>
        </w:rPr>
        <w:t>The consequences of the occurrence of the financial crisis are destructive on financial and real sector. They are always followed by the basic forms of economic imbalances, such as inflation, deflation, recession, expansion and hyperinflation. In addition, the occurrence of the financial crisis is almost always followed by deflation. This occurs as a result of reduced confidence of investitures and creditors, the credit tightening which initiates reduction in consumption and investment, and hence the demand, which ultimately leads to the emergence of “debt deflation” that reflect damaging on debtors due to increase in real debt.</w:t>
      </w:r>
    </w:p>
    <w:p w:rsidR="001823D0" w:rsidRPr="00861941" w:rsidRDefault="001823D0" w:rsidP="001823D0">
      <w:pPr>
        <w:spacing w:after="0" w:line="240" w:lineRule="auto"/>
        <w:ind w:firstLine="567"/>
        <w:jc w:val="both"/>
        <w:rPr>
          <w:rFonts w:cs="Times New Roman"/>
          <w:szCs w:val="24"/>
          <w:lang w:val="en-US"/>
        </w:rPr>
      </w:pPr>
      <w:r w:rsidRPr="00861941">
        <w:rPr>
          <w:rFonts w:cs="Times New Roman"/>
          <w:szCs w:val="24"/>
          <w:lang w:val="en-US"/>
        </w:rPr>
        <w:t>During the current mortgage crisis there is widely accepted consensus among economists that the only way of exit from the current crisis are aggressive expansive monetary and fiscal policies, especially the implementation of significant fiscal stimulus. Successful policy responses to the crisis should be directed in two segments: 1) recovery in the financial sector, and 2) stimulating the aggregate demand. Under present conditions the main director of the IMF stressed the importance of fiscal response on the global level.</w:t>
      </w:r>
      <w:r w:rsidRPr="00861941">
        <w:rPr>
          <w:rStyle w:val="FootnoteReference"/>
          <w:rFonts w:cs="Times New Roman"/>
          <w:szCs w:val="24"/>
          <w:lang w:val="en-US"/>
        </w:rPr>
        <w:footnoteReference w:id="3"/>
      </w:r>
    </w:p>
    <w:p w:rsidR="001823D0" w:rsidRPr="00861941" w:rsidRDefault="001823D0" w:rsidP="001823D0">
      <w:pPr>
        <w:spacing w:after="0" w:line="240" w:lineRule="auto"/>
        <w:ind w:firstLine="567"/>
        <w:jc w:val="both"/>
        <w:rPr>
          <w:rFonts w:cs="Times New Roman"/>
          <w:szCs w:val="24"/>
          <w:lang w:val="en-US"/>
        </w:rPr>
      </w:pPr>
      <w:r w:rsidRPr="00861941">
        <w:rPr>
          <w:rFonts w:cs="Times New Roman"/>
          <w:szCs w:val="24"/>
          <w:lang w:val="en-US"/>
        </w:rPr>
        <w:lastRenderedPageBreak/>
        <w:t>Optimal fiscal package or fiscal stimulus should be: timely (in terms of the urgent need for fiscal action), large</w:t>
      </w:r>
      <w:r>
        <w:rPr>
          <w:rFonts w:cs="Times New Roman"/>
          <w:szCs w:val="24"/>
          <w:lang w:val="en-US"/>
        </w:rPr>
        <w:t xml:space="preserve"> </w:t>
      </w:r>
      <w:r w:rsidRPr="00861941">
        <w:rPr>
          <w:rFonts w:cs="Times New Roman"/>
          <w:szCs w:val="24"/>
          <w:lang w:val="en-US"/>
        </w:rPr>
        <w:t>(because demand fall is high) durable (because occurred recession will probably take a long time), diversified (due to high uncertainty which measures will be effective), contingent</w:t>
      </w:r>
      <w:r>
        <w:rPr>
          <w:rFonts w:cs="Times New Roman"/>
          <w:szCs w:val="24"/>
          <w:lang w:val="en-US"/>
        </w:rPr>
        <w:t xml:space="preserve"> </w:t>
      </w:r>
      <w:r w:rsidRPr="00861941">
        <w:rPr>
          <w:rFonts w:cs="Times New Roman"/>
          <w:szCs w:val="24"/>
          <w:lang w:val="en-US"/>
        </w:rPr>
        <w:t>(to indicate that additional measures will be taken, if necessary),</w:t>
      </w:r>
      <w:r>
        <w:rPr>
          <w:rFonts w:cs="Times New Roman"/>
          <w:szCs w:val="24"/>
          <w:lang w:val="en-US"/>
        </w:rPr>
        <w:t xml:space="preserve"> </w:t>
      </w:r>
      <w:r w:rsidRPr="00861941">
        <w:rPr>
          <w:rFonts w:cs="Times New Roman"/>
          <w:szCs w:val="24"/>
          <w:lang w:val="en-US"/>
        </w:rPr>
        <w:t>collective (all countries that have fiscal space should use fiscal stimulus according to intensity and nature of the global crisis) and sustainable (to avoid explosion of debt in the long run and negative effects in the short term). The challenge is to ensure proper balance between these sometimes competing objectives, especially between large and lasting fiscal stimulus versus fiscal sustainability.</w:t>
      </w:r>
    </w:p>
    <w:p w:rsidR="001823D0" w:rsidRPr="00861941" w:rsidRDefault="001823D0" w:rsidP="001823D0">
      <w:pPr>
        <w:spacing w:after="0" w:line="240" w:lineRule="auto"/>
        <w:ind w:firstLine="567"/>
        <w:jc w:val="both"/>
        <w:rPr>
          <w:rFonts w:cs="Times New Roman"/>
          <w:szCs w:val="24"/>
        </w:rPr>
      </w:pPr>
      <w:r w:rsidRPr="00861941">
        <w:rPr>
          <w:rFonts w:cs="Times New Roman"/>
          <w:szCs w:val="24"/>
          <w:lang w:val="en-US"/>
        </w:rPr>
        <w:t>Close coordination between monetary and fiscal policy is crucial for sustainable economic growth under price stability and stable balance of payment. To be effective, coordination must be based on sustainable and credible monetary and fiscal policies. In addition, although the political decision makers are trying to coordinate their policies, however, their efforts would fail if one or both policies are unsustainable. How much is the credibility of one policy lower, the greater will be the burden of the other policies. We saw the precious value of coordination in the current crisis in which all countries globally coordinate their macroeconomic policies, according to their monetary and fiscal space for undertaking measures. The first defensive line in terms of current crisis was the decline of reference interest rates of six major central banks and the use of unconventional instruments to increase liquidity in the economy. Furthermore, there were huge fiscal stimuli of the largest countries in the world in order to strengthen the financial sector, to restore investor confides and to relax credit flows in economies.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The aim of this paper it’</w:t>
      </w:r>
      <w:r w:rsidRPr="00861941">
        <w:rPr>
          <w:rStyle w:val="hps"/>
          <w:rFonts w:cs="Times New Roman"/>
          <w:szCs w:val="24"/>
        </w:rPr>
        <w:t xml:space="preserve">s </w:t>
      </w:r>
      <w:r w:rsidRPr="00861941">
        <w:rPr>
          <w:rStyle w:val="hps"/>
          <w:rFonts w:cs="Times New Roman"/>
          <w:szCs w:val="24"/>
          <w:lang w:val="en-US"/>
        </w:rPr>
        <w:t>the</w:t>
      </w:r>
      <w:r w:rsidRPr="00861941">
        <w:rPr>
          <w:rFonts w:cs="Times New Roman"/>
          <w:szCs w:val="24"/>
        </w:rPr>
        <w:t xml:space="preserve"> </w:t>
      </w:r>
      <w:r w:rsidRPr="00861941">
        <w:rPr>
          <w:rStyle w:val="hps"/>
          <w:rFonts w:cs="Times New Roman"/>
          <w:szCs w:val="24"/>
        </w:rPr>
        <w:t>coordination</w:t>
      </w:r>
      <w:r w:rsidRPr="00861941">
        <w:rPr>
          <w:rFonts w:cs="Times New Roman"/>
          <w:szCs w:val="24"/>
        </w:rPr>
        <w:t xml:space="preserve"> </w:t>
      </w:r>
      <w:r w:rsidRPr="00861941">
        <w:rPr>
          <w:rStyle w:val="hps"/>
          <w:rFonts w:cs="Times New Roman"/>
          <w:szCs w:val="24"/>
        </w:rPr>
        <w:t>of</w:t>
      </w:r>
      <w:r w:rsidRPr="00861941">
        <w:rPr>
          <w:rFonts w:cs="Times New Roman"/>
          <w:szCs w:val="24"/>
        </w:rPr>
        <w:t xml:space="preserve"> </w:t>
      </w:r>
      <w:r w:rsidRPr="00861941">
        <w:rPr>
          <w:rStyle w:val="hps"/>
          <w:rFonts w:cs="Times New Roman"/>
          <w:szCs w:val="24"/>
        </w:rPr>
        <w:t>monetary</w:t>
      </w:r>
      <w:r w:rsidRPr="00861941">
        <w:rPr>
          <w:rFonts w:cs="Times New Roman"/>
          <w:szCs w:val="24"/>
        </w:rPr>
        <w:t xml:space="preserve"> </w:t>
      </w:r>
      <w:r w:rsidRPr="00861941">
        <w:rPr>
          <w:rStyle w:val="hps"/>
          <w:rFonts w:cs="Times New Roman"/>
          <w:szCs w:val="24"/>
        </w:rPr>
        <w:t>and fiscal policy</w:t>
      </w:r>
      <w:r w:rsidRPr="00861941">
        <w:rPr>
          <w:rFonts w:cs="Times New Roman"/>
          <w:szCs w:val="24"/>
        </w:rPr>
        <w:t xml:space="preserve"> </w:t>
      </w:r>
      <w:r w:rsidRPr="00861941">
        <w:rPr>
          <w:rStyle w:val="hps"/>
          <w:rFonts w:cs="Times New Roman"/>
          <w:szCs w:val="24"/>
        </w:rPr>
        <w:t>and</w:t>
      </w:r>
      <w:r w:rsidRPr="00861941">
        <w:rPr>
          <w:rFonts w:cs="Times New Roman"/>
          <w:szCs w:val="24"/>
        </w:rPr>
        <w:t xml:space="preserve"> </w:t>
      </w:r>
      <w:r w:rsidRPr="00861941">
        <w:rPr>
          <w:rStyle w:val="hps"/>
          <w:rFonts w:cs="Times New Roman"/>
          <w:szCs w:val="24"/>
        </w:rPr>
        <w:t>their importance</w:t>
      </w:r>
      <w:r w:rsidRPr="00861941">
        <w:rPr>
          <w:rFonts w:cs="Times New Roman"/>
          <w:szCs w:val="24"/>
        </w:rPr>
        <w:t xml:space="preserve"> </w:t>
      </w:r>
      <w:r w:rsidRPr="00861941">
        <w:rPr>
          <w:rStyle w:val="hps"/>
          <w:rFonts w:cs="Times New Roman"/>
          <w:szCs w:val="24"/>
        </w:rPr>
        <w:t>for</w:t>
      </w:r>
      <w:r w:rsidRPr="00861941">
        <w:rPr>
          <w:rFonts w:cs="Times New Roman"/>
          <w:szCs w:val="24"/>
        </w:rPr>
        <w:t xml:space="preserve"> </w:t>
      </w:r>
      <w:r w:rsidRPr="00861941">
        <w:rPr>
          <w:rStyle w:val="hps"/>
          <w:rFonts w:cs="Times New Roman"/>
          <w:szCs w:val="24"/>
        </w:rPr>
        <w:t>countries in transition</w:t>
      </w:r>
      <w:r w:rsidRPr="00861941">
        <w:rPr>
          <w:rStyle w:val="hps"/>
          <w:rFonts w:cs="Times New Roman"/>
          <w:szCs w:val="24"/>
          <w:lang w:val="en-US"/>
        </w:rPr>
        <w:t xml:space="preserve"> and emerging countries</w:t>
      </w:r>
      <w:r w:rsidRPr="00861941">
        <w:rPr>
          <w:rStyle w:val="hps"/>
          <w:rFonts w:cs="Times New Roman"/>
          <w:szCs w:val="24"/>
        </w:rPr>
        <w:t xml:space="preserve">. </w:t>
      </w:r>
      <w:r w:rsidRPr="00861941">
        <w:rPr>
          <w:rFonts w:cs="Times New Roman"/>
          <w:szCs w:val="24"/>
          <w:lang w:val="en-US"/>
        </w:rPr>
        <w:t>All transition countries have experienced banking crises or severe banking distress during the transition process. Key factors contributing to banking crises in these countries have been the large amounts of bad debt inherited from the previous socialist regimes, and the lack of familiarity of enterprises and banks with the functioning of market economies. Therefore, the resolution of banking crises in these countries can also be viewed as a challenge of transition, or as a challenge of banking sector development in the transition context. While some transition countries have progressed more than others in developing and strengthening their banking systems, many have not completed the “transition” process. To this extent, new banking crises remain a risk. A pertinent question for policy makers therefore is how to resolve such crises in a way that would minimize the costs to the economy and the risks of such crises recurring in the future.</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This paper reviews the experience of banking crises during 1990-98 in twelve transition countries: five countries from Central and Eastern Europe (</w:t>
      </w:r>
      <w:r w:rsidRPr="00861941">
        <w:rPr>
          <w:rFonts w:cs="Times New Roman"/>
          <w:i/>
          <w:iCs/>
          <w:szCs w:val="24"/>
          <w:lang w:val="en-US"/>
        </w:rPr>
        <w:t>CEEs</w:t>
      </w:r>
      <w:r w:rsidRPr="00861941">
        <w:rPr>
          <w:rFonts w:cs="Times New Roman"/>
          <w:szCs w:val="24"/>
          <w:lang w:val="en-US"/>
        </w:rPr>
        <w:t xml:space="preserve">) – </w:t>
      </w:r>
      <w:r w:rsidRPr="00861941">
        <w:rPr>
          <w:rFonts w:cs="Times New Roman"/>
          <w:i/>
          <w:iCs/>
          <w:szCs w:val="24"/>
          <w:lang w:val="en-US"/>
        </w:rPr>
        <w:t xml:space="preserve">Bulgaria, the Czech Republic, Hungary, Macedonia </w:t>
      </w:r>
      <w:r w:rsidRPr="00861941">
        <w:rPr>
          <w:rFonts w:cs="Times New Roman"/>
          <w:szCs w:val="24"/>
          <w:lang w:val="en-US"/>
        </w:rPr>
        <w:t xml:space="preserve">and </w:t>
      </w:r>
      <w:r w:rsidRPr="00861941">
        <w:rPr>
          <w:rFonts w:cs="Times New Roman"/>
          <w:i/>
          <w:iCs/>
          <w:szCs w:val="24"/>
          <w:lang w:val="en-US"/>
        </w:rPr>
        <w:t>Poland</w:t>
      </w:r>
      <w:r w:rsidRPr="00861941">
        <w:rPr>
          <w:rFonts w:cs="Times New Roman"/>
          <w:szCs w:val="24"/>
          <w:lang w:val="en-US"/>
        </w:rPr>
        <w:t xml:space="preserve">; the three </w:t>
      </w:r>
      <w:r w:rsidRPr="00861941">
        <w:rPr>
          <w:rFonts w:cs="Times New Roman"/>
          <w:i/>
          <w:iCs/>
          <w:szCs w:val="24"/>
          <w:lang w:val="en-US"/>
        </w:rPr>
        <w:t xml:space="preserve">Baltic </w:t>
      </w:r>
      <w:r w:rsidRPr="00861941">
        <w:rPr>
          <w:rFonts w:cs="Times New Roman"/>
          <w:szCs w:val="24"/>
          <w:lang w:val="en-US"/>
        </w:rPr>
        <w:t xml:space="preserve">States – </w:t>
      </w:r>
      <w:r w:rsidRPr="00861941">
        <w:rPr>
          <w:rFonts w:cs="Times New Roman"/>
          <w:i/>
          <w:iCs/>
          <w:szCs w:val="24"/>
          <w:lang w:val="en-US"/>
        </w:rPr>
        <w:t xml:space="preserve">Estonia, Latvia </w:t>
      </w:r>
      <w:r w:rsidRPr="00861941">
        <w:rPr>
          <w:rFonts w:cs="Times New Roman"/>
          <w:szCs w:val="24"/>
          <w:lang w:val="en-US"/>
        </w:rPr>
        <w:t xml:space="preserve">and </w:t>
      </w:r>
      <w:r w:rsidRPr="00861941">
        <w:rPr>
          <w:rFonts w:cs="Times New Roman"/>
          <w:i/>
          <w:iCs/>
          <w:szCs w:val="24"/>
          <w:lang w:val="en-US"/>
        </w:rPr>
        <w:t>Lithuania</w:t>
      </w:r>
      <w:r w:rsidRPr="00861941">
        <w:rPr>
          <w:rFonts w:cs="Times New Roman"/>
          <w:szCs w:val="24"/>
          <w:lang w:val="en-US"/>
        </w:rPr>
        <w:t>; and four countries from the Commonwealth of Independent States (</w:t>
      </w:r>
      <w:r w:rsidRPr="00861941">
        <w:rPr>
          <w:rFonts w:cs="Times New Roman"/>
          <w:i/>
          <w:iCs/>
          <w:szCs w:val="24"/>
          <w:lang w:val="en-US"/>
        </w:rPr>
        <w:t>CIS</w:t>
      </w:r>
      <w:r w:rsidRPr="00861941">
        <w:rPr>
          <w:rFonts w:cs="Times New Roman"/>
          <w:szCs w:val="24"/>
          <w:lang w:val="en-US"/>
        </w:rPr>
        <w:t xml:space="preserve">) – </w:t>
      </w:r>
      <w:r w:rsidRPr="00861941">
        <w:rPr>
          <w:rFonts w:cs="Times New Roman"/>
          <w:i/>
          <w:iCs/>
          <w:szCs w:val="24"/>
          <w:lang w:val="en-US"/>
        </w:rPr>
        <w:t xml:space="preserve">Georgia, Kazakhstan, the Kyrgyz Republic </w:t>
      </w:r>
      <w:r w:rsidRPr="00861941">
        <w:rPr>
          <w:rFonts w:cs="Times New Roman"/>
          <w:szCs w:val="24"/>
          <w:lang w:val="en-US"/>
        </w:rPr>
        <w:t xml:space="preserve">and </w:t>
      </w:r>
      <w:r w:rsidRPr="00861941">
        <w:rPr>
          <w:rFonts w:cs="Times New Roman"/>
          <w:i/>
          <w:iCs/>
          <w:szCs w:val="24"/>
          <w:lang w:val="en-US"/>
        </w:rPr>
        <w:t>Ukraine</w:t>
      </w:r>
      <w:r w:rsidRPr="00861941">
        <w:rPr>
          <w:rFonts w:cs="Times New Roman"/>
          <w:szCs w:val="24"/>
          <w:lang w:val="en-US"/>
        </w:rPr>
        <w:t>. These countries have experienced either episodes of obvious crisis such as bank runs, or episodes of severe banking distress involving a large share of non-performing loans in the banking sector. Both types of episodes are referred to in this paper as banking crisis episodes.</w:t>
      </w:r>
    </w:p>
    <w:p w:rsidR="001823D0" w:rsidRDefault="001823D0" w:rsidP="001823D0">
      <w:pPr>
        <w:pStyle w:val="ListParagraph"/>
        <w:autoSpaceDE w:val="0"/>
        <w:autoSpaceDN w:val="0"/>
        <w:adjustRightInd w:val="0"/>
        <w:spacing w:after="0" w:line="240" w:lineRule="auto"/>
        <w:ind w:left="1647"/>
        <w:jc w:val="center"/>
        <w:rPr>
          <w:rFonts w:cs="Times New Roman"/>
          <w:b/>
          <w:smallCaps/>
          <w:szCs w:val="24"/>
          <w:lang w:val="en-US"/>
        </w:rPr>
      </w:pPr>
    </w:p>
    <w:p w:rsidR="001823D0" w:rsidRPr="00B53F44" w:rsidRDefault="001823D0" w:rsidP="001823D0">
      <w:pPr>
        <w:pStyle w:val="ListParagraph"/>
        <w:autoSpaceDE w:val="0"/>
        <w:autoSpaceDN w:val="0"/>
        <w:adjustRightInd w:val="0"/>
        <w:spacing w:after="0" w:line="240" w:lineRule="auto"/>
        <w:ind w:left="0"/>
        <w:jc w:val="center"/>
        <w:rPr>
          <w:rFonts w:cs="Times New Roman"/>
          <w:b/>
          <w:smallCaps/>
          <w:szCs w:val="24"/>
          <w:lang w:val="en-US"/>
        </w:rPr>
      </w:pPr>
      <w:r w:rsidRPr="00B53F44">
        <w:rPr>
          <w:rFonts w:cs="Times New Roman"/>
          <w:b/>
          <w:smallCaps/>
          <w:szCs w:val="24"/>
          <w:lang w:val="en-US"/>
        </w:rPr>
        <w:t>Banking crises in Transition Countries</w:t>
      </w:r>
    </w:p>
    <w:p w:rsidR="001823D0" w:rsidRPr="00861941" w:rsidRDefault="001823D0" w:rsidP="001823D0">
      <w:pPr>
        <w:pStyle w:val="ListParagraph"/>
        <w:autoSpaceDE w:val="0"/>
        <w:autoSpaceDN w:val="0"/>
        <w:adjustRightInd w:val="0"/>
        <w:spacing w:after="0" w:line="240" w:lineRule="auto"/>
        <w:ind w:left="1080" w:firstLine="567"/>
        <w:jc w:val="both"/>
        <w:rPr>
          <w:rFonts w:cs="Times New Roman"/>
          <w:b/>
          <w:szCs w:val="24"/>
          <w:lang w:val="en-US"/>
        </w:rPr>
      </w:pPr>
    </w:p>
    <w:p w:rsidR="001823D0" w:rsidRPr="00861941" w:rsidRDefault="001823D0" w:rsidP="001823D0">
      <w:pPr>
        <w:autoSpaceDE w:val="0"/>
        <w:autoSpaceDN w:val="0"/>
        <w:adjustRightInd w:val="0"/>
        <w:spacing w:after="0" w:line="240" w:lineRule="auto"/>
        <w:ind w:firstLine="567"/>
        <w:jc w:val="both"/>
        <w:rPr>
          <w:rFonts w:cs="Times New Roman"/>
          <w:b/>
          <w:szCs w:val="24"/>
          <w:lang w:val="en-US"/>
        </w:rPr>
      </w:pPr>
      <w:r w:rsidRPr="00861941">
        <w:rPr>
          <w:rFonts w:cs="Times New Roman"/>
          <w:szCs w:val="24"/>
          <w:lang w:val="en-US"/>
        </w:rPr>
        <w:t>All transition countries have suffered from banking crises. Governments have a range of options of how to respond, from doing nothing and allowing banks to fail, to absorbing the entire cost of the banking crisis which is not only fiscally expensive but run the risk of moral hazard in the case of private banks.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lastRenderedPageBreak/>
        <w:t xml:space="preserve">The crisis resolution strategies pursued by the twelve transition countries fall into three broad categories: (a) extensive restructuring and recapitalization of banks, which was generally pursued by the </w:t>
      </w:r>
      <w:r w:rsidRPr="00861941">
        <w:rPr>
          <w:rFonts w:cs="Times New Roman"/>
          <w:i/>
          <w:iCs/>
          <w:szCs w:val="24"/>
          <w:lang w:val="en-US"/>
        </w:rPr>
        <w:t>CEEs</w:t>
      </w:r>
      <w:r w:rsidRPr="00861941">
        <w:rPr>
          <w:rFonts w:cs="Times New Roman"/>
          <w:szCs w:val="24"/>
          <w:lang w:val="en-US"/>
        </w:rPr>
        <w:t xml:space="preserve">; (b) large-scale liquidation of banks pursued by most </w:t>
      </w:r>
      <w:r w:rsidRPr="00861941">
        <w:rPr>
          <w:rFonts w:cs="Times New Roman"/>
          <w:i/>
          <w:iCs/>
          <w:szCs w:val="24"/>
          <w:lang w:val="en-US"/>
        </w:rPr>
        <w:t xml:space="preserve">CIS </w:t>
      </w:r>
      <w:r w:rsidRPr="00861941">
        <w:rPr>
          <w:rFonts w:cs="Times New Roman"/>
          <w:szCs w:val="24"/>
          <w:lang w:val="en-US"/>
        </w:rPr>
        <w:t xml:space="preserve">countries; and (c) a combination of bank liquidation and restructuring, which was generally pursued by the </w:t>
      </w:r>
      <w:r w:rsidRPr="00861941">
        <w:rPr>
          <w:rFonts w:cs="Times New Roman"/>
          <w:i/>
          <w:iCs/>
          <w:szCs w:val="24"/>
          <w:lang w:val="en-US"/>
        </w:rPr>
        <w:t xml:space="preserve">Baltic </w:t>
      </w:r>
      <w:r w:rsidRPr="00861941">
        <w:rPr>
          <w:rFonts w:cs="Times New Roman"/>
          <w:szCs w:val="24"/>
          <w:lang w:val="en-US"/>
        </w:rPr>
        <w:t>state.</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The different strategies adopted by the authorities in these countries appear to depend on two</w:t>
      </w:r>
      <w:r>
        <w:rPr>
          <w:rFonts w:cs="Times New Roman"/>
          <w:szCs w:val="24"/>
          <w:lang w:val="en-US"/>
        </w:rPr>
        <w:t xml:space="preserve"> </w:t>
      </w:r>
      <w:r w:rsidRPr="00861941">
        <w:rPr>
          <w:rFonts w:cs="Times New Roman"/>
          <w:szCs w:val="24"/>
          <w:lang w:val="en-US"/>
        </w:rPr>
        <w:t>main factors: initial macroeconomic conditions and development of the banking sector. On the macroeconomic side, the key factor was inflation.</w:t>
      </w:r>
      <w:r w:rsidRPr="00861941">
        <w:rPr>
          <w:rStyle w:val="FootnoteReference"/>
          <w:rFonts w:cs="Times New Roman"/>
          <w:szCs w:val="24"/>
          <w:lang w:val="en-US"/>
        </w:rPr>
        <w:footnoteReference w:id="4"/>
      </w:r>
      <w:r w:rsidRPr="00861941">
        <w:rPr>
          <w:rFonts w:cs="Times New Roman"/>
          <w:szCs w:val="24"/>
          <w:lang w:val="en-US"/>
        </w:rPr>
        <w:t xml:space="preserve"> Hyper inflation in the countries of the </w:t>
      </w:r>
      <w:r w:rsidRPr="00861941">
        <w:rPr>
          <w:rFonts w:cs="Times New Roman"/>
          <w:i/>
          <w:iCs/>
          <w:szCs w:val="24"/>
          <w:lang w:val="en-US"/>
        </w:rPr>
        <w:t xml:space="preserve">FSU </w:t>
      </w:r>
      <w:r w:rsidRPr="00861941">
        <w:rPr>
          <w:rFonts w:cs="Times New Roman"/>
          <w:szCs w:val="24"/>
          <w:lang w:val="en-US"/>
        </w:rPr>
        <w:t>(</w:t>
      </w:r>
      <w:r w:rsidRPr="00861941">
        <w:rPr>
          <w:rFonts w:cs="Times New Roman"/>
          <w:i/>
          <w:iCs/>
          <w:szCs w:val="24"/>
          <w:lang w:val="en-US"/>
        </w:rPr>
        <w:t xml:space="preserve">CIS </w:t>
      </w:r>
      <w:r w:rsidRPr="00861941">
        <w:rPr>
          <w:rFonts w:cs="Times New Roman"/>
          <w:szCs w:val="24"/>
          <w:lang w:val="en-US"/>
        </w:rPr>
        <w:t xml:space="preserve">and the </w:t>
      </w:r>
      <w:r w:rsidRPr="00861941">
        <w:rPr>
          <w:rFonts w:cs="Times New Roman"/>
          <w:i/>
          <w:iCs/>
          <w:szCs w:val="24"/>
          <w:lang w:val="en-US"/>
        </w:rPr>
        <w:t xml:space="preserve">Baltic </w:t>
      </w:r>
      <w:r w:rsidRPr="00861941">
        <w:rPr>
          <w:rFonts w:cs="Times New Roman"/>
          <w:szCs w:val="24"/>
          <w:lang w:val="en-US"/>
        </w:rPr>
        <w:t xml:space="preserve">countries) at the beginning of transition had drastically reduced the real value of the bad debt in the banking system. By contrast, while some </w:t>
      </w:r>
      <w:r w:rsidRPr="00861941">
        <w:rPr>
          <w:rFonts w:cs="Times New Roman"/>
          <w:i/>
          <w:iCs/>
          <w:szCs w:val="24"/>
          <w:lang w:val="en-US"/>
        </w:rPr>
        <w:t xml:space="preserve">CEEs </w:t>
      </w:r>
      <w:r w:rsidRPr="00861941">
        <w:rPr>
          <w:rFonts w:cs="Times New Roman"/>
          <w:szCs w:val="24"/>
          <w:lang w:val="en-US"/>
        </w:rPr>
        <w:t xml:space="preserve">began transition with high inflation, inflation in these countries was far lower than in the </w:t>
      </w:r>
      <w:r w:rsidRPr="00861941">
        <w:rPr>
          <w:rFonts w:cs="Times New Roman"/>
          <w:i/>
          <w:iCs/>
          <w:szCs w:val="24"/>
          <w:lang w:val="en-US"/>
        </w:rPr>
        <w:t>FSU</w:t>
      </w:r>
      <w:r w:rsidRPr="00861941">
        <w:rPr>
          <w:rFonts w:cs="Times New Roman"/>
          <w:szCs w:val="24"/>
          <w:lang w:val="en-US"/>
        </w:rPr>
        <w:t xml:space="preserve">, which means that the </w:t>
      </w:r>
      <w:r w:rsidRPr="00861941">
        <w:rPr>
          <w:rFonts w:cs="Times New Roman"/>
          <w:i/>
          <w:iCs/>
          <w:szCs w:val="24"/>
          <w:lang w:val="en-US"/>
        </w:rPr>
        <w:t xml:space="preserve">CEEs </w:t>
      </w:r>
      <w:r w:rsidRPr="00861941">
        <w:rPr>
          <w:rFonts w:cs="Times New Roman"/>
          <w:szCs w:val="24"/>
          <w:lang w:val="en-US"/>
        </w:rPr>
        <w:t xml:space="preserve">were saddled with a much larger stock of bad debt that the authorities needed to tackle. </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 xml:space="preserve">Banking sector development also had implications for the bank crisis resolution strategy adopted by the different country groups. While both the </w:t>
      </w:r>
      <w:r w:rsidRPr="00861941">
        <w:rPr>
          <w:rFonts w:cs="Times New Roman"/>
          <w:i/>
          <w:iCs/>
          <w:szCs w:val="24"/>
          <w:lang w:val="en-US"/>
        </w:rPr>
        <w:t xml:space="preserve">FSU </w:t>
      </w:r>
      <w:r w:rsidRPr="00861941">
        <w:rPr>
          <w:rFonts w:cs="Times New Roman"/>
          <w:szCs w:val="24"/>
          <w:lang w:val="en-US"/>
        </w:rPr>
        <w:t xml:space="preserve">and </w:t>
      </w:r>
      <w:r w:rsidRPr="00861941">
        <w:rPr>
          <w:rFonts w:cs="Times New Roman"/>
          <w:i/>
          <w:iCs/>
          <w:szCs w:val="24"/>
          <w:lang w:val="en-US"/>
        </w:rPr>
        <w:t xml:space="preserve">CEEs </w:t>
      </w:r>
      <w:r w:rsidRPr="00861941">
        <w:rPr>
          <w:rFonts w:cs="Times New Roman"/>
          <w:szCs w:val="24"/>
          <w:lang w:val="en-US"/>
        </w:rPr>
        <w:t xml:space="preserve">pursued liberal licensing policies initially, entry of new banks was on a much larger scale in the </w:t>
      </w:r>
      <w:r w:rsidRPr="00861941">
        <w:rPr>
          <w:rFonts w:cs="Times New Roman"/>
          <w:i/>
          <w:iCs/>
          <w:szCs w:val="24"/>
          <w:lang w:val="en-US"/>
        </w:rPr>
        <w:t xml:space="preserve">FSU </w:t>
      </w:r>
      <w:r w:rsidRPr="00861941">
        <w:rPr>
          <w:rFonts w:cs="Times New Roman"/>
          <w:szCs w:val="24"/>
          <w:lang w:val="en-US"/>
        </w:rPr>
        <w:t xml:space="preserve">than in the </w:t>
      </w:r>
      <w:r w:rsidRPr="00861941">
        <w:rPr>
          <w:rFonts w:cs="Times New Roman"/>
          <w:i/>
          <w:iCs/>
          <w:szCs w:val="24"/>
          <w:lang w:val="en-US"/>
        </w:rPr>
        <w:t>CEEs</w:t>
      </w:r>
      <w:r w:rsidRPr="00861941">
        <w:rPr>
          <w:rFonts w:cs="Times New Roman"/>
          <w:szCs w:val="24"/>
          <w:lang w:val="en-US"/>
        </w:rPr>
        <w:t xml:space="preserve">. Furthermore, while in the </w:t>
      </w:r>
      <w:r w:rsidRPr="00861941">
        <w:rPr>
          <w:rFonts w:cs="Times New Roman"/>
          <w:i/>
          <w:iCs/>
          <w:szCs w:val="24"/>
          <w:lang w:val="en-US"/>
        </w:rPr>
        <w:t xml:space="preserve">CEE's </w:t>
      </w:r>
      <w:r w:rsidRPr="00861941">
        <w:rPr>
          <w:rFonts w:cs="Times New Roman"/>
          <w:szCs w:val="24"/>
          <w:lang w:val="en-US"/>
        </w:rPr>
        <w:t xml:space="preserve">new banks were allowed to enter to foster competition in the banking sector, in the </w:t>
      </w:r>
      <w:r w:rsidRPr="00861941">
        <w:rPr>
          <w:rFonts w:cs="Times New Roman"/>
          <w:i/>
          <w:iCs/>
          <w:szCs w:val="24"/>
          <w:lang w:val="en-US"/>
        </w:rPr>
        <w:t xml:space="preserve">FSU </w:t>
      </w:r>
      <w:r w:rsidRPr="00861941">
        <w:rPr>
          <w:rFonts w:cs="Times New Roman"/>
          <w:szCs w:val="24"/>
          <w:lang w:val="en-US"/>
        </w:rPr>
        <w:t xml:space="preserve">many new banks emerged to finance inefficient state-owned enterprises. As a result, that there was a much greater proliferation of banks of poor quality in the </w:t>
      </w:r>
      <w:r w:rsidRPr="00861941">
        <w:rPr>
          <w:rFonts w:cs="Times New Roman"/>
          <w:i/>
          <w:iCs/>
          <w:szCs w:val="24"/>
          <w:lang w:val="en-US"/>
        </w:rPr>
        <w:t xml:space="preserve">FSU </w:t>
      </w:r>
      <w:r w:rsidRPr="00861941">
        <w:rPr>
          <w:rFonts w:cs="Times New Roman"/>
          <w:szCs w:val="24"/>
          <w:lang w:val="en-US"/>
        </w:rPr>
        <w:t xml:space="preserve">compared to the </w:t>
      </w:r>
      <w:r w:rsidRPr="00861941">
        <w:rPr>
          <w:rFonts w:cs="Times New Roman"/>
          <w:i/>
          <w:iCs/>
          <w:szCs w:val="24"/>
          <w:lang w:val="en-US"/>
        </w:rPr>
        <w:t>CEEs</w:t>
      </w:r>
      <w:r w:rsidRPr="00861941">
        <w:rPr>
          <w:rFonts w:cs="Times New Roman"/>
          <w:szCs w:val="24"/>
          <w:lang w:val="en-US"/>
        </w:rPr>
        <w:t xml:space="preserve">. Also, financial intermediation was much deeper in the </w:t>
      </w:r>
      <w:r w:rsidRPr="00861941">
        <w:rPr>
          <w:rFonts w:cs="Times New Roman"/>
          <w:i/>
          <w:iCs/>
          <w:szCs w:val="24"/>
          <w:lang w:val="en-US"/>
        </w:rPr>
        <w:t xml:space="preserve">CEEs </w:t>
      </w:r>
      <w:r w:rsidRPr="00861941">
        <w:rPr>
          <w:rFonts w:cs="Times New Roman"/>
          <w:szCs w:val="24"/>
          <w:lang w:val="en-US"/>
        </w:rPr>
        <w:t xml:space="preserve">(with some banks considered “too big to fail”) than in the </w:t>
      </w:r>
      <w:r w:rsidRPr="00861941">
        <w:rPr>
          <w:rFonts w:cs="Times New Roman"/>
          <w:i/>
          <w:iCs/>
          <w:szCs w:val="24"/>
          <w:lang w:val="en-US"/>
        </w:rPr>
        <w:t xml:space="preserve">FSU </w:t>
      </w:r>
      <w:r w:rsidRPr="00861941">
        <w:rPr>
          <w:rFonts w:cs="Times New Roman"/>
          <w:szCs w:val="24"/>
          <w:lang w:val="en-US"/>
        </w:rPr>
        <w:t xml:space="preserve">countries, which meant that liquidation of banks in the </w:t>
      </w:r>
      <w:r w:rsidRPr="00861941">
        <w:rPr>
          <w:rFonts w:cs="Times New Roman"/>
          <w:i/>
          <w:iCs/>
          <w:szCs w:val="24"/>
          <w:lang w:val="en-US"/>
        </w:rPr>
        <w:t xml:space="preserve">FSU </w:t>
      </w:r>
      <w:r w:rsidRPr="00861941">
        <w:rPr>
          <w:rFonts w:cs="Times New Roman"/>
          <w:szCs w:val="24"/>
          <w:lang w:val="en-US"/>
        </w:rPr>
        <w:t xml:space="preserve">would not have much economic or social impact, whereas it could in the </w:t>
      </w:r>
      <w:r w:rsidRPr="00861941">
        <w:rPr>
          <w:rFonts w:cs="Times New Roman"/>
          <w:i/>
          <w:iCs/>
          <w:szCs w:val="24"/>
          <w:lang w:val="en-US"/>
        </w:rPr>
        <w:t xml:space="preserve">CEEs. </w:t>
      </w:r>
      <w:r w:rsidRPr="00861941">
        <w:rPr>
          <w:rFonts w:cs="Times New Roman"/>
          <w:szCs w:val="24"/>
          <w:lang w:val="en-US"/>
        </w:rPr>
        <w:t xml:space="preserve">Because of these reasons, countries in the </w:t>
      </w:r>
      <w:r w:rsidRPr="00861941">
        <w:rPr>
          <w:rFonts w:cs="Times New Roman"/>
          <w:i/>
          <w:iCs/>
          <w:szCs w:val="24"/>
          <w:lang w:val="en-US"/>
        </w:rPr>
        <w:t xml:space="preserve">CEEs </w:t>
      </w:r>
      <w:r w:rsidRPr="00861941">
        <w:rPr>
          <w:rFonts w:cs="Times New Roman"/>
          <w:szCs w:val="24"/>
          <w:lang w:val="en-US"/>
        </w:rPr>
        <w:t xml:space="preserve">did not undertake bank liquidation on the large-scale that the </w:t>
      </w:r>
      <w:r w:rsidRPr="00861941">
        <w:rPr>
          <w:rFonts w:cs="Times New Roman"/>
          <w:i/>
          <w:iCs/>
          <w:szCs w:val="24"/>
          <w:lang w:val="en-US"/>
        </w:rPr>
        <w:t xml:space="preserve">FSU </w:t>
      </w:r>
      <w:r w:rsidRPr="00861941">
        <w:rPr>
          <w:rFonts w:cs="Times New Roman"/>
          <w:szCs w:val="24"/>
          <w:lang w:val="en-US"/>
        </w:rPr>
        <w:t>did.</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 xml:space="preserve">These initial conditions and bank crisis resolution strategies had a direct impact on the fiscal costs of banking crises. Further, the amount of fiscal costs incurred also depended on the extent to which bank shareholders and depositors bore some of the costs. The </w:t>
      </w:r>
      <w:r w:rsidRPr="00861941">
        <w:rPr>
          <w:rFonts w:cs="Times New Roman"/>
          <w:i/>
          <w:iCs/>
          <w:szCs w:val="24"/>
          <w:lang w:val="en-US"/>
        </w:rPr>
        <w:t xml:space="preserve">CIS </w:t>
      </w:r>
      <w:r w:rsidRPr="00861941">
        <w:rPr>
          <w:rFonts w:cs="Times New Roman"/>
          <w:szCs w:val="24"/>
          <w:lang w:val="en-US"/>
        </w:rPr>
        <w:t xml:space="preserve">and </w:t>
      </w:r>
      <w:r w:rsidRPr="00861941">
        <w:rPr>
          <w:rFonts w:cs="Times New Roman"/>
          <w:i/>
          <w:iCs/>
          <w:szCs w:val="24"/>
          <w:lang w:val="en-US"/>
        </w:rPr>
        <w:t>Baltic States</w:t>
      </w:r>
      <w:r w:rsidRPr="00861941">
        <w:rPr>
          <w:rFonts w:cs="Times New Roman"/>
          <w:szCs w:val="24"/>
          <w:lang w:val="en-US"/>
        </w:rPr>
        <w:t xml:space="preserve">, the fiscal costs were generally lower because they relied more on recapitalization by private shareholders than by the government. There was also minimal compensation for depositors in the event of bank liquidation in the </w:t>
      </w:r>
      <w:r w:rsidRPr="00861941">
        <w:rPr>
          <w:rFonts w:cs="Times New Roman"/>
          <w:i/>
          <w:iCs/>
          <w:szCs w:val="24"/>
          <w:lang w:val="en-US"/>
        </w:rPr>
        <w:t xml:space="preserve">CIS </w:t>
      </w:r>
      <w:r w:rsidRPr="00861941">
        <w:rPr>
          <w:rFonts w:cs="Times New Roman"/>
          <w:szCs w:val="24"/>
          <w:lang w:val="en-US"/>
        </w:rPr>
        <w:t xml:space="preserve">and the </w:t>
      </w:r>
      <w:r w:rsidRPr="00861941">
        <w:rPr>
          <w:rFonts w:cs="Times New Roman"/>
          <w:i/>
          <w:iCs/>
          <w:szCs w:val="24"/>
          <w:lang w:val="en-US"/>
        </w:rPr>
        <w:t>Baltic’s</w:t>
      </w:r>
      <w:r w:rsidRPr="00861941">
        <w:rPr>
          <w:rFonts w:cs="Times New Roman"/>
          <w:szCs w:val="24"/>
          <w:lang w:val="en-US"/>
        </w:rPr>
        <w:t xml:space="preserve">. Also, the restructuring operations undertaken by the </w:t>
      </w:r>
      <w:r w:rsidRPr="00861941">
        <w:rPr>
          <w:rFonts w:cs="Times New Roman"/>
          <w:i/>
          <w:iCs/>
          <w:szCs w:val="24"/>
          <w:lang w:val="en-US"/>
        </w:rPr>
        <w:t xml:space="preserve">CEEs </w:t>
      </w:r>
      <w:r w:rsidRPr="00861941">
        <w:rPr>
          <w:rFonts w:cs="Times New Roman"/>
          <w:szCs w:val="24"/>
          <w:lang w:val="en-US"/>
        </w:rPr>
        <w:t>suffered from several weaknesses, which raised fiscal and quasi-fiscal costs.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Taking together the costs of bank restructuring and depositor compensation incurred by the</w:t>
      </w:r>
      <w:r>
        <w:rPr>
          <w:rFonts w:cs="Times New Roman"/>
          <w:szCs w:val="24"/>
          <w:lang w:val="en-US"/>
        </w:rPr>
        <w:t xml:space="preserve"> </w:t>
      </w:r>
      <w:r w:rsidRPr="00861941">
        <w:rPr>
          <w:rFonts w:cs="Times New Roman"/>
          <w:szCs w:val="24"/>
          <w:lang w:val="en-US"/>
        </w:rPr>
        <w:t>Government</w:t>
      </w:r>
      <w:r>
        <w:rPr>
          <w:rFonts w:cs="Times New Roman"/>
          <w:szCs w:val="24"/>
          <w:lang w:val="en-US"/>
        </w:rPr>
        <w:t xml:space="preserve"> and the C</w:t>
      </w:r>
      <w:r w:rsidRPr="00861941">
        <w:rPr>
          <w:rFonts w:cs="Times New Roman"/>
          <w:szCs w:val="24"/>
          <w:lang w:val="en-US"/>
        </w:rPr>
        <w:t>entral bank, the total fiscal costs of banking crises were by far the highest in the</w:t>
      </w:r>
      <w:r>
        <w:rPr>
          <w:rFonts w:cs="Times New Roman"/>
          <w:szCs w:val="24"/>
          <w:lang w:val="en-US"/>
        </w:rPr>
        <w:t xml:space="preserve"> </w:t>
      </w:r>
      <w:r w:rsidRPr="00861941">
        <w:rPr>
          <w:rFonts w:cs="Times New Roman"/>
          <w:i/>
          <w:iCs/>
          <w:szCs w:val="24"/>
          <w:lang w:val="en-US"/>
        </w:rPr>
        <w:t>CEEs</w:t>
      </w:r>
      <w:r w:rsidRPr="00861941">
        <w:rPr>
          <w:rFonts w:cs="Times New Roman"/>
          <w:szCs w:val="24"/>
          <w:lang w:val="en-US"/>
        </w:rPr>
        <w:t xml:space="preserve">, where they ranged from 7 to over 40 percent of GDP, compared with a range of 0.1 to 18 percent of GDP for the </w:t>
      </w:r>
      <w:r w:rsidRPr="00861941">
        <w:rPr>
          <w:rFonts w:cs="Times New Roman"/>
          <w:i/>
          <w:iCs/>
          <w:szCs w:val="24"/>
          <w:lang w:val="en-US"/>
        </w:rPr>
        <w:t xml:space="preserve">CIS </w:t>
      </w:r>
      <w:r w:rsidRPr="00861941">
        <w:rPr>
          <w:rFonts w:cs="Times New Roman"/>
          <w:szCs w:val="24"/>
          <w:lang w:val="en-US"/>
        </w:rPr>
        <w:t xml:space="preserve">and from 2 to 3 percent for the </w:t>
      </w:r>
      <w:r w:rsidRPr="00861941">
        <w:rPr>
          <w:rFonts w:cs="Times New Roman"/>
          <w:i/>
          <w:iCs/>
          <w:szCs w:val="24"/>
          <w:lang w:val="en-US"/>
        </w:rPr>
        <w:t>Baltic’s</w:t>
      </w:r>
      <w:r w:rsidRPr="00861941">
        <w:rPr>
          <w:rFonts w:cs="Times New Roman"/>
          <w:szCs w:val="24"/>
          <w:lang w:val="en-US"/>
        </w:rPr>
        <w:t xml:space="preserve">. The bulk of these costs were incurred by the government for bank restructuring, which were typically several times the costs of direct payments to depositors or the costs incurred by the central bank. The higher fiscal costs incurred by the </w:t>
      </w:r>
      <w:r w:rsidRPr="00861941">
        <w:rPr>
          <w:rFonts w:cs="Times New Roman"/>
          <w:i/>
          <w:iCs/>
          <w:szCs w:val="24"/>
          <w:lang w:val="en-US"/>
        </w:rPr>
        <w:t xml:space="preserve">CEEs </w:t>
      </w:r>
      <w:r w:rsidRPr="00861941">
        <w:rPr>
          <w:rFonts w:cs="Times New Roman"/>
          <w:szCs w:val="24"/>
          <w:lang w:val="en-US"/>
        </w:rPr>
        <w:t xml:space="preserve">are reflected in the higher levels of fiscal outlays arising from banking crises compared with the general government deficits in these countries. The resolution of banking crises also raised central government indebtedness more in the </w:t>
      </w:r>
      <w:r w:rsidRPr="00861941">
        <w:rPr>
          <w:rFonts w:cs="Times New Roman"/>
          <w:i/>
          <w:iCs/>
          <w:szCs w:val="24"/>
          <w:lang w:val="en-US"/>
        </w:rPr>
        <w:t xml:space="preserve">CEEs </w:t>
      </w:r>
      <w:r w:rsidRPr="00861941">
        <w:rPr>
          <w:rFonts w:cs="Times New Roman"/>
          <w:szCs w:val="24"/>
          <w:lang w:val="en-US"/>
        </w:rPr>
        <w:t xml:space="preserve">than in the </w:t>
      </w:r>
      <w:r w:rsidRPr="00861941">
        <w:rPr>
          <w:rFonts w:cs="Times New Roman"/>
          <w:i/>
          <w:iCs/>
          <w:szCs w:val="24"/>
          <w:lang w:val="en-US"/>
        </w:rPr>
        <w:t>CIS</w:t>
      </w:r>
      <w:r w:rsidRPr="00861941">
        <w:rPr>
          <w:rFonts w:cs="Times New Roman"/>
          <w:szCs w:val="24"/>
          <w:lang w:val="en-US"/>
        </w:rPr>
        <w:t xml:space="preserve">, by around 5 percent in the case of the </w:t>
      </w:r>
      <w:r w:rsidRPr="00861941">
        <w:rPr>
          <w:rFonts w:cs="Times New Roman"/>
          <w:i/>
          <w:iCs/>
          <w:szCs w:val="24"/>
          <w:lang w:val="en-US"/>
        </w:rPr>
        <w:t xml:space="preserve">Kyrgyz Republic </w:t>
      </w:r>
      <w:r w:rsidRPr="00861941">
        <w:rPr>
          <w:rFonts w:cs="Times New Roman"/>
          <w:szCs w:val="24"/>
          <w:lang w:val="en-US"/>
        </w:rPr>
        <w:t xml:space="preserve">to around 11 percent in the case of </w:t>
      </w:r>
      <w:r w:rsidRPr="00861941">
        <w:rPr>
          <w:rFonts w:cs="Times New Roman"/>
          <w:i/>
          <w:iCs/>
          <w:szCs w:val="24"/>
          <w:lang w:val="en-US"/>
        </w:rPr>
        <w:t>Bulgaria.</w:t>
      </w:r>
      <w:r w:rsidRPr="00861941">
        <w:rPr>
          <w:rFonts w:cs="Times New Roman"/>
          <w:szCs w:val="24"/>
          <w:lang w:val="en-US"/>
        </w:rPr>
        <w:t xml:space="preserve"> All three country groups enjoyed positive results from the resolution of banking crises, although the outcomes were generally better in the </w:t>
      </w:r>
      <w:r w:rsidRPr="00861941">
        <w:rPr>
          <w:rFonts w:cs="Times New Roman"/>
          <w:i/>
          <w:iCs/>
          <w:szCs w:val="24"/>
          <w:lang w:val="en-US"/>
        </w:rPr>
        <w:t xml:space="preserve">CEEs </w:t>
      </w:r>
      <w:r w:rsidRPr="00861941">
        <w:rPr>
          <w:rFonts w:cs="Times New Roman"/>
          <w:szCs w:val="24"/>
          <w:lang w:val="en-US"/>
        </w:rPr>
        <w:t xml:space="preserve">and the </w:t>
      </w:r>
      <w:r w:rsidRPr="00861941">
        <w:rPr>
          <w:rFonts w:cs="Times New Roman"/>
          <w:i/>
          <w:iCs/>
          <w:szCs w:val="24"/>
          <w:lang w:val="en-US"/>
        </w:rPr>
        <w:t xml:space="preserve">Baltic’s </w:t>
      </w:r>
      <w:r w:rsidRPr="00861941">
        <w:rPr>
          <w:rFonts w:cs="Times New Roman"/>
          <w:szCs w:val="24"/>
          <w:lang w:val="en-US"/>
        </w:rPr>
        <w:t xml:space="preserve">than in the </w:t>
      </w:r>
      <w:r w:rsidRPr="00861941">
        <w:rPr>
          <w:rFonts w:cs="Times New Roman"/>
          <w:i/>
          <w:iCs/>
          <w:szCs w:val="24"/>
          <w:lang w:val="en-US"/>
        </w:rPr>
        <w:t>CIS</w:t>
      </w:r>
      <w:r w:rsidRPr="00861941">
        <w:rPr>
          <w:rFonts w:cs="Times New Roman"/>
          <w:szCs w:val="24"/>
          <w:lang w:val="en-US"/>
        </w:rPr>
        <w:t xml:space="preserve">, particularly in regard to improving banking sector efficiency and raising the confidence in the banking sector. There needs to be further financial deepening in all three country groups, and especially so in the </w:t>
      </w:r>
      <w:r w:rsidRPr="00861941">
        <w:rPr>
          <w:rFonts w:cs="Times New Roman"/>
          <w:i/>
          <w:iCs/>
          <w:szCs w:val="24"/>
          <w:lang w:val="en-US"/>
        </w:rPr>
        <w:t>CIS</w:t>
      </w:r>
      <w:r w:rsidRPr="00861941">
        <w:rPr>
          <w:rFonts w:cs="Times New Roman"/>
          <w:szCs w:val="24"/>
          <w:lang w:val="en-US"/>
        </w:rPr>
        <w:t xml:space="preserve">. Finally, although </w:t>
      </w:r>
      <w:r w:rsidRPr="00861941">
        <w:rPr>
          <w:rFonts w:cs="Times New Roman"/>
          <w:szCs w:val="24"/>
          <w:lang w:val="en-US"/>
        </w:rPr>
        <w:lastRenderedPageBreak/>
        <w:t>non-performing loans as a share of total loans has declined, they remain a concern in several countries in all three country groups.</w:t>
      </w:r>
      <w:r w:rsidRPr="00861941">
        <w:rPr>
          <w:rStyle w:val="FootnoteReference"/>
          <w:rFonts w:cs="Times New Roman"/>
          <w:szCs w:val="24"/>
          <w:lang w:val="en-US"/>
        </w:rPr>
        <w:footnoteReference w:id="5"/>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 xml:space="preserve">The incurrence of at least some fiscal costs may have been inevitable for the transition countries because of the need to deal with the inherited bad debt. Because of the moral hazard created by undercapitalization, these banks needed to be recapitalized before sound commercial banking could take place. The </w:t>
      </w:r>
      <w:r w:rsidRPr="00861941">
        <w:rPr>
          <w:rFonts w:cs="Times New Roman"/>
          <w:i/>
          <w:iCs/>
          <w:szCs w:val="24"/>
          <w:lang w:val="en-US"/>
        </w:rPr>
        <w:t xml:space="preserve">CEEs </w:t>
      </w:r>
      <w:r w:rsidRPr="00861941">
        <w:rPr>
          <w:rFonts w:cs="Times New Roman"/>
          <w:szCs w:val="24"/>
          <w:lang w:val="en-US"/>
        </w:rPr>
        <w:t>broadly adopted the approach of rehabilitating and injecting capital into banks. Although they incurred quite substantial fiscal costs in the process, the result was a sounder and more efficient banking system, in particular because many of the recapitalized banks have since been privatized to strategic foreign investors.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 xml:space="preserve">Finally, it is important to note that successful bad debt recovery requires adequate capacity for the task. Given the relatively recent introduction of transition economies to commercial banking, the capacity of collecting bad debt which entails restructuring of enterprises will take some time to build up, more so for the countries from the </w:t>
      </w:r>
      <w:r w:rsidRPr="00861941">
        <w:rPr>
          <w:rFonts w:cs="Times New Roman"/>
          <w:i/>
          <w:iCs/>
          <w:szCs w:val="24"/>
          <w:lang w:val="en-US"/>
        </w:rPr>
        <w:t xml:space="preserve">FSU </w:t>
      </w:r>
      <w:r w:rsidRPr="00861941">
        <w:rPr>
          <w:rFonts w:cs="Times New Roman"/>
          <w:szCs w:val="24"/>
          <w:lang w:val="en-US"/>
        </w:rPr>
        <w:t xml:space="preserve">than the </w:t>
      </w:r>
      <w:r w:rsidRPr="00861941">
        <w:rPr>
          <w:rFonts w:cs="Times New Roman"/>
          <w:i/>
          <w:iCs/>
          <w:szCs w:val="24"/>
          <w:lang w:val="en-US"/>
        </w:rPr>
        <w:t>CEEs</w:t>
      </w:r>
      <w:r w:rsidRPr="00861941">
        <w:rPr>
          <w:rFonts w:cs="Times New Roman"/>
          <w:szCs w:val="24"/>
          <w:lang w:val="en-US"/>
        </w:rPr>
        <w:t>. Therefore, only modest results from bad debt recovery may be expected from these countries for some time.</w:t>
      </w:r>
      <w:r w:rsidRPr="00861941">
        <w:rPr>
          <w:rStyle w:val="FootnoteReference"/>
          <w:rFonts w:cs="Times New Roman"/>
          <w:szCs w:val="24"/>
          <w:lang w:val="en-US"/>
        </w:rPr>
        <w:footnoteReference w:id="6"/>
      </w:r>
    </w:p>
    <w:p w:rsidR="001823D0" w:rsidRPr="00861941" w:rsidRDefault="001823D0" w:rsidP="001823D0">
      <w:pPr>
        <w:autoSpaceDE w:val="0"/>
        <w:autoSpaceDN w:val="0"/>
        <w:adjustRightInd w:val="0"/>
        <w:spacing w:after="0" w:line="240" w:lineRule="auto"/>
        <w:ind w:firstLine="567"/>
        <w:jc w:val="both"/>
        <w:rPr>
          <w:rFonts w:cs="Times New Roman"/>
          <w:b/>
          <w:szCs w:val="24"/>
          <w:lang w:val="en-US"/>
        </w:rPr>
      </w:pPr>
    </w:p>
    <w:p w:rsidR="001823D0" w:rsidRPr="00B53F44" w:rsidRDefault="001823D0" w:rsidP="001823D0">
      <w:pPr>
        <w:autoSpaceDE w:val="0"/>
        <w:autoSpaceDN w:val="0"/>
        <w:adjustRightInd w:val="0"/>
        <w:spacing w:line="240" w:lineRule="auto"/>
        <w:jc w:val="center"/>
        <w:rPr>
          <w:rFonts w:cs="Times New Roman"/>
          <w:b/>
          <w:smallCaps/>
          <w:szCs w:val="24"/>
          <w:lang w:val="en-US"/>
        </w:rPr>
      </w:pPr>
      <w:r w:rsidRPr="00B53F44">
        <w:rPr>
          <w:rFonts w:cs="Times New Roman"/>
          <w:b/>
          <w:smallCaps/>
          <w:szCs w:val="24"/>
          <w:lang w:val="en-US"/>
        </w:rPr>
        <w:t>Financial Fragility and Real Effect of Financial Crises in European Transition Economies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rPr>
        <w:t xml:space="preserve">The world financial crisis of 2008 </w:t>
      </w:r>
      <w:r w:rsidRPr="00861941">
        <w:rPr>
          <w:rFonts w:cs="Times New Roman"/>
          <w:szCs w:val="24"/>
          <w:lang w:val="en-US"/>
        </w:rPr>
        <w:t xml:space="preserve">that started to spread over the world in 2007 has led to a rapid and sharp deterioration of economic activity. The severity of this impact has brought once again the discussion about the real economic effects of financial crises. </w:t>
      </w:r>
      <w:r w:rsidRPr="00861941">
        <w:rPr>
          <w:rStyle w:val="FootnoteReference"/>
          <w:rFonts w:cs="Times New Roman"/>
          <w:szCs w:val="24"/>
          <w:lang w:val="en-US"/>
        </w:rPr>
        <w:footnoteReference w:id="7"/>
      </w:r>
      <w:r w:rsidRPr="00861941">
        <w:rPr>
          <w:rFonts w:cs="Times New Roman"/>
          <w:szCs w:val="24"/>
        </w:rPr>
        <w:t>All transition economies experienced a sharp decline in GDP as a result of the world financial crisis of 2008. This affected those that were vulnerable to directly financial effects and those that were affected by falling demand for exports. The immediate financial effects can be followed by the ‘balance-sheet’ approach, but a full picture of vulnerability only emerges with the help of analysis of different forms of international integration.</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rPr>
        <w:t xml:space="preserve"> The analysis of the different effects of the crisis raises questions of its longer-term implications. Hopes that the crisis could be no more than a temporary interruption to an otherwise continuing growth trajectory are most likely to be realised in CEECs where close links to western Europe could continue to make them attractive locations for FDI. By way of contrast, financialised growth has probably reached its limits for the foreseeable future. Inflows on the scale achieved in the years up to 2008 will not be restored. At best, the most severely affected countries may be able to attract enough external finance to ward off international insolvency. They are likely to emerge with lower wages and living standards, providing possible routes to future growth through exports of simple products – although that too may already have reached its limits - or remittances, should the demand for labour pick up in other countries. The prospect of exporters of raw materials and semi-manufactures depend in the first instance on the world prices of those products. These will recover to pre-crisis levels only in the event of a very full recovery in the world economy. Russian business also faces directly financial problems and the structure of ‘oligarchic’ business has come under threat, with the possibility of an expansion of state ownership over key parts of the </w:t>
      </w:r>
      <w:r w:rsidRPr="00861941">
        <w:rPr>
          <w:rFonts w:cs="Times New Roman"/>
          <w:szCs w:val="24"/>
        </w:rPr>
        <w:lastRenderedPageBreak/>
        <w:t xml:space="preserve">economy. Finally, countries with a high dependence on remittances face bleak prospects as they lack any obvious means to compensate for a failure of this form of financial inflow. </w:t>
      </w:r>
      <w:r w:rsidRPr="00861941">
        <w:rPr>
          <w:rStyle w:val="FootnoteReference"/>
          <w:rFonts w:cs="Times New Roman"/>
          <w:szCs w:val="24"/>
        </w:rPr>
        <w:footnoteReference w:id="8"/>
      </w:r>
    </w:p>
    <w:p w:rsidR="001823D0" w:rsidRPr="00861941" w:rsidRDefault="001823D0" w:rsidP="001823D0">
      <w:pPr>
        <w:pStyle w:val="Default"/>
        <w:ind w:firstLine="567"/>
        <w:jc w:val="both"/>
      </w:pPr>
      <w:r w:rsidRPr="00861941">
        <w:t xml:space="preserve">The financial crisis has exposed the vulnerabilities of transition economies 20 years after they set out to create market economies. Markets and easier links to the outside world have become dominant, but the analysis demonstrates that all have suffered from the external shock of the world financial crisis and all are likely to find recovery slow and difficult. </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The results suggest that financial crises have a significant and permanent effect, lowering long-term output by about 17 percent. The effect is more important in smaller countries, with relative higher dependence on external financing, and in which the banking sector noticed more important financial disequilibria. We also found that fiscal policy measures have been the most efficient tools in dealing with the crises, while the role of monetary policy instruments has been rather blinded. Exchange rate resulted to be more a propagator than a crises absorber, while the IMF credit has been found to have positive (but not significant) impact on growth performance. Finally, the effect for the CEECs is much bigger than in the EU advanced economies, for which we found that financial crises lowers long-term output only by 2 percent.</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The propagation channels of financial crises on the real economy pass from a sharp currency depreciation through wealth effects and aggregate demand, through increasing imported factors prices and production costs. Financial crises affect also private agents’ behavior, increasing uncertainty about future gains and decreasing the level of investment and consumption. Other important channels of crises propagation work through the banking system by disturbing the process of credit intermediation, and in the payment system by decreasing collateral values.</w:t>
      </w:r>
      <w:r w:rsidRPr="00861941">
        <w:rPr>
          <w:rStyle w:val="FootnoteReference"/>
          <w:rFonts w:cs="Times New Roman"/>
          <w:szCs w:val="24"/>
          <w:lang w:val="en-US"/>
        </w:rPr>
        <w:footnoteReference w:id="9"/>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These real effects seem to be more important and persistent in emerging countries. In fact, developing economies are more vulnerable to the factors that lead to crises, such as: banks and private agent’s exposure to currency and maturity mismatch, disruption in international capital markets, banks panic (Chang and Velasco, 1998) and “sudden stops” in capital inflows (</w:t>
      </w:r>
      <w:proofErr w:type="spellStart"/>
      <w:r w:rsidRPr="00861941">
        <w:rPr>
          <w:rFonts w:cs="Times New Roman"/>
          <w:szCs w:val="24"/>
          <w:lang w:val="en-US"/>
        </w:rPr>
        <w:t>Calvo</w:t>
      </w:r>
      <w:proofErr w:type="spellEnd"/>
      <w:r w:rsidRPr="00861941">
        <w:rPr>
          <w:rFonts w:cs="Times New Roman"/>
          <w:szCs w:val="24"/>
          <w:lang w:val="en-US"/>
        </w:rPr>
        <w:t>, 2006). In this context, the European transition economies (CEECs hereafter) constitute a very interesting group of countries. Indeed, despite increasing similarities to developed economies they still show important features of emerging markets. In addition, structural reforms, which could enhance the degree of resilience in these economies, are far to be completed making thus more likely that the effect of financial crises would be important and persistent.</w:t>
      </w:r>
      <w:r w:rsidRPr="00861941">
        <w:rPr>
          <w:rStyle w:val="FootnoteReference"/>
          <w:rFonts w:cs="Times New Roman"/>
          <w:szCs w:val="24"/>
          <w:lang w:val="en-US"/>
        </w:rPr>
        <w:footnoteReference w:id="10"/>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 xml:space="preserve">Financial crises have a significant impact on output both in the short and in the long-run. In particular, financial crises are found to lower output by 1 percent after one year, and by 17 percent after 5 years. The impact of currency crises is relatively less important (12 percent). Comparing the effect of financial crises between the CEEC and the EU-15 economies, our results suggest that the effect is more important for the CEECs. Controlling for structural heterogeneity among CEECs, the impact of financial crises is more important </w:t>
      </w:r>
      <w:r w:rsidRPr="00861941">
        <w:rPr>
          <w:rFonts w:cs="Times New Roman"/>
          <w:szCs w:val="24"/>
          <w:lang w:val="en-US"/>
        </w:rPr>
        <w:lastRenderedPageBreak/>
        <w:t>for smaller countries, with greater dependence on external financing, where the banking sector shows greater disequilibria (dominance of foreign sources of financing, excessive credit growth), and whose current account deficit is lower and less financed by the FDI inflows. The impact of financial crises on growth performance is mostly influenced by fiscal policy (in terms of increase in government spending), while the effect of monetary policy is rather limited. Exchange rate can amplify the real effect of financial crises on the CEECs’ economies. Moreover, the impact of foreign financial aid, albeit positive, has been found to be not significant. In lights of these findings, the claim that these countries could be better off in joining the EMU in the very short-term may be only partially true. In fact, on the one hand the monetary integration process could favor other reforms that would increase the resilience of these economies to external shocks (Duval, 2008). On the other hand, even if the principal role in crises absorption belongs to fiscal policy, the large worsening of public finances would make domestic monetary and exchange rate policy the only (independent) tool to face the current and future significant output loss.</w:t>
      </w:r>
      <w:r w:rsidRPr="00861941">
        <w:rPr>
          <w:rStyle w:val="FootnoteReference"/>
          <w:rFonts w:cs="Times New Roman"/>
          <w:szCs w:val="24"/>
          <w:lang w:val="en-US"/>
        </w:rPr>
        <w:footnoteReference w:id="11"/>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p>
    <w:p w:rsidR="001823D0" w:rsidRPr="00B53F44" w:rsidRDefault="001823D0" w:rsidP="001823D0">
      <w:pPr>
        <w:spacing w:line="240" w:lineRule="auto"/>
        <w:jc w:val="center"/>
        <w:rPr>
          <w:rFonts w:cs="Times New Roman"/>
          <w:b/>
          <w:smallCaps/>
          <w:szCs w:val="24"/>
        </w:rPr>
      </w:pPr>
      <w:r w:rsidRPr="00B53F44">
        <w:rPr>
          <w:rFonts w:cs="Times New Roman"/>
          <w:b/>
          <w:smallCaps/>
          <w:szCs w:val="24"/>
          <w:lang w:val="en-US"/>
        </w:rPr>
        <w:t>The importance of coordination of fiscal and monetary policy in terms of financial crisis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 xml:space="preserve">Close coordination between monetary and fiscal policy is essential for sustainable economic growth in a context of price stability and viable external accounts. Effective policy coordination makes it easier for policymakers to achieve their objectives efficiently, in part by ensuring their commitment to mutually agreed objectives. </w:t>
      </w:r>
      <w:r w:rsidRPr="00861941">
        <w:rPr>
          <w:rFonts w:cs="Times New Roman"/>
          <w:b/>
          <w:i/>
          <w:szCs w:val="24"/>
          <w:lang w:val="en-US"/>
        </w:rPr>
        <w:t xml:space="preserve">Without efficient policy coordination, financial instability could ensue, leading to high interest rates, pressures on exchange rates, rapid inflation, and an adverse impact on economic growth. </w:t>
      </w:r>
      <w:r w:rsidRPr="00861941">
        <w:rPr>
          <w:rFonts w:cs="Times New Roman"/>
          <w:szCs w:val="24"/>
          <w:lang w:val="en-US"/>
        </w:rPr>
        <w:t>To be efficient, coordination must be based on sustainable and credible monetary and fiscal policies. Even if decision makers attempt to coordinate their policies, efforts will ultimately fail if one or both policies are unsustainable. The less credible aspect of one policy will mean larger burden on the other policy. Coordination also needs to account for the different time frames in which monetary and fiscal policies operate. Whereas monetary policy can be adjusted on short notice, it usually takes longer to alter the fiscal stance. The joint determination of objectives and policies by the monetary and fiscal authorities is also required for efficient policy coordination. If policy consistency comes about simply by the passive reaction in one policy area to the commanding position of the other area, the intended policy effects will not be achieved. There is always a need for policy coordination, irrespective of an economy’s stage of development. However, with the increased emphasis in many countries on structural reform and market-based policies, it has become more important to ensure that actions in one policy area do not undermine those in a different area, but rather that they support each other.</w:t>
      </w:r>
      <w:r w:rsidRPr="00861941">
        <w:rPr>
          <w:rStyle w:val="FootnoteReference"/>
          <w:rFonts w:cs="Times New Roman"/>
          <w:szCs w:val="24"/>
          <w:lang w:val="en-US"/>
        </w:rPr>
        <w:footnoteReference w:id="12"/>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b/>
          <w:szCs w:val="24"/>
          <w:lang w:val="en-US"/>
        </w:rPr>
        <w:t>Fiscal policy</w:t>
      </w:r>
      <w:r w:rsidRPr="00861941">
        <w:rPr>
          <w:rFonts w:cs="Times New Roman"/>
          <w:szCs w:val="24"/>
          <w:lang w:val="en-US"/>
        </w:rPr>
        <w:t xml:space="preserve"> generally refers to the government’s choice regarding the use of taxation and government spending to regulate the aggregate level of economic activity. In the same vein, the use of fiscal policy entails changes in the level or composition of government spending or taxation, and hence in the government’s financial position. </w:t>
      </w:r>
      <w:r w:rsidRPr="00861941">
        <w:rPr>
          <w:rFonts w:cs="Times New Roman"/>
          <w:b/>
          <w:i/>
          <w:szCs w:val="24"/>
          <w:lang w:val="en-US"/>
        </w:rPr>
        <w:t>Key variables</w:t>
      </w:r>
      <w:r w:rsidRPr="00861941">
        <w:rPr>
          <w:rFonts w:cs="Times New Roman"/>
          <w:szCs w:val="24"/>
          <w:lang w:val="en-US"/>
        </w:rPr>
        <w:t xml:space="preserve"> that policy makers focus on include government deficits and debt, as well as tax and expenditure levels.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b/>
          <w:szCs w:val="24"/>
          <w:lang w:val="en-US"/>
        </w:rPr>
        <w:t>Monetary policy</w:t>
      </w:r>
      <w:r w:rsidRPr="00861941">
        <w:rPr>
          <w:rFonts w:cs="Times New Roman"/>
          <w:szCs w:val="24"/>
          <w:lang w:val="en-US"/>
        </w:rPr>
        <w:t xml:space="preserve"> refers to the central bank’s control of the availability of credit in the economy to achieve the broad objectives of economic policy. Control can be exerted through </w:t>
      </w:r>
      <w:r w:rsidRPr="00861941">
        <w:rPr>
          <w:rFonts w:cs="Times New Roman"/>
          <w:szCs w:val="24"/>
          <w:lang w:val="en-US"/>
        </w:rPr>
        <w:lastRenderedPageBreak/>
        <w:t>the monetary system</w:t>
      </w:r>
      <w:r>
        <w:rPr>
          <w:rFonts w:cs="Times New Roman"/>
          <w:szCs w:val="24"/>
          <w:lang w:val="en-US"/>
        </w:rPr>
        <w:t xml:space="preserve"> which</w:t>
      </w:r>
      <w:r w:rsidRPr="00861941">
        <w:rPr>
          <w:rFonts w:cs="Times New Roman"/>
          <w:szCs w:val="24"/>
          <w:lang w:val="en-US"/>
        </w:rPr>
        <w:t xml:space="preserve"> operates on such aggregates as the money supply, the level and structure of interest rates, and other conditions affecting credit in the economy. The most important objective of central bankers is price stability, but there can be others such as promoting economic development and growth, exchange rate stability and safeguarding the balance of external payments, and maintaining financial stability. </w:t>
      </w:r>
      <w:r w:rsidRPr="00861941">
        <w:rPr>
          <w:rFonts w:cs="Times New Roman"/>
          <w:b/>
          <w:i/>
          <w:szCs w:val="24"/>
          <w:lang w:val="en-US"/>
        </w:rPr>
        <w:t>Key</w:t>
      </w:r>
      <w:r>
        <w:rPr>
          <w:rFonts w:cs="Times New Roman"/>
          <w:szCs w:val="24"/>
          <w:lang w:val="en-US"/>
        </w:rPr>
        <w:t xml:space="preserve"> </w:t>
      </w:r>
      <w:r w:rsidRPr="00861941">
        <w:rPr>
          <w:rFonts w:cs="Times New Roman"/>
          <w:b/>
          <w:i/>
          <w:szCs w:val="24"/>
          <w:lang w:val="en-US"/>
        </w:rPr>
        <w:t>variables</w:t>
      </w:r>
      <w:r w:rsidRPr="00861941">
        <w:rPr>
          <w:rFonts w:cs="Times New Roman"/>
          <w:szCs w:val="24"/>
          <w:lang w:val="en-US"/>
        </w:rPr>
        <w:t xml:space="preserve"> in this policy </w:t>
      </w:r>
      <w:r>
        <w:rPr>
          <w:rFonts w:cs="Times New Roman"/>
          <w:szCs w:val="24"/>
          <w:lang w:val="en-US"/>
        </w:rPr>
        <w:t>are</w:t>
      </w:r>
      <w:r w:rsidRPr="00861941">
        <w:rPr>
          <w:rFonts w:cs="Times New Roman"/>
          <w:szCs w:val="24"/>
          <w:lang w:val="en-US"/>
        </w:rPr>
        <w:t xml:space="preserve"> interest rates, money and credit supply, and the exchange rate.</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While monetary and fiscal policies are implemented by two different bodies, these policies are far from independent. A change in one policy will influence the effectiveness of the other and thereby the overall impact. Tensions can arise between what each will do to help smooth economic cycles and achieve macroeconomic stability and growth. That is why it is crucial to pursue a consistent monetary-fiscal policy mix and coordinate these (and other) policies as much as possible to avoid tensions or inconsistencies. This policy mix is a key component of the IMF’s macroeconomic policy advice and of IMF-supported economic adjustment programs, together with external, structural, and financial sector policies. In practice, imbalances in the budgetary position have in many cases proven to be a key element in both macroeconomic problems and their solution. For this reason, the IMF was sometimes jokingly said to stand for “its Mostly Fiscal,” although in reality the macroeconomic problems countries are faced with generally consist of a broader mix of imbalances and require a broader set of policy responses.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How does fiscal policy affect monetary policy and thus the central banks? There are both direct and indirect channels. There are a number of ways in which fiscal policy may impinge on monetary policy. First and foremost, an expansionary fiscal policy may result in excessive fiscal deficits, which may create a strong temptation for governments to resort to the printing press (i.e., monetary financing by the central bank) to finance the deficits. An expansionary fiscal policy, then, leads to an expansionary monetary policy, fueling inflationary pressures, causing a possible real appreciation of the currency and hence balance of payments difficulties, potentially even resulting in a currency (and/or banking) crisis. But even if governments finance their deficits in a non-monetary way, that is, through the markets, there may be cause for concern, specifically about crowding out: if governments take up (too) much funding in the markets, the result may be too little or too expensive credit for the private sector. This may harm economic development and growth, which would certainly be a concern of central bankers. On the external side, there is the risk that too much dependence on foreign funding of domestic debt results in exchange rate and/or balance-of-payments risks, which again would be worrying to central banks. There is another, more direct channel of fiscal policy affecting central bankers and that is the impact of indirect taxes on the price level and thus on inflation. If governments feel forced to resort to substantial increases in indirect taxes—sales taxes, value added taxes—rather than taxes on various forms of income, this will have a direct impact on prices.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The key concern here is that a one-off increase leads to a wage-price spiral and therefore permanent (higher) inflation and inflationary expectations. In addition to these direct relationships between fiscal and monetary policy, there is the more indirect channel through expectations. Perceptions and expectations of large and on-going budget deficits and resulting large borrowing requirements may trigger a lack of confidence in the economic prospects. This may become a risk to the stability in financial markets. Such a lack of confidence in the sustainability of the financial position of the government may become a potential destabilizing factor on bond and foreign exchange markets, eventually even leading to the collapse of the monetary regime.</w:t>
      </w:r>
    </w:p>
    <w:p w:rsidR="001823D0"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b/>
          <w:i/>
          <w:szCs w:val="24"/>
          <w:lang w:val="en-US"/>
        </w:rPr>
        <w:t>Under a fixed exchange rate regime</w:t>
      </w:r>
      <w:r w:rsidRPr="00861941">
        <w:rPr>
          <w:rFonts w:cs="Times New Roman"/>
          <w:szCs w:val="24"/>
          <w:lang w:val="en-US"/>
        </w:rPr>
        <w:t xml:space="preserve">, the higher the degree of capital mobility, the less likely are actions that will affect domestic interest rates. So, fiscal policy will tend to be particularly effective in influencing the level of aggregate demand, because it will not </w:t>
      </w:r>
      <w:r w:rsidRPr="00861941">
        <w:rPr>
          <w:rFonts w:cs="Times New Roman"/>
          <w:szCs w:val="24"/>
          <w:lang w:val="en-US"/>
        </w:rPr>
        <w:lastRenderedPageBreak/>
        <w:t xml:space="preserve">provoke a rise in interest rates that would tend to simultaneously reduce private sector activity. Monetary policy, in turn, will remain relatively ineffective in this regard; thus, an expansionary monetary policy will only tend to change the sources of money supply but will achieve little, if any, modification in the level of monetary aggregates or interest rates. </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b/>
          <w:i/>
          <w:szCs w:val="24"/>
          <w:lang w:val="en-US"/>
        </w:rPr>
        <w:t>Under a flexible exchange rate regime</w:t>
      </w:r>
      <w:r w:rsidRPr="00861941">
        <w:rPr>
          <w:rFonts w:cs="Times New Roman"/>
          <w:szCs w:val="24"/>
          <w:lang w:val="en-US"/>
        </w:rPr>
        <w:t>, the opposite will tend to be true: the authorities will be able to use monetary policy to a greater extent to change the level of aggregate demand, since the monetary stock is now under their control, and fiscal policy would be less effective than before. In either case, however, there will be limits to the effectiveness of a given policy. Under a fixed exchange rate regime, for example, an excessively expansionary fiscal policy would weaken market confidence in the exchange rate peg. At the same time, under a flexible exchange rate regime, continued monetary expansion could lead to an unsustainable process of exchange rate depreciation and domestic inflation.</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Policymakers need to focus daily on the effects of changes in government balances on monetary conditions. The central bank must monitor the impact of changes in government deposits on the level of bank reserves, while the treasury focuses on maintaining effective control over cash management and public expenditure. A particularly important element in policy coordination is an appropriate framework for projecting government cash flow. Both the central bank and the public debt manager need this information: the former, so as to decide on the timing and size of its open market operations; the latter, so as to rationalize debt issuance and minimize the debt-service costs. Short term government cash flow forecasts will need to be shared by the central bank and the public debt manager— both when the management of government balances is centralized at the central bank and when the government is allowed to place funds with commercial banks, as is the case in Canada, France, Germany, Malaysia, the United Kingdom, and the United States. The treasury and the central bank should also discuss whether forecast errors are the result of temporary shortfalls or surpluses, which will be self correcting, or result from more fundamental and permanent events that could prompt a change in macroeconomic policies. Preparing such projections facilitates regular public disclosure of the size of the government’s financing requirements and its plans for meeting them.</w:t>
      </w:r>
    </w:p>
    <w:p w:rsidR="001823D0" w:rsidRPr="00861941" w:rsidRDefault="001823D0" w:rsidP="001823D0">
      <w:pPr>
        <w:autoSpaceDE w:val="0"/>
        <w:autoSpaceDN w:val="0"/>
        <w:adjustRightInd w:val="0"/>
        <w:spacing w:after="0" w:line="240" w:lineRule="auto"/>
        <w:ind w:firstLine="567"/>
        <w:jc w:val="both"/>
        <w:rPr>
          <w:rFonts w:cs="Times New Roman"/>
          <w:b/>
          <w:szCs w:val="24"/>
          <w:lang w:val="en-US"/>
        </w:rPr>
      </w:pPr>
    </w:p>
    <w:p w:rsidR="001823D0" w:rsidRPr="008E2413" w:rsidRDefault="001823D0" w:rsidP="001823D0">
      <w:pPr>
        <w:pStyle w:val="ListParagraph"/>
        <w:autoSpaceDE w:val="0"/>
        <w:autoSpaceDN w:val="0"/>
        <w:adjustRightInd w:val="0"/>
        <w:spacing w:after="0" w:line="240" w:lineRule="auto"/>
        <w:ind w:left="0"/>
        <w:jc w:val="center"/>
        <w:rPr>
          <w:rFonts w:cs="Times New Roman"/>
          <w:b/>
          <w:smallCaps/>
          <w:szCs w:val="24"/>
          <w:lang w:val="en-US"/>
        </w:rPr>
      </w:pPr>
      <w:r w:rsidRPr="008E2413">
        <w:rPr>
          <w:rFonts w:cs="Times New Roman"/>
          <w:b/>
          <w:smallCaps/>
          <w:szCs w:val="24"/>
          <w:lang w:val="en-US"/>
        </w:rPr>
        <w:t>Conclusions</w:t>
      </w:r>
    </w:p>
    <w:p w:rsidR="001823D0" w:rsidRPr="00861941" w:rsidRDefault="001823D0" w:rsidP="001823D0">
      <w:pPr>
        <w:pStyle w:val="ListParagraph"/>
        <w:autoSpaceDE w:val="0"/>
        <w:autoSpaceDN w:val="0"/>
        <w:adjustRightInd w:val="0"/>
        <w:spacing w:after="0" w:line="240" w:lineRule="auto"/>
        <w:ind w:left="1080" w:firstLine="567"/>
        <w:jc w:val="both"/>
        <w:rPr>
          <w:rFonts w:cs="Times New Roman"/>
          <w:b/>
          <w:szCs w:val="24"/>
          <w:lang w:val="en-US"/>
        </w:rPr>
      </w:pPr>
    </w:p>
    <w:p w:rsidR="001823D0" w:rsidRPr="00861941" w:rsidRDefault="001823D0" w:rsidP="001823D0">
      <w:pPr>
        <w:autoSpaceDE w:val="0"/>
        <w:autoSpaceDN w:val="0"/>
        <w:adjustRightInd w:val="0"/>
        <w:spacing w:after="0" w:line="240" w:lineRule="auto"/>
        <w:ind w:firstLine="567"/>
        <w:jc w:val="both"/>
        <w:rPr>
          <w:szCs w:val="24"/>
          <w:lang w:val="en-US"/>
        </w:rPr>
      </w:pPr>
      <w:r w:rsidRPr="00861941">
        <w:rPr>
          <w:szCs w:val="24"/>
          <w:lang w:val="en-US"/>
        </w:rPr>
        <w:t>The world today is facing the most difficult and the most complicated crisis, starting from the time of the Great Depression. The crisis significantly emphasized the role of fiscal policy as important to increase the aggregate demand and to recover the financial sector. We are aware of the biggest coordination of monetary and fiscal policy until today, in which through aggressive monetary and fiscal measures was allowed quicker overcoming of the consequences of the crisis, taking corrective action in the financial architecture, adoption of new rules for the regulation of financial markets and financial institutions, and greater care in handling with complicated and modern financial derivates.</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szCs w:val="24"/>
          <w:lang w:val="en-US"/>
        </w:rPr>
        <w:tab/>
      </w:r>
      <w:r w:rsidRPr="00861941">
        <w:rPr>
          <w:rFonts w:cs="Times New Roman"/>
          <w:szCs w:val="24"/>
          <w:lang w:val="en-US"/>
        </w:rPr>
        <w:t>Financial crises have a significant and permanent effect on these countries, lowering long-term output by about 17 percent. The effect is more important in smaller countries, with relative higher dependence on external financing, and in which the banking sector noticed more important financial disequilibria. We also found that fiscal policy measures have been the most efficient tools in dealing with the crises, while the role of monetary policy instruments has been rather blinded.</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Coordination of fiscal and monetary policy is very important for transition economies because without efficient policy coordination, financial instability could ensue, leading to high interest rates, pressures on exchange rates, rapid inflation, and an adverse impact on economic growth.</w:t>
      </w:r>
      <w:r w:rsidRPr="00861941">
        <w:rPr>
          <w:rFonts w:cs="Times New Roman"/>
          <w:b/>
          <w:i/>
          <w:szCs w:val="24"/>
          <w:lang w:val="en-US"/>
        </w:rPr>
        <w:t xml:space="preserve"> </w:t>
      </w:r>
      <w:r w:rsidRPr="00861941">
        <w:rPr>
          <w:rFonts w:cs="Times New Roman"/>
          <w:szCs w:val="24"/>
          <w:lang w:val="en-US"/>
        </w:rPr>
        <w:t xml:space="preserve">To be efficient, coordination must be based on sustainable and credible </w:t>
      </w:r>
      <w:r w:rsidRPr="00861941">
        <w:rPr>
          <w:rFonts w:cs="Times New Roman"/>
          <w:szCs w:val="24"/>
          <w:lang w:val="en-US"/>
        </w:rPr>
        <w:lastRenderedPageBreak/>
        <w:t>monetary and fiscal policies. Even if decision makers attempt to coordinate their policies, efforts will ultimately fail if one or both policies are unsustainable. The less credible one policy, the larger will be the burden on the other policy.</w:t>
      </w:r>
    </w:p>
    <w:p w:rsidR="001823D0" w:rsidRPr="00861941" w:rsidRDefault="001823D0" w:rsidP="001823D0">
      <w:pPr>
        <w:autoSpaceDE w:val="0"/>
        <w:autoSpaceDN w:val="0"/>
        <w:adjustRightInd w:val="0"/>
        <w:spacing w:after="0" w:line="240" w:lineRule="auto"/>
        <w:ind w:firstLine="567"/>
        <w:jc w:val="both"/>
        <w:rPr>
          <w:rFonts w:cs="Times New Roman"/>
          <w:szCs w:val="24"/>
          <w:lang w:val="en-US"/>
        </w:rPr>
      </w:pPr>
      <w:r w:rsidRPr="00861941">
        <w:rPr>
          <w:rFonts w:cs="Times New Roman"/>
          <w:szCs w:val="24"/>
          <w:lang w:val="en-US"/>
        </w:rPr>
        <w:t>While monetary and fiscal policies are implemented by two different bodies, these policies are far from independent. A change in one policy will influence the effectiveness of the other and thereby the overall impact of any change. Tensions can arise between what each will do to help smooth economic cycles and achieve macroeconomic stability and growth. That is why it is crucial to pursue a consistent</w:t>
      </w:r>
      <w:r>
        <w:rPr>
          <w:rFonts w:cs="Times New Roman"/>
          <w:szCs w:val="24"/>
          <w:lang w:val="en-US"/>
        </w:rPr>
        <w:t xml:space="preserve"> </w:t>
      </w:r>
      <w:r w:rsidRPr="00861941">
        <w:rPr>
          <w:rFonts w:cs="Times New Roman"/>
          <w:szCs w:val="24"/>
          <w:lang w:val="en-US"/>
        </w:rPr>
        <w:t>mix of monetary and fiscal policy and coordinate these (and other) policies as much as possible to avoid tensions or inconsistencies. Policymakers need to focus daily on the effects of changes in government balances on monetary conditions. The central bank must monitor the impact of changes in government deposits on the level of bank reserves, while the treasury focuses on maintaining effective control over cash management and public expenditure. Close coordination between monetary and fiscal policy is essential for sustainable economic growth in a context of price stability and viable external accounts. Effective policy coordination makes it easier for policymakers to achieve their objectives efficiently, in part by ensuring their commitment to mutually agreed objectives.</w:t>
      </w:r>
    </w:p>
    <w:p w:rsidR="001823D0" w:rsidRPr="00861941" w:rsidRDefault="001823D0" w:rsidP="001823D0">
      <w:pPr>
        <w:autoSpaceDE w:val="0"/>
        <w:autoSpaceDN w:val="0"/>
        <w:adjustRightInd w:val="0"/>
        <w:spacing w:after="0" w:line="240" w:lineRule="auto"/>
        <w:ind w:firstLine="567"/>
        <w:jc w:val="both"/>
        <w:rPr>
          <w:rFonts w:cs="Times New Roman"/>
          <w:b/>
          <w:szCs w:val="24"/>
          <w:lang w:val="en-US"/>
        </w:rPr>
      </w:pPr>
    </w:p>
    <w:p w:rsidR="001823D0" w:rsidRPr="008E2413" w:rsidRDefault="001823D0" w:rsidP="001823D0">
      <w:pPr>
        <w:autoSpaceDE w:val="0"/>
        <w:autoSpaceDN w:val="0"/>
        <w:adjustRightInd w:val="0"/>
        <w:spacing w:after="0" w:line="240" w:lineRule="auto"/>
        <w:jc w:val="center"/>
        <w:rPr>
          <w:rFonts w:cs="Times New Roman"/>
          <w:b/>
          <w:smallCaps/>
          <w:szCs w:val="24"/>
          <w:lang w:val="en-US"/>
        </w:rPr>
      </w:pPr>
      <w:r>
        <w:rPr>
          <w:rFonts w:cs="Times New Roman"/>
          <w:b/>
          <w:smallCaps/>
          <w:szCs w:val="24"/>
          <w:lang w:val="en-US"/>
        </w:rPr>
        <w:t>References</w:t>
      </w:r>
    </w:p>
    <w:p w:rsidR="001823D0" w:rsidRDefault="001823D0" w:rsidP="001823D0">
      <w:pPr>
        <w:spacing w:after="0" w:line="240" w:lineRule="auto"/>
        <w:jc w:val="both"/>
        <w:rPr>
          <w:rFonts w:cs="Times New Roman"/>
          <w:b/>
          <w:szCs w:val="24"/>
          <w:lang w:val="en-US"/>
        </w:rPr>
      </w:pPr>
    </w:p>
    <w:p w:rsidR="001823D0" w:rsidRPr="008E2413" w:rsidRDefault="001823D0" w:rsidP="001823D0">
      <w:pPr>
        <w:pStyle w:val="ListParagraph"/>
        <w:spacing w:after="0" w:line="240" w:lineRule="auto"/>
        <w:ind w:left="851" w:hanging="851"/>
        <w:contextualSpacing w:val="0"/>
        <w:rPr>
          <w:szCs w:val="24"/>
          <w:lang w:val="en-US"/>
        </w:rPr>
      </w:pPr>
      <w:proofErr w:type="gramStart"/>
      <w:r w:rsidRPr="008E2413">
        <w:rPr>
          <w:szCs w:val="24"/>
          <w:lang w:val="en-US"/>
        </w:rPr>
        <w:t xml:space="preserve">Antonio </w:t>
      </w:r>
      <w:proofErr w:type="spellStart"/>
      <w:r w:rsidRPr="008E2413">
        <w:rPr>
          <w:szCs w:val="24"/>
          <w:lang w:val="en-US"/>
        </w:rPr>
        <w:t>Spilbergo</w:t>
      </w:r>
      <w:proofErr w:type="spellEnd"/>
      <w:r w:rsidRPr="008E2413">
        <w:rPr>
          <w:szCs w:val="24"/>
          <w:lang w:val="en-US"/>
        </w:rPr>
        <w:t xml:space="preserve">, Steve </w:t>
      </w:r>
      <w:proofErr w:type="spellStart"/>
      <w:r w:rsidRPr="008E2413">
        <w:rPr>
          <w:szCs w:val="24"/>
          <w:lang w:val="en-US"/>
        </w:rPr>
        <w:t>Symansky</w:t>
      </w:r>
      <w:proofErr w:type="spellEnd"/>
      <w:r w:rsidRPr="008E2413">
        <w:rPr>
          <w:szCs w:val="24"/>
          <w:lang w:val="en-US"/>
        </w:rPr>
        <w:t xml:space="preserve">, Olivier Blanchard and Carlo </w:t>
      </w:r>
      <w:proofErr w:type="spellStart"/>
      <w:r w:rsidRPr="008E2413">
        <w:rPr>
          <w:szCs w:val="24"/>
          <w:lang w:val="en-US"/>
        </w:rPr>
        <w:t>Cottarelli</w:t>
      </w:r>
      <w:proofErr w:type="spellEnd"/>
      <w:r w:rsidRPr="008E2413">
        <w:rPr>
          <w:szCs w:val="24"/>
          <w:lang w:val="en-US"/>
        </w:rPr>
        <w:t>.</w:t>
      </w:r>
      <w:proofErr w:type="gramEnd"/>
      <w:r w:rsidRPr="008E2413">
        <w:rPr>
          <w:szCs w:val="24"/>
          <w:lang w:val="en-US"/>
        </w:rPr>
        <w:t xml:space="preserve"> “Fiscal</w:t>
      </w:r>
      <w:r>
        <w:rPr>
          <w:szCs w:val="24"/>
          <w:lang w:val="en-US"/>
        </w:rPr>
        <w:t xml:space="preserve"> </w:t>
      </w:r>
      <w:r w:rsidRPr="008E2413">
        <w:rPr>
          <w:szCs w:val="24"/>
          <w:lang w:val="en-US"/>
        </w:rPr>
        <w:t xml:space="preserve">policy for the crisis”, </w:t>
      </w:r>
      <w:r w:rsidRPr="008E2413">
        <w:rPr>
          <w:i/>
          <w:szCs w:val="24"/>
          <w:lang w:val="en-US"/>
        </w:rPr>
        <w:t>IMF 2009</w:t>
      </w:r>
      <w:r w:rsidRPr="008E2413">
        <w:rPr>
          <w:szCs w:val="24"/>
          <w:lang w:val="en-US"/>
        </w:rPr>
        <w:t>;</w:t>
      </w:r>
    </w:p>
    <w:p w:rsidR="001823D0" w:rsidRPr="008E2413" w:rsidRDefault="001823D0" w:rsidP="001823D0">
      <w:pPr>
        <w:pStyle w:val="ListParagraph"/>
        <w:spacing w:after="0" w:line="240" w:lineRule="auto"/>
        <w:ind w:left="851" w:hanging="851"/>
        <w:contextualSpacing w:val="0"/>
        <w:rPr>
          <w:szCs w:val="24"/>
          <w:lang w:val="en-US"/>
        </w:rPr>
      </w:pPr>
      <w:r w:rsidRPr="008E2413">
        <w:rPr>
          <w:rFonts w:cs="Times New Roman"/>
          <w:szCs w:val="24"/>
          <w:lang w:val="en-US"/>
        </w:rPr>
        <w:t xml:space="preserve">Bernard Laurens and Enrique G. de la </w:t>
      </w:r>
      <w:proofErr w:type="spellStart"/>
      <w:r w:rsidRPr="008E2413">
        <w:rPr>
          <w:rFonts w:cs="Times New Roman"/>
          <w:szCs w:val="24"/>
          <w:lang w:val="en-US"/>
        </w:rPr>
        <w:t>Piedra</w:t>
      </w:r>
      <w:proofErr w:type="spellEnd"/>
      <w:r w:rsidRPr="008E2413">
        <w:rPr>
          <w:rFonts w:cs="Times New Roman"/>
          <w:szCs w:val="24"/>
          <w:lang w:val="en-US"/>
        </w:rPr>
        <w:t>, “Str</w:t>
      </w:r>
      <w:r>
        <w:rPr>
          <w:rFonts w:cs="Times New Roman"/>
          <w:szCs w:val="24"/>
          <w:lang w:val="en-US"/>
        </w:rPr>
        <w:t xml:space="preserve">uctural Reform and Market-Based </w:t>
      </w:r>
      <w:r w:rsidRPr="008E2413">
        <w:rPr>
          <w:rFonts w:cs="Times New Roman"/>
          <w:szCs w:val="24"/>
          <w:lang w:val="en-US"/>
        </w:rPr>
        <w:t>Policies Heighten Need for Policy Coordination, IMF survey, June 8, 1998</w:t>
      </w:r>
      <w:r>
        <w:rPr>
          <w:rFonts w:cs="Times New Roman"/>
          <w:szCs w:val="24"/>
          <w:lang w:val="en-US"/>
        </w:rPr>
        <w:t>;</w:t>
      </w:r>
    </w:p>
    <w:p w:rsidR="001823D0" w:rsidRPr="008E2413" w:rsidRDefault="001823D0" w:rsidP="001823D0">
      <w:pPr>
        <w:pStyle w:val="ListParagraph"/>
        <w:spacing w:after="0" w:line="240" w:lineRule="auto"/>
        <w:ind w:left="851" w:hanging="851"/>
        <w:contextualSpacing w:val="0"/>
        <w:rPr>
          <w:szCs w:val="24"/>
          <w:lang w:val="en-US"/>
        </w:rPr>
      </w:pPr>
      <w:proofErr w:type="gramStart"/>
      <w:r w:rsidRPr="008E2413">
        <w:rPr>
          <w:szCs w:val="24"/>
          <w:lang w:val="en-US"/>
        </w:rPr>
        <w:t xml:space="preserve">Bonin J. and </w:t>
      </w:r>
      <w:proofErr w:type="spellStart"/>
      <w:r w:rsidRPr="008E2413">
        <w:rPr>
          <w:szCs w:val="24"/>
          <w:lang w:val="en-US"/>
        </w:rPr>
        <w:t>Wachtel</w:t>
      </w:r>
      <w:proofErr w:type="spellEnd"/>
      <w:r w:rsidRPr="008E2413">
        <w:rPr>
          <w:szCs w:val="24"/>
          <w:lang w:val="en-US"/>
        </w:rPr>
        <w:t xml:space="preserve"> P. (2004).</w:t>
      </w:r>
      <w:proofErr w:type="gramEnd"/>
      <w:r w:rsidRPr="008E2413">
        <w:rPr>
          <w:szCs w:val="24"/>
          <w:lang w:val="en-US"/>
        </w:rPr>
        <w:t xml:space="preserve"> </w:t>
      </w:r>
      <w:proofErr w:type="spellStart"/>
      <w:r w:rsidRPr="008E2413">
        <w:rPr>
          <w:rFonts w:cs="Times New Roman"/>
          <w:szCs w:val="24"/>
          <w:lang w:val="en-US"/>
        </w:rPr>
        <w:t>ʻʻ</w:t>
      </w:r>
      <w:r w:rsidRPr="008E2413">
        <w:rPr>
          <w:szCs w:val="24"/>
          <w:lang w:val="en-US"/>
        </w:rPr>
        <w:t>Dealing</w:t>
      </w:r>
      <w:proofErr w:type="spellEnd"/>
      <w:r w:rsidRPr="008E2413">
        <w:rPr>
          <w:szCs w:val="24"/>
          <w:lang w:val="en-US"/>
        </w:rPr>
        <w:t xml:space="preserve"> with Financial Fragility in Transition </w:t>
      </w:r>
      <w:proofErr w:type="spellStart"/>
      <w:r w:rsidRPr="008E2413">
        <w:rPr>
          <w:szCs w:val="24"/>
          <w:lang w:val="en-US"/>
        </w:rPr>
        <w:t>Economies</w:t>
      </w:r>
      <w:r w:rsidRPr="008E2413">
        <w:rPr>
          <w:rFonts w:cs="Times New Roman"/>
          <w:szCs w:val="24"/>
          <w:lang w:val="en-US"/>
        </w:rPr>
        <w:t>ʼʼ</w:t>
      </w:r>
      <w:proofErr w:type="spellEnd"/>
      <w:r w:rsidRPr="008E2413">
        <w:rPr>
          <w:rFonts w:cs="Times New Roman"/>
          <w:szCs w:val="24"/>
          <w:lang w:val="en-US"/>
        </w:rPr>
        <w:t>, Presented to Conference on “Systematic Financial Crises: Resolving Large Bank Insolvencies, Federal Reserve Bank of Chicago, September 30, 2004</w:t>
      </w:r>
      <w:r>
        <w:rPr>
          <w:rFonts w:cs="Times New Roman"/>
          <w:szCs w:val="24"/>
          <w:lang w:val="en-US"/>
        </w:rPr>
        <w:t>;</w:t>
      </w:r>
    </w:p>
    <w:p w:rsidR="001823D0" w:rsidRDefault="001823D0" w:rsidP="001823D0">
      <w:pPr>
        <w:pStyle w:val="ListParagraph"/>
        <w:spacing w:after="0" w:line="240" w:lineRule="auto"/>
        <w:ind w:left="851" w:hanging="851"/>
        <w:contextualSpacing w:val="0"/>
        <w:rPr>
          <w:szCs w:val="24"/>
          <w:lang w:val="en-US"/>
        </w:rPr>
      </w:pPr>
      <w:r w:rsidRPr="008E2413">
        <w:rPr>
          <w:szCs w:val="24"/>
          <w:lang w:val="en-US"/>
        </w:rPr>
        <w:t xml:space="preserve">C.A.E. </w:t>
      </w:r>
      <w:proofErr w:type="spellStart"/>
      <w:r w:rsidRPr="008E2413">
        <w:rPr>
          <w:szCs w:val="24"/>
          <w:lang w:val="en-US"/>
        </w:rPr>
        <w:t>Goodhart</w:t>
      </w:r>
      <w:proofErr w:type="spellEnd"/>
      <w:r w:rsidRPr="008E2413">
        <w:rPr>
          <w:szCs w:val="24"/>
          <w:lang w:val="en-US"/>
        </w:rPr>
        <w:t xml:space="preserve"> (2008). “Regulatory response to the financial crisis”, </w:t>
      </w:r>
      <w:proofErr w:type="gramStart"/>
      <w:r w:rsidRPr="008E2413">
        <w:rPr>
          <w:i/>
          <w:szCs w:val="24"/>
          <w:lang w:val="en-US"/>
        </w:rPr>
        <w:t>Working</w:t>
      </w:r>
      <w:proofErr w:type="gramEnd"/>
      <w:r w:rsidRPr="008E2413">
        <w:rPr>
          <w:i/>
          <w:szCs w:val="24"/>
          <w:lang w:val="en-US"/>
        </w:rPr>
        <w:t xml:space="preserve"> paper No. 2257</w:t>
      </w:r>
      <w:r w:rsidRPr="008E2413">
        <w:rPr>
          <w:szCs w:val="24"/>
          <w:lang w:val="en-US"/>
        </w:rPr>
        <w:t>, Category 6: Monetary Policy and International Finance, March 2008;</w:t>
      </w:r>
    </w:p>
    <w:p w:rsidR="001823D0" w:rsidRPr="008E2413" w:rsidRDefault="001823D0" w:rsidP="001823D0">
      <w:pPr>
        <w:pStyle w:val="ListParagraph"/>
        <w:spacing w:after="0" w:line="240" w:lineRule="auto"/>
        <w:ind w:left="851" w:hanging="851"/>
        <w:contextualSpacing w:val="0"/>
        <w:rPr>
          <w:szCs w:val="24"/>
          <w:lang w:val="en-US"/>
        </w:rPr>
      </w:pPr>
      <w:r w:rsidRPr="008E2413">
        <w:rPr>
          <w:color w:val="000000"/>
          <w:szCs w:val="24"/>
        </w:rPr>
        <w:t>Charles Enoch, Anne-Marie Gulde and Daniel Hardy, 2002, “Banking Crises and Bank Resolution: Experiences in Some Transition Economies,” IMF Working Paper, 02/56.</w:t>
      </w:r>
    </w:p>
    <w:p w:rsidR="001823D0" w:rsidRDefault="001823D0" w:rsidP="001823D0">
      <w:pPr>
        <w:pStyle w:val="ListParagraph"/>
        <w:spacing w:after="0" w:line="240" w:lineRule="auto"/>
        <w:ind w:left="851" w:hanging="851"/>
        <w:contextualSpacing w:val="0"/>
        <w:rPr>
          <w:szCs w:val="24"/>
          <w:lang w:val="en-US"/>
        </w:rPr>
      </w:pPr>
      <w:r w:rsidRPr="008E2413">
        <w:rPr>
          <w:szCs w:val="24"/>
          <w:lang w:val="en-US"/>
        </w:rPr>
        <w:t>Dominique Strauss-Kahn (2009). “Crisis management and P</w:t>
      </w:r>
      <w:r>
        <w:rPr>
          <w:szCs w:val="24"/>
          <w:lang w:val="en-US"/>
        </w:rPr>
        <w:t xml:space="preserve">olicy Coordination: Do we need </w:t>
      </w:r>
      <w:r w:rsidRPr="008E2413">
        <w:rPr>
          <w:szCs w:val="24"/>
          <w:lang w:val="en-US"/>
        </w:rPr>
        <w:t xml:space="preserve">a new Global Framework," Vienna, </w:t>
      </w:r>
      <w:proofErr w:type="gramStart"/>
      <w:r w:rsidRPr="008E2413">
        <w:rPr>
          <w:szCs w:val="24"/>
          <w:lang w:val="en-US"/>
        </w:rPr>
        <w:t>May</w:t>
      </w:r>
      <w:proofErr w:type="gramEnd"/>
      <w:r w:rsidRPr="008E2413">
        <w:rPr>
          <w:szCs w:val="24"/>
          <w:lang w:val="en-US"/>
        </w:rPr>
        <w:t xml:space="preserve"> 15, 2009;</w:t>
      </w:r>
    </w:p>
    <w:p w:rsidR="001823D0" w:rsidRDefault="001823D0" w:rsidP="001823D0">
      <w:pPr>
        <w:pStyle w:val="ListParagraph"/>
        <w:spacing w:after="0" w:line="240" w:lineRule="auto"/>
        <w:ind w:left="851" w:hanging="851"/>
        <w:contextualSpacing w:val="0"/>
        <w:rPr>
          <w:szCs w:val="24"/>
          <w:lang w:val="en-US"/>
        </w:rPr>
      </w:pPr>
      <w:proofErr w:type="gramStart"/>
      <w:r w:rsidRPr="008E2413">
        <w:rPr>
          <w:szCs w:val="24"/>
          <w:lang w:val="en-US"/>
        </w:rPr>
        <w:t xml:space="preserve">Douglas D. </w:t>
      </w:r>
      <w:proofErr w:type="spellStart"/>
      <w:r w:rsidRPr="008E2413">
        <w:rPr>
          <w:szCs w:val="24"/>
          <w:lang w:val="en-US"/>
        </w:rPr>
        <w:t>Evanoll</w:t>
      </w:r>
      <w:proofErr w:type="spellEnd"/>
      <w:r w:rsidRPr="008E2413">
        <w:rPr>
          <w:szCs w:val="24"/>
          <w:lang w:val="en-US"/>
        </w:rPr>
        <w:t xml:space="preserve"> and George Kaufman (2005).</w:t>
      </w:r>
      <w:proofErr w:type="gramEnd"/>
      <w:r w:rsidRPr="008E2413">
        <w:rPr>
          <w:szCs w:val="24"/>
          <w:lang w:val="en-US"/>
        </w:rPr>
        <w:t xml:space="preserve"> </w:t>
      </w:r>
      <w:proofErr w:type="gramStart"/>
      <w:r w:rsidRPr="008E2413">
        <w:rPr>
          <w:rFonts w:cs="Times New Roman"/>
          <w:szCs w:val="24"/>
          <w:lang w:val="en-US"/>
        </w:rPr>
        <w:t>“</w:t>
      </w:r>
      <w:r w:rsidRPr="008E2413">
        <w:rPr>
          <w:szCs w:val="24"/>
          <w:lang w:val="en-US"/>
        </w:rPr>
        <w:t>Systemic financial crisis</w:t>
      </w:r>
      <w:r>
        <w:rPr>
          <w:szCs w:val="24"/>
          <w:lang w:val="en-US"/>
        </w:rPr>
        <w:t xml:space="preserve"> </w:t>
      </w:r>
      <w:r w:rsidRPr="008E2413">
        <w:rPr>
          <w:szCs w:val="24"/>
          <w:lang w:val="en-US"/>
        </w:rPr>
        <w:t>-</w:t>
      </w:r>
      <w:r>
        <w:rPr>
          <w:szCs w:val="24"/>
          <w:lang w:val="en-US"/>
        </w:rPr>
        <w:t xml:space="preserve"> </w:t>
      </w:r>
      <w:r w:rsidRPr="008E2413">
        <w:rPr>
          <w:szCs w:val="24"/>
          <w:lang w:val="en-US"/>
        </w:rPr>
        <w:t xml:space="preserve">resolving large bank insolvencies”, World Scientific Publishing Co. </w:t>
      </w:r>
      <w:proofErr w:type="spellStart"/>
      <w:r w:rsidRPr="008E2413">
        <w:rPr>
          <w:szCs w:val="24"/>
          <w:lang w:val="en-US"/>
        </w:rPr>
        <w:t>Pte.</w:t>
      </w:r>
      <w:proofErr w:type="spellEnd"/>
      <w:proofErr w:type="gramEnd"/>
      <w:r w:rsidRPr="008E2413">
        <w:rPr>
          <w:szCs w:val="24"/>
          <w:lang w:val="en-US"/>
        </w:rPr>
        <w:t xml:space="preserve"> Ltd., </w:t>
      </w:r>
      <w:r w:rsidRPr="008E2413">
        <w:rPr>
          <w:i/>
          <w:szCs w:val="24"/>
          <w:lang w:val="en-US"/>
        </w:rPr>
        <w:t>Papers presented at the seventh annual international conference, held on Sept. 30-Oct.1, 2004</w:t>
      </w:r>
      <w:r>
        <w:rPr>
          <w:szCs w:val="24"/>
          <w:lang w:val="en-US"/>
        </w:rPr>
        <w:t xml:space="preserve">, Library of </w:t>
      </w:r>
      <w:r w:rsidRPr="008E2413">
        <w:rPr>
          <w:szCs w:val="24"/>
          <w:lang w:val="en-US"/>
        </w:rPr>
        <w:t>Congress Cataloging-in-Publication Data, 2005;</w:t>
      </w:r>
    </w:p>
    <w:p w:rsidR="001823D0" w:rsidRDefault="001823D0" w:rsidP="001823D0">
      <w:pPr>
        <w:pStyle w:val="ListParagraph"/>
        <w:spacing w:after="0" w:line="240" w:lineRule="auto"/>
        <w:ind w:left="851" w:hanging="851"/>
        <w:contextualSpacing w:val="0"/>
        <w:rPr>
          <w:szCs w:val="24"/>
          <w:lang w:val="en-US"/>
        </w:rPr>
      </w:pPr>
      <w:proofErr w:type="spellStart"/>
      <w:proofErr w:type="gramStart"/>
      <w:r w:rsidRPr="008E2413">
        <w:rPr>
          <w:szCs w:val="24"/>
          <w:lang w:val="en-US"/>
        </w:rPr>
        <w:t>Drahokoupil</w:t>
      </w:r>
      <w:proofErr w:type="spellEnd"/>
      <w:r w:rsidRPr="008E2413">
        <w:rPr>
          <w:szCs w:val="24"/>
          <w:lang w:val="en-US"/>
        </w:rPr>
        <w:t xml:space="preserve"> J. and </w:t>
      </w:r>
      <w:proofErr w:type="spellStart"/>
      <w:r w:rsidRPr="008E2413">
        <w:rPr>
          <w:szCs w:val="24"/>
          <w:lang w:val="en-US"/>
        </w:rPr>
        <w:t>Myant</w:t>
      </w:r>
      <w:proofErr w:type="spellEnd"/>
      <w:r w:rsidRPr="008E2413">
        <w:rPr>
          <w:szCs w:val="24"/>
          <w:lang w:val="en-US"/>
        </w:rPr>
        <w:t xml:space="preserve"> M. (2010).</w:t>
      </w:r>
      <w:proofErr w:type="gramEnd"/>
      <w:r w:rsidRPr="008E2413">
        <w:rPr>
          <w:szCs w:val="24"/>
          <w:lang w:val="en-US"/>
        </w:rPr>
        <w:t xml:space="preserve"> “International integrat</w:t>
      </w:r>
      <w:r>
        <w:rPr>
          <w:szCs w:val="24"/>
          <w:lang w:val="en-US"/>
        </w:rPr>
        <w:t xml:space="preserve">ion and resilience to crisis in </w:t>
      </w:r>
      <w:r w:rsidRPr="008E2413">
        <w:rPr>
          <w:szCs w:val="24"/>
          <w:lang w:val="en-US"/>
        </w:rPr>
        <w:t>transition economies”, pp.</w:t>
      </w:r>
      <w:r>
        <w:rPr>
          <w:szCs w:val="24"/>
          <w:lang w:val="en-US"/>
        </w:rPr>
        <w:t xml:space="preserve"> </w:t>
      </w:r>
      <w:r w:rsidRPr="008E2413">
        <w:rPr>
          <w:szCs w:val="24"/>
          <w:lang w:val="en-US"/>
        </w:rPr>
        <w:t>9-16</w:t>
      </w:r>
      <w:r>
        <w:rPr>
          <w:szCs w:val="24"/>
          <w:lang w:val="en-US"/>
        </w:rPr>
        <w:t>;</w:t>
      </w:r>
    </w:p>
    <w:p w:rsidR="001823D0" w:rsidRPr="008E2413" w:rsidRDefault="001823D0" w:rsidP="001823D0">
      <w:pPr>
        <w:pStyle w:val="ListParagraph"/>
        <w:spacing w:after="0" w:line="240" w:lineRule="auto"/>
        <w:ind w:left="851" w:hanging="851"/>
        <w:contextualSpacing w:val="0"/>
        <w:rPr>
          <w:szCs w:val="24"/>
          <w:lang w:val="en-US"/>
        </w:rPr>
      </w:pPr>
      <w:proofErr w:type="spellStart"/>
      <w:r w:rsidRPr="008E2413">
        <w:rPr>
          <w:szCs w:val="24"/>
          <w:lang w:val="en-US"/>
        </w:rPr>
        <w:t>Furceri</w:t>
      </w:r>
      <w:proofErr w:type="spellEnd"/>
      <w:r w:rsidRPr="008E2413">
        <w:rPr>
          <w:szCs w:val="24"/>
          <w:lang w:val="en-US"/>
        </w:rPr>
        <w:t xml:space="preserve"> D. and </w:t>
      </w:r>
      <w:proofErr w:type="spellStart"/>
      <w:r w:rsidRPr="008E2413">
        <w:rPr>
          <w:szCs w:val="24"/>
          <w:lang w:val="en-US"/>
        </w:rPr>
        <w:t>Zdzienicka</w:t>
      </w:r>
      <w:proofErr w:type="spellEnd"/>
      <w:r w:rsidRPr="008E2413">
        <w:rPr>
          <w:szCs w:val="24"/>
          <w:lang w:val="en-US"/>
        </w:rPr>
        <w:t xml:space="preserve"> A. (2009), “The Real Effect of Financial Crises in the European Transition Economies, </w:t>
      </w:r>
      <w:proofErr w:type="gramStart"/>
      <w:r w:rsidRPr="008E2413">
        <w:rPr>
          <w:szCs w:val="24"/>
          <w:lang w:val="en-US"/>
        </w:rPr>
        <w:t xml:space="preserve">GATE  </w:t>
      </w:r>
      <w:proofErr w:type="spellStart"/>
      <w:r w:rsidRPr="008E2413">
        <w:rPr>
          <w:szCs w:val="24"/>
          <w:lang w:val="en-US"/>
        </w:rPr>
        <w:t>Groupe</w:t>
      </w:r>
      <w:proofErr w:type="spellEnd"/>
      <w:proofErr w:type="gramEnd"/>
      <w:r w:rsidRPr="008E2413">
        <w:rPr>
          <w:szCs w:val="24"/>
          <w:lang w:val="en-US"/>
        </w:rPr>
        <w:t xml:space="preserve"> d’ </w:t>
      </w:r>
      <w:proofErr w:type="spellStart"/>
      <w:r w:rsidRPr="008E2413">
        <w:rPr>
          <w:szCs w:val="24"/>
          <w:lang w:val="en-US"/>
        </w:rPr>
        <w:t>Analyse</w:t>
      </w:r>
      <w:proofErr w:type="spellEnd"/>
      <w:r w:rsidRPr="008E2413">
        <w:rPr>
          <w:szCs w:val="24"/>
          <w:lang w:val="en-US"/>
        </w:rPr>
        <w:t xml:space="preserve"> Et de </w:t>
      </w:r>
      <w:proofErr w:type="spellStart"/>
      <w:r w:rsidRPr="008E2413">
        <w:rPr>
          <w:szCs w:val="24"/>
          <w:lang w:val="en-US"/>
        </w:rPr>
        <w:t>Th</w:t>
      </w:r>
      <w:r>
        <w:rPr>
          <w:rFonts w:cs="Times New Roman"/>
          <w:szCs w:val="24"/>
          <w:lang w:val="en-US"/>
        </w:rPr>
        <w:t>éorie</w:t>
      </w:r>
      <w:proofErr w:type="spellEnd"/>
      <w:r>
        <w:rPr>
          <w:rFonts w:cs="Times New Roman"/>
          <w:szCs w:val="24"/>
          <w:lang w:val="en-US"/>
        </w:rPr>
        <w:t xml:space="preserve"> </w:t>
      </w:r>
      <w:proofErr w:type="spellStart"/>
      <w:r>
        <w:rPr>
          <w:rFonts w:cs="Times New Roman"/>
          <w:szCs w:val="24"/>
          <w:lang w:val="en-US"/>
        </w:rPr>
        <w:t>économique</w:t>
      </w:r>
      <w:proofErr w:type="spellEnd"/>
      <w:r>
        <w:rPr>
          <w:rFonts w:cs="Times New Roman"/>
          <w:szCs w:val="24"/>
          <w:lang w:val="en-US"/>
        </w:rPr>
        <w:t>, pp.7-15;</w:t>
      </w:r>
    </w:p>
    <w:p w:rsidR="001823D0" w:rsidRPr="00EB2301" w:rsidRDefault="001823D0" w:rsidP="001823D0">
      <w:pPr>
        <w:pStyle w:val="ListParagraph"/>
        <w:spacing w:after="0" w:line="240" w:lineRule="auto"/>
        <w:ind w:left="851" w:hanging="851"/>
        <w:contextualSpacing w:val="0"/>
        <w:rPr>
          <w:szCs w:val="24"/>
          <w:lang w:val="en-US"/>
        </w:rPr>
      </w:pPr>
      <w:r w:rsidRPr="008E2413">
        <w:rPr>
          <w:color w:val="000000"/>
          <w:szCs w:val="24"/>
        </w:rPr>
        <w:t>John</w:t>
      </w:r>
      <w:r w:rsidRPr="008E2413">
        <w:rPr>
          <w:color w:val="000000"/>
          <w:szCs w:val="24"/>
          <w:lang w:val="en-US"/>
        </w:rPr>
        <w:t xml:space="preserve"> </w:t>
      </w:r>
      <w:r w:rsidRPr="008E2413">
        <w:rPr>
          <w:color w:val="000000"/>
          <w:szCs w:val="24"/>
        </w:rPr>
        <w:t xml:space="preserve">Bonin and Paul Wachtel, 2003, “Financial Sector Development in Transition Economies: Lessons from the first Decade,’ </w:t>
      </w:r>
      <w:r w:rsidRPr="008E2413">
        <w:rPr>
          <w:i/>
          <w:iCs/>
          <w:color w:val="000000"/>
          <w:szCs w:val="24"/>
        </w:rPr>
        <w:t xml:space="preserve">Financial Markets, Institutions and Instruments, </w:t>
      </w:r>
      <w:r w:rsidRPr="008E2413">
        <w:rPr>
          <w:color w:val="000000"/>
          <w:szCs w:val="24"/>
        </w:rPr>
        <w:t>Vol. 12, pp. 1-66</w:t>
      </w:r>
      <w:r>
        <w:rPr>
          <w:color w:val="000000"/>
          <w:szCs w:val="24"/>
          <w:lang w:val="en-US"/>
        </w:rPr>
        <w:t>;</w:t>
      </w:r>
    </w:p>
    <w:p w:rsidR="001823D0" w:rsidRDefault="001823D0" w:rsidP="001823D0">
      <w:pPr>
        <w:pStyle w:val="ListParagraph"/>
        <w:spacing w:after="0" w:line="240" w:lineRule="auto"/>
        <w:ind w:left="851" w:hanging="851"/>
        <w:contextualSpacing w:val="0"/>
        <w:rPr>
          <w:szCs w:val="24"/>
          <w:lang w:val="en-US"/>
        </w:rPr>
      </w:pPr>
      <w:proofErr w:type="spellStart"/>
      <w:proofErr w:type="gramStart"/>
      <w:r w:rsidRPr="008E2413">
        <w:rPr>
          <w:szCs w:val="24"/>
          <w:lang w:val="en-US"/>
        </w:rPr>
        <w:t>Juha-Pekka</w:t>
      </w:r>
      <w:proofErr w:type="spellEnd"/>
      <w:r w:rsidRPr="008E2413">
        <w:rPr>
          <w:szCs w:val="24"/>
          <w:lang w:val="en-US"/>
        </w:rPr>
        <w:t xml:space="preserve"> </w:t>
      </w:r>
      <w:proofErr w:type="spellStart"/>
      <w:r w:rsidRPr="008E2413">
        <w:rPr>
          <w:szCs w:val="24"/>
          <w:lang w:val="en-US"/>
        </w:rPr>
        <w:t>Niinimaki</w:t>
      </w:r>
      <w:proofErr w:type="spellEnd"/>
      <w:r w:rsidRPr="008E2413">
        <w:rPr>
          <w:szCs w:val="24"/>
          <w:lang w:val="en-US"/>
        </w:rPr>
        <w:t xml:space="preserve"> (2002).</w:t>
      </w:r>
      <w:proofErr w:type="gramEnd"/>
      <w:r w:rsidRPr="008E2413">
        <w:rPr>
          <w:szCs w:val="24"/>
          <w:lang w:val="en-US"/>
        </w:rPr>
        <w:t xml:space="preserve"> “Bank panics in transition economies”, Bank of Finland, Institute for Economies in Transition, BOFIT</w:t>
      </w:r>
      <w:r>
        <w:rPr>
          <w:szCs w:val="24"/>
          <w:lang w:val="en-US"/>
        </w:rPr>
        <w:t>;</w:t>
      </w:r>
    </w:p>
    <w:p w:rsidR="001823D0" w:rsidRDefault="001823D0" w:rsidP="001823D0">
      <w:pPr>
        <w:pStyle w:val="ListParagraph"/>
        <w:spacing w:after="0" w:line="240" w:lineRule="auto"/>
        <w:ind w:left="851" w:hanging="851"/>
        <w:contextualSpacing w:val="0"/>
        <w:rPr>
          <w:szCs w:val="24"/>
          <w:lang w:val="en-US"/>
        </w:rPr>
      </w:pPr>
      <w:r w:rsidRPr="008E2413">
        <w:rPr>
          <w:szCs w:val="24"/>
          <w:lang w:val="en-US"/>
        </w:rPr>
        <w:t xml:space="preserve">Tang H., </w:t>
      </w:r>
      <w:proofErr w:type="spellStart"/>
      <w:r w:rsidRPr="008E2413">
        <w:rPr>
          <w:szCs w:val="24"/>
          <w:lang w:val="en-US"/>
        </w:rPr>
        <w:t>Zoli</w:t>
      </w:r>
      <w:proofErr w:type="spellEnd"/>
      <w:r w:rsidRPr="008E2413">
        <w:rPr>
          <w:szCs w:val="24"/>
          <w:lang w:val="en-US"/>
        </w:rPr>
        <w:t xml:space="preserve"> E. and </w:t>
      </w:r>
      <w:proofErr w:type="spellStart"/>
      <w:r w:rsidRPr="008E2413">
        <w:rPr>
          <w:szCs w:val="24"/>
          <w:lang w:val="en-US"/>
        </w:rPr>
        <w:t>Klytchnikova</w:t>
      </w:r>
      <w:proofErr w:type="spellEnd"/>
      <w:r w:rsidRPr="008E2413">
        <w:rPr>
          <w:szCs w:val="24"/>
          <w:lang w:val="en-US"/>
        </w:rPr>
        <w:t xml:space="preserve"> I., “Banking Crises in Transition Countries: Fiscal Cost</w:t>
      </w:r>
      <w:r>
        <w:rPr>
          <w:szCs w:val="24"/>
          <w:lang w:val="en-US"/>
        </w:rPr>
        <w:t>s and Related Issues”, pp. 2-12;</w:t>
      </w:r>
    </w:p>
    <w:p w:rsidR="001823D0" w:rsidRPr="00EB2301" w:rsidRDefault="001823D0" w:rsidP="001823D0">
      <w:pPr>
        <w:pStyle w:val="ListParagraph"/>
        <w:spacing w:after="0" w:line="240" w:lineRule="auto"/>
        <w:ind w:left="851" w:hanging="851"/>
        <w:contextualSpacing w:val="0"/>
        <w:rPr>
          <w:szCs w:val="24"/>
          <w:lang w:val="en-US"/>
        </w:rPr>
      </w:pPr>
      <w:r w:rsidRPr="008E2413">
        <w:rPr>
          <w:rFonts w:cs="Times New Roman"/>
          <w:szCs w:val="24"/>
        </w:rPr>
        <w:lastRenderedPageBreak/>
        <w:t xml:space="preserve">Vasilka Gaber (2010), “Fiscal Policy in Terms of Financial Crises”, </w:t>
      </w:r>
      <w:r w:rsidRPr="008E2413">
        <w:rPr>
          <w:rFonts w:cs="Times New Roman"/>
          <w:bCs/>
          <w:szCs w:val="24"/>
        </w:rPr>
        <w:t>Faculty of Economics, University Ss. Cyril and Methodius – Skopje</w:t>
      </w:r>
      <w:r>
        <w:rPr>
          <w:rFonts w:cs="Times New Roman"/>
          <w:bCs/>
          <w:szCs w:val="24"/>
          <w:lang w:val="en-US"/>
        </w:rPr>
        <w:t>;</w:t>
      </w:r>
    </w:p>
    <w:p w:rsidR="001823D0" w:rsidRPr="00861941" w:rsidRDefault="001823D0" w:rsidP="001823D0">
      <w:pPr>
        <w:autoSpaceDE w:val="0"/>
        <w:autoSpaceDN w:val="0"/>
        <w:adjustRightInd w:val="0"/>
        <w:spacing w:after="0" w:line="240" w:lineRule="auto"/>
        <w:jc w:val="both"/>
        <w:rPr>
          <w:rFonts w:cs="Times New Roman"/>
          <w:b/>
          <w:szCs w:val="24"/>
          <w:lang w:val="en-US"/>
        </w:rPr>
      </w:pPr>
    </w:p>
    <w:p w:rsidR="001823D0" w:rsidRPr="001823D0" w:rsidRDefault="001823D0" w:rsidP="001823D0">
      <w:pPr>
        <w:spacing w:line="240" w:lineRule="auto"/>
        <w:jc w:val="both"/>
        <w:rPr>
          <w:sz w:val="22"/>
          <w:szCs w:val="22"/>
          <w:lang w:val="en-US"/>
        </w:rPr>
      </w:pPr>
    </w:p>
    <w:sectPr w:rsidR="001823D0" w:rsidRPr="001823D0" w:rsidSect="007E49A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6B0" w:rsidRDefault="001236B0" w:rsidP="00B73F18">
      <w:pPr>
        <w:spacing w:after="0" w:line="240" w:lineRule="auto"/>
      </w:pPr>
      <w:r>
        <w:separator/>
      </w:r>
    </w:p>
  </w:endnote>
  <w:endnote w:type="continuationSeparator" w:id="0">
    <w:p w:rsidR="001236B0" w:rsidRDefault="001236B0" w:rsidP="00B73F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6B0" w:rsidRDefault="001236B0" w:rsidP="00B73F18">
      <w:pPr>
        <w:spacing w:after="0" w:line="240" w:lineRule="auto"/>
      </w:pPr>
      <w:r>
        <w:separator/>
      </w:r>
    </w:p>
  </w:footnote>
  <w:footnote w:type="continuationSeparator" w:id="0">
    <w:p w:rsidR="001236B0" w:rsidRDefault="001236B0" w:rsidP="00B73F18">
      <w:pPr>
        <w:spacing w:after="0" w:line="240" w:lineRule="auto"/>
      </w:pPr>
      <w:r>
        <w:continuationSeparator/>
      </w:r>
    </w:p>
  </w:footnote>
  <w:footnote w:id="1">
    <w:p w:rsidR="0062134D" w:rsidRPr="0062134D" w:rsidRDefault="0062134D">
      <w:pPr>
        <w:pStyle w:val="FootnoteText"/>
        <w:rPr>
          <w:lang w:val="en-US"/>
        </w:rPr>
      </w:pPr>
      <w:r>
        <w:rPr>
          <w:rStyle w:val="FootnoteReference"/>
        </w:rPr>
        <w:footnoteRef/>
      </w:r>
      <w:r>
        <w:t xml:space="preserve"> </w:t>
      </w:r>
      <w:proofErr w:type="gramStart"/>
      <w:r w:rsidR="00DF5253">
        <w:rPr>
          <w:lang w:val="en-US"/>
        </w:rPr>
        <w:t>Doctoral student at University “Cyril and Methodius”, Economic faculty – Skopje.</w:t>
      </w:r>
      <w:proofErr w:type="gramEnd"/>
    </w:p>
  </w:footnote>
  <w:footnote w:id="2">
    <w:p w:rsidR="0062134D" w:rsidRPr="0062134D" w:rsidRDefault="0062134D">
      <w:pPr>
        <w:pStyle w:val="FootnoteText"/>
        <w:rPr>
          <w:lang w:val="en-US"/>
        </w:rPr>
      </w:pPr>
      <w:r>
        <w:rPr>
          <w:rStyle w:val="FootnoteReference"/>
        </w:rPr>
        <w:footnoteRef/>
      </w:r>
      <w:r>
        <w:t xml:space="preserve"> </w:t>
      </w:r>
      <w:proofErr w:type="gramStart"/>
      <w:r>
        <w:rPr>
          <w:lang w:val="en-US"/>
        </w:rPr>
        <w:t>Teaching assistant at University “</w:t>
      </w:r>
      <w:proofErr w:type="spellStart"/>
      <w:r>
        <w:rPr>
          <w:lang w:val="en-US"/>
        </w:rPr>
        <w:t>Goce</w:t>
      </w:r>
      <w:proofErr w:type="spellEnd"/>
      <w:r>
        <w:rPr>
          <w:lang w:val="en-US"/>
        </w:rPr>
        <w:t xml:space="preserve"> </w:t>
      </w:r>
      <w:proofErr w:type="spellStart"/>
      <w:r>
        <w:rPr>
          <w:lang w:val="en-US"/>
        </w:rPr>
        <w:t>Delcev</w:t>
      </w:r>
      <w:proofErr w:type="spellEnd"/>
      <w:r>
        <w:rPr>
          <w:lang w:val="en-US"/>
        </w:rPr>
        <w:t>” – Stip.</w:t>
      </w:r>
      <w:proofErr w:type="gramEnd"/>
    </w:p>
  </w:footnote>
  <w:footnote w:id="3">
    <w:p w:rsidR="001823D0" w:rsidRPr="00C8579A" w:rsidRDefault="001823D0" w:rsidP="001823D0">
      <w:pPr>
        <w:pStyle w:val="Default"/>
      </w:pPr>
      <w:r>
        <w:rPr>
          <w:rStyle w:val="FootnoteReference"/>
        </w:rPr>
        <w:footnoteRef/>
      </w:r>
      <w:r>
        <w:t xml:space="preserve"> </w:t>
      </w:r>
      <w:proofErr w:type="spellStart"/>
      <w:r w:rsidRPr="00C0175F">
        <w:rPr>
          <w:sz w:val="20"/>
          <w:szCs w:val="20"/>
        </w:rPr>
        <w:t>Vasilka</w:t>
      </w:r>
      <w:proofErr w:type="spellEnd"/>
      <w:r w:rsidRPr="00C0175F">
        <w:rPr>
          <w:sz w:val="20"/>
          <w:szCs w:val="20"/>
        </w:rPr>
        <w:t xml:space="preserve"> Gaber (2010), “Fiscal Policy in Terms of Financial Crises”, </w:t>
      </w:r>
      <w:r w:rsidRPr="00C0175F">
        <w:rPr>
          <w:bCs/>
          <w:sz w:val="20"/>
          <w:szCs w:val="20"/>
        </w:rPr>
        <w:t xml:space="preserve">Faculty of </w:t>
      </w:r>
      <w:r>
        <w:rPr>
          <w:bCs/>
          <w:sz w:val="20"/>
          <w:szCs w:val="20"/>
        </w:rPr>
        <w:t>Economics, University St</w:t>
      </w:r>
      <w:r w:rsidRPr="00C0175F">
        <w:rPr>
          <w:bCs/>
          <w:sz w:val="20"/>
          <w:szCs w:val="20"/>
        </w:rPr>
        <w:t xml:space="preserve">. Cyril and Methodius </w:t>
      </w:r>
      <w:r>
        <w:rPr>
          <w:bCs/>
          <w:sz w:val="20"/>
          <w:szCs w:val="20"/>
        </w:rPr>
        <w:t>–</w:t>
      </w:r>
      <w:r w:rsidRPr="00C0175F">
        <w:rPr>
          <w:bCs/>
          <w:sz w:val="20"/>
          <w:szCs w:val="20"/>
        </w:rPr>
        <w:t xml:space="preserve"> Skopje</w:t>
      </w:r>
      <w:r>
        <w:rPr>
          <w:bCs/>
          <w:sz w:val="20"/>
          <w:szCs w:val="20"/>
        </w:rPr>
        <w:t>;</w:t>
      </w:r>
    </w:p>
  </w:footnote>
  <w:footnote w:id="4">
    <w:p w:rsidR="001823D0" w:rsidRPr="00564CF8" w:rsidRDefault="001823D0" w:rsidP="001823D0">
      <w:pPr>
        <w:pStyle w:val="FootnoteText"/>
        <w:jc w:val="both"/>
        <w:rPr>
          <w:lang w:val="en-US"/>
        </w:rPr>
      </w:pPr>
      <w:r>
        <w:rPr>
          <w:rStyle w:val="FootnoteReference"/>
        </w:rPr>
        <w:footnoteRef/>
      </w:r>
      <w:r>
        <w:t xml:space="preserve"> </w:t>
      </w:r>
      <w:proofErr w:type="spellStart"/>
      <w:proofErr w:type="gramStart"/>
      <w:r>
        <w:rPr>
          <w:lang w:val="en-US"/>
        </w:rPr>
        <w:t>Juha-Pekka</w:t>
      </w:r>
      <w:proofErr w:type="spellEnd"/>
      <w:r>
        <w:rPr>
          <w:lang w:val="en-US"/>
        </w:rPr>
        <w:t xml:space="preserve"> </w:t>
      </w:r>
      <w:proofErr w:type="spellStart"/>
      <w:r>
        <w:rPr>
          <w:lang w:val="en-US"/>
        </w:rPr>
        <w:t>Niinimaki</w:t>
      </w:r>
      <w:proofErr w:type="spellEnd"/>
      <w:r>
        <w:rPr>
          <w:lang w:val="en-US"/>
        </w:rPr>
        <w:t xml:space="preserve"> (2002).</w:t>
      </w:r>
      <w:proofErr w:type="gramEnd"/>
      <w:r>
        <w:rPr>
          <w:lang w:val="en-US"/>
        </w:rPr>
        <w:t xml:space="preserve"> “Bank panics in transition economies”, Bank of Finland, Institute for Economies in Transition, BOFIT</w:t>
      </w:r>
    </w:p>
  </w:footnote>
  <w:footnote w:id="5">
    <w:p w:rsidR="001823D0" w:rsidRPr="008E0959" w:rsidRDefault="001823D0" w:rsidP="001823D0">
      <w:pPr>
        <w:pStyle w:val="FootnoteText"/>
        <w:rPr>
          <w:lang w:val="en-US"/>
        </w:rPr>
      </w:pPr>
      <w:r>
        <w:rPr>
          <w:rStyle w:val="FootnoteReference"/>
        </w:rPr>
        <w:footnoteRef/>
      </w:r>
      <w:r>
        <w:t xml:space="preserve"> </w:t>
      </w:r>
      <w:proofErr w:type="spellStart"/>
      <w:proofErr w:type="gramStart"/>
      <w:r>
        <w:rPr>
          <w:lang w:val="en-US"/>
        </w:rPr>
        <w:t>Drahokoupil</w:t>
      </w:r>
      <w:proofErr w:type="spellEnd"/>
      <w:r>
        <w:rPr>
          <w:lang w:val="en-US"/>
        </w:rPr>
        <w:t xml:space="preserve"> J. and </w:t>
      </w:r>
      <w:proofErr w:type="spellStart"/>
      <w:r>
        <w:rPr>
          <w:lang w:val="en-US"/>
        </w:rPr>
        <w:t>Myant</w:t>
      </w:r>
      <w:proofErr w:type="spellEnd"/>
      <w:r>
        <w:rPr>
          <w:lang w:val="en-US"/>
        </w:rPr>
        <w:t xml:space="preserve"> M. (2010).</w:t>
      </w:r>
      <w:proofErr w:type="gramEnd"/>
      <w:r>
        <w:rPr>
          <w:lang w:val="en-US"/>
        </w:rPr>
        <w:t xml:space="preserve"> “International integration and resilience to crisis in transition economies”, pp. 9-16</w:t>
      </w:r>
    </w:p>
  </w:footnote>
  <w:footnote w:id="6">
    <w:p w:rsidR="001823D0" w:rsidRPr="008E0959" w:rsidRDefault="001823D0" w:rsidP="001823D0">
      <w:pPr>
        <w:pStyle w:val="FootnoteText"/>
        <w:jc w:val="both"/>
        <w:rPr>
          <w:lang w:val="en-US"/>
        </w:rPr>
      </w:pPr>
      <w:r>
        <w:rPr>
          <w:rStyle w:val="FootnoteReference"/>
        </w:rPr>
        <w:footnoteRef/>
      </w:r>
      <w:r>
        <w:t xml:space="preserve"> </w:t>
      </w:r>
      <w:r>
        <w:rPr>
          <w:lang w:val="en-US"/>
        </w:rPr>
        <w:t xml:space="preserve">Tang H., </w:t>
      </w:r>
      <w:proofErr w:type="spellStart"/>
      <w:r>
        <w:rPr>
          <w:lang w:val="en-US"/>
        </w:rPr>
        <w:t>Zoli</w:t>
      </w:r>
      <w:proofErr w:type="spellEnd"/>
      <w:r>
        <w:rPr>
          <w:lang w:val="en-US"/>
        </w:rPr>
        <w:t xml:space="preserve"> E. and </w:t>
      </w:r>
      <w:proofErr w:type="spellStart"/>
      <w:r>
        <w:rPr>
          <w:lang w:val="en-US"/>
        </w:rPr>
        <w:t>Klytchnikova</w:t>
      </w:r>
      <w:proofErr w:type="spellEnd"/>
      <w:r>
        <w:rPr>
          <w:lang w:val="en-US"/>
        </w:rPr>
        <w:t xml:space="preserve"> I., “Banking Crises in Transition Countries: Fiscal Costs and Related Issues”, pp. 2-12.</w:t>
      </w:r>
    </w:p>
  </w:footnote>
  <w:footnote w:id="7">
    <w:p w:rsidR="001823D0" w:rsidRPr="00FB2293" w:rsidRDefault="001823D0" w:rsidP="001823D0">
      <w:pPr>
        <w:autoSpaceDE w:val="0"/>
        <w:autoSpaceDN w:val="0"/>
        <w:adjustRightInd w:val="0"/>
        <w:spacing w:after="0" w:line="240" w:lineRule="auto"/>
        <w:jc w:val="both"/>
        <w:rPr>
          <w:rFonts w:cs="Times New Roman"/>
          <w:sz w:val="20"/>
          <w:lang w:val="en-US"/>
        </w:rPr>
      </w:pPr>
      <w:r>
        <w:rPr>
          <w:rStyle w:val="FootnoteReference"/>
        </w:rPr>
        <w:footnoteRef/>
      </w:r>
      <w:r>
        <w:t xml:space="preserve"> </w:t>
      </w:r>
      <w:r w:rsidRPr="00FB2293">
        <w:rPr>
          <w:rFonts w:cs="Times New Roman"/>
          <w:sz w:val="20"/>
          <w:lang w:val="en-US"/>
        </w:rPr>
        <w:t>Some traditional views on the real effect of (currency) crises suggest that, under the existence of nominal</w:t>
      </w:r>
      <w:r>
        <w:rPr>
          <w:rFonts w:cs="Times New Roman"/>
          <w:sz w:val="20"/>
          <w:lang w:val="en-US"/>
        </w:rPr>
        <w:t xml:space="preserve"> </w:t>
      </w:r>
      <w:r w:rsidRPr="00FB2293">
        <w:rPr>
          <w:rFonts w:cs="Times New Roman"/>
          <w:sz w:val="20"/>
          <w:lang w:val="en-US"/>
        </w:rPr>
        <w:t>rigidities, the real depreciation increases exportations and stimulates empl</w:t>
      </w:r>
      <w:r>
        <w:rPr>
          <w:rFonts w:cs="Times New Roman"/>
          <w:sz w:val="20"/>
          <w:lang w:val="en-US"/>
        </w:rPr>
        <w:t xml:space="preserve">oyment and output. For example, </w:t>
      </w:r>
      <w:proofErr w:type="spellStart"/>
      <w:r w:rsidRPr="00FB2293">
        <w:rPr>
          <w:rFonts w:cs="Times New Roman"/>
          <w:sz w:val="20"/>
          <w:lang w:val="en-US"/>
        </w:rPr>
        <w:t>Demirgüç-Kunt</w:t>
      </w:r>
      <w:proofErr w:type="spellEnd"/>
      <w:r w:rsidRPr="00FB2293">
        <w:rPr>
          <w:rFonts w:cs="Times New Roman"/>
          <w:sz w:val="20"/>
          <w:lang w:val="en-US"/>
        </w:rPr>
        <w:t xml:space="preserve"> et al. (2006) find a positive impact in the case of 40 percent of the curr</w:t>
      </w:r>
      <w:r>
        <w:rPr>
          <w:rFonts w:cs="Times New Roman"/>
          <w:sz w:val="20"/>
          <w:lang w:val="en-US"/>
        </w:rPr>
        <w:t xml:space="preserve">ency crises taken under </w:t>
      </w:r>
      <w:r w:rsidRPr="00FB2293">
        <w:rPr>
          <w:rFonts w:cs="Times New Roman"/>
          <w:sz w:val="20"/>
          <w:lang w:val="en-US"/>
        </w:rPr>
        <w:t>consideration.</w:t>
      </w:r>
    </w:p>
  </w:footnote>
  <w:footnote w:id="8">
    <w:p w:rsidR="001823D0" w:rsidRPr="00503B0A" w:rsidRDefault="001823D0" w:rsidP="001823D0">
      <w:pPr>
        <w:pStyle w:val="FootnoteText"/>
        <w:jc w:val="both"/>
        <w:rPr>
          <w:lang w:val="en-US"/>
        </w:rPr>
      </w:pPr>
      <w:r>
        <w:rPr>
          <w:rStyle w:val="FootnoteReference"/>
        </w:rPr>
        <w:footnoteRef/>
      </w:r>
      <w:r>
        <w:t xml:space="preserve"> </w:t>
      </w:r>
      <w:proofErr w:type="gramStart"/>
      <w:r>
        <w:rPr>
          <w:lang w:val="en-US"/>
        </w:rPr>
        <w:t xml:space="preserve">Bonin J. and </w:t>
      </w:r>
      <w:proofErr w:type="spellStart"/>
      <w:r>
        <w:rPr>
          <w:lang w:val="en-US"/>
        </w:rPr>
        <w:t>Wachtel</w:t>
      </w:r>
      <w:proofErr w:type="spellEnd"/>
      <w:r>
        <w:rPr>
          <w:lang w:val="en-US"/>
        </w:rPr>
        <w:t xml:space="preserve"> P. (2004).</w:t>
      </w:r>
      <w:proofErr w:type="gramEnd"/>
      <w:r>
        <w:rPr>
          <w:lang w:val="en-US"/>
        </w:rPr>
        <w:t xml:space="preserve"> </w:t>
      </w:r>
      <w:proofErr w:type="spellStart"/>
      <w:r>
        <w:rPr>
          <w:rFonts w:cs="Times New Roman"/>
          <w:lang w:val="en-US"/>
        </w:rPr>
        <w:t>ʻʻ</w:t>
      </w:r>
      <w:r>
        <w:rPr>
          <w:lang w:val="en-US"/>
        </w:rPr>
        <w:t>Dealing</w:t>
      </w:r>
      <w:proofErr w:type="spellEnd"/>
      <w:r>
        <w:rPr>
          <w:lang w:val="en-US"/>
        </w:rPr>
        <w:t xml:space="preserve"> with Financial Fragility in Transition </w:t>
      </w:r>
      <w:proofErr w:type="spellStart"/>
      <w:r>
        <w:rPr>
          <w:lang w:val="en-US"/>
        </w:rPr>
        <w:t>Economies</w:t>
      </w:r>
      <w:r>
        <w:rPr>
          <w:rFonts w:cs="Times New Roman"/>
          <w:lang w:val="en-US"/>
        </w:rPr>
        <w:t>ʼʼ</w:t>
      </w:r>
      <w:proofErr w:type="spellEnd"/>
      <w:r>
        <w:rPr>
          <w:rFonts w:cs="Times New Roman"/>
          <w:lang w:val="en-US"/>
        </w:rPr>
        <w:t>, Presented to Conference on “Systematic Financial Crises: Resolving Large Bank Insolvencies, Federal Reserve Bank of Chicago, September 30, 2004.</w:t>
      </w:r>
    </w:p>
  </w:footnote>
  <w:footnote w:id="9">
    <w:p w:rsidR="001823D0" w:rsidRPr="007F4C0A" w:rsidRDefault="001823D0" w:rsidP="001823D0">
      <w:pPr>
        <w:autoSpaceDE w:val="0"/>
        <w:autoSpaceDN w:val="0"/>
        <w:adjustRightInd w:val="0"/>
        <w:spacing w:after="0" w:line="240" w:lineRule="auto"/>
        <w:jc w:val="both"/>
        <w:rPr>
          <w:rFonts w:cs="Times New Roman"/>
          <w:sz w:val="20"/>
          <w:lang w:val="en-US"/>
        </w:rPr>
      </w:pPr>
      <w:r>
        <w:rPr>
          <w:rStyle w:val="FootnoteReference"/>
        </w:rPr>
        <w:footnoteRef/>
      </w:r>
      <w:r>
        <w:t xml:space="preserve"> </w:t>
      </w:r>
      <w:r w:rsidRPr="00FB2293">
        <w:rPr>
          <w:rFonts w:cs="Times New Roman"/>
          <w:sz w:val="20"/>
          <w:lang w:val="en-US"/>
        </w:rPr>
        <w:t xml:space="preserve">See for example the “Financial accelerator theory” in Bernanke and </w:t>
      </w:r>
      <w:proofErr w:type="spellStart"/>
      <w:r w:rsidRPr="00FB2293">
        <w:rPr>
          <w:rFonts w:cs="Times New Roman"/>
          <w:sz w:val="20"/>
          <w:lang w:val="en-US"/>
        </w:rPr>
        <w:t>Gertler</w:t>
      </w:r>
      <w:proofErr w:type="spellEnd"/>
      <w:r w:rsidRPr="00FB2293">
        <w:rPr>
          <w:rFonts w:cs="Times New Roman"/>
          <w:sz w:val="20"/>
          <w:lang w:val="en-US"/>
        </w:rPr>
        <w:t xml:space="preserve"> (1989), </w:t>
      </w:r>
      <w:proofErr w:type="spellStart"/>
      <w:r w:rsidRPr="00FB2293">
        <w:rPr>
          <w:rFonts w:cs="Times New Roman"/>
          <w:sz w:val="20"/>
          <w:lang w:val="en-US"/>
        </w:rPr>
        <w:t>Kiyotaki</w:t>
      </w:r>
      <w:proofErr w:type="spellEnd"/>
      <w:r w:rsidRPr="00FB2293">
        <w:rPr>
          <w:rFonts w:cs="Times New Roman"/>
          <w:sz w:val="20"/>
          <w:lang w:val="en-US"/>
        </w:rPr>
        <w:t xml:space="preserve"> and Moore</w:t>
      </w:r>
      <w:r>
        <w:rPr>
          <w:rFonts w:cs="Times New Roman"/>
          <w:sz w:val="20"/>
          <w:lang w:val="en-US"/>
        </w:rPr>
        <w:t xml:space="preserve"> </w:t>
      </w:r>
      <w:r w:rsidRPr="00FB2293">
        <w:rPr>
          <w:rFonts w:cs="Times New Roman"/>
          <w:lang w:val="en-US"/>
        </w:rPr>
        <w:t>(1997).</w:t>
      </w:r>
    </w:p>
  </w:footnote>
  <w:footnote w:id="10">
    <w:p w:rsidR="001823D0" w:rsidRPr="00D56634" w:rsidRDefault="001823D0" w:rsidP="001823D0">
      <w:pPr>
        <w:autoSpaceDE w:val="0"/>
        <w:autoSpaceDN w:val="0"/>
        <w:adjustRightInd w:val="0"/>
        <w:spacing w:after="0" w:line="240" w:lineRule="auto"/>
        <w:jc w:val="both"/>
        <w:rPr>
          <w:rFonts w:cs="Times New Roman"/>
          <w:sz w:val="20"/>
          <w:lang w:val="en-US"/>
        </w:rPr>
      </w:pPr>
      <w:r>
        <w:rPr>
          <w:rStyle w:val="FootnoteReference"/>
        </w:rPr>
        <w:footnoteRef/>
      </w:r>
      <w:r>
        <w:t xml:space="preserve"> </w:t>
      </w:r>
      <w:r w:rsidRPr="00D56634">
        <w:rPr>
          <w:rFonts w:cs="Times New Roman"/>
          <w:sz w:val="20"/>
          <w:lang w:val="en-US"/>
        </w:rPr>
        <w:t xml:space="preserve">For example, Hutchison and </w:t>
      </w:r>
      <w:proofErr w:type="spellStart"/>
      <w:r w:rsidRPr="00D56634">
        <w:rPr>
          <w:rFonts w:cs="Times New Roman"/>
          <w:sz w:val="20"/>
          <w:lang w:val="en-US"/>
        </w:rPr>
        <w:t>Ilan</w:t>
      </w:r>
      <w:proofErr w:type="spellEnd"/>
      <w:r w:rsidRPr="00D56634">
        <w:rPr>
          <w:rFonts w:cs="Times New Roman"/>
          <w:sz w:val="20"/>
          <w:lang w:val="en-US"/>
        </w:rPr>
        <w:t xml:space="preserve"> (2005) analyzing the impact of currency and banking crises for a large set of</w:t>
      </w:r>
      <w:r>
        <w:rPr>
          <w:rFonts w:cs="Times New Roman"/>
          <w:sz w:val="20"/>
          <w:lang w:val="en-US"/>
        </w:rPr>
        <w:t xml:space="preserve"> </w:t>
      </w:r>
      <w:r w:rsidRPr="00D56634">
        <w:rPr>
          <w:rFonts w:cs="Times New Roman"/>
          <w:sz w:val="20"/>
          <w:lang w:val="en-US"/>
        </w:rPr>
        <w:t>countries find that while in a sample of 24 emerging economies real output contrac</w:t>
      </w:r>
      <w:r>
        <w:rPr>
          <w:rFonts w:cs="Times New Roman"/>
          <w:sz w:val="20"/>
          <w:lang w:val="en-US"/>
        </w:rPr>
        <w:t xml:space="preserve">tion reaches 8 percent and last </w:t>
      </w:r>
      <w:r w:rsidRPr="00D56634">
        <w:rPr>
          <w:rFonts w:cs="Times New Roman"/>
          <w:sz w:val="20"/>
          <w:lang w:val="en-US"/>
        </w:rPr>
        <w:t xml:space="preserve">2 years, when developed countries are included in the study the reduction in output is about </w:t>
      </w:r>
      <w:r>
        <w:rPr>
          <w:rFonts w:cs="Times New Roman"/>
          <w:sz w:val="20"/>
          <w:lang w:val="en-US"/>
        </w:rPr>
        <w:t xml:space="preserve">2 percent during </w:t>
      </w:r>
      <w:r w:rsidRPr="00D56634">
        <w:rPr>
          <w:rFonts w:cs="Times New Roman"/>
          <w:sz w:val="20"/>
          <w:lang w:val="en-US"/>
        </w:rPr>
        <w:t>only one year. Similarly, Dell’</w:t>
      </w:r>
      <w:r>
        <w:rPr>
          <w:rFonts w:cs="Times New Roman"/>
          <w:sz w:val="20"/>
          <w:lang w:val="en-US"/>
        </w:rPr>
        <w:t xml:space="preserve"> </w:t>
      </w:r>
      <w:proofErr w:type="spellStart"/>
      <w:r w:rsidRPr="00D56634">
        <w:rPr>
          <w:rFonts w:cs="Times New Roman"/>
          <w:sz w:val="20"/>
          <w:lang w:val="en-US"/>
        </w:rPr>
        <w:t>Ariccia</w:t>
      </w:r>
      <w:proofErr w:type="spellEnd"/>
      <w:r w:rsidRPr="00D56634">
        <w:rPr>
          <w:rFonts w:cs="Times New Roman"/>
          <w:sz w:val="20"/>
          <w:lang w:val="en-US"/>
        </w:rPr>
        <w:t xml:space="preserve"> et al. (2008) find that the real effect</w:t>
      </w:r>
      <w:r>
        <w:rPr>
          <w:rFonts w:cs="Times New Roman"/>
          <w:sz w:val="20"/>
          <w:lang w:val="en-US"/>
        </w:rPr>
        <w:t xml:space="preserve"> of banking crises is about 1.5 </w:t>
      </w:r>
      <w:r w:rsidRPr="00D56634">
        <w:rPr>
          <w:rFonts w:cs="Times New Roman"/>
          <w:sz w:val="20"/>
          <w:lang w:val="en-US"/>
        </w:rPr>
        <w:t xml:space="preserve">percentage point bigger for developing countries. Moreover, the recent Reinhart and </w:t>
      </w:r>
      <w:proofErr w:type="spellStart"/>
      <w:r w:rsidRPr="00D56634">
        <w:rPr>
          <w:rFonts w:cs="Times New Roman"/>
          <w:sz w:val="20"/>
          <w:lang w:val="en-US"/>
        </w:rPr>
        <w:t>Rogoff’</w:t>
      </w:r>
      <w:r>
        <w:rPr>
          <w:rFonts w:cs="Times New Roman"/>
          <w:sz w:val="20"/>
          <w:lang w:val="en-US"/>
        </w:rPr>
        <w:t>s</w:t>
      </w:r>
      <w:proofErr w:type="spellEnd"/>
      <w:r>
        <w:rPr>
          <w:rFonts w:cs="Times New Roman"/>
          <w:sz w:val="20"/>
          <w:lang w:val="en-US"/>
        </w:rPr>
        <w:t xml:space="preserve"> (2009) historical </w:t>
      </w:r>
      <w:r w:rsidRPr="00D56634">
        <w:rPr>
          <w:rFonts w:cs="Times New Roman"/>
          <w:sz w:val="20"/>
          <w:lang w:val="en-US"/>
        </w:rPr>
        <w:t>analysis underlines that a decline in real GDP is greater and more persist</w:t>
      </w:r>
      <w:r>
        <w:rPr>
          <w:rFonts w:cs="Times New Roman"/>
          <w:sz w:val="20"/>
          <w:lang w:val="en-US"/>
        </w:rPr>
        <w:t xml:space="preserve">ent for emerging than developed </w:t>
      </w:r>
      <w:r w:rsidRPr="00D56634">
        <w:rPr>
          <w:rFonts w:cs="Times New Roman"/>
          <w:sz w:val="20"/>
          <w:lang w:val="en-US"/>
        </w:rPr>
        <w:t xml:space="preserve">countries. </w:t>
      </w:r>
      <w:r>
        <w:rPr>
          <w:rFonts w:cs="Times New Roman"/>
          <w:sz w:val="20"/>
          <w:lang w:val="en-US"/>
        </w:rPr>
        <w:t xml:space="preserve"> </w:t>
      </w:r>
    </w:p>
  </w:footnote>
  <w:footnote w:id="11">
    <w:p w:rsidR="001823D0" w:rsidRPr="00F14C52" w:rsidRDefault="001823D0" w:rsidP="001823D0">
      <w:pPr>
        <w:pStyle w:val="FootnoteText"/>
        <w:jc w:val="both"/>
        <w:rPr>
          <w:lang w:val="en-US"/>
        </w:rPr>
      </w:pPr>
      <w:r>
        <w:rPr>
          <w:rStyle w:val="FootnoteReference"/>
        </w:rPr>
        <w:footnoteRef/>
      </w:r>
      <w:r>
        <w:t xml:space="preserve"> </w:t>
      </w:r>
      <w:proofErr w:type="spellStart"/>
      <w:r>
        <w:rPr>
          <w:lang w:val="en-US"/>
        </w:rPr>
        <w:t>Furceri</w:t>
      </w:r>
      <w:proofErr w:type="spellEnd"/>
      <w:r>
        <w:rPr>
          <w:lang w:val="en-US"/>
        </w:rPr>
        <w:t xml:space="preserve"> D. and </w:t>
      </w:r>
      <w:proofErr w:type="spellStart"/>
      <w:r>
        <w:rPr>
          <w:lang w:val="en-US"/>
        </w:rPr>
        <w:t>Zdzienicka</w:t>
      </w:r>
      <w:proofErr w:type="spellEnd"/>
      <w:r>
        <w:rPr>
          <w:lang w:val="en-US"/>
        </w:rPr>
        <w:t xml:space="preserve"> A. (2009), “The Real Effect of Financial Crises in the European Transition Economies, GATE </w:t>
      </w:r>
      <w:proofErr w:type="spellStart"/>
      <w:r>
        <w:rPr>
          <w:lang w:val="en-US"/>
        </w:rPr>
        <w:t>Groupe</w:t>
      </w:r>
      <w:proofErr w:type="spellEnd"/>
      <w:r>
        <w:rPr>
          <w:lang w:val="en-US"/>
        </w:rPr>
        <w:t xml:space="preserve"> d’ </w:t>
      </w:r>
      <w:proofErr w:type="spellStart"/>
      <w:r>
        <w:rPr>
          <w:lang w:val="en-US"/>
        </w:rPr>
        <w:t>Analyse</w:t>
      </w:r>
      <w:proofErr w:type="spellEnd"/>
      <w:r>
        <w:rPr>
          <w:lang w:val="en-US"/>
        </w:rPr>
        <w:t xml:space="preserve"> </w:t>
      </w:r>
      <w:proofErr w:type="gramStart"/>
      <w:r>
        <w:rPr>
          <w:lang w:val="en-US"/>
        </w:rPr>
        <w:t>Et</w:t>
      </w:r>
      <w:proofErr w:type="gramEnd"/>
      <w:r>
        <w:rPr>
          <w:lang w:val="en-US"/>
        </w:rPr>
        <w:t xml:space="preserve"> de </w:t>
      </w:r>
      <w:proofErr w:type="spellStart"/>
      <w:r>
        <w:rPr>
          <w:lang w:val="en-US"/>
        </w:rPr>
        <w:t>Th</w:t>
      </w:r>
      <w:r>
        <w:rPr>
          <w:rFonts w:cs="Times New Roman"/>
          <w:lang w:val="en-US"/>
        </w:rPr>
        <w:t>éorie</w:t>
      </w:r>
      <w:proofErr w:type="spellEnd"/>
      <w:r>
        <w:rPr>
          <w:rFonts w:cs="Times New Roman"/>
          <w:lang w:val="en-US"/>
        </w:rPr>
        <w:t xml:space="preserve"> </w:t>
      </w:r>
      <w:proofErr w:type="spellStart"/>
      <w:r>
        <w:rPr>
          <w:rFonts w:cs="Times New Roman"/>
          <w:lang w:val="en-US"/>
        </w:rPr>
        <w:t>économique</w:t>
      </w:r>
      <w:proofErr w:type="spellEnd"/>
      <w:r>
        <w:rPr>
          <w:rFonts w:cs="Times New Roman"/>
          <w:lang w:val="en-US"/>
        </w:rPr>
        <w:t>, pp.7-15.</w:t>
      </w:r>
    </w:p>
  </w:footnote>
  <w:footnote w:id="12">
    <w:p w:rsidR="001823D0" w:rsidRPr="00D30FD2" w:rsidRDefault="001823D0" w:rsidP="001823D0">
      <w:pPr>
        <w:pStyle w:val="FootnoteText"/>
        <w:jc w:val="both"/>
        <w:rPr>
          <w:lang w:val="en-US"/>
        </w:rPr>
      </w:pPr>
      <w:r>
        <w:rPr>
          <w:rStyle w:val="FootnoteReference"/>
        </w:rPr>
        <w:footnoteRef/>
      </w:r>
      <w:r>
        <w:t xml:space="preserve"> </w:t>
      </w:r>
      <w:r>
        <w:rPr>
          <w:rFonts w:cs="Times New Roman"/>
          <w:lang w:val="en-US"/>
        </w:rPr>
        <w:t xml:space="preserve">Bernard Laurens and Enrique G. de la </w:t>
      </w:r>
      <w:proofErr w:type="spellStart"/>
      <w:r>
        <w:rPr>
          <w:rFonts w:cs="Times New Roman"/>
          <w:lang w:val="en-US"/>
        </w:rPr>
        <w:t>Piedra</w:t>
      </w:r>
      <w:proofErr w:type="spellEnd"/>
      <w:r>
        <w:rPr>
          <w:rFonts w:cs="Times New Roman"/>
          <w:lang w:val="en-US"/>
        </w:rPr>
        <w:t>, “Structural Reform and Market-Based Policies Heighten Need for Policy Coordination, IMF survey, June 8, 1998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73F18"/>
    <w:rsid w:val="000139CB"/>
    <w:rsid w:val="000311F1"/>
    <w:rsid w:val="00056688"/>
    <w:rsid w:val="000F3E9D"/>
    <w:rsid w:val="001163B8"/>
    <w:rsid w:val="001236B0"/>
    <w:rsid w:val="001823D0"/>
    <w:rsid w:val="00190BB6"/>
    <w:rsid w:val="001C6BAA"/>
    <w:rsid w:val="001E76AF"/>
    <w:rsid w:val="001F1C08"/>
    <w:rsid w:val="00201C08"/>
    <w:rsid w:val="002F4492"/>
    <w:rsid w:val="00527695"/>
    <w:rsid w:val="005B5F36"/>
    <w:rsid w:val="00620959"/>
    <w:rsid w:val="0062134D"/>
    <w:rsid w:val="007E49AC"/>
    <w:rsid w:val="007E5388"/>
    <w:rsid w:val="00811654"/>
    <w:rsid w:val="00825BC5"/>
    <w:rsid w:val="00981F6A"/>
    <w:rsid w:val="009B005A"/>
    <w:rsid w:val="009C0883"/>
    <w:rsid w:val="00A55713"/>
    <w:rsid w:val="00A769D6"/>
    <w:rsid w:val="00B301E8"/>
    <w:rsid w:val="00B73F18"/>
    <w:rsid w:val="00BC36B0"/>
    <w:rsid w:val="00BD67AA"/>
    <w:rsid w:val="00C17A80"/>
    <w:rsid w:val="00C81689"/>
    <w:rsid w:val="00C9353C"/>
    <w:rsid w:val="00D93A68"/>
    <w:rsid w:val="00DE1644"/>
    <w:rsid w:val="00DF5253"/>
    <w:rsid w:val="00E01F85"/>
    <w:rsid w:val="00E46A51"/>
    <w:rsid w:val="00F85F2E"/>
    <w:rsid w:val="00FB137C"/>
    <w:rsid w:val="00FD13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9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1-Accent5">
    <w:name w:val="Medium Shading 1 Accent 5"/>
    <w:basedOn w:val="TableNormal"/>
    <w:uiPriority w:val="63"/>
    <w:rsid w:val="00981F6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cPr>
      <w:shd w:val="clear" w:color="auto" w:fill="FFFFFF" w:themeFill="background1"/>
    </w:tc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Header">
    <w:name w:val="header"/>
    <w:basedOn w:val="Normal"/>
    <w:link w:val="HeaderChar"/>
    <w:uiPriority w:val="99"/>
    <w:unhideWhenUsed/>
    <w:rsid w:val="00B73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18"/>
  </w:style>
  <w:style w:type="paragraph" w:styleId="Footer">
    <w:name w:val="footer"/>
    <w:basedOn w:val="Normal"/>
    <w:link w:val="FooterChar"/>
    <w:uiPriority w:val="99"/>
    <w:semiHidden/>
    <w:unhideWhenUsed/>
    <w:rsid w:val="00B73F1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73F18"/>
  </w:style>
  <w:style w:type="paragraph" w:styleId="BalloonText">
    <w:name w:val="Balloon Text"/>
    <w:basedOn w:val="Normal"/>
    <w:link w:val="BalloonTextChar"/>
    <w:uiPriority w:val="99"/>
    <w:semiHidden/>
    <w:unhideWhenUsed/>
    <w:rsid w:val="00B73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F18"/>
    <w:rPr>
      <w:rFonts w:ascii="Tahoma" w:hAnsi="Tahoma" w:cs="Tahoma"/>
      <w:sz w:val="16"/>
      <w:szCs w:val="16"/>
    </w:rPr>
  </w:style>
  <w:style w:type="paragraph" w:styleId="FootnoteText">
    <w:name w:val="footnote text"/>
    <w:basedOn w:val="Normal"/>
    <w:link w:val="FootnoteTextChar"/>
    <w:uiPriority w:val="99"/>
    <w:semiHidden/>
    <w:unhideWhenUsed/>
    <w:rsid w:val="0062134D"/>
    <w:pPr>
      <w:spacing w:after="0" w:line="240" w:lineRule="auto"/>
    </w:pPr>
    <w:rPr>
      <w:sz w:val="20"/>
    </w:rPr>
  </w:style>
  <w:style w:type="character" w:customStyle="1" w:styleId="FootnoteTextChar">
    <w:name w:val="Footnote Text Char"/>
    <w:basedOn w:val="DefaultParagraphFont"/>
    <w:link w:val="FootnoteText"/>
    <w:uiPriority w:val="99"/>
    <w:semiHidden/>
    <w:rsid w:val="0062134D"/>
    <w:rPr>
      <w:sz w:val="20"/>
    </w:rPr>
  </w:style>
  <w:style w:type="character" w:styleId="FootnoteReference">
    <w:name w:val="footnote reference"/>
    <w:basedOn w:val="DefaultParagraphFont"/>
    <w:uiPriority w:val="99"/>
    <w:semiHidden/>
    <w:unhideWhenUsed/>
    <w:rsid w:val="0062134D"/>
    <w:rPr>
      <w:vertAlign w:val="superscript"/>
    </w:rPr>
  </w:style>
  <w:style w:type="character" w:customStyle="1" w:styleId="hps">
    <w:name w:val="hps"/>
    <w:basedOn w:val="DefaultParagraphFont"/>
    <w:rsid w:val="001823D0"/>
  </w:style>
  <w:style w:type="paragraph" w:styleId="ListParagraph">
    <w:name w:val="List Paragraph"/>
    <w:basedOn w:val="Normal"/>
    <w:uiPriority w:val="34"/>
    <w:qFormat/>
    <w:rsid w:val="001823D0"/>
    <w:pPr>
      <w:ind w:left="720"/>
      <w:contextualSpacing/>
    </w:pPr>
  </w:style>
  <w:style w:type="paragraph" w:customStyle="1" w:styleId="Default">
    <w:name w:val="Default"/>
    <w:rsid w:val="001823D0"/>
    <w:pPr>
      <w:autoSpaceDE w:val="0"/>
      <w:autoSpaceDN w:val="0"/>
      <w:adjustRightInd w:val="0"/>
      <w:spacing w:after="0" w:line="240" w:lineRule="auto"/>
    </w:pPr>
    <w:rPr>
      <w:rFonts w:cs="Times New Roman"/>
      <w:color w:val="000000"/>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6BBEE1-FCB6-44B2-BA48-4C25DA8BE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5512</Words>
  <Characters>31419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Василка Габер : Фискалната политика во услови на финансиска криза</vt:lpstr>
    </vt:vector>
  </TitlesOfParts>
  <Company/>
  <LinksUpToDate>false</LinksUpToDate>
  <CharactersWithSpaces>36858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Vasilka Gaber: Coordination of fisca</dc:title>
  <dc:creator>PC</dc:creator>
  <cp:lastModifiedBy>Irina</cp:lastModifiedBy>
  <cp:revision>2</cp:revision>
  <dcterms:created xsi:type="dcterms:W3CDTF">2012-09-20T15:43:00Z</dcterms:created>
  <dcterms:modified xsi:type="dcterms:W3CDTF">2012-09-20T15:43:00Z</dcterms:modified>
</cp:coreProperties>
</file>