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C781E" w:rsidRDefault="005C781E">
      <w:pPr>
        <w:jc w:val="center"/>
        <w:rPr>
          <w:b/>
          <w:bCs/>
          <w:color w:val="000000"/>
          <w:sz w:val="28"/>
        </w:rPr>
      </w:pPr>
    </w:p>
    <w:p w:rsidR="005C781E" w:rsidRDefault="005C781E">
      <w:pPr>
        <w:jc w:val="center"/>
        <w:rPr>
          <w:b/>
          <w:bCs/>
          <w:color w:val="000000"/>
          <w:sz w:val="28"/>
        </w:rPr>
      </w:pPr>
    </w:p>
    <w:p w:rsidR="00C01C82" w:rsidRDefault="0019241B">
      <w:pPr>
        <w:jc w:val="center"/>
        <w:rPr>
          <w:b/>
          <w:bCs/>
          <w:color w:val="000000"/>
          <w:sz w:val="28"/>
        </w:rPr>
      </w:pPr>
      <w:r>
        <w:rPr>
          <w:b/>
          <w:bCs/>
          <w:color w:val="000000"/>
          <w:sz w:val="28"/>
        </w:rPr>
        <w:t>FABRICATION AND PROPERTIES OF OIL-EXTENDED ELASTOMERIC NANOCOMPOSITES</w:t>
      </w:r>
      <w:r w:rsidR="007B5CF4">
        <w:rPr>
          <w:b/>
          <w:bCs/>
          <w:color w:val="000000"/>
          <w:sz w:val="28"/>
        </w:rPr>
        <w:t xml:space="preserve"> </w:t>
      </w:r>
    </w:p>
    <w:p w:rsidR="00C01C82" w:rsidRDefault="0019241B">
      <w:pPr>
        <w:jc w:val="center"/>
        <w:rPr>
          <w:b/>
          <w:bCs/>
          <w:color w:val="000000"/>
          <w:sz w:val="28"/>
        </w:rPr>
      </w:pPr>
      <w:r>
        <w:rPr>
          <w:b/>
          <w:bCs/>
          <w:color w:val="000000"/>
          <w:sz w:val="28"/>
        </w:rPr>
        <w:t>BASED ON DIFFERENT</w:t>
      </w:r>
      <w:r w:rsidR="00A47D74">
        <w:rPr>
          <w:b/>
          <w:bCs/>
          <w:color w:val="000000"/>
          <w:sz w:val="28"/>
        </w:rPr>
        <w:t xml:space="preserve"> </w:t>
      </w:r>
      <w:r>
        <w:rPr>
          <w:b/>
          <w:bCs/>
          <w:color w:val="000000"/>
          <w:sz w:val="28"/>
        </w:rPr>
        <w:t>RUBBERS</w:t>
      </w:r>
    </w:p>
    <w:p w:rsidR="00C01C82" w:rsidRDefault="00C01C82">
      <w:pPr>
        <w:jc w:val="center"/>
        <w:rPr>
          <w:b/>
          <w:color w:val="000000"/>
          <w:sz w:val="28"/>
          <w:szCs w:val="28"/>
        </w:rPr>
      </w:pPr>
    </w:p>
    <w:p w:rsidR="00C01C82" w:rsidRDefault="00081C45">
      <w:pPr>
        <w:jc w:val="center"/>
        <w:rPr>
          <w:b/>
          <w:color w:val="000000"/>
        </w:rPr>
      </w:pPr>
      <w:r>
        <w:rPr>
          <w:b/>
          <w:color w:val="000000"/>
        </w:rPr>
        <w:t>D.</w:t>
      </w:r>
      <w:r w:rsidR="007B5CF4">
        <w:rPr>
          <w:b/>
          <w:color w:val="000000"/>
        </w:rPr>
        <w:t>Manjenčić</w:t>
      </w:r>
      <w:r w:rsidR="007B5CF4">
        <w:rPr>
          <w:b/>
          <w:color w:val="000000"/>
          <w:vertAlign w:val="superscript"/>
        </w:rPr>
        <w:t>1</w:t>
      </w:r>
      <w:r w:rsidR="007B5CF4">
        <w:rPr>
          <w:b/>
          <w:color w:val="000000"/>
        </w:rPr>
        <w:t xml:space="preserve">, </w:t>
      </w:r>
      <w:r>
        <w:rPr>
          <w:b/>
          <w:color w:val="000000"/>
        </w:rPr>
        <w:t>V.</w:t>
      </w:r>
      <w:r w:rsidR="007B5CF4">
        <w:rPr>
          <w:b/>
          <w:color w:val="000000"/>
        </w:rPr>
        <w:t xml:space="preserve">Jovanović </w:t>
      </w:r>
      <w:r w:rsidR="007B5CF4">
        <w:rPr>
          <w:b/>
          <w:color w:val="000000"/>
          <w:vertAlign w:val="superscript"/>
        </w:rPr>
        <w:t>2</w:t>
      </w:r>
      <w:r w:rsidR="007B5CF4">
        <w:rPr>
          <w:b/>
          <w:color w:val="000000"/>
        </w:rPr>
        <w:t xml:space="preserve">, </w:t>
      </w:r>
      <w:r>
        <w:rPr>
          <w:b/>
          <w:color w:val="000000"/>
        </w:rPr>
        <w:t>J.</w:t>
      </w:r>
      <w:r w:rsidR="007B5CF4">
        <w:rPr>
          <w:b/>
          <w:color w:val="000000"/>
        </w:rPr>
        <w:t xml:space="preserve">Budinski-Simendić </w:t>
      </w:r>
      <w:r w:rsidR="007B5CF4">
        <w:rPr>
          <w:b/>
          <w:color w:val="000000"/>
          <w:vertAlign w:val="superscript"/>
        </w:rPr>
        <w:t>1</w:t>
      </w:r>
      <w:r w:rsidR="007B5CF4">
        <w:rPr>
          <w:b/>
          <w:color w:val="000000"/>
        </w:rPr>
        <w:t xml:space="preserve">, </w:t>
      </w:r>
    </w:p>
    <w:p w:rsidR="00C01C82" w:rsidRDefault="007B5CF4">
      <w:pPr>
        <w:jc w:val="center"/>
        <w:rPr>
          <w:b/>
          <w:color w:val="000000"/>
        </w:rPr>
      </w:pPr>
      <w:r>
        <w:rPr>
          <w:b/>
          <w:color w:val="000000"/>
        </w:rPr>
        <w:t xml:space="preserve"> </w:t>
      </w:r>
      <w:r w:rsidR="00081C45">
        <w:rPr>
          <w:b/>
          <w:color w:val="000000"/>
        </w:rPr>
        <w:t>N.</w:t>
      </w:r>
      <w:r>
        <w:rPr>
          <w:b/>
          <w:color w:val="000000"/>
        </w:rPr>
        <w:t>Vukić</w:t>
      </w:r>
      <w:r>
        <w:rPr>
          <w:b/>
          <w:color w:val="000000"/>
          <w:vertAlign w:val="superscript"/>
        </w:rPr>
        <w:t>1</w:t>
      </w:r>
      <w:r w:rsidR="00081C45">
        <w:rPr>
          <w:b/>
          <w:color w:val="000000"/>
        </w:rPr>
        <w:t>, V.</w:t>
      </w:r>
      <w:r>
        <w:rPr>
          <w:b/>
          <w:color w:val="000000"/>
        </w:rPr>
        <w:t>Simendić</w:t>
      </w:r>
      <w:r>
        <w:rPr>
          <w:b/>
          <w:color w:val="000000"/>
          <w:vertAlign w:val="superscript"/>
        </w:rPr>
        <w:t>1</w:t>
      </w:r>
      <w:r w:rsidR="00081C45">
        <w:rPr>
          <w:b/>
          <w:color w:val="000000"/>
        </w:rPr>
        <w:t>, Z.</w:t>
      </w:r>
      <w:r>
        <w:rPr>
          <w:b/>
          <w:color w:val="000000"/>
        </w:rPr>
        <w:t>Miljković</w:t>
      </w:r>
      <w:r>
        <w:rPr>
          <w:b/>
          <w:color w:val="000000"/>
          <w:vertAlign w:val="superscript"/>
        </w:rPr>
        <w:t>3</w:t>
      </w:r>
      <w:r>
        <w:rPr>
          <w:b/>
          <w:color w:val="000000"/>
        </w:rPr>
        <w:t xml:space="preserve">, </w:t>
      </w:r>
      <w:r w:rsidR="00081C45">
        <w:rPr>
          <w:b/>
          <w:color w:val="000000"/>
        </w:rPr>
        <w:t>V.</w:t>
      </w:r>
      <w:r>
        <w:rPr>
          <w:b/>
          <w:color w:val="000000"/>
        </w:rPr>
        <w:t xml:space="preserve">Aleksić </w:t>
      </w:r>
      <w:r>
        <w:rPr>
          <w:b/>
          <w:color w:val="000000"/>
          <w:vertAlign w:val="superscript"/>
        </w:rPr>
        <w:t>4</w:t>
      </w:r>
      <w:r>
        <w:rPr>
          <w:b/>
          <w:color w:val="000000"/>
        </w:rPr>
        <w:t xml:space="preserve">  </w:t>
      </w:r>
    </w:p>
    <w:p w:rsidR="00C01C82" w:rsidRDefault="00C01C82">
      <w:pPr>
        <w:jc w:val="center"/>
        <w:rPr>
          <w:color w:val="000000"/>
        </w:rPr>
      </w:pPr>
    </w:p>
    <w:p w:rsidR="00C01C82" w:rsidRPr="005140D3" w:rsidRDefault="007B5CF4">
      <w:pPr>
        <w:jc w:val="center"/>
        <w:rPr>
          <w:color w:val="000000"/>
        </w:rPr>
      </w:pPr>
      <w:r w:rsidRPr="005140D3">
        <w:rPr>
          <w:color w:val="000000"/>
          <w:vertAlign w:val="superscript"/>
        </w:rPr>
        <w:t>1</w:t>
      </w:r>
      <w:r w:rsidRPr="005140D3">
        <w:rPr>
          <w:color w:val="000000"/>
          <w:lang w:val="en-GB"/>
        </w:rPr>
        <w:t>Universit</w:t>
      </w:r>
      <w:r w:rsidRPr="005140D3">
        <w:rPr>
          <w:color w:val="000000"/>
        </w:rPr>
        <w:t>ity of Novi Sad, Faculty of Technology, Serbia</w:t>
      </w:r>
    </w:p>
    <w:p w:rsidR="00C01C82" w:rsidRPr="005140D3" w:rsidRDefault="007B5CF4">
      <w:pPr>
        <w:jc w:val="center"/>
        <w:rPr>
          <w:color w:val="000000"/>
        </w:rPr>
      </w:pPr>
      <w:r w:rsidRPr="005140D3">
        <w:rPr>
          <w:color w:val="000000"/>
          <w:vertAlign w:val="superscript"/>
        </w:rPr>
        <w:t>2</w:t>
      </w:r>
      <w:r w:rsidRPr="005140D3">
        <w:rPr>
          <w:color w:val="000000"/>
        </w:rPr>
        <w:t>University of Pristina, Faculty of Natural Science, Kosovska Mitrovica, Serbia</w:t>
      </w:r>
    </w:p>
    <w:p w:rsidR="00C01C82" w:rsidRPr="005140D3" w:rsidRDefault="007B5CF4">
      <w:pPr>
        <w:jc w:val="center"/>
        <w:rPr>
          <w:color w:val="000000"/>
        </w:rPr>
      </w:pPr>
      <w:r w:rsidRPr="005140D3">
        <w:rPr>
          <w:color w:val="000000"/>
          <w:vertAlign w:val="superscript"/>
        </w:rPr>
        <w:t>3</w:t>
      </w:r>
      <w:r w:rsidRPr="005140D3">
        <w:rPr>
          <w:color w:val="000000"/>
        </w:rPr>
        <w:t>Rubber industry Novi Sad, GUMINS, Serbia</w:t>
      </w:r>
    </w:p>
    <w:p w:rsidR="00C01C82" w:rsidRPr="005140D3" w:rsidRDefault="007B5CF4">
      <w:pPr>
        <w:jc w:val="center"/>
        <w:rPr>
          <w:color w:val="000000"/>
        </w:rPr>
      </w:pPr>
      <w:r w:rsidRPr="005140D3">
        <w:rPr>
          <w:color w:val="000000"/>
          <w:vertAlign w:val="superscript"/>
        </w:rPr>
        <w:t>4</w:t>
      </w:r>
      <w:r w:rsidRPr="005140D3">
        <w:rPr>
          <w:color w:val="000000"/>
          <w:lang w:val="en-GB"/>
        </w:rPr>
        <w:t>Universit</w:t>
      </w:r>
      <w:r w:rsidRPr="005140D3">
        <w:rPr>
          <w:color w:val="000000"/>
        </w:rPr>
        <w:t xml:space="preserve">ity of East Sarajavo, Zvornik, Faculty of Technology, B&amp;H </w:t>
      </w:r>
    </w:p>
    <w:p w:rsidR="00C01C82" w:rsidRPr="005140D3" w:rsidRDefault="00C01C82">
      <w:pPr>
        <w:jc w:val="center"/>
        <w:rPr>
          <w:color w:val="000000"/>
        </w:rPr>
      </w:pPr>
    </w:p>
    <w:p w:rsidR="005C781E" w:rsidRDefault="005C781E">
      <w:pPr>
        <w:jc w:val="center"/>
        <w:rPr>
          <w:i/>
          <w:color w:val="000000"/>
        </w:rPr>
      </w:pPr>
    </w:p>
    <w:p w:rsidR="00C01C82" w:rsidRPr="005C781E" w:rsidRDefault="00FA476D">
      <w:pPr>
        <w:jc w:val="center"/>
        <w:rPr>
          <w:b/>
          <w:bCs/>
          <w:color w:val="000000"/>
          <w:sz w:val="20"/>
          <w:szCs w:val="20"/>
        </w:rPr>
      </w:pPr>
      <w:r w:rsidRPr="005C781E">
        <w:rPr>
          <w:b/>
          <w:bCs/>
          <w:color w:val="000000"/>
          <w:sz w:val="20"/>
          <w:szCs w:val="20"/>
        </w:rPr>
        <w:t>Abstract</w:t>
      </w:r>
    </w:p>
    <w:p w:rsidR="00C01C82" w:rsidRPr="005C781E" w:rsidRDefault="00C01C82">
      <w:pPr>
        <w:jc w:val="center"/>
        <w:rPr>
          <w:b/>
          <w:bCs/>
          <w:color w:val="000000"/>
          <w:sz w:val="20"/>
          <w:szCs w:val="20"/>
        </w:rPr>
      </w:pPr>
    </w:p>
    <w:p w:rsidR="00C01C82" w:rsidRPr="005C781E" w:rsidRDefault="006C62BA">
      <w:pPr>
        <w:jc w:val="both"/>
        <w:rPr>
          <w:color w:val="000000"/>
          <w:sz w:val="20"/>
          <w:szCs w:val="20"/>
        </w:rPr>
      </w:pPr>
      <w:r w:rsidRPr="005C781E">
        <w:rPr>
          <w:rFonts w:eastAsia="Calibri" w:cs="Calibri"/>
          <w:color w:val="000000"/>
          <w:sz w:val="20"/>
          <w:szCs w:val="20"/>
        </w:rPr>
        <w:t xml:space="preserve">    </w:t>
      </w:r>
      <w:r w:rsidR="007B5CF4" w:rsidRPr="005C781E">
        <w:rPr>
          <w:rFonts w:eastAsia="Calibri" w:cs="Calibri"/>
          <w:color w:val="000000"/>
          <w:sz w:val="20"/>
          <w:szCs w:val="20"/>
        </w:rPr>
        <w:t xml:space="preserve">For elastomeric materials application is is very important to have apropriate network precursors for material design. </w:t>
      </w:r>
      <w:r w:rsidR="007B5CF4" w:rsidRPr="005C781E">
        <w:rPr>
          <w:color w:val="000000"/>
          <w:sz w:val="20"/>
          <w:szCs w:val="20"/>
        </w:rPr>
        <w:t>This study explored the effect of oil type on thetmsl stabilitys of elastomeric materials. For sample preparation different network precursors was used: ethylene-propylene-diene rubber (EPDM), acrylonitrile-butadiene rubber (NBR), natural rubber (NR), and polyether-urethane rubber (EU). The thermal stability of samples was assessed in nitrogen by thermogravimetry (TGA). It was estimated that the oil type significantly influenced the properties of obtained elastomeric materials.</w:t>
      </w:r>
    </w:p>
    <w:p w:rsidR="00C01C82" w:rsidRPr="005C781E" w:rsidRDefault="00D138C2">
      <w:pPr>
        <w:pStyle w:val="References"/>
        <w:tabs>
          <w:tab w:val="left" w:pos="0"/>
        </w:tabs>
        <w:ind w:left="0" w:firstLine="0"/>
        <w:rPr>
          <w:sz w:val="20"/>
          <w:szCs w:val="20"/>
        </w:rPr>
      </w:pPr>
      <w:hyperlink r:id="rId7" w:anchor="_blank" w:history="1"/>
    </w:p>
    <w:p w:rsidR="00C01C82" w:rsidRDefault="007B5CF4">
      <w:pPr>
        <w:jc w:val="both"/>
        <w:rPr>
          <w:i/>
        </w:rPr>
      </w:pPr>
      <w:r>
        <w:rPr>
          <w:i/>
        </w:rPr>
        <w:t>Key words: elastomeric materials, rubber, plastification, polymer network</w:t>
      </w:r>
    </w:p>
    <w:p w:rsidR="00C01C82" w:rsidRDefault="00C01C82">
      <w:pPr>
        <w:jc w:val="both"/>
        <w:rPr>
          <w:i/>
        </w:rPr>
      </w:pPr>
    </w:p>
    <w:p w:rsidR="00C01C82" w:rsidRDefault="00C01C82">
      <w:pPr>
        <w:jc w:val="both"/>
        <w:rPr>
          <w:i/>
        </w:rPr>
      </w:pPr>
    </w:p>
    <w:p w:rsidR="00C01C82" w:rsidRDefault="00A84ECC">
      <w:pPr>
        <w:spacing w:line="200" w:lineRule="atLeast"/>
        <w:jc w:val="center"/>
        <w:rPr>
          <w:b/>
          <w:bCs/>
          <w:color w:val="000000"/>
          <w:sz w:val="28"/>
        </w:rPr>
      </w:pPr>
      <w:r>
        <w:rPr>
          <w:b/>
          <w:bCs/>
          <w:color w:val="000000"/>
          <w:sz w:val="28"/>
        </w:rPr>
        <w:t>DOBIJANJE I</w:t>
      </w:r>
      <w:r w:rsidR="007B5CF4">
        <w:rPr>
          <w:b/>
          <w:bCs/>
          <w:color w:val="000000"/>
          <w:sz w:val="28"/>
        </w:rPr>
        <w:t xml:space="preserve"> </w:t>
      </w:r>
      <w:r>
        <w:rPr>
          <w:b/>
          <w:bCs/>
          <w:color w:val="000000"/>
          <w:sz w:val="28"/>
        </w:rPr>
        <w:t>SVOJSTVA ULJIMA PLASTIFIKOVANIH ELASTOMERNIH NANOKOMPOZITA DOBIJENIH OD RAZLIČITIH KAUČUKA</w:t>
      </w:r>
      <w:r w:rsidR="007B5CF4">
        <w:rPr>
          <w:b/>
          <w:bCs/>
          <w:color w:val="000000"/>
          <w:sz w:val="28"/>
        </w:rPr>
        <w:t xml:space="preserve"> </w:t>
      </w:r>
    </w:p>
    <w:p w:rsidR="00C01C82" w:rsidRDefault="00C01C82">
      <w:pPr>
        <w:jc w:val="center"/>
        <w:rPr>
          <w:b/>
          <w:color w:val="000000"/>
          <w:sz w:val="28"/>
          <w:szCs w:val="28"/>
        </w:rPr>
      </w:pPr>
    </w:p>
    <w:p w:rsidR="00BA0D77" w:rsidRDefault="00BA0D77" w:rsidP="00BA0D77">
      <w:pPr>
        <w:jc w:val="center"/>
        <w:rPr>
          <w:b/>
          <w:color w:val="000000"/>
        </w:rPr>
      </w:pPr>
      <w:r>
        <w:rPr>
          <w:b/>
          <w:color w:val="000000"/>
        </w:rPr>
        <w:t>D.Manjenčić</w:t>
      </w:r>
      <w:r>
        <w:rPr>
          <w:b/>
          <w:color w:val="000000"/>
          <w:vertAlign w:val="superscript"/>
        </w:rPr>
        <w:t>1</w:t>
      </w:r>
      <w:r>
        <w:rPr>
          <w:b/>
          <w:color w:val="000000"/>
        </w:rPr>
        <w:t xml:space="preserve">, V.Jovanović </w:t>
      </w:r>
      <w:r>
        <w:rPr>
          <w:b/>
          <w:color w:val="000000"/>
          <w:vertAlign w:val="superscript"/>
        </w:rPr>
        <w:t>2</w:t>
      </w:r>
      <w:r>
        <w:rPr>
          <w:b/>
          <w:color w:val="000000"/>
        </w:rPr>
        <w:t xml:space="preserve">, J.Budinski-Simendić </w:t>
      </w:r>
      <w:r>
        <w:rPr>
          <w:b/>
          <w:color w:val="000000"/>
          <w:vertAlign w:val="superscript"/>
        </w:rPr>
        <w:t>1</w:t>
      </w:r>
      <w:r>
        <w:rPr>
          <w:b/>
          <w:color w:val="000000"/>
        </w:rPr>
        <w:t xml:space="preserve">, </w:t>
      </w:r>
    </w:p>
    <w:p w:rsidR="00C01C82" w:rsidRDefault="00BA0D77" w:rsidP="00BA0D77">
      <w:pPr>
        <w:jc w:val="center"/>
        <w:rPr>
          <w:b/>
          <w:color w:val="000000"/>
        </w:rPr>
      </w:pPr>
      <w:r>
        <w:rPr>
          <w:b/>
          <w:color w:val="000000"/>
        </w:rPr>
        <w:t xml:space="preserve"> N.Vukić</w:t>
      </w:r>
      <w:r>
        <w:rPr>
          <w:b/>
          <w:color w:val="000000"/>
          <w:vertAlign w:val="superscript"/>
        </w:rPr>
        <w:t>1</w:t>
      </w:r>
      <w:r>
        <w:rPr>
          <w:b/>
          <w:color w:val="000000"/>
        </w:rPr>
        <w:t>, V.Simendić</w:t>
      </w:r>
      <w:r>
        <w:rPr>
          <w:b/>
          <w:color w:val="000000"/>
          <w:vertAlign w:val="superscript"/>
        </w:rPr>
        <w:t>1</w:t>
      </w:r>
      <w:r>
        <w:rPr>
          <w:b/>
          <w:color w:val="000000"/>
        </w:rPr>
        <w:t>, Z.Miljković</w:t>
      </w:r>
      <w:r>
        <w:rPr>
          <w:b/>
          <w:color w:val="000000"/>
          <w:vertAlign w:val="superscript"/>
        </w:rPr>
        <w:t>3</w:t>
      </w:r>
      <w:r>
        <w:rPr>
          <w:b/>
          <w:color w:val="000000"/>
        </w:rPr>
        <w:t xml:space="preserve">, V.Aleksić </w:t>
      </w:r>
      <w:r>
        <w:rPr>
          <w:b/>
          <w:color w:val="000000"/>
          <w:vertAlign w:val="superscript"/>
        </w:rPr>
        <w:t>4</w:t>
      </w:r>
      <w:r>
        <w:rPr>
          <w:b/>
          <w:color w:val="000000"/>
        </w:rPr>
        <w:t xml:space="preserve">  </w:t>
      </w:r>
      <w:r w:rsidR="007B5CF4">
        <w:rPr>
          <w:b/>
          <w:color w:val="000000"/>
        </w:rPr>
        <w:t xml:space="preserve"> </w:t>
      </w:r>
    </w:p>
    <w:p w:rsidR="00C01C82" w:rsidRDefault="00C01C82">
      <w:pPr>
        <w:jc w:val="center"/>
        <w:rPr>
          <w:color w:val="000000"/>
        </w:rPr>
      </w:pPr>
    </w:p>
    <w:p w:rsidR="00C01C82" w:rsidRDefault="007B5CF4">
      <w:pPr>
        <w:jc w:val="center"/>
        <w:rPr>
          <w:color w:val="000000"/>
        </w:rPr>
      </w:pPr>
      <w:r>
        <w:rPr>
          <w:color w:val="000000"/>
          <w:vertAlign w:val="superscript"/>
        </w:rPr>
        <w:t>1</w:t>
      </w:r>
      <w:r>
        <w:rPr>
          <w:color w:val="000000"/>
        </w:rPr>
        <w:t>Tehnološki fakultet, Univerzitet u Novom Sadu, Srbija</w:t>
      </w:r>
    </w:p>
    <w:p w:rsidR="00C01C82" w:rsidRDefault="007B5CF4">
      <w:pPr>
        <w:spacing w:line="200" w:lineRule="atLeast"/>
        <w:jc w:val="center"/>
        <w:rPr>
          <w:color w:val="000000"/>
        </w:rPr>
      </w:pPr>
      <w:r>
        <w:rPr>
          <w:color w:val="000000"/>
        </w:rPr>
        <w:t xml:space="preserve"> </w:t>
      </w:r>
      <w:r>
        <w:rPr>
          <w:color w:val="000000"/>
          <w:vertAlign w:val="superscript"/>
        </w:rPr>
        <w:t>2</w:t>
      </w:r>
      <w:r>
        <w:rPr>
          <w:color w:val="000000"/>
        </w:rPr>
        <w:t xml:space="preserve">PMF, Kosovska Mitrovica, Univerzitet u Prištini, PMF, Kosovska Mitrovica, Srbija </w:t>
      </w:r>
    </w:p>
    <w:p w:rsidR="00C01C82" w:rsidRDefault="007B5CF4">
      <w:pPr>
        <w:spacing w:line="200" w:lineRule="atLeast"/>
        <w:jc w:val="center"/>
        <w:rPr>
          <w:color w:val="000000"/>
        </w:rPr>
      </w:pPr>
      <w:r>
        <w:rPr>
          <w:color w:val="000000"/>
          <w:vertAlign w:val="superscript"/>
        </w:rPr>
        <w:t>3</w:t>
      </w:r>
      <w:r>
        <w:rPr>
          <w:color w:val="000000"/>
        </w:rPr>
        <w:t>Gumarska industrija Novi Sad, GUMINS, Srbija</w:t>
      </w:r>
    </w:p>
    <w:p w:rsidR="00C01C82" w:rsidRDefault="007B5CF4" w:rsidP="00E83DD3">
      <w:pPr>
        <w:spacing w:line="200" w:lineRule="atLeast"/>
        <w:jc w:val="center"/>
        <w:rPr>
          <w:color w:val="000000"/>
        </w:rPr>
      </w:pPr>
      <w:r>
        <w:rPr>
          <w:color w:val="000000"/>
          <w:vertAlign w:val="superscript"/>
        </w:rPr>
        <w:t>24</w:t>
      </w:r>
      <w:r>
        <w:rPr>
          <w:color w:val="000000"/>
        </w:rPr>
        <w:t xml:space="preserve">Tehnološki fakultet Zvornik, Univerzitet Istočno Sarajevo, B&amp;H </w:t>
      </w:r>
    </w:p>
    <w:p w:rsidR="00C01C82" w:rsidRDefault="00C01C82">
      <w:pPr>
        <w:spacing w:line="200" w:lineRule="atLeast"/>
        <w:jc w:val="center"/>
        <w:rPr>
          <w:b/>
          <w:i/>
        </w:rPr>
      </w:pPr>
    </w:p>
    <w:p w:rsidR="005C781E" w:rsidRDefault="005C781E">
      <w:pPr>
        <w:spacing w:line="200" w:lineRule="atLeast"/>
        <w:jc w:val="center"/>
        <w:rPr>
          <w:b/>
          <w:i/>
        </w:rPr>
      </w:pPr>
    </w:p>
    <w:p w:rsidR="00C01C82" w:rsidRPr="005C781E" w:rsidRDefault="00613DB1">
      <w:pPr>
        <w:spacing w:line="200" w:lineRule="atLeast"/>
        <w:jc w:val="center"/>
        <w:rPr>
          <w:b/>
          <w:color w:val="000000"/>
          <w:sz w:val="20"/>
          <w:szCs w:val="20"/>
        </w:rPr>
      </w:pPr>
      <w:r w:rsidRPr="005C781E">
        <w:rPr>
          <w:b/>
          <w:color w:val="000000"/>
          <w:sz w:val="20"/>
          <w:szCs w:val="20"/>
        </w:rPr>
        <w:t>Sažetak</w:t>
      </w:r>
    </w:p>
    <w:p w:rsidR="00C01C82" w:rsidRPr="005C781E" w:rsidRDefault="00C01C82">
      <w:pPr>
        <w:spacing w:line="200" w:lineRule="atLeast"/>
        <w:jc w:val="center"/>
        <w:rPr>
          <w:b/>
          <w:color w:val="000000"/>
          <w:sz w:val="20"/>
          <w:szCs w:val="20"/>
        </w:rPr>
      </w:pPr>
    </w:p>
    <w:p w:rsidR="00C01C82" w:rsidRPr="005C781E" w:rsidRDefault="006C62BA">
      <w:pPr>
        <w:jc w:val="both"/>
        <w:rPr>
          <w:sz w:val="20"/>
          <w:szCs w:val="20"/>
        </w:rPr>
      </w:pPr>
      <w:r w:rsidRPr="005C781E">
        <w:rPr>
          <w:rFonts w:eastAsia="Calibri" w:cs="Calibri"/>
          <w:color w:val="000000"/>
          <w:sz w:val="20"/>
          <w:szCs w:val="20"/>
        </w:rPr>
        <w:t xml:space="preserve">    </w:t>
      </w:r>
      <w:r w:rsidR="007B5CF4" w:rsidRPr="005C781E">
        <w:rPr>
          <w:rFonts w:eastAsia="Calibri" w:cs="Calibri"/>
          <w:color w:val="000000"/>
          <w:sz w:val="20"/>
          <w:szCs w:val="20"/>
        </w:rPr>
        <w:t>Pri projektovanju</w:t>
      </w:r>
      <w:r w:rsidR="005C781E" w:rsidRPr="005C781E">
        <w:rPr>
          <w:rFonts w:eastAsia="Calibri" w:cs="Calibri"/>
          <w:color w:val="000000"/>
          <w:sz w:val="20"/>
          <w:szCs w:val="20"/>
        </w:rPr>
        <w:t xml:space="preserve"> </w:t>
      </w:r>
      <w:r w:rsidR="007B5CF4" w:rsidRPr="005C781E">
        <w:rPr>
          <w:rFonts w:eastAsia="Calibri" w:cs="Calibri"/>
          <w:color w:val="000000"/>
          <w:sz w:val="20"/>
          <w:szCs w:val="20"/>
        </w:rPr>
        <w:t xml:space="preserve">sirovinskog sastava elastomera, veoma je bitno izvršiti takav izbor polaznih prekursora koji će nakon procesa umrežavanja dati materijal za specifične uslove eksploatacije. </w:t>
      </w:r>
      <w:r w:rsidR="007B5CF4" w:rsidRPr="005C781E">
        <w:rPr>
          <w:color w:val="000000"/>
          <w:sz w:val="20"/>
          <w:szCs w:val="20"/>
        </w:rPr>
        <w:t xml:space="preserve">Ovaj rad proučava uticaj tipova ulja na toplotnu postojanost elastomernih materijala. Kao prekursori mreža korišćeni su: etilen-propilen-dien kaučuk (EPDM), akrilonitril-butadiene kaučuk (NBR), prirodni kaučuk (NR) i polieter-uretan kaučuk (EU).  Toplotna stabilnost uzoraka u atmosferi azota je određena primenom termogravimtrijske analize (TGA). </w:t>
      </w:r>
      <w:r w:rsidR="007B5CF4" w:rsidRPr="005C781E">
        <w:rPr>
          <w:sz w:val="20"/>
          <w:szCs w:val="20"/>
        </w:rPr>
        <w:t>Ustanovljeno je da dodatak ispitivanih ulja signifikantno utiče na promene fizičko-mehaničkih svojstava dobijenih elastomernih materijala.</w:t>
      </w:r>
    </w:p>
    <w:p w:rsidR="00C01C82" w:rsidRDefault="00C01C82">
      <w:pPr>
        <w:pStyle w:val="References"/>
        <w:tabs>
          <w:tab w:val="left" w:pos="0"/>
        </w:tabs>
        <w:ind w:left="0" w:firstLine="0"/>
        <w:rPr>
          <w:i/>
          <w:color w:val="auto"/>
          <w:lang w:val="en-US"/>
        </w:rPr>
      </w:pPr>
    </w:p>
    <w:p w:rsidR="00800C27" w:rsidRDefault="007B5CF4" w:rsidP="00F824C1">
      <w:pPr>
        <w:pStyle w:val="References"/>
        <w:tabs>
          <w:tab w:val="left" w:pos="0"/>
        </w:tabs>
        <w:ind w:left="0" w:firstLine="0"/>
        <w:rPr>
          <w:i/>
          <w:color w:val="auto"/>
          <w:lang w:val="en-US"/>
        </w:rPr>
      </w:pPr>
      <w:r>
        <w:rPr>
          <w:i/>
          <w:color w:val="auto"/>
          <w:lang w:val="en-US"/>
        </w:rPr>
        <w:t>Ključne riječi: elastomerni materijali, kaučuk, plastifikacija, polimerne mreže</w:t>
      </w:r>
    </w:p>
    <w:p w:rsidR="00C01C82" w:rsidRPr="00800C27" w:rsidRDefault="00F22AC9" w:rsidP="00F824C1">
      <w:pPr>
        <w:pStyle w:val="References"/>
        <w:tabs>
          <w:tab w:val="left" w:pos="0"/>
        </w:tabs>
        <w:ind w:left="0" w:firstLine="0"/>
        <w:rPr>
          <w:i/>
          <w:color w:val="auto"/>
          <w:lang w:val="en-US"/>
        </w:rPr>
      </w:pPr>
      <w:r w:rsidRPr="00F824C1">
        <w:rPr>
          <w:b/>
          <w:bCs/>
          <w:color w:val="auto"/>
          <w:sz w:val="22"/>
          <w:szCs w:val="22"/>
          <w:lang w:val="en-US"/>
        </w:rPr>
        <w:lastRenderedPageBreak/>
        <w:t>1. U</w:t>
      </w:r>
      <w:r w:rsidR="00800C27">
        <w:rPr>
          <w:b/>
          <w:bCs/>
          <w:color w:val="auto"/>
          <w:sz w:val="22"/>
          <w:szCs w:val="22"/>
          <w:lang w:val="en-US"/>
        </w:rPr>
        <w:t>VOD</w:t>
      </w:r>
    </w:p>
    <w:p w:rsidR="00C01C82" w:rsidRPr="00F824C1" w:rsidRDefault="00C01C82" w:rsidP="00F824C1">
      <w:pPr>
        <w:jc w:val="center"/>
        <w:rPr>
          <w:color w:val="000080"/>
          <w:sz w:val="22"/>
          <w:szCs w:val="22"/>
        </w:rPr>
      </w:pPr>
    </w:p>
    <w:p w:rsidR="00C01C82" w:rsidRPr="00F824C1" w:rsidRDefault="00916FB0" w:rsidP="00F824C1">
      <w:pPr>
        <w:jc w:val="both"/>
        <w:rPr>
          <w:color w:val="000000"/>
          <w:sz w:val="22"/>
          <w:szCs w:val="22"/>
        </w:rPr>
      </w:pPr>
      <w:r w:rsidRPr="00F824C1">
        <w:rPr>
          <w:rFonts w:cs="Calibri"/>
          <w:sz w:val="22"/>
          <w:szCs w:val="22"/>
          <w:lang w:val="sl-SI"/>
        </w:rPr>
        <w:t xml:space="preserve">    </w:t>
      </w:r>
      <w:r w:rsidR="007B5CF4" w:rsidRPr="00F824C1">
        <w:rPr>
          <w:rFonts w:cs="Calibri"/>
          <w:sz w:val="22"/>
          <w:szCs w:val="22"/>
          <w:lang w:val="sl-SI"/>
        </w:rPr>
        <w:t>Veliki izazov u industrijskoj praksi jeste proširivanje mogućnosti primene elastomernih</w:t>
      </w:r>
      <w:r w:rsidR="00F824C1" w:rsidRPr="00F824C1">
        <w:rPr>
          <w:rFonts w:cs="Calibri"/>
          <w:sz w:val="22"/>
          <w:szCs w:val="22"/>
          <w:lang w:val="sl-SI"/>
        </w:rPr>
        <w:t xml:space="preserve">   </w:t>
      </w:r>
      <w:r w:rsidR="007B5CF4" w:rsidRPr="00F824C1">
        <w:rPr>
          <w:rFonts w:cs="Calibri"/>
          <w:sz w:val="22"/>
          <w:szCs w:val="22"/>
          <w:lang w:val="sl-SI"/>
        </w:rPr>
        <w:t xml:space="preserve"> materijala. Neophodno je zadržati postojeća dobra svojstva, a poboljšati nezadovoljavajuća izmenom osnovnog sirovinskog sastava umrežavajućih sistema tj. kompaunda. </w:t>
      </w:r>
      <w:r w:rsidR="007B5CF4" w:rsidRPr="00F824C1">
        <w:rPr>
          <w:rFonts w:eastAsia="Calibri" w:cs="Calibri"/>
          <w:sz w:val="22"/>
          <w:szCs w:val="22"/>
        </w:rPr>
        <w:t xml:space="preserve">U toku procesa umrežavanja makromolekula, izborom vrste i količine komponenata dobijaju se materijali željene elastičnosti, mehaničkih i hemijskih karakteristika </w:t>
      </w:r>
      <w:r w:rsidR="007B5CF4" w:rsidRPr="00F824C1">
        <w:rPr>
          <w:sz w:val="22"/>
          <w:szCs w:val="22"/>
          <w:lang w:val="sl-SI"/>
        </w:rPr>
        <w:t>[1-4]</w:t>
      </w:r>
      <w:r w:rsidR="007B5CF4" w:rsidRPr="00F824C1">
        <w:rPr>
          <w:rFonts w:eastAsia="Calibri" w:cs="Calibri"/>
          <w:sz w:val="22"/>
          <w:szCs w:val="22"/>
        </w:rPr>
        <w:t>. Omekšivači su materije koje se dodaju u kompaunde da bi se smanjila temperatura umešavanja, olakšao proces u</w:t>
      </w:r>
      <w:r w:rsidR="007B5CF4" w:rsidRPr="00F824C1">
        <w:rPr>
          <w:rFonts w:eastAsia="Calibri" w:cs="Calibri"/>
          <w:color w:val="000000"/>
          <w:sz w:val="22"/>
          <w:szCs w:val="22"/>
        </w:rPr>
        <w:t xml:space="preserve">mešavanja i poboljšala disperzija praškastih punilaca. Ako se omekšivač doda u većim količinama negativno utiče na svojstva umreženog materijala pa se optimalna količina određuju ponaosob za svaki tip kaučuka. Veliki broj omekšivača (parafini, stearini, bitumeni i dr.) plastifikuje smeše u toku prerade i utiče na mekoću samog proizvoda. </w:t>
      </w:r>
      <w:r w:rsidR="007B5CF4" w:rsidRPr="00F824C1">
        <w:rPr>
          <w:color w:val="000000"/>
          <w:sz w:val="22"/>
          <w:szCs w:val="22"/>
        </w:rPr>
        <w:t>Fizičko-hemijske promene koje nastaja u elastomerima dodavanjem omekšiva</w:t>
      </w:r>
      <w:r w:rsidR="007B5CF4" w:rsidRPr="00F824C1">
        <w:rPr>
          <w:color w:val="000000"/>
          <w:sz w:val="22"/>
          <w:szCs w:val="22"/>
        </w:rPr>
        <w:softHyphen/>
        <w:t>ča, objašnjavaju se kao rezultat uzajamnog fizičko-hemijskog dejstva omekšivača sa kaučukovim ugljovodonikom i nekim komponentama umrežavajućeg sistema (sumpor, ubrzivači i sl.). Umreženi materijali</w:t>
      </w:r>
      <w:r w:rsidR="007B5CF4" w:rsidRPr="00F824C1">
        <w:rPr>
          <w:rFonts w:cs="Calibri"/>
          <w:color w:val="000000"/>
          <w:sz w:val="22"/>
          <w:szCs w:val="22"/>
          <w:lang w:val="sl-SI"/>
        </w:rPr>
        <w:t xml:space="preserve">  mogu da apsorbuju ve</w:t>
      </w:r>
      <w:r w:rsidR="007B5CF4" w:rsidRPr="00F824C1">
        <w:rPr>
          <w:rFonts w:cs="Calibri"/>
          <w:color w:val="000000"/>
          <w:sz w:val="22"/>
          <w:szCs w:val="22"/>
          <w:lang w:val="sl-SI"/>
        </w:rPr>
        <w:softHyphen/>
        <w:t>like količine rastvarača tj. da bubre. Tom prilikom, omekšivač prodire među makromolekule kaučuka, čime slabe međumulekulske sile lančanih molekula, što omogućava i veću pokretljivost krajeva lanaca. Pri tome, neophodan uslov je kompatibilnost omekšivača sa prekursorom mreža što je uslovljeno nje</w:t>
      </w:r>
      <w:r w:rsidR="007B5CF4" w:rsidRPr="00F824C1">
        <w:rPr>
          <w:rFonts w:cs="Calibri"/>
          <w:color w:val="000000"/>
          <w:sz w:val="22"/>
          <w:szCs w:val="22"/>
          <w:lang w:val="sl-SI"/>
        </w:rPr>
        <w:softHyphen/>
        <w:t>govom polarnošću. Nepolarni omekšivači koji imaju ograničenu kompatibilnost sa kaučukom, imaju značajnu ulogu pri mešanju smeša zbog smanjenja lepljivosti na površini uređaja za mešanje, kalandriranje i brizganje. Ponašanje polarnih i nepolarnih kaučuka prema omekšivačima zavisi od stepe</w:t>
      </w:r>
      <w:r w:rsidR="007B5CF4" w:rsidRPr="00F824C1">
        <w:rPr>
          <w:rFonts w:cs="Calibri"/>
          <w:color w:val="000000"/>
          <w:sz w:val="22"/>
          <w:szCs w:val="22"/>
          <w:lang w:val="sl-SI"/>
        </w:rPr>
        <w:softHyphen/>
        <w:t>na polarnosti samih omekšivača. Ako je uvedeni omekšivač polaran ili lako polarizujući i njegova količina srazmerno mala (do 15% od mase prekursora mreže), smanjenje tempe</w:t>
      </w:r>
      <w:r w:rsidR="007B5CF4" w:rsidRPr="00F824C1">
        <w:rPr>
          <w:rFonts w:cs="Calibri"/>
          <w:color w:val="000000"/>
          <w:sz w:val="22"/>
          <w:szCs w:val="22"/>
          <w:lang w:val="sl-SI"/>
        </w:rPr>
        <w:softHyphen/>
        <w:t>rature prelaza u staklasto stanje kod elastomera na osnovu polarnih kaučuka proporcionalno je molskoj koncen</w:t>
      </w:r>
      <w:r w:rsidR="007B5CF4" w:rsidRPr="00F824C1">
        <w:rPr>
          <w:rFonts w:cs="Calibri"/>
          <w:color w:val="000000"/>
          <w:sz w:val="22"/>
          <w:szCs w:val="22"/>
          <w:lang w:val="sl-SI"/>
        </w:rPr>
        <w:softHyphen/>
        <w:t>traciji omekšivača. Sniženje temperature prelaza u staklasto stanje je rezultat uzajamnog dejstva polarnih molekula omekšivača sa polarnim grupama kaučuka. Kod nepolarnih kaučuka, reagujuća mesta njegovih lanaca hemijski su ravnomernija. Znači ukoliko je apsorpcija molekula omekšivača veća, utoliko se veći deo lanca kaučuka isključuje iz uzajamnog dejstva susednih lanaca polimera. Za izbor omekšivača važni su sledeći faktori: veličina i oblik molekula omekšivača, kompatibilnost sa prekursorima mreža, tj. sposobnost da prodru u strukturu makromolekula kaučuka u širokom temperaturnom intervalu, što zavisi od njihove polarnosti i procenjuje se na osnovu vrednosti stepena bubrenja umreženog materiala kao i hemijskom i toplotnom stabilnošću u svim fazama procesa dobijanja gume. Danas se od omekšivača zahteva da u fazi prerade na temperaturama na pri</w:t>
      </w:r>
      <w:r w:rsidR="007B5CF4" w:rsidRPr="00F824C1">
        <w:rPr>
          <w:rFonts w:cs="Calibri"/>
          <w:color w:val="000000"/>
          <w:sz w:val="22"/>
          <w:szCs w:val="22"/>
          <w:lang w:val="sl-SI"/>
        </w:rPr>
        <w:softHyphen/>
        <w:t>mer 100</w:t>
      </w:r>
      <w:r w:rsidR="007B5CF4" w:rsidRPr="00F824C1">
        <w:rPr>
          <w:rFonts w:cs="Calibri"/>
          <w:color w:val="000000"/>
          <w:sz w:val="22"/>
          <w:szCs w:val="22"/>
          <w:vertAlign w:val="superscript"/>
          <w:lang w:val="sl-SI"/>
        </w:rPr>
        <w:t>o</w:t>
      </w:r>
      <w:r w:rsidR="007B5CF4" w:rsidRPr="00F824C1">
        <w:rPr>
          <w:rFonts w:cs="Calibri"/>
          <w:color w:val="000000"/>
          <w:sz w:val="22"/>
          <w:szCs w:val="22"/>
          <w:lang w:val="sl-SI"/>
        </w:rPr>
        <w:t>C, ostanu viskozni. Kod izbora procesnih ulja treba uzeti u obzir da li je prekursor mreže zasićen, pa se tada preporučuju parafinska i naftenska ulja. Bolja fizičko-mehanička svojstva elastomerima daju ulja veće viskoznosti. Ulja niže viskoznosti koriste se za umrežavajuće sisteme sa nižom plastičnošću, što se koristi kod izrade sunđerastih proizvoda. Parafinska ulja niske viskoznosti daju proizvode sa najnižom odbojnom elastičnošću. Kod umrežavanja peroksidima treba koristiti isključivo parafinsko ulje. Cilj ovog rada je bio da</w:t>
      </w:r>
      <w:r w:rsidR="007B5CF4" w:rsidRPr="00F824C1">
        <w:rPr>
          <w:color w:val="000000"/>
          <w:sz w:val="22"/>
          <w:szCs w:val="22"/>
        </w:rPr>
        <w:t xml:space="preserve"> ispita uticaj različitih tipova ulja na toplotnu postojanost ojačanih elastomernih materijala dobijenih od različitih prekursora mreža primenom termogravimtrijske analize (TGA) u atmosferi azota.</w:t>
      </w:r>
    </w:p>
    <w:p w:rsidR="00C01C82" w:rsidRDefault="00C01C82" w:rsidP="00F824C1">
      <w:pPr>
        <w:jc w:val="both"/>
        <w:rPr>
          <w:color w:val="000000"/>
          <w:sz w:val="22"/>
          <w:szCs w:val="22"/>
        </w:rPr>
      </w:pPr>
    </w:p>
    <w:p w:rsidR="00800C27" w:rsidRPr="00F824C1" w:rsidRDefault="00800C27" w:rsidP="00F824C1">
      <w:pPr>
        <w:jc w:val="both"/>
        <w:rPr>
          <w:color w:val="000000"/>
          <w:sz w:val="22"/>
          <w:szCs w:val="22"/>
        </w:rPr>
      </w:pPr>
    </w:p>
    <w:p w:rsidR="00C01C82" w:rsidRDefault="00800C27" w:rsidP="00F824C1">
      <w:pPr>
        <w:jc w:val="center"/>
        <w:rPr>
          <w:rFonts w:eastAsia="Calibri" w:cs="Calibri"/>
          <w:b/>
          <w:color w:val="000000"/>
          <w:sz w:val="22"/>
          <w:szCs w:val="22"/>
          <w:lang w:val="sr-Latn-CS"/>
        </w:rPr>
      </w:pPr>
      <w:r>
        <w:rPr>
          <w:rFonts w:eastAsia="Calibri" w:cs="Calibri"/>
          <w:b/>
          <w:color w:val="000000"/>
          <w:sz w:val="22"/>
          <w:szCs w:val="22"/>
          <w:lang w:val="sr-Latn-CS"/>
        </w:rPr>
        <w:t>2. EKSPERIMENTALNI DEO</w:t>
      </w:r>
    </w:p>
    <w:p w:rsidR="00800C27" w:rsidRPr="00F824C1" w:rsidRDefault="00800C27" w:rsidP="00F824C1">
      <w:pPr>
        <w:jc w:val="center"/>
        <w:rPr>
          <w:rFonts w:eastAsia="Calibri" w:cs="Calibri"/>
          <w:b/>
          <w:color w:val="000000"/>
          <w:sz w:val="22"/>
          <w:szCs w:val="22"/>
          <w:lang w:val="sr-Latn-CS"/>
        </w:rPr>
      </w:pPr>
    </w:p>
    <w:p w:rsidR="00C01C82" w:rsidRPr="00C15CB5" w:rsidRDefault="007B5CF4" w:rsidP="00F824C1">
      <w:pPr>
        <w:jc w:val="center"/>
        <w:rPr>
          <w:rFonts w:eastAsia="Calibri" w:cs="Calibri"/>
          <w:iCs/>
          <w:color w:val="000000"/>
          <w:sz w:val="22"/>
          <w:szCs w:val="22"/>
          <w:lang w:val="sr-Latn-CS"/>
        </w:rPr>
      </w:pPr>
      <w:r w:rsidRPr="00F56EF4">
        <w:rPr>
          <w:rFonts w:eastAsia="Calibri" w:cs="Calibri"/>
          <w:iCs/>
          <w:color w:val="000000"/>
          <w:sz w:val="22"/>
          <w:szCs w:val="22"/>
          <w:lang w:val="sr-Latn-CS"/>
        </w:rPr>
        <w:t>2.1</w:t>
      </w:r>
      <w:r w:rsidRPr="00F824C1">
        <w:rPr>
          <w:rFonts w:eastAsia="Calibri" w:cs="Calibri"/>
          <w:i/>
          <w:iCs/>
          <w:color w:val="000000"/>
          <w:sz w:val="22"/>
          <w:szCs w:val="22"/>
          <w:lang w:val="sr-Latn-CS"/>
        </w:rPr>
        <w:t xml:space="preserve"> </w:t>
      </w:r>
      <w:r w:rsidRPr="00C15CB5">
        <w:rPr>
          <w:rFonts w:eastAsia="Calibri" w:cs="Calibri"/>
          <w:iCs/>
          <w:color w:val="000000"/>
          <w:sz w:val="22"/>
          <w:szCs w:val="22"/>
          <w:lang w:val="sr-Latn-CS"/>
        </w:rPr>
        <w:t>Materijali</w:t>
      </w:r>
    </w:p>
    <w:p w:rsidR="00C01C82" w:rsidRPr="00F824C1" w:rsidRDefault="00C01C82" w:rsidP="00F824C1">
      <w:pPr>
        <w:jc w:val="center"/>
        <w:rPr>
          <w:i/>
          <w:iCs/>
          <w:color w:val="000000"/>
          <w:sz w:val="22"/>
          <w:szCs w:val="22"/>
        </w:rPr>
      </w:pPr>
    </w:p>
    <w:p w:rsidR="00C01C82" w:rsidRPr="00F824C1" w:rsidRDefault="00BB416A" w:rsidP="00F824C1">
      <w:pPr>
        <w:jc w:val="both"/>
        <w:rPr>
          <w:rFonts w:cs="Calibri"/>
          <w:color w:val="000000"/>
          <w:sz w:val="22"/>
          <w:szCs w:val="22"/>
        </w:rPr>
      </w:pPr>
      <w:r>
        <w:rPr>
          <w:rFonts w:cs="Calibri"/>
          <w:color w:val="000000"/>
          <w:sz w:val="22"/>
          <w:szCs w:val="22"/>
        </w:rPr>
        <w:t xml:space="preserve">    </w:t>
      </w:r>
      <w:r w:rsidR="007B5CF4" w:rsidRPr="00F824C1">
        <w:rPr>
          <w:rFonts w:cs="Calibri"/>
          <w:color w:val="000000"/>
          <w:sz w:val="22"/>
          <w:szCs w:val="22"/>
        </w:rPr>
        <w:t xml:space="preserve">Korišćeni su akrilonitrilbuta-diendski kaučuk (NBR Kraynac 34-50, proizvođač Polysar), polieter-uretan kaučuk EU (Urepan 50 EL06H, proizvođač Rhein Chemie), </w:t>
      </w:r>
      <w:r w:rsidR="007B5CF4" w:rsidRPr="00F824C1">
        <w:rPr>
          <w:color w:val="000000"/>
          <w:sz w:val="22"/>
          <w:szCs w:val="22"/>
        </w:rPr>
        <w:t xml:space="preserve">etilen-propilen-dien kaučuk </w:t>
      </w:r>
      <w:r w:rsidR="007B5CF4" w:rsidRPr="00F824C1">
        <w:rPr>
          <w:rFonts w:cs="Calibri"/>
          <w:color w:val="000000"/>
          <w:sz w:val="22"/>
          <w:szCs w:val="22"/>
        </w:rPr>
        <w:t>EPDM (proizvođač Triveni Chemicals), prirodni kaučuk NR (SMR 10/SMR 20, proizvođač Mardec Processing). Kao umrežavajuće sredstvo je korišćen elementarni sumpor S</w:t>
      </w:r>
      <w:r w:rsidR="007B5CF4" w:rsidRPr="00F824C1">
        <w:rPr>
          <w:rFonts w:cs="Calibri"/>
          <w:color w:val="000000"/>
          <w:sz w:val="22"/>
          <w:szCs w:val="22"/>
          <w:vertAlign w:val="subscript"/>
        </w:rPr>
        <w:t>8</w:t>
      </w:r>
      <w:r w:rsidR="007B5CF4" w:rsidRPr="00F824C1">
        <w:rPr>
          <w:rFonts w:cs="Calibri"/>
          <w:color w:val="000000"/>
          <w:sz w:val="22"/>
          <w:szCs w:val="22"/>
        </w:rPr>
        <w:t xml:space="preserve"> u obliku granulata. Merkaptobenzotiazol i dibenzotiazol-disulfid su korišćeni kao ubrzivači. Cink oksid u kombinaciji sa stearinskom kiselinom je korišćen kao aktivator umrežavanja. Kao punilo korišćena je </w:t>
      </w:r>
      <w:r w:rsidR="007B5CF4" w:rsidRPr="00F824C1">
        <w:rPr>
          <w:rFonts w:eastAsia="Calibri" w:cs="Calibri"/>
          <w:color w:val="000000"/>
          <w:sz w:val="22"/>
          <w:szCs w:val="22"/>
          <w:lang w:val="sr-Latn-CS"/>
        </w:rPr>
        <w:t>čađ CB N550 proizvođača Deggusa</w:t>
      </w:r>
      <w:r w:rsidR="007B5CF4" w:rsidRPr="00F824C1">
        <w:rPr>
          <w:rFonts w:eastAsia="Calibri" w:cs="Calibri"/>
          <w:b/>
          <w:color w:val="000000"/>
          <w:sz w:val="22"/>
          <w:szCs w:val="22"/>
          <w:lang w:val="sr-Latn-CS"/>
        </w:rPr>
        <w:t xml:space="preserve">, </w:t>
      </w:r>
      <w:r w:rsidR="007B5CF4" w:rsidRPr="00F824C1">
        <w:rPr>
          <w:rFonts w:eastAsia="Calibri" w:cs="Calibri"/>
          <w:color w:val="000000"/>
          <w:sz w:val="22"/>
          <w:szCs w:val="22"/>
          <w:lang w:val="sr-Latn-CS"/>
        </w:rPr>
        <w:t>veličina čestica 40 nm) dok je za materijale na osnovu NR i EPDM istovremeno dodavan i SiO</w:t>
      </w:r>
      <w:r w:rsidR="007B5CF4" w:rsidRPr="00F824C1">
        <w:rPr>
          <w:rFonts w:eastAsia="Calibri" w:cs="Calibri"/>
          <w:color w:val="000000"/>
          <w:sz w:val="22"/>
          <w:szCs w:val="22"/>
          <w:vertAlign w:val="subscript"/>
          <w:lang w:val="sr-Latn-CS"/>
        </w:rPr>
        <w:t>2</w:t>
      </w:r>
      <w:r w:rsidR="007B5CF4" w:rsidRPr="00F824C1">
        <w:rPr>
          <w:rFonts w:eastAsia="Calibri" w:cs="Calibri"/>
          <w:color w:val="000000"/>
          <w:sz w:val="22"/>
          <w:szCs w:val="22"/>
          <w:lang w:val="sr-Latn-CS"/>
        </w:rPr>
        <w:t xml:space="preserve">. </w:t>
      </w:r>
      <w:r w:rsidR="007B5CF4" w:rsidRPr="00F824C1">
        <w:rPr>
          <w:rFonts w:cs="Calibri"/>
          <w:color w:val="000000"/>
          <w:sz w:val="22"/>
          <w:szCs w:val="22"/>
        </w:rPr>
        <w:t xml:space="preserve"> Kao plastifikatori dodavani su</w:t>
      </w:r>
      <w:r w:rsidR="007B5CF4" w:rsidRPr="00F824C1">
        <w:rPr>
          <w:color w:val="000000"/>
          <w:sz w:val="22"/>
          <w:szCs w:val="22"/>
        </w:rPr>
        <w:t>:</w:t>
      </w:r>
      <w:r w:rsidR="007B5CF4" w:rsidRPr="00F824C1">
        <w:rPr>
          <w:rFonts w:cs="Calibri"/>
          <w:color w:val="000000"/>
          <w:sz w:val="22"/>
          <w:szCs w:val="22"/>
        </w:rPr>
        <w:t xml:space="preserve"> mineralno ulje (gustina na 20</w:t>
      </w:r>
      <w:r w:rsidR="007B5CF4" w:rsidRPr="00F824C1">
        <w:rPr>
          <w:rFonts w:cs="Calibri"/>
          <w:color w:val="000000"/>
          <w:sz w:val="22"/>
          <w:szCs w:val="22"/>
          <w:vertAlign w:val="superscript"/>
        </w:rPr>
        <w:t>o</w:t>
      </w:r>
      <w:r w:rsidR="007B5CF4" w:rsidRPr="00F824C1">
        <w:rPr>
          <w:rFonts w:cs="Calibri"/>
          <w:color w:val="000000"/>
          <w:sz w:val="22"/>
          <w:szCs w:val="22"/>
        </w:rPr>
        <w:t>C 0.89 g cm</w:t>
      </w:r>
      <w:r w:rsidR="007B5CF4" w:rsidRPr="00F824C1">
        <w:rPr>
          <w:rFonts w:cs="Calibri"/>
          <w:color w:val="000000"/>
          <w:sz w:val="22"/>
          <w:szCs w:val="22"/>
          <w:vertAlign w:val="superscript"/>
        </w:rPr>
        <w:t>3</w:t>
      </w:r>
      <w:r w:rsidR="007B5CF4" w:rsidRPr="00F824C1">
        <w:rPr>
          <w:rFonts w:cs="Calibri"/>
          <w:color w:val="000000"/>
          <w:sz w:val="22"/>
          <w:szCs w:val="22"/>
        </w:rPr>
        <w:t xml:space="preserve"> (ASTM-D 1298), viskoznost na 40</w:t>
      </w:r>
      <w:r w:rsidR="007B5CF4" w:rsidRPr="00F824C1">
        <w:rPr>
          <w:rFonts w:cs="Calibri"/>
          <w:color w:val="000000"/>
          <w:sz w:val="22"/>
          <w:szCs w:val="22"/>
          <w:vertAlign w:val="superscript"/>
        </w:rPr>
        <w:t>o</w:t>
      </w:r>
      <w:r w:rsidR="007B5CF4" w:rsidRPr="00F824C1">
        <w:rPr>
          <w:rFonts w:cs="Calibri"/>
          <w:color w:val="000000"/>
          <w:sz w:val="22"/>
          <w:szCs w:val="22"/>
        </w:rPr>
        <w:t>C 320 mm</w:t>
      </w:r>
      <w:r w:rsidR="007B5CF4" w:rsidRPr="00F824C1">
        <w:rPr>
          <w:rFonts w:cs="Calibri"/>
          <w:color w:val="000000"/>
          <w:sz w:val="22"/>
          <w:szCs w:val="22"/>
          <w:vertAlign w:val="superscript"/>
        </w:rPr>
        <w:t>2</w:t>
      </w:r>
      <w:r w:rsidR="007B5CF4" w:rsidRPr="00F824C1">
        <w:rPr>
          <w:rFonts w:cs="Calibri"/>
          <w:color w:val="000000"/>
          <w:sz w:val="22"/>
          <w:szCs w:val="22"/>
        </w:rPr>
        <w:t xml:space="preserve"> s</w:t>
      </w:r>
      <w:r w:rsidR="007B5CF4" w:rsidRPr="00F824C1">
        <w:rPr>
          <w:rFonts w:cs="Calibri"/>
          <w:color w:val="000000"/>
          <w:sz w:val="22"/>
          <w:szCs w:val="22"/>
          <w:vertAlign w:val="superscript"/>
        </w:rPr>
        <w:t>–1</w:t>
      </w:r>
      <w:r w:rsidR="007B5CF4" w:rsidRPr="00F824C1">
        <w:rPr>
          <w:rFonts w:cs="Calibri"/>
          <w:color w:val="000000"/>
          <w:sz w:val="22"/>
          <w:szCs w:val="22"/>
        </w:rPr>
        <w:t xml:space="preserve"> , ASTM-D 445), procesno ulje sa većim sadržajem aromata (gustina na 20</w:t>
      </w:r>
      <w:r w:rsidR="007B5CF4" w:rsidRPr="00F824C1">
        <w:rPr>
          <w:rFonts w:cs="Calibri"/>
          <w:color w:val="000000"/>
          <w:sz w:val="22"/>
          <w:szCs w:val="22"/>
          <w:vertAlign w:val="superscript"/>
        </w:rPr>
        <w:t>o</w:t>
      </w:r>
      <w:r w:rsidR="007B5CF4" w:rsidRPr="00F824C1">
        <w:rPr>
          <w:rFonts w:cs="Calibri"/>
          <w:color w:val="000000"/>
          <w:sz w:val="22"/>
          <w:szCs w:val="22"/>
        </w:rPr>
        <w:t>C  0.928 g cm</w:t>
      </w:r>
      <w:r w:rsidR="007B5CF4" w:rsidRPr="00F824C1">
        <w:rPr>
          <w:rFonts w:cs="Calibri"/>
          <w:color w:val="000000"/>
          <w:sz w:val="22"/>
          <w:szCs w:val="22"/>
          <w:vertAlign w:val="superscript"/>
        </w:rPr>
        <w:t>3</w:t>
      </w:r>
      <w:r w:rsidR="007B5CF4" w:rsidRPr="00F824C1">
        <w:rPr>
          <w:rFonts w:cs="Calibri"/>
          <w:color w:val="000000"/>
          <w:sz w:val="22"/>
          <w:szCs w:val="22"/>
        </w:rPr>
        <w:t xml:space="preserve"> (ISO 12185), viskoznost na 100</w:t>
      </w:r>
      <w:r w:rsidR="007B5CF4" w:rsidRPr="00F824C1">
        <w:rPr>
          <w:rFonts w:cs="Calibri"/>
          <w:color w:val="000000"/>
          <w:sz w:val="22"/>
          <w:szCs w:val="22"/>
          <w:vertAlign w:val="superscript"/>
        </w:rPr>
        <w:t>o</w:t>
      </w:r>
      <w:r w:rsidR="007B5CF4" w:rsidRPr="00F824C1">
        <w:rPr>
          <w:rFonts w:cs="Calibri"/>
          <w:color w:val="000000"/>
          <w:sz w:val="22"/>
          <w:szCs w:val="22"/>
        </w:rPr>
        <w:t>C 25.08 mm</w:t>
      </w:r>
      <w:r w:rsidR="007B5CF4" w:rsidRPr="00F824C1">
        <w:rPr>
          <w:rFonts w:cs="Calibri"/>
          <w:color w:val="000000"/>
          <w:sz w:val="22"/>
          <w:szCs w:val="22"/>
          <w:vertAlign w:val="superscript"/>
        </w:rPr>
        <w:t>2</w:t>
      </w:r>
      <w:r w:rsidR="007B5CF4" w:rsidRPr="00F824C1">
        <w:rPr>
          <w:rFonts w:cs="Calibri"/>
          <w:color w:val="000000"/>
          <w:sz w:val="22"/>
          <w:szCs w:val="22"/>
        </w:rPr>
        <w:t xml:space="preserve"> s</w:t>
      </w:r>
      <w:r w:rsidR="007B5CF4" w:rsidRPr="00F824C1">
        <w:rPr>
          <w:rFonts w:cs="Calibri"/>
          <w:color w:val="000000"/>
          <w:sz w:val="22"/>
          <w:szCs w:val="22"/>
          <w:vertAlign w:val="superscript"/>
        </w:rPr>
        <w:t>–1</w:t>
      </w:r>
      <w:r w:rsidR="007B5CF4" w:rsidRPr="00F824C1">
        <w:rPr>
          <w:rFonts w:cs="Calibri"/>
          <w:color w:val="000000"/>
          <w:sz w:val="22"/>
          <w:szCs w:val="22"/>
        </w:rPr>
        <w:t xml:space="preserve"> (ASTM-D 445), proizvođača UniChem), dioktilftalatno ulje (kiselinski broj 0.02 mgKOH g</w:t>
      </w:r>
      <w:r w:rsidR="007B5CF4" w:rsidRPr="00F824C1">
        <w:rPr>
          <w:rFonts w:cs="Calibri"/>
          <w:color w:val="000000"/>
          <w:sz w:val="22"/>
          <w:szCs w:val="22"/>
          <w:vertAlign w:val="superscript"/>
        </w:rPr>
        <w:t>–1</w:t>
      </w:r>
      <w:r w:rsidR="007B5CF4" w:rsidRPr="00F824C1">
        <w:rPr>
          <w:rFonts w:cs="Calibri"/>
          <w:color w:val="000000"/>
          <w:sz w:val="22"/>
          <w:szCs w:val="22"/>
        </w:rPr>
        <w:t>, gustina na 20</w:t>
      </w:r>
      <w:r w:rsidR="007B5CF4" w:rsidRPr="00F824C1">
        <w:rPr>
          <w:rFonts w:cs="Calibri"/>
          <w:color w:val="000000"/>
          <w:sz w:val="22"/>
          <w:szCs w:val="22"/>
          <w:vertAlign w:val="superscript"/>
        </w:rPr>
        <w:t>o</w:t>
      </w:r>
      <w:r w:rsidR="007B5CF4" w:rsidRPr="00F824C1">
        <w:rPr>
          <w:rFonts w:cs="Calibri"/>
          <w:color w:val="000000"/>
          <w:sz w:val="22"/>
          <w:szCs w:val="22"/>
        </w:rPr>
        <w:t>C 0.9843 g cm</w:t>
      </w:r>
      <w:r w:rsidR="007B5CF4" w:rsidRPr="00F824C1">
        <w:rPr>
          <w:rFonts w:cs="Calibri"/>
          <w:color w:val="000000"/>
          <w:sz w:val="22"/>
          <w:szCs w:val="22"/>
          <w:vertAlign w:val="superscript"/>
        </w:rPr>
        <w:t>3</w:t>
      </w:r>
      <w:r w:rsidR="007B5CF4" w:rsidRPr="00F824C1">
        <w:rPr>
          <w:rFonts w:cs="Calibri"/>
          <w:color w:val="000000"/>
          <w:sz w:val="22"/>
          <w:szCs w:val="22"/>
        </w:rPr>
        <w:t>, viskoznost na 20</w:t>
      </w:r>
      <w:r w:rsidR="007B5CF4" w:rsidRPr="00F824C1">
        <w:rPr>
          <w:rFonts w:cs="Calibri"/>
          <w:color w:val="000000"/>
          <w:sz w:val="22"/>
          <w:szCs w:val="22"/>
          <w:vertAlign w:val="superscript"/>
        </w:rPr>
        <w:t>o</w:t>
      </w:r>
      <w:r w:rsidR="007B5CF4" w:rsidRPr="00F824C1">
        <w:rPr>
          <w:rFonts w:cs="Calibri"/>
          <w:color w:val="000000"/>
          <w:sz w:val="22"/>
          <w:szCs w:val="22"/>
        </w:rPr>
        <w:t>C 75 mm</w:t>
      </w:r>
      <w:r w:rsidR="007B5CF4" w:rsidRPr="00F824C1">
        <w:rPr>
          <w:rFonts w:cs="Calibri"/>
          <w:color w:val="000000"/>
          <w:sz w:val="22"/>
          <w:szCs w:val="22"/>
          <w:vertAlign w:val="superscript"/>
        </w:rPr>
        <w:t>2</w:t>
      </w:r>
      <w:r w:rsidR="007B5CF4" w:rsidRPr="00F824C1">
        <w:rPr>
          <w:rFonts w:cs="Calibri"/>
          <w:color w:val="000000"/>
          <w:sz w:val="22"/>
          <w:szCs w:val="22"/>
        </w:rPr>
        <w:t xml:space="preserve"> s</w:t>
      </w:r>
      <w:r w:rsidR="007B5CF4" w:rsidRPr="00F824C1">
        <w:rPr>
          <w:rFonts w:cs="Calibri"/>
          <w:color w:val="000000"/>
          <w:sz w:val="22"/>
          <w:szCs w:val="22"/>
          <w:vertAlign w:val="superscript"/>
        </w:rPr>
        <w:t>–1</w:t>
      </w:r>
      <w:r w:rsidR="007B5CF4" w:rsidRPr="00F824C1">
        <w:rPr>
          <w:rFonts w:cs="Calibri"/>
          <w:color w:val="000000"/>
          <w:sz w:val="22"/>
          <w:szCs w:val="22"/>
        </w:rPr>
        <w:t>, proizvođač Liquichem) za elastomere na osnovu NBR i EU i bazno ulje Gumiol (kiselinski broj 0.02 mgKOH g</w:t>
      </w:r>
      <w:r w:rsidR="007B5CF4" w:rsidRPr="00F824C1">
        <w:rPr>
          <w:rFonts w:cs="Calibri"/>
          <w:color w:val="000000"/>
          <w:sz w:val="22"/>
          <w:szCs w:val="22"/>
          <w:vertAlign w:val="superscript"/>
        </w:rPr>
        <w:t>–1</w:t>
      </w:r>
      <w:r w:rsidR="007B5CF4" w:rsidRPr="00F824C1">
        <w:rPr>
          <w:rFonts w:cs="Calibri"/>
          <w:color w:val="000000"/>
          <w:sz w:val="22"/>
          <w:szCs w:val="22"/>
        </w:rPr>
        <w:t>, gustina na 20</w:t>
      </w:r>
      <w:r w:rsidR="007B5CF4" w:rsidRPr="00F824C1">
        <w:rPr>
          <w:rFonts w:cs="Calibri"/>
          <w:color w:val="000000"/>
          <w:sz w:val="22"/>
          <w:szCs w:val="22"/>
          <w:vertAlign w:val="superscript"/>
        </w:rPr>
        <w:t>o</w:t>
      </w:r>
      <w:r w:rsidR="007B5CF4" w:rsidRPr="00F824C1">
        <w:rPr>
          <w:rFonts w:cs="Calibri"/>
          <w:color w:val="000000"/>
          <w:sz w:val="22"/>
          <w:szCs w:val="22"/>
        </w:rPr>
        <w:t>C 0.9180 g cm</w:t>
      </w:r>
      <w:r w:rsidR="007B5CF4" w:rsidRPr="00F824C1">
        <w:rPr>
          <w:rFonts w:cs="Calibri"/>
          <w:color w:val="000000"/>
          <w:sz w:val="22"/>
          <w:szCs w:val="22"/>
          <w:vertAlign w:val="superscript"/>
        </w:rPr>
        <w:t>3</w:t>
      </w:r>
      <w:r w:rsidR="007B5CF4" w:rsidRPr="00F824C1">
        <w:rPr>
          <w:rFonts w:cs="Calibri"/>
          <w:color w:val="000000"/>
          <w:sz w:val="22"/>
          <w:szCs w:val="22"/>
        </w:rPr>
        <w:t>, viskoznost na 20</w:t>
      </w:r>
      <w:r w:rsidR="007B5CF4" w:rsidRPr="00F824C1">
        <w:rPr>
          <w:rFonts w:cs="Calibri"/>
          <w:color w:val="000000"/>
          <w:sz w:val="22"/>
          <w:szCs w:val="22"/>
          <w:vertAlign w:val="superscript"/>
        </w:rPr>
        <w:t>o</w:t>
      </w:r>
      <w:r w:rsidR="007B5CF4" w:rsidRPr="00F824C1">
        <w:rPr>
          <w:rFonts w:cs="Calibri"/>
          <w:color w:val="000000"/>
          <w:sz w:val="22"/>
          <w:szCs w:val="22"/>
        </w:rPr>
        <w:t>C 120 mm</w:t>
      </w:r>
      <w:r w:rsidR="007B5CF4" w:rsidRPr="00F824C1">
        <w:rPr>
          <w:rFonts w:cs="Calibri"/>
          <w:color w:val="000000"/>
          <w:sz w:val="22"/>
          <w:szCs w:val="22"/>
          <w:vertAlign w:val="superscript"/>
        </w:rPr>
        <w:t>2</w:t>
      </w:r>
      <w:r w:rsidR="007B5CF4" w:rsidRPr="00F824C1">
        <w:rPr>
          <w:rFonts w:cs="Calibri"/>
          <w:color w:val="000000"/>
          <w:sz w:val="22"/>
          <w:szCs w:val="22"/>
        </w:rPr>
        <w:t xml:space="preserve"> s</w:t>
      </w:r>
      <w:r w:rsidR="007B5CF4" w:rsidRPr="00F824C1">
        <w:rPr>
          <w:rFonts w:cs="Calibri"/>
          <w:color w:val="000000"/>
          <w:sz w:val="22"/>
          <w:szCs w:val="22"/>
          <w:vertAlign w:val="superscript"/>
        </w:rPr>
        <w:t>–1</w:t>
      </w:r>
      <w:r w:rsidR="007B5CF4" w:rsidRPr="00F824C1">
        <w:rPr>
          <w:rFonts w:cs="Calibri"/>
          <w:color w:val="000000"/>
          <w:sz w:val="22"/>
          <w:szCs w:val="22"/>
        </w:rPr>
        <w:t>,proizvođača Adeco) za elastomere na osnovu EPDM i NR kaučuka.</w:t>
      </w:r>
      <w:r w:rsidR="007B5CF4" w:rsidRPr="00F824C1">
        <w:rPr>
          <w:rFonts w:cs="Calibri"/>
          <w:color w:val="000000"/>
          <w:sz w:val="22"/>
          <w:szCs w:val="22"/>
          <w:lang w:val="sl-SI"/>
        </w:rPr>
        <w:t xml:space="preserve">  </w:t>
      </w:r>
      <w:r w:rsidR="007B5CF4" w:rsidRPr="00F824C1">
        <w:rPr>
          <w:rFonts w:cs="Calibri"/>
          <w:color w:val="000000"/>
          <w:sz w:val="22"/>
          <w:szCs w:val="22"/>
        </w:rPr>
        <w:t>U tabeli 1 je dat sirovinaski sastav elastomera na osnovu različitih tipova prekursora mreža.</w:t>
      </w:r>
    </w:p>
    <w:p w:rsidR="00982DA6" w:rsidRPr="00F824C1" w:rsidRDefault="00982DA6" w:rsidP="00F824C1">
      <w:pPr>
        <w:jc w:val="center"/>
        <w:rPr>
          <w:rFonts w:cs="Calibri"/>
          <w:b/>
          <w:bCs/>
          <w:color w:val="000000"/>
          <w:sz w:val="22"/>
          <w:szCs w:val="22"/>
        </w:rPr>
      </w:pPr>
    </w:p>
    <w:p w:rsidR="00982DA6" w:rsidRPr="00F824C1" w:rsidRDefault="00982DA6" w:rsidP="00F56EF4">
      <w:pPr>
        <w:rPr>
          <w:rFonts w:cs="Calibri"/>
          <w:b/>
          <w:bCs/>
          <w:color w:val="000000"/>
          <w:sz w:val="22"/>
          <w:szCs w:val="22"/>
        </w:rPr>
      </w:pPr>
    </w:p>
    <w:p w:rsidR="00C01C82" w:rsidRPr="007D0A00" w:rsidRDefault="007B5CF4" w:rsidP="00F56EF4">
      <w:pPr>
        <w:jc w:val="right"/>
        <w:rPr>
          <w:b/>
          <w:bCs/>
          <w:color w:val="000000"/>
          <w:sz w:val="20"/>
          <w:szCs w:val="20"/>
        </w:rPr>
      </w:pPr>
      <w:r w:rsidRPr="007D0A00">
        <w:rPr>
          <w:b/>
          <w:bCs/>
          <w:color w:val="000000"/>
          <w:sz w:val="20"/>
          <w:szCs w:val="20"/>
        </w:rPr>
        <w:t>Tabela 1. Sirovinski sastav elastomera na osnovu različitih kaučuka kao prekursora mreža</w:t>
      </w:r>
    </w:p>
    <w:tbl>
      <w:tblPr>
        <w:tblW w:w="0" w:type="auto"/>
        <w:jc w:val="center"/>
        <w:tblLayout w:type="fixed"/>
        <w:tblLook w:val="0000"/>
      </w:tblPr>
      <w:tblGrid>
        <w:gridCol w:w="2666"/>
        <w:gridCol w:w="1546"/>
        <w:gridCol w:w="1553"/>
        <w:gridCol w:w="1553"/>
        <w:gridCol w:w="1518"/>
      </w:tblGrid>
      <w:tr w:rsidR="00C01C82" w:rsidRPr="00F824C1">
        <w:trPr>
          <w:trHeight w:val="454"/>
          <w:jc w:val="center"/>
        </w:trPr>
        <w:tc>
          <w:tcPr>
            <w:tcW w:w="2666" w:type="dxa"/>
            <w:tcBorders>
              <w:top w:val="single" w:sz="4" w:space="0" w:color="000000"/>
              <w:left w:val="single" w:sz="4" w:space="0" w:color="000000"/>
              <w:bottom w:val="single" w:sz="4" w:space="0" w:color="000000"/>
            </w:tcBorders>
            <w:vAlign w:val="center"/>
          </w:tcPr>
          <w:p w:rsidR="00C01C82" w:rsidRPr="00F824C1" w:rsidRDefault="00C01C82" w:rsidP="00F824C1">
            <w:pPr>
              <w:snapToGrid w:val="0"/>
              <w:rPr>
                <w:rFonts w:cs="Calibri"/>
                <w:color w:val="000000"/>
                <w:sz w:val="22"/>
                <w:szCs w:val="22"/>
              </w:rPr>
            </w:pPr>
          </w:p>
        </w:tc>
        <w:tc>
          <w:tcPr>
            <w:tcW w:w="1546" w:type="dxa"/>
            <w:tcBorders>
              <w:top w:val="single" w:sz="4" w:space="0" w:color="000000"/>
              <w:left w:val="single" w:sz="4" w:space="0" w:color="000000"/>
              <w:bottom w:val="single" w:sz="4" w:space="0" w:color="000000"/>
            </w:tcBorders>
            <w:vAlign w:val="center"/>
          </w:tcPr>
          <w:p w:rsidR="00C01C82" w:rsidRPr="00F824C1" w:rsidRDefault="007B5CF4" w:rsidP="00F824C1">
            <w:pPr>
              <w:snapToGrid w:val="0"/>
              <w:jc w:val="center"/>
              <w:rPr>
                <w:rFonts w:cs="Calibri"/>
                <w:color w:val="000000"/>
                <w:sz w:val="22"/>
                <w:szCs w:val="22"/>
              </w:rPr>
            </w:pPr>
            <w:r w:rsidRPr="00F824C1">
              <w:rPr>
                <w:rFonts w:cs="Calibri"/>
                <w:color w:val="000000"/>
                <w:sz w:val="22"/>
                <w:szCs w:val="22"/>
              </w:rPr>
              <w:t>EPDM</w:t>
            </w:r>
          </w:p>
        </w:tc>
        <w:tc>
          <w:tcPr>
            <w:tcW w:w="1553" w:type="dxa"/>
            <w:tcBorders>
              <w:top w:val="single" w:sz="4" w:space="0" w:color="000000"/>
              <w:left w:val="single" w:sz="4" w:space="0" w:color="000000"/>
              <w:bottom w:val="single" w:sz="4" w:space="0" w:color="000000"/>
            </w:tcBorders>
            <w:vAlign w:val="center"/>
          </w:tcPr>
          <w:p w:rsidR="00C01C82" w:rsidRPr="00F824C1" w:rsidRDefault="007B5CF4" w:rsidP="00F824C1">
            <w:pPr>
              <w:snapToGrid w:val="0"/>
              <w:jc w:val="center"/>
              <w:rPr>
                <w:rFonts w:cs="Calibri"/>
                <w:color w:val="000000"/>
                <w:sz w:val="22"/>
                <w:szCs w:val="22"/>
              </w:rPr>
            </w:pPr>
            <w:r w:rsidRPr="00F824C1">
              <w:rPr>
                <w:rFonts w:cs="Calibri"/>
                <w:color w:val="000000"/>
                <w:sz w:val="22"/>
                <w:szCs w:val="22"/>
              </w:rPr>
              <w:t>EU</w:t>
            </w:r>
          </w:p>
        </w:tc>
        <w:tc>
          <w:tcPr>
            <w:tcW w:w="1553" w:type="dxa"/>
            <w:tcBorders>
              <w:top w:val="single" w:sz="4" w:space="0" w:color="000000"/>
              <w:left w:val="single" w:sz="4" w:space="0" w:color="000000"/>
              <w:bottom w:val="single" w:sz="4" w:space="0" w:color="000000"/>
            </w:tcBorders>
            <w:vAlign w:val="center"/>
          </w:tcPr>
          <w:p w:rsidR="00C01C82" w:rsidRPr="00F824C1" w:rsidRDefault="007B5CF4" w:rsidP="00F824C1">
            <w:pPr>
              <w:snapToGrid w:val="0"/>
              <w:jc w:val="center"/>
              <w:rPr>
                <w:rFonts w:cs="Calibri"/>
                <w:color w:val="000000"/>
                <w:sz w:val="22"/>
                <w:szCs w:val="22"/>
              </w:rPr>
            </w:pPr>
            <w:r w:rsidRPr="00F824C1">
              <w:rPr>
                <w:rFonts w:cs="Calibri"/>
                <w:color w:val="000000"/>
                <w:sz w:val="22"/>
                <w:szCs w:val="22"/>
              </w:rPr>
              <w:t>NBR</w:t>
            </w:r>
          </w:p>
        </w:tc>
        <w:tc>
          <w:tcPr>
            <w:tcW w:w="1518" w:type="dxa"/>
            <w:tcBorders>
              <w:top w:val="single" w:sz="4" w:space="0" w:color="000000"/>
              <w:left w:val="single" w:sz="4" w:space="0" w:color="000000"/>
              <w:bottom w:val="single" w:sz="4" w:space="0" w:color="000000"/>
              <w:right w:val="single" w:sz="4" w:space="0" w:color="000000"/>
            </w:tcBorders>
            <w:vAlign w:val="center"/>
          </w:tcPr>
          <w:p w:rsidR="00C01C82" w:rsidRPr="00F824C1" w:rsidRDefault="007B5CF4" w:rsidP="00F824C1">
            <w:pPr>
              <w:snapToGrid w:val="0"/>
              <w:jc w:val="center"/>
              <w:rPr>
                <w:rFonts w:cs="Calibri"/>
                <w:color w:val="000000"/>
                <w:sz w:val="22"/>
                <w:szCs w:val="22"/>
              </w:rPr>
            </w:pPr>
            <w:r w:rsidRPr="00F824C1">
              <w:rPr>
                <w:rFonts w:cs="Calibri"/>
                <w:color w:val="000000"/>
                <w:sz w:val="22"/>
                <w:szCs w:val="22"/>
              </w:rPr>
              <w:t>NR</w:t>
            </w:r>
          </w:p>
        </w:tc>
      </w:tr>
      <w:tr w:rsidR="00C01C82" w:rsidRPr="00F824C1">
        <w:trPr>
          <w:trHeight w:val="454"/>
          <w:jc w:val="center"/>
        </w:trPr>
        <w:tc>
          <w:tcPr>
            <w:tcW w:w="2666" w:type="dxa"/>
            <w:tcBorders>
              <w:left w:val="single" w:sz="4" w:space="0" w:color="000000"/>
              <w:bottom w:val="single" w:sz="4" w:space="0" w:color="000000"/>
            </w:tcBorders>
            <w:vAlign w:val="center"/>
          </w:tcPr>
          <w:p w:rsidR="00C01C82" w:rsidRPr="00F824C1" w:rsidRDefault="007B5CF4" w:rsidP="00F824C1">
            <w:pPr>
              <w:shd w:val="clear" w:color="auto" w:fill="FFFFFF"/>
              <w:snapToGrid w:val="0"/>
              <w:rPr>
                <w:rFonts w:cs="Calibri"/>
                <w:color w:val="000000"/>
                <w:sz w:val="22"/>
                <w:szCs w:val="22"/>
              </w:rPr>
            </w:pPr>
            <w:r w:rsidRPr="00F824C1">
              <w:rPr>
                <w:rFonts w:cs="Calibri"/>
                <w:color w:val="000000"/>
                <w:sz w:val="22"/>
                <w:szCs w:val="22"/>
              </w:rPr>
              <w:t>Prekursor mreže</w:t>
            </w:r>
          </w:p>
        </w:tc>
        <w:tc>
          <w:tcPr>
            <w:tcW w:w="1546"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100.00</w:t>
            </w:r>
          </w:p>
        </w:tc>
        <w:tc>
          <w:tcPr>
            <w:tcW w:w="1553"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100.00</w:t>
            </w:r>
          </w:p>
        </w:tc>
        <w:tc>
          <w:tcPr>
            <w:tcW w:w="1553"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100.00</w:t>
            </w:r>
          </w:p>
        </w:tc>
        <w:tc>
          <w:tcPr>
            <w:tcW w:w="1518" w:type="dxa"/>
            <w:tcBorders>
              <w:left w:val="single" w:sz="4" w:space="0" w:color="000000"/>
              <w:bottom w:val="single" w:sz="4" w:space="0" w:color="000000"/>
              <w:right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100.00</w:t>
            </w:r>
          </w:p>
        </w:tc>
      </w:tr>
      <w:tr w:rsidR="00C01C82" w:rsidRPr="00F824C1">
        <w:trPr>
          <w:trHeight w:val="454"/>
          <w:jc w:val="center"/>
        </w:trPr>
        <w:tc>
          <w:tcPr>
            <w:tcW w:w="2666" w:type="dxa"/>
            <w:tcBorders>
              <w:left w:val="single" w:sz="4" w:space="0" w:color="000000"/>
              <w:bottom w:val="single" w:sz="4" w:space="0" w:color="000000"/>
            </w:tcBorders>
            <w:vAlign w:val="center"/>
          </w:tcPr>
          <w:p w:rsidR="00C01C82" w:rsidRPr="00F824C1" w:rsidRDefault="007B5CF4" w:rsidP="00F824C1">
            <w:pPr>
              <w:shd w:val="clear" w:color="auto" w:fill="FFFFFF"/>
              <w:snapToGrid w:val="0"/>
              <w:rPr>
                <w:rFonts w:eastAsia="Calibri" w:cs="Calibri"/>
                <w:color w:val="000000"/>
                <w:sz w:val="22"/>
                <w:szCs w:val="22"/>
              </w:rPr>
            </w:pPr>
            <w:r w:rsidRPr="00F824C1">
              <w:rPr>
                <w:rFonts w:eastAsia="Calibri" w:cs="Calibri"/>
                <w:color w:val="000000"/>
                <w:sz w:val="22"/>
                <w:szCs w:val="22"/>
              </w:rPr>
              <w:t>Mineralno ulje (M)</w:t>
            </w:r>
          </w:p>
        </w:tc>
        <w:tc>
          <w:tcPr>
            <w:tcW w:w="1546"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eastAsia="Calibri" w:cs="Calibri"/>
                <w:color w:val="000000"/>
                <w:sz w:val="22"/>
                <w:szCs w:val="22"/>
              </w:rPr>
            </w:pPr>
            <w:r w:rsidRPr="00F824C1">
              <w:rPr>
                <w:rFonts w:eastAsia="Calibri" w:cs="Calibri"/>
                <w:color w:val="000000"/>
                <w:sz w:val="22"/>
                <w:szCs w:val="22"/>
              </w:rPr>
              <w:t>66.70</w:t>
            </w:r>
          </w:p>
        </w:tc>
        <w:tc>
          <w:tcPr>
            <w:tcW w:w="1553"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5.43</w:t>
            </w:r>
          </w:p>
        </w:tc>
        <w:tc>
          <w:tcPr>
            <w:tcW w:w="1553"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24.39</w:t>
            </w:r>
          </w:p>
        </w:tc>
        <w:tc>
          <w:tcPr>
            <w:tcW w:w="1518" w:type="dxa"/>
            <w:tcBorders>
              <w:left w:val="single" w:sz="4" w:space="0" w:color="000000"/>
              <w:bottom w:val="single" w:sz="4" w:space="0" w:color="000000"/>
              <w:right w:val="single" w:sz="4" w:space="0" w:color="000000"/>
            </w:tcBorders>
            <w:vAlign w:val="center"/>
          </w:tcPr>
          <w:p w:rsidR="00C01C82" w:rsidRPr="00F824C1" w:rsidRDefault="007B5CF4" w:rsidP="00F824C1">
            <w:pPr>
              <w:shd w:val="clear" w:color="auto" w:fill="FFFFFF"/>
              <w:snapToGrid w:val="0"/>
              <w:jc w:val="center"/>
              <w:rPr>
                <w:rFonts w:eastAsia="Calibri" w:cs="Calibri"/>
                <w:color w:val="000000"/>
                <w:sz w:val="22"/>
                <w:szCs w:val="22"/>
              </w:rPr>
            </w:pPr>
            <w:r w:rsidRPr="00F824C1">
              <w:rPr>
                <w:rFonts w:eastAsia="Calibri" w:cs="Calibri"/>
                <w:color w:val="000000"/>
                <w:sz w:val="22"/>
                <w:szCs w:val="22"/>
              </w:rPr>
              <w:t>9.37</w:t>
            </w:r>
          </w:p>
        </w:tc>
      </w:tr>
      <w:tr w:rsidR="00C01C82" w:rsidRPr="00F824C1">
        <w:trPr>
          <w:trHeight w:val="454"/>
          <w:jc w:val="center"/>
        </w:trPr>
        <w:tc>
          <w:tcPr>
            <w:tcW w:w="2666" w:type="dxa"/>
            <w:tcBorders>
              <w:left w:val="single" w:sz="4" w:space="0" w:color="000000"/>
              <w:bottom w:val="single" w:sz="4" w:space="0" w:color="000000"/>
            </w:tcBorders>
            <w:vAlign w:val="center"/>
          </w:tcPr>
          <w:p w:rsidR="00C01C82" w:rsidRPr="00F824C1" w:rsidRDefault="007B5CF4" w:rsidP="00F824C1">
            <w:pPr>
              <w:shd w:val="clear" w:color="auto" w:fill="FFFFFF"/>
              <w:snapToGrid w:val="0"/>
              <w:rPr>
                <w:rFonts w:eastAsia="Calibri" w:cs="Calibri"/>
                <w:color w:val="000000"/>
                <w:sz w:val="22"/>
                <w:szCs w:val="22"/>
              </w:rPr>
            </w:pPr>
            <w:r w:rsidRPr="00F824C1">
              <w:rPr>
                <w:rFonts w:eastAsia="Calibri" w:cs="Calibri"/>
                <w:color w:val="000000"/>
                <w:sz w:val="22"/>
                <w:szCs w:val="22"/>
              </w:rPr>
              <w:t>Procesno ulje (P)</w:t>
            </w:r>
          </w:p>
        </w:tc>
        <w:tc>
          <w:tcPr>
            <w:tcW w:w="1546"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eastAsia="Calibri" w:cs="Calibri"/>
                <w:color w:val="000000"/>
                <w:sz w:val="22"/>
                <w:szCs w:val="22"/>
              </w:rPr>
            </w:pPr>
            <w:r w:rsidRPr="00F824C1">
              <w:rPr>
                <w:rFonts w:eastAsia="Calibri" w:cs="Calibri"/>
                <w:color w:val="000000"/>
                <w:sz w:val="22"/>
                <w:szCs w:val="22"/>
              </w:rPr>
              <w:t>66.70</w:t>
            </w:r>
          </w:p>
        </w:tc>
        <w:tc>
          <w:tcPr>
            <w:tcW w:w="1553"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eastAsia="Calibri" w:cs="Calibri"/>
                <w:color w:val="000000"/>
                <w:sz w:val="22"/>
                <w:szCs w:val="22"/>
              </w:rPr>
            </w:pPr>
            <w:r w:rsidRPr="00F824C1">
              <w:rPr>
                <w:rFonts w:eastAsia="Calibri" w:cs="Calibri"/>
                <w:color w:val="000000"/>
                <w:sz w:val="22"/>
                <w:szCs w:val="22"/>
              </w:rPr>
              <w:t>5.43</w:t>
            </w:r>
          </w:p>
        </w:tc>
        <w:tc>
          <w:tcPr>
            <w:tcW w:w="1553"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eastAsia="Calibri" w:cs="Calibri"/>
                <w:color w:val="000000"/>
                <w:sz w:val="22"/>
                <w:szCs w:val="22"/>
              </w:rPr>
            </w:pPr>
            <w:r w:rsidRPr="00F824C1">
              <w:rPr>
                <w:rFonts w:eastAsia="Calibri" w:cs="Calibri"/>
                <w:color w:val="000000"/>
                <w:sz w:val="22"/>
                <w:szCs w:val="22"/>
              </w:rPr>
              <w:t>24.39</w:t>
            </w:r>
          </w:p>
        </w:tc>
        <w:tc>
          <w:tcPr>
            <w:tcW w:w="1518" w:type="dxa"/>
            <w:tcBorders>
              <w:left w:val="single" w:sz="4" w:space="0" w:color="000000"/>
              <w:bottom w:val="single" w:sz="4" w:space="0" w:color="000000"/>
              <w:right w:val="single" w:sz="4" w:space="0" w:color="000000"/>
            </w:tcBorders>
            <w:vAlign w:val="center"/>
          </w:tcPr>
          <w:p w:rsidR="00C01C82" w:rsidRPr="00F824C1" w:rsidRDefault="007B5CF4" w:rsidP="00F824C1">
            <w:pPr>
              <w:shd w:val="clear" w:color="auto" w:fill="FFFFFF"/>
              <w:snapToGrid w:val="0"/>
              <w:jc w:val="center"/>
              <w:rPr>
                <w:rFonts w:eastAsia="Calibri" w:cs="Calibri"/>
                <w:color w:val="000000"/>
                <w:sz w:val="22"/>
                <w:szCs w:val="22"/>
              </w:rPr>
            </w:pPr>
            <w:r w:rsidRPr="00F824C1">
              <w:rPr>
                <w:rFonts w:eastAsia="Calibri" w:cs="Calibri"/>
                <w:color w:val="000000"/>
                <w:sz w:val="22"/>
                <w:szCs w:val="22"/>
              </w:rPr>
              <w:t>9.37</w:t>
            </w:r>
          </w:p>
        </w:tc>
      </w:tr>
      <w:tr w:rsidR="00C01C82" w:rsidRPr="00F824C1">
        <w:trPr>
          <w:trHeight w:val="454"/>
          <w:jc w:val="center"/>
        </w:trPr>
        <w:tc>
          <w:tcPr>
            <w:tcW w:w="2666" w:type="dxa"/>
            <w:tcBorders>
              <w:left w:val="single" w:sz="4" w:space="0" w:color="000000"/>
              <w:bottom w:val="single" w:sz="4" w:space="0" w:color="000000"/>
            </w:tcBorders>
            <w:vAlign w:val="center"/>
          </w:tcPr>
          <w:p w:rsidR="00C01C82" w:rsidRPr="00F824C1" w:rsidRDefault="007B5CF4" w:rsidP="00F824C1">
            <w:pPr>
              <w:shd w:val="clear" w:color="auto" w:fill="FFFFFF"/>
              <w:snapToGrid w:val="0"/>
              <w:rPr>
                <w:rFonts w:eastAsia="Calibri" w:cs="Calibri"/>
                <w:color w:val="000000"/>
                <w:sz w:val="22"/>
                <w:szCs w:val="22"/>
              </w:rPr>
            </w:pPr>
            <w:r w:rsidRPr="00F824C1">
              <w:rPr>
                <w:rFonts w:eastAsia="Calibri" w:cs="Calibri"/>
                <w:color w:val="000000"/>
                <w:sz w:val="22"/>
                <w:szCs w:val="22"/>
              </w:rPr>
              <w:t xml:space="preserve">Dioktilftalatno ulje (R-1)  </w:t>
            </w:r>
          </w:p>
        </w:tc>
        <w:tc>
          <w:tcPr>
            <w:tcW w:w="1546"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eastAsia="Calibri" w:cs="Calibri"/>
                <w:color w:val="000000"/>
                <w:sz w:val="22"/>
                <w:szCs w:val="22"/>
              </w:rPr>
            </w:pPr>
            <w:r w:rsidRPr="00F824C1">
              <w:rPr>
                <w:rFonts w:eastAsia="Calibri" w:cs="Calibri"/>
                <w:color w:val="000000"/>
                <w:sz w:val="22"/>
                <w:szCs w:val="22"/>
              </w:rPr>
              <w:t>0</w:t>
            </w:r>
          </w:p>
        </w:tc>
        <w:tc>
          <w:tcPr>
            <w:tcW w:w="1553"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eastAsia="Calibri" w:cs="Calibri"/>
                <w:color w:val="000000"/>
                <w:sz w:val="22"/>
                <w:szCs w:val="22"/>
              </w:rPr>
            </w:pPr>
            <w:r w:rsidRPr="00F824C1">
              <w:rPr>
                <w:rFonts w:eastAsia="Calibri" w:cs="Calibri"/>
                <w:color w:val="000000"/>
                <w:sz w:val="22"/>
                <w:szCs w:val="22"/>
              </w:rPr>
              <w:t>5.43</w:t>
            </w:r>
          </w:p>
        </w:tc>
        <w:tc>
          <w:tcPr>
            <w:tcW w:w="1553"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eastAsia="Calibri" w:cs="Calibri"/>
                <w:color w:val="000000"/>
                <w:sz w:val="22"/>
                <w:szCs w:val="22"/>
              </w:rPr>
            </w:pPr>
            <w:r w:rsidRPr="00F824C1">
              <w:rPr>
                <w:rFonts w:eastAsia="Calibri" w:cs="Calibri"/>
                <w:color w:val="000000"/>
                <w:sz w:val="22"/>
                <w:szCs w:val="22"/>
              </w:rPr>
              <w:t>24.39</w:t>
            </w:r>
          </w:p>
        </w:tc>
        <w:tc>
          <w:tcPr>
            <w:tcW w:w="1518" w:type="dxa"/>
            <w:tcBorders>
              <w:left w:val="single" w:sz="4" w:space="0" w:color="000000"/>
              <w:bottom w:val="single" w:sz="4" w:space="0" w:color="000000"/>
              <w:right w:val="single" w:sz="4" w:space="0" w:color="000000"/>
            </w:tcBorders>
            <w:vAlign w:val="center"/>
          </w:tcPr>
          <w:p w:rsidR="00C01C82" w:rsidRPr="00F824C1" w:rsidRDefault="007B5CF4" w:rsidP="00F824C1">
            <w:pPr>
              <w:shd w:val="clear" w:color="auto" w:fill="FFFFFF"/>
              <w:snapToGrid w:val="0"/>
              <w:jc w:val="center"/>
              <w:rPr>
                <w:rFonts w:eastAsia="Calibri" w:cs="Calibri"/>
                <w:color w:val="000000"/>
                <w:sz w:val="22"/>
                <w:szCs w:val="22"/>
              </w:rPr>
            </w:pPr>
            <w:r w:rsidRPr="00F824C1">
              <w:rPr>
                <w:rFonts w:eastAsia="Calibri" w:cs="Calibri"/>
                <w:color w:val="000000"/>
                <w:sz w:val="22"/>
                <w:szCs w:val="22"/>
              </w:rPr>
              <w:t>0</w:t>
            </w:r>
          </w:p>
        </w:tc>
      </w:tr>
      <w:tr w:rsidR="00C01C82" w:rsidRPr="00F824C1">
        <w:trPr>
          <w:trHeight w:val="454"/>
          <w:jc w:val="center"/>
        </w:trPr>
        <w:tc>
          <w:tcPr>
            <w:tcW w:w="2666" w:type="dxa"/>
            <w:tcBorders>
              <w:left w:val="single" w:sz="4" w:space="0" w:color="000000"/>
              <w:bottom w:val="single" w:sz="4" w:space="0" w:color="000000"/>
            </w:tcBorders>
            <w:vAlign w:val="center"/>
          </w:tcPr>
          <w:p w:rsidR="00C01C82" w:rsidRPr="00F824C1" w:rsidRDefault="007B5CF4" w:rsidP="00F824C1">
            <w:pPr>
              <w:shd w:val="clear" w:color="auto" w:fill="FFFFFF"/>
              <w:snapToGrid w:val="0"/>
              <w:rPr>
                <w:rFonts w:eastAsia="Calibri" w:cs="Calibri"/>
                <w:color w:val="000000"/>
                <w:sz w:val="22"/>
                <w:szCs w:val="22"/>
              </w:rPr>
            </w:pPr>
            <w:r w:rsidRPr="00F824C1">
              <w:rPr>
                <w:rFonts w:eastAsia="Calibri" w:cs="Calibri"/>
                <w:color w:val="000000"/>
                <w:sz w:val="22"/>
                <w:szCs w:val="22"/>
              </w:rPr>
              <w:t xml:space="preserve">Bazno ulje gumiol (R-2)  </w:t>
            </w:r>
          </w:p>
        </w:tc>
        <w:tc>
          <w:tcPr>
            <w:tcW w:w="1546"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eastAsia="Calibri" w:cs="Calibri"/>
                <w:color w:val="000000"/>
                <w:sz w:val="22"/>
                <w:szCs w:val="22"/>
              </w:rPr>
            </w:pPr>
            <w:r w:rsidRPr="00F824C1">
              <w:rPr>
                <w:rFonts w:eastAsia="Calibri" w:cs="Calibri"/>
                <w:color w:val="000000"/>
                <w:sz w:val="22"/>
                <w:szCs w:val="22"/>
              </w:rPr>
              <w:t>66.70</w:t>
            </w:r>
          </w:p>
        </w:tc>
        <w:tc>
          <w:tcPr>
            <w:tcW w:w="1553"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eastAsia="Calibri" w:cs="Calibri"/>
                <w:color w:val="000000"/>
                <w:sz w:val="22"/>
                <w:szCs w:val="22"/>
              </w:rPr>
            </w:pPr>
            <w:r w:rsidRPr="00F824C1">
              <w:rPr>
                <w:rFonts w:eastAsia="Calibri" w:cs="Calibri"/>
                <w:color w:val="000000"/>
                <w:sz w:val="22"/>
                <w:szCs w:val="22"/>
              </w:rPr>
              <w:t>0</w:t>
            </w:r>
          </w:p>
        </w:tc>
        <w:tc>
          <w:tcPr>
            <w:tcW w:w="1553"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eastAsia="Calibri" w:cs="Calibri"/>
                <w:color w:val="000000"/>
                <w:sz w:val="22"/>
                <w:szCs w:val="22"/>
              </w:rPr>
            </w:pPr>
            <w:r w:rsidRPr="00F824C1">
              <w:rPr>
                <w:rFonts w:eastAsia="Calibri" w:cs="Calibri"/>
                <w:color w:val="000000"/>
                <w:sz w:val="22"/>
                <w:szCs w:val="22"/>
              </w:rPr>
              <w:t>0</w:t>
            </w:r>
          </w:p>
        </w:tc>
        <w:tc>
          <w:tcPr>
            <w:tcW w:w="1518" w:type="dxa"/>
            <w:tcBorders>
              <w:left w:val="single" w:sz="4" w:space="0" w:color="000000"/>
              <w:bottom w:val="single" w:sz="4" w:space="0" w:color="000000"/>
              <w:right w:val="single" w:sz="4" w:space="0" w:color="000000"/>
            </w:tcBorders>
            <w:vAlign w:val="center"/>
          </w:tcPr>
          <w:p w:rsidR="00C01C82" w:rsidRPr="00F824C1" w:rsidRDefault="007B5CF4" w:rsidP="00F824C1">
            <w:pPr>
              <w:shd w:val="clear" w:color="auto" w:fill="FFFFFF"/>
              <w:snapToGrid w:val="0"/>
              <w:jc w:val="center"/>
              <w:rPr>
                <w:rFonts w:eastAsia="Calibri" w:cs="Calibri"/>
                <w:color w:val="000000"/>
                <w:sz w:val="22"/>
                <w:szCs w:val="22"/>
              </w:rPr>
            </w:pPr>
            <w:r w:rsidRPr="00F824C1">
              <w:rPr>
                <w:rFonts w:eastAsia="Calibri" w:cs="Calibri"/>
                <w:color w:val="000000"/>
                <w:sz w:val="22"/>
                <w:szCs w:val="22"/>
              </w:rPr>
              <w:t>9.37</w:t>
            </w:r>
          </w:p>
        </w:tc>
      </w:tr>
      <w:tr w:rsidR="00C01C82" w:rsidRPr="00F824C1">
        <w:trPr>
          <w:trHeight w:val="454"/>
          <w:jc w:val="center"/>
        </w:trPr>
        <w:tc>
          <w:tcPr>
            <w:tcW w:w="2666" w:type="dxa"/>
            <w:tcBorders>
              <w:left w:val="single" w:sz="4" w:space="0" w:color="000000"/>
              <w:bottom w:val="single" w:sz="4" w:space="0" w:color="000000"/>
            </w:tcBorders>
            <w:vAlign w:val="center"/>
          </w:tcPr>
          <w:p w:rsidR="00C01C82" w:rsidRPr="00F824C1" w:rsidRDefault="007B5CF4" w:rsidP="00F824C1">
            <w:pPr>
              <w:shd w:val="clear" w:color="auto" w:fill="FFFFFF"/>
              <w:snapToGrid w:val="0"/>
              <w:rPr>
                <w:rFonts w:cs="Calibri"/>
                <w:color w:val="000000"/>
                <w:sz w:val="22"/>
                <w:szCs w:val="22"/>
              </w:rPr>
            </w:pPr>
            <w:r w:rsidRPr="00F824C1">
              <w:rPr>
                <w:rFonts w:cs="Calibri"/>
                <w:color w:val="000000"/>
                <w:sz w:val="22"/>
                <w:szCs w:val="22"/>
              </w:rPr>
              <w:t>Čađ</w:t>
            </w:r>
          </w:p>
        </w:tc>
        <w:tc>
          <w:tcPr>
            <w:tcW w:w="1546"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138.90</w:t>
            </w:r>
          </w:p>
        </w:tc>
        <w:tc>
          <w:tcPr>
            <w:tcW w:w="1553"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11.77</w:t>
            </w:r>
          </w:p>
        </w:tc>
        <w:tc>
          <w:tcPr>
            <w:tcW w:w="1553"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91.46</w:t>
            </w:r>
          </w:p>
        </w:tc>
        <w:tc>
          <w:tcPr>
            <w:tcW w:w="1518" w:type="dxa"/>
            <w:tcBorders>
              <w:left w:val="single" w:sz="4" w:space="0" w:color="000000"/>
              <w:bottom w:val="single" w:sz="4" w:space="0" w:color="000000"/>
              <w:right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53.58</w:t>
            </w:r>
          </w:p>
        </w:tc>
      </w:tr>
      <w:tr w:rsidR="00C01C82" w:rsidRPr="00F824C1">
        <w:trPr>
          <w:trHeight w:val="454"/>
          <w:jc w:val="center"/>
        </w:trPr>
        <w:tc>
          <w:tcPr>
            <w:tcW w:w="2666" w:type="dxa"/>
            <w:tcBorders>
              <w:left w:val="single" w:sz="4" w:space="0" w:color="000000"/>
              <w:bottom w:val="single" w:sz="4" w:space="0" w:color="000000"/>
            </w:tcBorders>
            <w:vAlign w:val="center"/>
          </w:tcPr>
          <w:p w:rsidR="00C01C82" w:rsidRPr="00F824C1" w:rsidRDefault="007B5CF4" w:rsidP="00F824C1">
            <w:pPr>
              <w:shd w:val="clear" w:color="auto" w:fill="FFFFFF"/>
              <w:snapToGrid w:val="0"/>
              <w:rPr>
                <w:rFonts w:cs="Calibri"/>
                <w:color w:val="000000"/>
                <w:sz w:val="22"/>
                <w:szCs w:val="22"/>
              </w:rPr>
            </w:pPr>
            <w:r w:rsidRPr="00F824C1">
              <w:rPr>
                <w:rFonts w:cs="Calibri"/>
                <w:color w:val="000000"/>
                <w:sz w:val="22"/>
                <w:szCs w:val="22"/>
              </w:rPr>
              <w:t>SiO</w:t>
            </w:r>
            <w:r w:rsidRPr="00F824C1">
              <w:rPr>
                <w:rFonts w:cs="Calibri"/>
                <w:color w:val="000000"/>
                <w:sz w:val="22"/>
                <w:szCs w:val="22"/>
                <w:vertAlign w:val="subscript"/>
              </w:rPr>
              <w:t>2</w:t>
            </w:r>
            <w:r w:rsidRPr="00F824C1">
              <w:rPr>
                <w:rFonts w:cs="Calibri"/>
                <w:color w:val="000000"/>
                <w:sz w:val="22"/>
                <w:szCs w:val="22"/>
              </w:rPr>
              <w:t xml:space="preserve"> </w:t>
            </w:r>
          </w:p>
        </w:tc>
        <w:tc>
          <w:tcPr>
            <w:tcW w:w="1546"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29.63</w:t>
            </w:r>
          </w:p>
        </w:tc>
        <w:tc>
          <w:tcPr>
            <w:tcW w:w="1553" w:type="dxa"/>
            <w:tcBorders>
              <w:left w:val="single" w:sz="4" w:space="0" w:color="000000"/>
              <w:bottom w:val="single" w:sz="4" w:space="0" w:color="000000"/>
            </w:tcBorders>
            <w:vAlign w:val="center"/>
          </w:tcPr>
          <w:p w:rsidR="00C01C82" w:rsidRPr="00F824C1" w:rsidRDefault="007B5CF4" w:rsidP="00F824C1">
            <w:pPr>
              <w:snapToGrid w:val="0"/>
              <w:jc w:val="center"/>
              <w:rPr>
                <w:rFonts w:cs="Calibri"/>
                <w:color w:val="000000"/>
                <w:sz w:val="22"/>
                <w:szCs w:val="22"/>
              </w:rPr>
            </w:pPr>
            <w:r w:rsidRPr="00F824C1">
              <w:rPr>
                <w:rFonts w:cs="Calibri"/>
                <w:color w:val="000000"/>
                <w:sz w:val="22"/>
                <w:szCs w:val="22"/>
              </w:rPr>
              <w:t>0</w:t>
            </w:r>
          </w:p>
        </w:tc>
        <w:tc>
          <w:tcPr>
            <w:tcW w:w="1553"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0</w:t>
            </w:r>
          </w:p>
        </w:tc>
        <w:tc>
          <w:tcPr>
            <w:tcW w:w="1518" w:type="dxa"/>
            <w:tcBorders>
              <w:left w:val="single" w:sz="4" w:space="0" w:color="000000"/>
              <w:bottom w:val="single" w:sz="4" w:space="0" w:color="000000"/>
              <w:right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9.61</w:t>
            </w:r>
          </w:p>
        </w:tc>
      </w:tr>
      <w:tr w:rsidR="00C01C82" w:rsidRPr="00F824C1">
        <w:trPr>
          <w:trHeight w:val="454"/>
          <w:jc w:val="center"/>
        </w:trPr>
        <w:tc>
          <w:tcPr>
            <w:tcW w:w="2666" w:type="dxa"/>
            <w:tcBorders>
              <w:left w:val="single" w:sz="4" w:space="0" w:color="000000"/>
              <w:bottom w:val="single" w:sz="4" w:space="0" w:color="000000"/>
            </w:tcBorders>
            <w:vAlign w:val="center"/>
          </w:tcPr>
          <w:p w:rsidR="00C01C82" w:rsidRPr="00F824C1" w:rsidRDefault="007B5CF4" w:rsidP="00F824C1">
            <w:pPr>
              <w:shd w:val="clear" w:color="auto" w:fill="FFFFFF"/>
              <w:snapToGrid w:val="0"/>
              <w:rPr>
                <w:rFonts w:cs="Calibri"/>
                <w:color w:val="000000"/>
                <w:spacing w:val="-5"/>
                <w:sz w:val="22"/>
                <w:szCs w:val="22"/>
              </w:rPr>
            </w:pPr>
            <w:r w:rsidRPr="00F824C1">
              <w:rPr>
                <w:rFonts w:cs="Calibri"/>
                <w:color w:val="000000"/>
                <w:spacing w:val="-5"/>
                <w:sz w:val="22"/>
                <w:szCs w:val="22"/>
              </w:rPr>
              <w:t>Sumpor</w:t>
            </w:r>
          </w:p>
        </w:tc>
        <w:tc>
          <w:tcPr>
            <w:tcW w:w="1546"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1.67</w:t>
            </w:r>
          </w:p>
        </w:tc>
        <w:tc>
          <w:tcPr>
            <w:tcW w:w="1553" w:type="dxa"/>
            <w:tcBorders>
              <w:left w:val="single" w:sz="4" w:space="0" w:color="000000"/>
              <w:bottom w:val="single" w:sz="4" w:space="0" w:color="000000"/>
            </w:tcBorders>
            <w:vAlign w:val="center"/>
          </w:tcPr>
          <w:p w:rsidR="00C01C82" w:rsidRPr="00F824C1" w:rsidRDefault="007B5CF4" w:rsidP="00F824C1">
            <w:pPr>
              <w:snapToGrid w:val="0"/>
              <w:jc w:val="center"/>
              <w:rPr>
                <w:rFonts w:cs="Calibri"/>
                <w:color w:val="000000"/>
                <w:sz w:val="22"/>
                <w:szCs w:val="22"/>
              </w:rPr>
            </w:pPr>
            <w:r w:rsidRPr="00F824C1">
              <w:rPr>
                <w:rFonts w:cs="Calibri"/>
                <w:color w:val="000000"/>
                <w:sz w:val="22"/>
                <w:szCs w:val="22"/>
              </w:rPr>
              <w:t>8.60</w:t>
            </w:r>
          </w:p>
        </w:tc>
        <w:tc>
          <w:tcPr>
            <w:tcW w:w="1553"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0.97</w:t>
            </w:r>
          </w:p>
        </w:tc>
        <w:tc>
          <w:tcPr>
            <w:tcW w:w="1518" w:type="dxa"/>
            <w:tcBorders>
              <w:left w:val="single" w:sz="4" w:space="0" w:color="000000"/>
              <w:bottom w:val="single" w:sz="4" w:space="0" w:color="000000"/>
              <w:right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2.21</w:t>
            </w:r>
          </w:p>
        </w:tc>
      </w:tr>
      <w:tr w:rsidR="00C01C82" w:rsidRPr="00F824C1">
        <w:trPr>
          <w:trHeight w:val="454"/>
          <w:jc w:val="center"/>
        </w:trPr>
        <w:tc>
          <w:tcPr>
            <w:tcW w:w="2666" w:type="dxa"/>
            <w:tcBorders>
              <w:left w:val="single" w:sz="4" w:space="0" w:color="000000"/>
              <w:bottom w:val="single" w:sz="4" w:space="0" w:color="000000"/>
            </w:tcBorders>
            <w:vAlign w:val="center"/>
          </w:tcPr>
          <w:p w:rsidR="00C01C82" w:rsidRPr="00F824C1" w:rsidRDefault="007B5CF4" w:rsidP="00F824C1">
            <w:pPr>
              <w:shd w:val="clear" w:color="auto" w:fill="FFFFFF"/>
              <w:snapToGrid w:val="0"/>
              <w:rPr>
                <w:rFonts w:cs="Calibri"/>
                <w:color w:val="000000"/>
                <w:sz w:val="22"/>
                <w:szCs w:val="22"/>
              </w:rPr>
            </w:pPr>
            <w:r w:rsidRPr="00F824C1">
              <w:rPr>
                <w:rFonts w:cs="Calibri"/>
                <w:color w:val="000000"/>
                <w:sz w:val="22"/>
                <w:szCs w:val="22"/>
              </w:rPr>
              <w:t>Ubrzivači umrežavanja</w:t>
            </w:r>
          </w:p>
        </w:tc>
        <w:tc>
          <w:tcPr>
            <w:tcW w:w="1546"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2.78</w:t>
            </w:r>
          </w:p>
        </w:tc>
        <w:tc>
          <w:tcPr>
            <w:tcW w:w="1553" w:type="dxa"/>
            <w:tcBorders>
              <w:left w:val="single" w:sz="4" w:space="0" w:color="000000"/>
              <w:bottom w:val="single" w:sz="4" w:space="0" w:color="000000"/>
            </w:tcBorders>
            <w:vAlign w:val="center"/>
          </w:tcPr>
          <w:p w:rsidR="00C01C82" w:rsidRPr="00F824C1" w:rsidRDefault="007B5CF4" w:rsidP="00F824C1">
            <w:pPr>
              <w:snapToGrid w:val="0"/>
              <w:jc w:val="center"/>
              <w:rPr>
                <w:rFonts w:cs="Calibri"/>
                <w:color w:val="000000"/>
                <w:sz w:val="22"/>
                <w:szCs w:val="22"/>
              </w:rPr>
            </w:pPr>
            <w:r w:rsidRPr="00F824C1">
              <w:rPr>
                <w:rFonts w:cs="Calibri"/>
                <w:color w:val="000000"/>
                <w:sz w:val="22"/>
                <w:szCs w:val="22"/>
              </w:rPr>
              <w:t>1.99</w:t>
            </w:r>
          </w:p>
        </w:tc>
        <w:tc>
          <w:tcPr>
            <w:tcW w:w="1553"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3.05</w:t>
            </w:r>
          </w:p>
        </w:tc>
        <w:tc>
          <w:tcPr>
            <w:tcW w:w="1518" w:type="dxa"/>
            <w:tcBorders>
              <w:left w:val="single" w:sz="4" w:space="0" w:color="000000"/>
              <w:bottom w:val="single" w:sz="4" w:space="0" w:color="000000"/>
              <w:right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3.27</w:t>
            </w:r>
          </w:p>
        </w:tc>
      </w:tr>
      <w:tr w:rsidR="00C01C82" w:rsidRPr="00F824C1">
        <w:trPr>
          <w:trHeight w:val="454"/>
          <w:jc w:val="center"/>
        </w:trPr>
        <w:tc>
          <w:tcPr>
            <w:tcW w:w="2666" w:type="dxa"/>
            <w:tcBorders>
              <w:left w:val="single" w:sz="4" w:space="0" w:color="000000"/>
              <w:bottom w:val="single" w:sz="4" w:space="0" w:color="000000"/>
            </w:tcBorders>
            <w:vAlign w:val="center"/>
          </w:tcPr>
          <w:p w:rsidR="00C01C82" w:rsidRPr="00F824C1" w:rsidRDefault="007B5CF4" w:rsidP="00F824C1">
            <w:pPr>
              <w:shd w:val="clear" w:color="auto" w:fill="FFFFFF"/>
              <w:snapToGrid w:val="0"/>
              <w:rPr>
                <w:rFonts w:cs="Calibri"/>
                <w:color w:val="000000"/>
                <w:sz w:val="22"/>
                <w:szCs w:val="22"/>
              </w:rPr>
            </w:pPr>
            <w:r w:rsidRPr="00F824C1">
              <w:rPr>
                <w:rFonts w:cs="Calibri"/>
                <w:color w:val="000000"/>
                <w:sz w:val="22"/>
                <w:szCs w:val="22"/>
              </w:rPr>
              <w:t>Ostali ingredijenti</w:t>
            </w:r>
          </w:p>
        </w:tc>
        <w:tc>
          <w:tcPr>
            <w:tcW w:w="1546"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27.78</w:t>
            </w:r>
          </w:p>
        </w:tc>
        <w:tc>
          <w:tcPr>
            <w:tcW w:w="1553" w:type="dxa"/>
            <w:tcBorders>
              <w:left w:val="single" w:sz="4" w:space="0" w:color="000000"/>
              <w:bottom w:val="single" w:sz="4" w:space="0" w:color="000000"/>
            </w:tcBorders>
            <w:vAlign w:val="center"/>
          </w:tcPr>
          <w:p w:rsidR="00C01C82" w:rsidRPr="00F824C1" w:rsidRDefault="007B5CF4" w:rsidP="00F824C1">
            <w:pPr>
              <w:snapToGrid w:val="0"/>
              <w:jc w:val="center"/>
              <w:rPr>
                <w:rFonts w:cs="Calibri"/>
                <w:color w:val="000000"/>
                <w:sz w:val="22"/>
                <w:szCs w:val="22"/>
              </w:rPr>
            </w:pPr>
            <w:r w:rsidRPr="00F824C1">
              <w:rPr>
                <w:rFonts w:cs="Calibri"/>
                <w:color w:val="000000"/>
                <w:sz w:val="22"/>
                <w:szCs w:val="22"/>
              </w:rPr>
              <w:t>1.90</w:t>
            </w:r>
          </w:p>
        </w:tc>
        <w:tc>
          <w:tcPr>
            <w:tcW w:w="1553"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11.58</w:t>
            </w:r>
          </w:p>
        </w:tc>
        <w:tc>
          <w:tcPr>
            <w:tcW w:w="1518" w:type="dxa"/>
            <w:tcBorders>
              <w:left w:val="single" w:sz="4" w:space="0" w:color="000000"/>
              <w:bottom w:val="single" w:sz="4" w:space="0" w:color="000000"/>
              <w:right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5.00</w:t>
            </w:r>
          </w:p>
        </w:tc>
      </w:tr>
      <w:tr w:rsidR="00C01C82" w:rsidRPr="00F824C1">
        <w:trPr>
          <w:trHeight w:val="454"/>
          <w:jc w:val="center"/>
        </w:trPr>
        <w:tc>
          <w:tcPr>
            <w:tcW w:w="2666" w:type="dxa"/>
            <w:tcBorders>
              <w:left w:val="single" w:sz="4" w:space="0" w:color="000000"/>
              <w:bottom w:val="single" w:sz="4" w:space="0" w:color="000000"/>
            </w:tcBorders>
            <w:vAlign w:val="center"/>
          </w:tcPr>
          <w:p w:rsidR="00C01C82" w:rsidRPr="00F824C1" w:rsidRDefault="007B5CF4" w:rsidP="00F824C1">
            <w:pPr>
              <w:shd w:val="clear" w:color="auto" w:fill="FFFFFF"/>
              <w:snapToGrid w:val="0"/>
              <w:rPr>
                <w:rFonts w:cs="Calibri"/>
                <w:color w:val="000000"/>
                <w:sz w:val="22"/>
                <w:szCs w:val="22"/>
              </w:rPr>
            </w:pPr>
            <w:r w:rsidRPr="00F824C1">
              <w:rPr>
                <w:rFonts w:cs="Calibri"/>
                <w:color w:val="000000"/>
                <w:sz w:val="22"/>
                <w:szCs w:val="22"/>
              </w:rPr>
              <w:t>Aktivator umrežavanja</w:t>
            </w:r>
          </w:p>
        </w:tc>
        <w:tc>
          <w:tcPr>
            <w:tcW w:w="1546"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7.40</w:t>
            </w:r>
          </w:p>
        </w:tc>
        <w:tc>
          <w:tcPr>
            <w:tcW w:w="1553"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0.76</w:t>
            </w:r>
          </w:p>
        </w:tc>
        <w:tc>
          <w:tcPr>
            <w:tcW w:w="1553" w:type="dxa"/>
            <w:tcBorders>
              <w:left w:val="single" w:sz="4" w:space="0" w:color="000000"/>
              <w:bottom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6.10</w:t>
            </w:r>
          </w:p>
        </w:tc>
        <w:tc>
          <w:tcPr>
            <w:tcW w:w="1518" w:type="dxa"/>
            <w:tcBorders>
              <w:left w:val="single" w:sz="4" w:space="0" w:color="000000"/>
              <w:bottom w:val="single" w:sz="4" w:space="0" w:color="000000"/>
              <w:right w:val="single" w:sz="4" w:space="0" w:color="000000"/>
            </w:tcBorders>
            <w:vAlign w:val="center"/>
          </w:tcPr>
          <w:p w:rsidR="00C01C82" w:rsidRPr="00F824C1" w:rsidRDefault="007B5CF4" w:rsidP="00F824C1">
            <w:pPr>
              <w:shd w:val="clear" w:color="auto" w:fill="FFFFFF"/>
              <w:snapToGrid w:val="0"/>
              <w:jc w:val="center"/>
              <w:rPr>
                <w:rFonts w:cs="Calibri"/>
                <w:color w:val="000000"/>
                <w:sz w:val="22"/>
                <w:szCs w:val="22"/>
              </w:rPr>
            </w:pPr>
            <w:r w:rsidRPr="00F824C1">
              <w:rPr>
                <w:rFonts w:cs="Calibri"/>
                <w:color w:val="000000"/>
                <w:sz w:val="22"/>
                <w:szCs w:val="22"/>
              </w:rPr>
              <w:t>8.65</w:t>
            </w:r>
          </w:p>
        </w:tc>
      </w:tr>
    </w:tbl>
    <w:p w:rsidR="00C01C82" w:rsidRPr="00F824C1" w:rsidRDefault="007B5CF4" w:rsidP="00F824C1">
      <w:pPr>
        <w:jc w:val="both"/>
        <w:rPr>
          <w:rFonts w:cs="Calibri"/>
          <w:color w:val="000000"/>
          <w:sz w:val="22"/>
          <w:szCs w:val="22"/>
        </w:rPr>
      </w:pPr>
      <w:r w:rsidRPr="00F824C1">
        <w:rPr>
          <w:rFonts w:cs="Calibri"/>
          <w:color w:val="000000"/>
          <w:sz w:val="22"/>
          <w:szCs w:val="22"/>
        </w:rPr>
        <w:tab/>
        <w:t>*R-Referentna ulja, M-Mineralno ulje, P-Procesno ulje</w:t>
      </w:r>
    </w:p>
    <w:p w:rsidR="00C01C82" w:rsidRPr="00F824C1" w:rsidRDefault="00C01C82" w:rsidP="00800C27">
      <w:pPr>
        <w:rPr>
          <w:rFonts w:eastAsia="Calibri" w:cs="Calibri"/>
          <w:i/>
          <w:iCs/>
          <w:color w:val="000000"/>
          <w:sz w:val="22"/>
          <w:szCs w:val="22"/>
          <w:lang w:val="sr-Latn-CS"/>
        </w:rPr>
      </w:pPr>
    </w:p>
    <w:p w:rsidR="00C01C82" w:rsidRPr="00F824C1" w:rsidRDefault="00F10D07" w:rsidP="00F824C1">
      <w:pPr>
        <w:jc w:val="center"/>
        <w:rPr>
          <w:rFonts w:eastAsia="Calibri" w:cs="Calibri"/>
          <w:i/>
          <w:iCs/>
          <w:color w:val="000000"/>
          <w:sz w:val="22"/>
          <w:szCs w:val="22"/>
          <w:lang w:val="sr-Latn-CS"/>
        </w:rPr>
      </w:pPr>
      <w:r w:rsidRPr="00F56EF4">
        <w:rPr>
          <w:rFonts w:eastAsia="Calibri" w:cs="Calibri"/>
          <w:iCs/>
          <w:color w:val="000000"/>
          <w:sz w:val="22"/>
          <w:szCs w:val="22"/>
          <w:lang w:val="sr-Latn-CS"/>
        </w:rPr>
        <w:t>2.2</w:t>
      </w:r>
      <w:r w:rsidRPr="00F824C1">
        <w:rPr>
          <w:rFonts w:eastAsia="Calibri" w:cs="Calibri"/>
          <w:i/>
          <w:iCs/>
          <w:color w:val="000000"/>
          <w:sz w:val="22"/>
          <w:szCs w:val="22"/>
          <w:lang w:val="sr-Latn-CS"/>
        </w:rPr>
        <w:t xml:space="preserve"> </w:t>
      </w:r>
      <w:r w:rsidRPr="00C15CB5">
        <w:rPr>
          <w:rFonts w:eastAsia="Calibri" w:cs="Calibri"/>
          <w:iCs/>
          <w:color w:val="000000"/>
          <w:sz w:val="22"/>
          <w:szCs w:val="22"/>
          <w:lang w:val="sr-Latn-CS"/>
        </w:rPr>
        <w:t>Dobijanje uzoraka elastomera</w:t>
      </w:r>
    </w:p>
    <w:p w:rsidR="00C01C82" w:rsidRPr="00F824C1" w:rsidRDefault="00C01C82" w:rsidP="00F824C1">
      <w:pPr>
        <w:jc w:val="both"/>
        <w:rPr>
          <w:rFonts w:cs="Calibri"/>
          <w:b/>
          <w:bCs/>
          <w:color w:val="000000"/>
          <w:sz w:val="22"/>
          <w:szCs w:val="22"/>
        </w:rPr>
      </w:pPr>
    </w:p>
    <w:p w:rsidR="00C01C82" w:rsidRPr="00F824C1" w:rsidRDefault="00BB416A" w:rsidP="00F824C1">
      <w:pPr>
        <w:jc w:val="both"/>
        <w:rPr>
          <w:rFonts w:cs="Calibri"/>
          <w:iCs/>
          <w:color w:val="000000"/>
          <w:sz w:val="22"/>
          <w:szCs w:val="22"/>
        </w:rPr>
      </w:pPr>
      <w:r>
        <w:rPr>
          <w:rFonts w:cs="Calibri"/>
          <w:iCs/>
          <w:color w:val="000000"/>
          <w:w w:val="106"/>
          <w:sz w:val="22"/>
          <w:szCs w:val="22"/>
        </w:rPr>
        <w:t xml:space="preserve">    </w:t>
      </w:r>
      <w:r w:rsidR="007B5CF4" w:rsidRPr="00F824C1">
        <w:rPr>
          <w:rFonts w:cs="Calibri"/>
          <w:iCs/>
          <w:color w:val="000000"/>
          <w:w w:val="106"/>
          <w:sz w:val="22"/>
          <w:szCs w:val="22"/>
        </w:rPr>
        <w:t>Sve smeše su umešavane na laboratorijskom dvovaljku (Veb Getriebe Ohorn 8506, Nemačka) po istom režimu mešanja. Svi sistemi su umreženi na 423 K u laboratorijskoj etažnoj presi (Belišće) nakon prethodno određenog optimalnog vremena umrežavanja. Postupak umešavanja sistema na osnovu NBR je bio otežan pa je bila neophodna dodatna mastifikacija nakon odležavanja smeše na hladnim valjcima (kada je kao plastifikator korišćeno mineralno ulje)</w:t>
      </w:r>
      <w:r w:rsidR="007B5CF4" w:rsidRPr="00F824C1">
        <w:rPr>
          <w:rFonts w:cs="Calibri"/>
          <w:iCs/>
          <w:color w:val="000000"/>
          <w:sz w:val="22"/>
          <w:szCs w:val="22"/>
        </w:rPr>
        <w:t>.</w:t>
      </w:r>
    </w:p>
    <w:p w:rsidR="00C01C82" w:rsidRPr="00F824C1" w:rsidRDefault="00C01C82" w:rsidP="00F824C1">
      <w:pPr>
        <w:jc w:val="center"/>
        <w:rPr>
          <w:rFonts w:eastAsia="Calibri" w:cs="Calibri"/>
          <w:i/>
          <w:iCs/>
          <w:color w:val="000000"/>
          <w:sz w:val="22"/>
          <w:szCs w:val="22"/>
          <w:lang w:val="sr-Latn-CS"/>
        </w:rPr>
      </w:pPr>
    </w:p>
    <w:p w:rsidR="00C01C82" w:rsidRPr="00C15CB5" w:rsidRDefault="007B5CF4" w:rsidP="00F824C1">
      <w:pPr>
        <w:jc w:val="center"/>
        <w:rPr>
          <w:rFonts w:cs="Calibri"/>
          <w:iCs/>
          <w:color w:val="000000"/>
          <w:sz w:val="22"/>
          <w:szCs w:val="22"/>
        </w:rPr>
      </w:pPr>
      <w:r w:rsidRPr="00F56EF4">
        <w:rPr>
          <w:rFonts w:cs="Calibri"/>
          <w:iCs/>
          <w:color w:val="000000"/>
          <w:sz w:val="22"/>
          <w:szCs w:val="22"/>
        </w:rPr>
        <w:t>2.3</w:t>
      </w:r>
      <w:r w:rsidRPr="00F824C1">
        <w:rPr>
          <w:rFonts w:cs="Calibri"/>
          <w:i/>
          <w:iCs/>
          <w:color w:val="000000"/>
          <w:sz w:val="22"/>
          <w:szCs w:val="22"/>
        </w:rPr>
        <w:t xml:space="preserve"> </w:t>
      </w:r>
      <w:r w:rsidRPr="00C15CB5">
        <w:rPr>
          <w:rFonts w:cs="Calibri"/>
          <w:iCs/>
          <w:color w:val="000000"/>
          <w:sz w:val="22"/>
          <w:szCs w:val="22"/>
        </w:rPr>
        <w:t xml:space="preserve">Termogravimetrijska analiza </w:t>
      </w:r>
    </w:p>
    <w:p w:rsidR="00C01C82" w:rsidRPr="00C15CB5" w:rsidRDefault="00C01C82" w:rsidP="00F824C1">
      <w:pPr>
        <w:jc w:val="center"/>
        <w:rPr>
          <w:iCs/>
          <w:color w:val="000000"/>
          <w:sz w:val="22"/>
          <w:szCs w:val="22"/>
        </w:rPr>
      </w:pPr>
    </w:p>
    <w:p w:rsidR="00C01C82" w:rsidRPr="00800C27" w:rsidRDefault="00BB416A" w:rsidP="00800C27">
      <w:pPr>
        <w:jc w:val="both"/>
        <w:rPr>
          <w:rFonts w:eastAsia="Calibri" w:cs="Calibri"/>
          <w:color w:val="000000"/>
          <w:w w:val="105"/>
          <w:sz w:val="22"/>
          <w:szCs w:val="22"/>
          <w:lang w:val="sr-Latn-CS"/>
        </w:rPr>
      </w:pPr>
      <w:r>
        <w:rPr>
          <w:rFonts w:cs="Calibri"/>
          <w:color w:val="000000"/>
          <w:w w:val="105"/>
          <w:sz w:val="22"/>
          <w:szCs w:val="22"/>
        </w:rPr>
        <w:t xml:space="preserve">    </w:t>
      </w:r>
      <w:r w:rsidR="007B5CF4" w:rsidRPr="00F824C1">
        <w:rPr>
          <w:rFonts w:cs="Calibri"/>
          <w:color w:val="000000"/>
          <w:w w:val="105"/>
          <w:sz w:val="22"/>
          <w:szCs w:val="22"/>
        </w:rPr>
        <w:t>Za praćenje degradacije materijala korišćen je termogravimetrijski uređaj TGA (Q500, TA-Instrument, USA). Ispitivanja su vršena u atmosferi azota u intervalu od 25 do 500</w:t>
      </w:r>
      <w:r w:rsidR="007B5CF4" w:rsidRPr="00F824C1">
        <w:rPr>
          <w:rFonts w:cs="Calibri"/>
          <w:color w:val="000000"/>
          <w:w w:val="105"/>
          <w:sz w:val="22"/>
          <w:szCs w:val="22"/>
          <w:vertAlign w:val="superscript"/>
        </w:rPr>
        <w:t>o</w:t>
      </w:r>
      <w:r w:rsidR="007B5CF4" w:rsidRPr="00F824C1">
        <w:rPr>
          <w:rFonts w:cs="Calibri"/>
          <w:color w:val="000000"/>
          <w:w w:val="105"/>
          <w:sz w:val="22"/>
          <w:szCs w:val="22"/>
        </w:rPr>
        <w:t>C pri protoku gasa 50 cm</w:t>
      </w:r>
      <w:r w:rsidR="007B5CF4" w:rsidRPr="00F824C1">
        <w:rPr>
          <w:rFonts w:cs="Calibri"/>
          <w:color w:val="000000"/>
          <w:w w:val="105"/>
          <w:sz w:val="22"/>
          <w:szCs w:val="22"/>
          <w:vertAlign w:val="superscript"/>
        </w:rPr>
        <w:t>3</w:t>
      </w:r>
      <w:r w:rsidR="007B5CF4" w:rsidRPr="00F824C1">
        <w:rPr>
          <w:rFonts w:cs="Calibri"/>
          <w:color w:val="000000"/>
          <w:w w:val="105"/>
          <w:sz w:val="22"/>
          <w:szCs w:val="22"/>
        </w:rPr>
        <w:t xml:space="preserve"> min</w:t>
      </w:r>
      <w:r w:rsidR="007B5CF4" w:rsidRPr="00F824C1">
        <w:rPr>
          <w:rFonts w:cs="Calibri"/>
          <w:color w:val="000000"/>
          <w:w w:val="105"/>
          <w:sz w:val="22"/>
          <w:szCs w:val="22"/>
          <w:vertAlign w:val="superscript"/>
        </w:rPr>
        <w:t xml:space="preserve">–1 </w:t>
      </w:r>
      <w:r w:rsidR="007B5CF4" w:rsidRPr="00F824C1">
        <w:rPr>
          <w:rFonts w:cs="Calibri"/>
          <w:color w:val="000000"/>
          <w:w w:val="105"/>
          <w:sz w:val="22"/>
          <w:szCs w:val="22"/>
        </w:rPr>
        <w:t>i brzini zagrevanja 10</w:t>
      </w:r>
      <w:r w:rsidR="007B5CF4" w:rsidRPr="00F824C1">
        <w:rPr>
          <w:rFonts w:cs="Calibri"/>
          <w:color w:val="000000"/>
          <w:w w:val="105"/>
          <w:sz w:val="22"/>
          <w:szCs w:val="22"/>
          <w:vertAlign w:val="superscript"/>
        </w:rPr>
        <w:t>o</w:t>
      </w:r>
      <w:r w:rsidR="007B5CF4" w:rsidRPr="00F824C1">
        <w:rPr>
          <w:rFonts w:cs="Calibri"/>
          <w:color w:val="000000"/>
          <w:w w:val="105"/>
          <w:sz w:val="22"/>
          <w:szCs w:val="22"/>
        </w:rPr>
        <w:t>C min</w:t>
      </w:r>
      <w:r w:rsidR="007B5CF4" w:rsidRPr="00F824C1">
        <w:rPr>
          <w:rFonts w:cs="Calibri"/>
          <w:color w:val="000000"/>
          <w:w w:val="105"/>
          <w:sz w:val="22"/>
          <w:szCs w:val="22"/>
          <w:vertAlign w:val="superscript"/>
        </w:rPr>
        <w:t>–1</w:t>
      </w:r>
      <w:r w:rsidR="007B5CF4" w:rsidRPr="00F824C1">
        <w:rPr>
          <w:rFonts w:cs="Calibri"/>
          <w:color w:val="000000"/>
          <w:w w:val="105"/>
          <w:sz w:val="22"/>
          <w:szCs w:val="22"/>
        </w:rPr>
        <w:t xml:space="preserve">. </w:t>
      </w:r>
      <w:r w:rsidR="007B5CF4" w:rsidRPr="00F824C1">
        <w:rPr>
          <w:rFonts w:eastAsia="Calibri" w:cs="Calibri"/>
          <w:color w:val="000000"/>
          <w:w w:val="105"/>
          <w:sz w:val="22"/>
          <w:szCs w:val="22"/>
          <w:lang w:val="sr-Latn-CS"/>
        </w:rPr>
        <w:t>Toplotna postojanost se arbitrarno može definisati temperaturom početka razlaganja materijala, ali se kao karakteristične vrednosti mogu posmatrati i temperature kada se dostigne definisani gubitak mase, uobičajeno 10%, 20% ili 50% pri nekoj programiranoj brzini zagrevanja. Drugi način arakterisanja stabilnosti uključuje određivanje kinetičkih parametara-energije aktivacije, konstanti brzine reakcije i reda reakcije procesa degradacije. Ovom analizom određuje se promena mase uzorka u funkciji temperature ili vremena.</w:t>
      </w:r>
    </w:p>
    <w:p w:rsidR="00F56EF4" w:rsidRDefault="00F56EF4" w:rsidP="00F824C1">
      <w:pPr>
        <w:autoSpaceDE w:val="0"/>
        <w:jc w:val="center"/>
        <w:rPr>
          <w:b/>
          <w:bCs/>
          <w:color w:val="000000"/>
          <w:sz w:val="22"/>
          <w:szCs w:val="22"/>
        </w:rPr>
      </w:pPr>
    </w:p>
    <w:p w:rsidR="00F56EF4" w:rsidRDefault="00F56EF4" w:rsidP="00F824C1">
      <w:pPr>
        <w:autoSpaceDE w:val="0"/>
        <w:jc w:val="center"/>
        <w:rPr>
          <w:b/>
          <w:bCs/>
          <w:color w:val="000000"/>
          <w:sz w:val="22"/>
          <w:szCs w:val="22"/>
        </w:rPr>
      </w:pPr>
    </w:p>
    <w:p w:rsidR="00C01C82" w:rsidRDefault="00F22AC9" w:rsidP="00F824C1">
      <w:pPr>
        <w:autoSpaceDE w:val="0"/>
        <w:jc w:val="center"/>
        <w:rPr>
          <w:b/>
          <w:bCs/>
          <w:color w:val="000000"/>
          <w:sz w:val="22"/>
          <w:szCs w:val="22"/>
        </w:rPr>
      </w:pPr>
      <w:r w:rsidRPr="00F824C1">
        <w:rPr>
          <w:b/>
          <w:bCs/>
          <w:color w:val="000000"/>
          <w:sz w:val="22"/>
          <w:szCs w:val="22"/>
        </w:rPr>
        <w:t xml:space="preserve">4. </w:t>
      </w:r>
      <w:r w:rsidR="00800C27">
        <w:rPr>
          <w:b/>
          <w:bCs/>
          <w:color w:val="000000"/>
          <w:sz w:val="22"/>
          <w:szCs w:val="22"/>
        </w:rPr>
        <w:t>REZULTATI I DISKUSIJA</w:t>
      </w:r>
    </w:p>
    <w:p w:rsidR="00800C27" w:rsidRPr="00F824C1" w:rsidRDefault="00800C27" w:rsidP="00F824C1">
      <w:pPr>
        <w:autoSpaceDE w:val="0"/>
        <w:jc w:val="center"/>
        <w:rPr>
          <w:b/>
          <w:bCs/>
          <w:color w:val="000000"/>
          <w:sz w:val="22"/>
          <w:szCs w:val="22"/>
        </w:rPr>
      </w:pPr>
    </w:p>
    <w:p w:rsidR="00C01C82" w:rsidRPr="00C15CB5" w:rsidRDefault="007B5CF4" w:rsidP="00800C27">
      <w:pPr>
        <w:jc w:val="center"/>
        <w:rPr>
          <w:rFonts w:cs="Calibri"/>
          <w:iCs/>
          <w:color w:val="000000"/>
          <w:sz w:val="22"/>
          <w:szCs w:val="22"/>
        </w:rPr>
      </w:pPr>
      <w:r w:rsidRPr="00F56EF4">
        <w:rPr>
          <w:rFonts w:cs="Calibri"/>
          <w:iCs/>
          <w:color w:val="000000"/>
          <w:sz w:val="22"/>
          <w:szCs w:val="22"/>
          <w:lang w:val="sr-Latn-CS"/>
        </w:rPr>
        <w:t>4.1</w:t>
      </w:r>
      <w:r w:rsidRPr="00F824C1">
        <w:rPr>
          <w:rFonts w:cs="Calibri"/>
          <w:i/>
          <w:iCs/>
          <w:color w:val="000000"/>
          <w:sz w:val="22"/>
          <w:szCs w:val="22"/>
          <w:lang w:val="sr-Latn-CS"/>
        </w:rPr>
        <w:t xml:space="preserve"> </w:t>
      </w:r>
      <w:r w:rsidRPr="00C15CB5">
        <w:rPr>
          <w:rFonts w:cs="Calibri"/>
          <w:iCs/>
          <w:color w:val="000000"/>
          <w:sz w:val="22"/>
          <w:szCs w:val="22"/>
          <w:lang w:val="sr-Latn-CS"/>
        </w:rPr>
        <w:t>Analiza toplotne stabilnosti elastomera</w:t>
      </w:r>
      <w:r w:rsidRPr="00C15CB5">
        <w:rPr>
          <w:rFonts w:cs="Calibri"/>
          <w:iCs/>
          <w:color w:val="000000"/>
          <w:sz w:val="22"/>
          <w:szCs w:val="22"/>
        </w:rPr>
        <w:t xml:space="preserve"> </w:t>
      </w:r>
    </w:p>
    <w:p w:rsidR="00C01C82" w:rsidRPr="00C15CB5" w:rsidRDefault="00C01C82" w:rsidP="00F824C1">
      <w:pPr>
        <w:jc w:val="both"/>
        <w:rPr>
          <w:color w:val="000000"/>
          <w:sz w:val="22"/>
          <w:szCs w:val="22"/>
        </w:rPr>
      </w:pPr>
    </w:p>
    <w:p w:rsidR="00C01C82" w:rsidRDefault="00BB416A" w:rsidP="00F824C1">
      <w:pPr>
        <w:jc w:val="both"/>
        <w:rPr>
          <w:rFonts w:cs="Calibri"/>
          <w:color w:val="000000"/>
          <w:sz w:val="22"/>
          <w:szCs w:val="22"/>
          <w:lang w:val="sr-Latn-CS"/>
        </w:rPr>
      </w:pPr>
      <w:r>
        <w:rPr>
          <w:rFonts w:cs="Calibri"/>
          <w:color w:val="000000"/>
          <w:sz w:val="22"/>
          <w:szCs w:val="22"/>
          <w:lang w:val="sr-Latn-CS"/>
        </w:rPr>
        <w:t xml:space="preserve">    </w:t>
      </w:r>
      <w:r w:rsidR="007B5CF4" w:rsidRPr="00F824C1">
        <w:rPr>
          <w:rFonts w:cs="Calibri"/>
          <w:color w:val="000000"/>
          <w:sz w:val="22"/>
          <w:szCs w:val="22"/>
          <w:lang w:val="sr-Latn-CS"/>
        </w:rPr>
        <w:t>Velike promene u fizičkim i hemijskim svojstvima elastomernim materijalima mogu biti uočene kada se oni izlože visokim temperaturama u inertnoj atmosferi koje su uslovljene različitim strukturnim događanjima: a) naknadno umrežavanje koje rezultira većom gustinom umreženja i povećanjem krtosti materijala kada nastaju dodatni čvorovi mreže; b) raskidanje lanaca i c) hemijska izmena u polimernom lancu uz formiranje polarnih ili drugih grupa. Kod elastomera umreženih sumpornim sistemima pri uslovima povišene temperature uočava se konverzija polisulfidnih veza u monosulfidne. Reakcija je praćena izdvajanjem niskomolekulskih grupa kao što su vodonik-sulfid, sumpor-dioksid i ugljen-disulfid, što je prikazano na slici 1. Monosulfidne veze se raskidaju pod dejstvom napona i reaguju sa susednim vodonikovim atomom gradeći stabilne funkcionalne grupe.  U toku naknadnog umrežavanja bez obzira na povećanje stepena umreženosti usled dominantnijeg dejstva procesa razmrežavanja čvrstoća i elastičnost opadaju.  Poprečne veze tj. čvorovi mreže nastali u toku reakcije pod dejstvom toplote mogu da se raskinu. U tom smislu prvo se raskidaju -S-S- veze a zatim i -C-C- veze, što se objašnjava nižom vrednošću energije veze</w:t>
      </w:r>
      <w:r w:rsidR="00A07744" w:rsidRPr="00F824C1">
        <w:rPr>
          <w:rFonts w:cs="Calibri"/>
          <w:color w:val="000000"/>
          <w:sz w:val="22"/>
          <w:szCs w:val="22"/>
          <w:lang w:val="sr-Latn-CS"/>
        </w:rPr>
        <w:t>.</w:t>
      </w:r>
    </w:p>
    <w:p w:rsidR="00BC049D" w:rsidRPr="00F824C1" w:rsidRDefault="00BC049D" w:rsidP="00F824C1">
      <w:pPr>
        <w:jc w:val="both"/>
        <w:rPr>
          <w:rFonts w:cs="Calibri"/>
          <w:color w:val="000000"/>
          <w:sz w:val="22"/>
          <w:szCs w:val="22"/>
          <w:lang w:val="sr-Latn-CS"/>
        </w:rPr>
      </w:pPr>
    </w:p>
    <w:p w:rsidR="000B37CD" w:rsidRPr="00F824C1" w:rsidRDefault="000B37CD" w:rsidP="00F824C1">
      <w:pPr>
        <w:jc w:val="both"/>
        <w:rPr>
          <w:rFonts w:cs="Calibri"/>
          <w:color w:val="000000"/>
          <w:sz w:val="22"/>
          <w:szCs w:val="22"/>
          <w:lang w:val="sr-Latn-CS"/>
        </w:rPr>
      </w:pPr>
    </w:p>
    <w:p w:rsidR="00C01C82" w:rsidRPr="00F824C1" w:rsidRDefault="007B5CF4" w:rsidP="00F824C1">
      <w:pPr>
        <w:pStyle w:val="ListParagraph"/>
        <w:ind w:left="0"/>
        <w:jc w:val="both"/>
        <w:rPr>
          <w:color w:val="000000"/>
          <w:sz w:val="22"/>
          <w:szCs w:val="22"/>
        </w:rPr>
      </w:pPr>
      <w:r w:rsidRPr="00F824C1">
        <w:rPr>
          <w:sz w:val="22"/>
          <w:szCs w:val="22"/>
        </w:rPr>
        <w:t xml:space="preserve"> </w:t>
      </w:r>
      <w:r w:rsidR="00D138C2" w:rsidRPr="00D138C2">
        <w:rPr>
          <w:sz w:val="22"/>
          <w:szCs w:val="22"/>
        </w:rPr>
        <w:pict>
          <v:shapetype id="_x0000_t202" coordsize="21600,21600" o:spt="202" path="m,l,21600r21600,l21600,xe">
            <v:stroke joinstyle="miter"/>
            <v:path gradientshapeok="t" o:connecttype="rect"/>
          </v:shapetype>
          <v:shape id="_x0000_s1026" type="#_x0000_t202" style="position:absolute;left:0;text-align:left;margin-left:0;margin-top:0;width:448.3pt;height:152.15pt;z-index:251657728;mso-wrap-distance-left:9.05pt;mso-wrap-distance-right:9.05pt;mso-position-horizontal:center;mso-position-horizontal-relative:text;mso-position-vertical-relative:text" stroked="f">
            <v:fill color2="black"/>
            <v:textbox inset="0,0,0,0">
              <w:txbxContent>
                <w:p w:rsidR="00C01C82" w:rsidRDefault="00EB6D86">
                  <w:r>
                    <w:rPr>
                      <w:rFonts w:cs="Calibri"/>
                      <w:noProof/>
                      <w:color w:val="000080"/>
                      <w:lang w:eastAsia="en-US"/>
                    </w:rPr>
                    <w:drawing>
                      <wp:inline distT="0" distB="0" distL="0" distR="0">
                        <wp:extent cx="4328160" cy="173736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t="5829"/>
                                <a:stretch>
                                  <a:fillRect/>
                                </a:stretch>
                              </pic:blipFill>
                              <pic:spPr bwMode="auto">
                                <a:xfrm>
                                  <a:off x="0" y="0"/>
                                  <a:ext cx="4328160" cy="1737360"/>
                                </a:xfrm>
                                <a:prstGeom prst="rect">
                                  <a:avLst/>
                                </a:prstGeom>
                                <a:solidFill>
                                  <a:srgbClr val="FFFFFF"/>
                                </a:solidFill>
                                <a:ln w="9525">
                                  <a:noFill/>
                                  <a:miter lim="800000"/>
                                  <a:headEnd/>
                                  <a:tailEnd/>
                                </a:ln>
                              </pic:spPr>
                            </pic:pic>
                          </a:graphicData>
                        </a:graphic>
                      </wp:inline>
                    </w:drawing>
                  </w:r>
                </w:p>
              </w:txbxContent>
            </v:textbox>
          </v:shape>
        </w:pict>
      </w:r>
    </w:p>
    <w:p w:rsidR="00C01C82" w:rsidRPr="00F824C1" w:rsidRDefault="00C01C82" w:rsidP="00F824C1">
      <w:pPr>
        <w:jc w:val="both"/>
        <w:rPr>
          <w:rFonts w:cs="Calibri"/>
          <w:color w:val="000000"/>
          <w:sz w:val="22"/>
          <w:szCs w:val="22"/>
          <w:lang w:val="sr-Latn-CS"/>
        </w:rPr>
      </w:pPr>
    </w:p>
    <w:p w:rsidR="00C01C82" w:rsidRPr="00F824C1" w:rsidRDefault="00C01C82" w:rsidP="00F824C1">
      <w:pPr>
        <w:jc w:val="both"/>
        <w:rPr>
          <w:rFonts w:cs="Calibri"/>
          <w:color w:val="000000"/>
          <w:sz w:val="22"/>
          <w:szCs w:val="22"/>
          <w:lang w:val="sr-Latn-CS"/>
        </w:rPr>
      </w:pPr>
    </w:p>
    <w:p w:rsidR="00C01C82" w:rsidRPr="00F824C1" w:rsidRDefault="00C01C82" w:rsidP="00F824C1">
      <w:pPr>
        <w:jc w:val="both"/>
        <w:rPr>
          <w:rFonts w:cs="Calibri"/>
          <w:color w:val="000000"/>
          <w:sz w:val="22"/>
          <w:szCs w:val="22"/>
          <w:lang w:val="sr-Latn-CS"/>
        </w:rPr>
      </w:pPr>
    </w:p>
    <w:p w:rsidR="00C01C82" w:rsidRPr="00F824C1" w:rsidRDefault="00C01C82" w:rsidP="00F824C1">
      <w:pPr>
        <w:jc w:val="both"/>
        <w:rPr>
          <w:rFonts w:cs="Calibri"/>
          <w:color w:val="000000"/>
          <w:sz w:val="22"/>
          <w:szCs w:val="22"/>
          <w:lang w:val="sr-Latn-CS"/>
        </w:rPr>
      </w:pPr>
    </w:p>
    <w:p w:rsidR="00C01C82" w:rsidRPr="00F824C1" w:rsidRDefault="00C01C82" w:rsidP="00F824C1">
      <w:pPr>
        <w:jc w:val="both"/>
        <w:rPr>
          <w:rFonts w:cs="Calibri"/>
          <w:color w:val="000000"/>
          <w:sz w:val="22"/>
          <w:szCs w:val="22"/>
          <w:lang w:val="sr-Latn-CS"/>
        </w:rPr>
      </w:pPr>
    </w:p>
    <w:p w:rsidR="00C01C82" w:rsidRPr="00F824C1" w:rsidRDefault="00C01C82" w:rsidP="00F824C1">
      <w:pPr>
        <w:jc w:val="both"/>
        <w:rPr>
          <w:rFonts w:cs="Calibri"/>
          <w:color w:val="000000"/>
          <w:sz w:val="22"/>
          <w:szCs w:val="22"/>
          <w:lang w:val="sr-Latn-CS"/>
        </w:rPr>
      </w:pPr>
    </w:p>
    <w:p w:rsidR="00A07744" w:rsidRPr="00F824C1" w:rsidRDefault="00A07744" w:rsidP="00F824C1">
      <w:pPr>
        <w:rPr>
          <w:rFonts w:cs="Calibri"/>
          <w:color w:val="000000"/>
          <w:sz w:val="22"/>
          <w:szCs w:val="22"/>
          <w:lang w:val="sr-Latn-CS"/>
        </w:rPr>
      </w:pPr>
    </w:p>
    <w:p w:rsidR="00C01C82" w:rsidRPr="00F824C1" w:rsidRDefault="007B5CF4" w:rsidP="00F824C1">
      <w:pPr>
        <w:rPr>
          <w:rFonts w:cs="Calibri"/>
          <w:i/>
          <w:iCs/>
          <w:color w:val="000000"/>
          <w:sz w:val="22"/>
          <w:szCs w:val="22"/>
          <w:lang w:val="sr-Latn-CS"/>
        </w:rPr>
      </w:pPr>
      <w:r w:rsidRPr="00F824C1">
        <w:rPr>
          <w:rFonts w:cs="Calibri"/>
          <w:i/>
          <w:iCs/>
          <w:color w:val="000000"/>
          <w:sz w:val="22"/>
          <w:szCs w:val="22"/>
          <w:lang w:val="sr-Latn-CS"/>
        </w:rPr>
        <w:t>Slika 1. Pretpostavljeni mehanizam degradacije mreže nastale sumpornim umrežavanjem</w:t>
      </w:r>
    </w:p>
    <w:p w:rsidR="000B37CD" w:rsidRPr="00F824C1" w:rsidRDefault="000B37CD" w:rsidP="00F824C1">
      <w:pPr>
        <w:jc w:val="both"/>
        <w:rPr>
          <w:rFonts w:cs="Calibri"/>
          <w:color w:val="000000"/>
          <w:sz w:val="22"/>
          <w:szCs w:val="22"/>
          <w:lang w:val="sr-Latn-CS"/>
        </w:rPr>
      </w:pPr>
    </w:p>
    <w:p w:rsidR="00BC049D" w:rsidRDefault="007B5CF4" w:rsidP="00F824C1">
      <w:pPr>
        <w:jc w:val="both"/>
        <w:rPr>
          <w:rFonts w:cs="Calibri"/>
          <w:color w:val="000000"/>
          <w:lang w:val="sr-Latn-CS"/>
        </w:rPr>
      </w:pPr>
      <w:r w:rsidRPr="00F824C1">
        <w:rPr>
          <w:rFonts w:cs="Calibri"/>
          <w:color w:val="000000"/>
          <w:sz w:val="22"/>
          <w:szCs w:val="22"/>
          <w:lang w:val="sr-Latn-CS"/>
        </w:rPr>
        <w:t>Raskinute -S-S- veze daju radikale, koji mogu međusobno da reaguju dajući lance manjih dužina od polaznih, ili molekuli polimera mogu međusobno da reaguju gradeći pri tome prstenove (ciklizacija)</w:t>
      </w:r>
      <w:r w:rsidR="0040716B" w:rsidRPr="0040716B">
        <w:rPr>
          <w:rFonts w:cs="Calibri"/>
          <w:color w:val="000000"/>
          <w:lang w:val="sr-Latn-CS"/>
        </w:rPr>
        <w:t xml:space="preserve"> </w:t>
      </w:r>
    </w:p>
    <w:p w:rsidR="00BC049D" w:rsidRDefault="00BC049D" w:rsidP="00871A4B">
      <w:pPr>
        <w:spacing w:line="360" w:lineRule="auto"/>
        <w:jc w:val="center"/>
        <w:rPr>
          <w:rFonts w:cs="Calibri"/>
          <w:i/>
          <w:iCs/>
          <w:color w:val="000000"/>
          <w:sz w:val="22"/>
          <w:szCs w:val="22"/>
          <w:lang w:val="sr-Latn-CS"/>
        </w:rPr>
      </w:pPr>
      <w:r>
        <w:rPr>
          <w:rFonts w:cs="Calibri"/>
          <w:i/>
          <w:iCs/>
          <w:color w:val="000000"/>
          <w:sz w:val="22"/>
          <w:szCs w:val="22"/>
          <w:lang w:val="sr-Latn-CS"/>
        </w:rPr>
        <w:t>Slika 1. Pretpostavljeni mehanizam degradacije mreže nastale sumpornim umrežavanjem</w:t>
      </w:r>
    </w:p>
    <w:p w:rsidR="00E866E1" w:rsidRPr="00E866E1" w:rsidRDefault="00E866E1" w:rsidP="00E866E1">
      <w:pPr>
        <w:spacing w:line="360" w:lineRule="auto"/>
        <w:rPr>
          <w:rFonts w:cs="Calibri"/>
          <w:i/>
          <w:iCs/>
          <w:color w:val="000000"/>
          <w:sz w:val="22"/>
          <w:szCs w:val="22"/>
          <w:lang w:val="sr-Latn-CS"/>
        </w:rPr>
      </w:pPr>
    </w:p>
    <w:p w:rsidR="00C01C82" w:rsidRPr="00F824C1" w:rsidRDefault="0040716B" w:rsidP="00F824C1">
      <w:pPr>
        <w:jc w:val="both"/>
        <w:rPr>
          <w:rFonts w:cs="Calibri"/>
          <w:color w:val="000000"/>
          <w:sz w:val="22"/>
          <w:szCs w:val="22"/>
          <w:lang w:val="sr-Latn-CS"/>
        </w:rPr>
      </w:pPr>
      <w:r w:rsidRPr="0040716B">
        <w:rPr>
          <w:rFonts w:cs="Calibri"/>
          <w:color w:val="000000"/>
          <w:sz w:val="22"/>
          <w:szCs w:val="22"/>
          <w:lang w:val="sr-Latn-CS"/>
        </w:rPr>
        <w:t>Raskinute -S-S- veze daju radikale, koji mogu međusobno da reaguju dajući lance manjih dužina od polaznih, ili molekuli polimera mogu međusobno da reaguju gradeći pri tome prstenove (ciklizacija) različitih po veličini i strukturi</w:t>
      </w:r>
      <w:r w:rsidR="007B5CF4" w:rsidRPr="0040716B">
        <w:rPr>
          <w:rFonts w:cs="Calibri"/>
          <w:color w:val="000000"/>
          <w:sz w:val="22"/>
          <w:szCs w:val="22"/>
          <w:lang w:val="sr-Latn-CS"/>
        </w:rPr>
        <w:t>.</w:t>
      </w:r>
      <w:r w:rsidR="007B5CF4" w:rsidRPr="00F824C1">
        <w:rPr>
          <w:rFonts w:cs="Calibri"/>
          <w:color w:val="000000"/>
          <w:sz w:val="22"/>
          <w:szCs w:val="22"/>
          <w:lang w:val="sr-Latn-CS"/>
        </w:rPr>
        <w:t xml:space="preserve"> Krajnja svojstva umreženog materijala bitno zavise od strukture poprečnih veza. Ukoliko je zastupljenost polisulfidnih mostova veća utoliko se lakše menja međusobni raspored delova lanaca između čvorova mreže. Nanočestice se unose zbog svoje primarne funkcije ojačanja ali se mnoge nanočestice dodaju i radi smanjenja degradacije i povećanja trajnosti proizvoda. </w:t>
      </w:r>
    </w:p>
    <w:p w:rsidR="00C01C82" w:rsidRPr="00F824C1" w:rsidRDefault="00C01C82" w:rsidP="00F824C1">
      <w:pPr>
        <w:jc w:val="both"/>
        <w:rPr>
          <w:color w:val="000000"/>
          <w:sz w:val="22"/>
          <w:szCs w:val="22"/>
        </w:rPr>
      </w:pPr>
    </w:p>
    <w:p w:rsidR="00C01C82" w:rsidRPr="00C15CB5" w:rsidRDefault="007B5CF4" w:rsidP="00F824C1">
      <w:pPr>
        <w:jc w:val="center"/>
        <w:rPr>
          <w:rFonts w:cs="Calibri"/>
          <w:iCs/>
          <w:color w:val="000000"/>
          <w:sz w:val="22"/>
          <w:szCs w:val="22"/>
        </w:rPr>
      </w:pPr>
      <w:r w:rsidRPr="00F56EF4">
        <w:rPr>
          <w:rFonts w:cs="Calibri"/>
          <w:iCs/>
          <w:color w:val="000000"/>
          <w:sz w:val="22"/>
          <w:szCs w:val="22"/>
          <w:lang w:val="sr-Latn-CS"/>
        </w:rPr>
        <w:t>4.1</w:t>
      </w:r>
      <w:r w:rsidRPr="00F824C1">
        <w:rPr>
          <w:rFonts w:cs="Calibri"/>
          <w:i/>
          <w:iCs/>
          <w:color w:val="000000"/>
          <w:sz w:val="22"/>
          <w:szCs w:val="22"/>
          <w:lang w:val="sr-Latn-CS"/>
        </w:rPr>
        <w:t xml:space="preserve"> </w:t>
      </w:r>
      <w:r w:rsidRPr="00C15CB5">
        <w:rPr>
          <w:rFonts w:cs="Calibri"/>
          <w:iCs/>
          <w:color w:val="000000"/>
          <w:sz w:val="22"/>
          <w:szCs w:val="22"/>
          <w:lang w:val="sr-Latn-CS"/>
        </w:rPr>
        <w:t>Uticaj plastifikatora na toplotnu stabilnosti elastomera</w:t>
      </w:r>
      <w:r w:rsidRPr="00C15CB5">
        <w:rPr>
          <w:rFonts w:cs="Calibri"/>
          <w:iCs/>
          <w:color w:val="000000"/>
          <w:sz w:val="22"/>
          <w:szCs w:val="22"/>
        </w:rPr>
        <w:t xml:space="preserve"> </w:t>
      </w:r>
    </w:p>
    <w:p w:rsidR="00C01C82" w:rsidRPr="00C15CB5" w:rsidRDefault="00C01C82" w:rsidP="00F824C1">
      <w:pPr>
        <w:jc w:val="both"/>
        <w:rPr>
          <w:color w:val="000000"/>
          <w:sz w:val="22"/>
          <w:szCs w:val="22"/>
        </w:rPr>
      </w:pPr>
    </w:p>
    <w:p w:rsidR="00C01C82" w:rsidRPr="005859C5" w:rsidRDefault="00BB416A" w:rsidP="00F824C1">
      <w:pPr>
        <w:jc w:val="both"/>
        <w:rPr>
          <w:rFonts w:cs="Calibri"/>
          <w:color w:val="000000"/>
          <w:sz w:val="22"/>
          <w:szCs w:val="22"/>
        </w:rPr>
      </w:pPr>
      <w:r>
        <w:rPr>
          <w:rFonts w:cs="Calibri"/>
          <w:color w:val="000000"/>
          <w:sz w:val="22"/>
          <w:szCs w:val="22"/>
          <w:lang w:val="sr-Latn-CS"/>
        </w:rPr>
        <w:t xml:space="preserve">    </w:t>
      </w:r>
      <w:r w:rsidR="007B5CF4" w:rsidRPr="00F824C1">
        <w:rPr>
          <w:rFonts w:cs="Calibri"/>
          <w:color w:val="000000"/>
          <w:sz w:val="22"/>
          <w:szCs w:val="22"/>
          <w:lang w:val="sr-Latn-CS"/>
        </w:rPr>
        <w:t>Na slikama 2</w:t>
      </w:r>
      <w:r w:rsidR="007B5CF4" w:rsidRPr="00F824C1">
        <w:rPr>
          <w:rFonts w:cs="Calibri"/>
          <w:color w:val="000000"/>
          <w:sz w:val="22"/>
          <w:szCs w:val="22"/>
        </w:rPr>
        <w:t>-5 date su termogravimetrijske krive uzoraka elastomernih nanokompozita plastifikovanih različitim uljima. Uočava se da se toplotna postojanost elastomernog materijala znatno poboljšava dodavanjem mineralnog ili procesnog ulja kada se upoređuje sa referentnim uljima koja su industrijski prihvatljiva za određene tipove kaučuka kao prekursora mreža.  Do povećanja toplotne stabilnosti dolazi zbog poboljšane interakcije između ulja i polimerne matrice, kao i zbog povećanog sadržaja cikličnih aromatskih derivata u mineralnom ili procesnom ulju u poređenju sa korišćenim referentnim uljima. Kod elastomera na osnovu poliuretanskog kaučuka ne dolazi do povećanja stabilnosti jer je sam proces toplotne razgradnje poliuretanskih elastomera znatno drugačiji u poređenju sa materijalima na osnovu EPDM, NR ili NBR. Razgradnja elastomera na osnovu EU kaučuka započinje razgradnjom uretanskih veza na temperaturama većim od 350</w:t>
      </w:r>
      <w:r w:rsidR="007B5CF4" w:rsidRPr="00F824C1">
        <w:rPr>
          <w:rFonts w:cs="Calibri"/>
          <w:color w:val="000000"/>
          <w:sz w:val="22"/>
          <w:szCs w:val="22"/>
          <w:vertAlign w:val="superscript"/>
        </w:rPr>
        <w:t>o</w:t>
      </w:r>
      <w:r w:rsidR="007B5CF4" w:rsidRPr="00F824C1">
        <w:rPr>
          <w:rFonts w:cs="Calibri"/>
          <w:color w:val="000000"/>
          <w:sz w:val="22"/>
          <w:szCs w:val="22"/>
        </w:rPr>
        <w:t>C, pri čemu dodatak ulja nema uticaja na stabilnost uretanskih grupa.</w:t>
      </w:r>
      <w:r w:rsidR="007B5CF4" w:rsidRPr="00F824C1">
        <w:rPr>
          <w:rFonts w:cs="Calibri"/>
          <w:color w:val="000000"/>
          <w:sz w:val="22"/>
          <w:szCs w:val="22"/>
          <w:lang w:val="sl-SI"/>
        </w:rPr>
        <w:t xml:space="preserve"> K</w:t>
      </w:r>
      <w:r w:rsidR="007B5CF4" w:rsidRPr="00F824C1">
        <w:rPr>
          <w:rFonts w:cs="Calibri"/>
          <w:color w:val="000000"/>
          <w:sz w:val="22"/>
          <w:szCs w:val="22"/>
        </w:rPr>
        <w:t>ao što se sa slika  može videti toplotna stabilnost elastomera sa mineralnim i procesnim uljem je gotovo identična, pri čemu je kod elastomera na osnovu EPDM kaučuka dodavanjem mineralnog ulja toplotna stabilnost blago povišena. Ovo je očekivano s obzirom na hemijsku strukturu makromolekula EPDM kaučuka.</w:t>
      </w:r>
    </w:p>
    <w:p w:rsidR="00C01C82" w:rsidRDefault="00C01C82" w:rsidP="00EA05F7">
      <w:pPr>
        <w:spacing w:line="200" w:lineRule="atLeast"/>
        <w:rPr>
          <w:rFonts w:cs="Calibri"/>
          <w:color w:val="000000"/>
          <w:lang w:val="sl-SI"/>
        </w:rPr>
      </w:pPr>
    </w:p>
    <w:p w:rsidR="00C01C82" w:rsidRDefault="00EB6D86">
      <w:pPr>
        <w:spacing w:line="200" w:lineRule="atLeast"/>
        <w:jc w:val="center"/>
        <w:rPr>
          <w:rFonts w:cs="Calibri"/>
          <w:color w:val="000000"/>
          <w:lang w:val="sl-SI"/>
        </w:rPr>
      </w:pPr>
      <w:r>
        <w:rPr>
          <w:noProof/>
          <w:color w:val="000080"/>
          <w:sz w:val="18"/>
          <w:lang w:eastAsia="en-US"/>
        </w:rPr>
        <w:drawing>
          <wp:inline distT="0" distB="0" distL="0" distR="0">
            <wp:extent cx="4998720" cy="36576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4998720" cy="3657600"/>
                    </a:xfrm>
                    <a:prstGeom prst="rect">
                      <a:avLst/>
                    </a:prstGeom>
                    <a:solidFill>
                      <a:srgbClr val="FFFFFF"/>
                    </a:solidFill>
                    <a:ln w="9525">
                      <a:noFill/>
                      <a:miter lim="800000"/>
                      <a:headEnd/>
                      <a:tailEnd/>
                    </a:ln>
                  </pic:spPr>
                </pic:pic>
              </a:graphicData>
            </a:graphic>
          </wp:inline>
        </w:drawing>
      </w:r>
    </w:p>
    <w:p w:rsidR="00EA05F7" w:rsidRDefault="00EA05F7">
      <w:pPr>
        <w:spacing w:line="200" w:lineRule="atLeast"/>
        <w:jc w:val="center"/>
        <w:rPr>
          <w:rFonts w:cs="Calibri"/>
          <w:i/>
          <w:color w:val="000000"/>
          <w:sz w:val="22"/>
          <w:szCs w:val="22"/>
          <w:lang w:val="sr-Latn-CS"/>
        </w:rPr>
      </w:pPr>
    </w:p>
    <w:p w:rsidR="00C01C82" w:rsidRDefault="007B5CF4">
      <w:pPr>
        <w:spacing w:line="200" w:lineRule="atLeast"/>
        <w:jc w:val="center"/>
        <w:rPr>
          <w:rFonts w:cs="Calibri"/>
          <w:i/>
          <w:color w:val="000000"/>
          <w:sz w:val="22"/>
          <w:szCs w:val="22"/>
        </w:rPr>
      </w:pPr>
      <w:r>
        <w:rPr>
          <w:rFonts w:cs="Calibri"/>
          <w:i/>
          <w:color w:val="000000"/>
          <w:sz w:val="22"/>
          <w:szCs w:val="22"/>
          <w:lang w:val="sr-Latn-CS"/>
        </w:rPr>
        <w:t xml:space="preserve">Slika 2. </w:t>
      </w:r>
      <w:r>
        <w:rPr>
          <w:rFonts w:cs="Calibri"/>
          <w:i/>
          <w:color w:val="000000"/>
          <w:sz w:val="22"/>
          <w:szCs w:val="22"/>
        </w:rPr>
        <w:t>TGA krive elastomera na osnovu NR kaučuka registrovane u atmosferi azota</w:t>
      </w:r>
    </w:p>
    <w:p w:rsidR="00C01C82" w:rsidRDefault="00C01C82" w:rsidP="007D0A00">
      <w:pPr>
        <w:spacing w:line="200" w:lineRule="atLeast"/>
        <w:rPr>
          <w:color w:val="000000"/>
          <w:sz w:val="20"/>
          <w:szCs w:val="20"/>
        </w:rPr>
      </w:pPr>
    </w:p>
    <w:p w:rsidR="00055D5F" w:rsidRDefault="00055D5F" w:rsidP="007D0A00">
      <w:pPr>
        <w:spacing w:line="200" w:lineRule="atLeast"/>
        <w:rPr>
          <w:color w:val="000000"/>
          <w:sz w:val="20"/>
          <w:szCs w:val="20"/>
        </w:rPr>
      </w:pPr>
    </w:p>
    <w:p w:rsidR="005859C5" w:rsidRDefault="00EB6D86" w:rsidP="00055D5F">
      <w:pPr>
        <w:spacing w:line="200" w:lineRule="atLeast"/>
        <w:jc w:val="center"/>
        <w:rPr>
          <w:rFonts w:cs="Calibri"/>
          <w:i/>
          <w:color w:val="000000"/>
          <w:sz w:val="22"/>
          <w:szCs w:val="22"/>
          <w:lang w:val="sr-Latn-CS"/>
        </w:rPr>
      </w:pPr>
      <w:r>
        <w:rPr>
          <w:noProof/>
          <w:color w:val="000080"/>
          <w:sz w:val="18"/>
          <w:lang w:eastAsia="en-US"/>
        </w:rPr>
        <w:drawing>
          <wp:inline distT="0" distB="0" distL="0" distR="0">
            <wp:extent cx="5010785" cy="3651250"/>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srcRect/>
                    <a:stretch>
                      <a:fillRect/>
                    </a:stretch>
                  </pic:blipFill>
                  <pic:spPr bwMode="auto">
                    <a:xfrm>
                      <a:off x="0" y="0"/>
                      <a:ext cx="5010785" cy="3651250"/>
                    </a:xfrm>
                    <a:prstGeom prst="rect">
                      <a:avLst/>
                    </a:prstGeom>
                    <a:solidFill>
                      <a:srgbClr val="FFFFFF"/>
                    </a:solidFill>
                    <a:ln w="9525">
                      <a:noFill/>
                      <a:miter lim="800000"/>
                      <a:headEnd/>
                      <a:tailEnd/>
                    </a:ln>
                  </pic:spPr>
                </pic:pic>
              </a:graphicData>
            </a:graphic>
          </wp:inline>
        </w:drawing>
      </w:r>
    </w:p>
    <w:p w:rsidR="00C01C82" w:rsidRPr="00055D5F" w:rsidRDefault="007B5CF4" w:rsidP="00055D5F">
      <w:pPr>
        <w:spacing w:line="200" w:lineRule="atLeast"/>
        <w:jc w:val="center"/>
        <w:rPr>
          <w:color w:val="000000"/>
          <w:sz w:val="20"/>
          <w:szCs w:val="20"/>
        </w:rPr>
      </w:pPr>
      <w:r>
        <w:rPr>
          <w:rFonts w:cs="Calibri"/>
          <w:i/>
          <w:color w:val="000000"/>
          <w:sz w:val="22"/>
          <w:szCs w:val="22"/>
          <w:lang w:val="sr-Latn-CS"/>
        </w:rPr>
        <w:t xml:space="preserve">Slika 3. </w:t>
      </w:r>
      <w:r>
        <w:rPr>
          <w:rFonts w:cs="Calibri"/>
          <w:i/>
          <w:color w:val="000000"/>
          <w:sz w:val="22"/>
          <w:szCs w:val="22"/>
        </w:rPr>
        <w:t>TGA krive elastomera na osnovu NBR kaučuka registrovane u atmosferi azota</w:t>
      </w:r>
    </w:p>
    <w:p w:rsidR="00C01C82" w:rsidRDefault="00C01C82">
      <w:pPr>
        <w:spacing w:line="200" w:lineRule="atLeast"/>
        <w:jc w:val="center"/>
        <w:rPr>
          <w:color w:val="000000"/>
        </w:rPr>
      </w:pPr>
    </w:p>
    <w:p w:rsidR="00C01C82" w:rsidRDefault="00EB6D86" w:rsidP="00DC0DF3">
      <w:pPr>
        <w:spacing w:line="200" w:lineRule="atLeast"/>
        <w:jc w:val="center"/>
        <w:rPr>
          <w:color w:val="000000"/>
        </w:rPr>
      </w:pPr>
      <w:r>
        <w:rPr>
          <w:noProof/>
          <w:color w:val="000080"/>
          <w:sz w:val="18"/>
          <w:lang w:eastAsia="en-US"/>
        </w:rPr>
        <w:drawing>
          <wp:inline distT="0" distB="0" distL="0" distR="0">
            <wp:extent cx="5010785" cy="365125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5010785" cy="3651250"/>
                    </a:xfrm>
                    <a:prstGeom prst="rect">
                      <a:avLst/>
                    </a:prstGeom>
                    <a:solidFill>
                      <a:srgbClr val="FFFFFF"/>
                    </a:solidFill>
                    <a:ln w="9525">
                      <a:noFill/>
                      <a:miter lim="800000"/>
                      <a:headEnd/>
                      <a:tailEnd/>
                    </a:ln>
                  </pic:spPr>
                </pic:pic>
              </a:graphicData>
            </a:graphic>
          </wp:inline>
        </w:drawing>
      </w:r>
    </w:p>
    <w:p w:rsidR="00C01C82" w:rsidRDefault="00C01C82" w:rsidP="00DC0DF3">
      <w:pPr>
        <w:spacing w:line="200" w:lineRule="atLeast"/>
        <w:rPr>
          <w:color w:val="000000"/>
        </w:rPr>
      </w:pPr>
    </w:p>
    <w:p w:rsidR="00C01C82" w:rsidRDefault="007B5CF4">
      <w:pPr>
        <w:spacing w:line="200" w:lineRule="atLeast"/>
        <w:jc w:val="center"/>
        <w:rPr>
          <w:rFonts w:cs="Calibri"/>
          <w:i/>
          <w:color w:val="000000"/>
          <w:sz w:val="22"/>
          <w:szCs w:val="22"/>
        </w:rPr>
      </w:pPr>
      <w:r>
        <w:rPr>
          <w:rFonts w:cs="Calibri"/>
          <w:i/>
          <w:color w:val="000000"/>
          <w:sz w:val="22"/>
          <w:szCs w:val="22"/>
          <w:lang w:val="sr-Latn-CS"/>
        </w:rPr>
        <w:t xml:space="preserve">Slika 4. </w:t>
      </w:r>
      <w:r>
        <w:rPr>
          <w:rFonts w:cs="Calibri"/>
          <w:i/>
          <w:color w:val="000000"/>
          <w:sz w:val="22"/>
          <w:szCs w:val="22"/>
        </w:rPr>
        <w:t>TGA krive elastomera na osnovu EPDM kaučuka registrovane u atmosferi azota</w:t>
      </w:r>
    </w:p>
    <w:p w:rsidR="00DC0DF3" w:rsidRDefault="00DC0DF3" w:rsidP="007D0A00">
      <w:pPr>
        <w:spacing w:line="200" w:lineRule="atLeast"/>
        <w:rPr>
          <w:rFonts w:cs="Calibri"/>
          <w:i/>
          <w:color w:val="000000"/>
          <w:sz w:val="22"/>
          <w:szCs w:val="22"/>
        </w:rPr>
      </w:pPr>
    </w:p>
    <w:p w:rsidR="00C01C82" w:rsidRDefault="00C01C82">
      <w:pPr>
        <w:spacing w:line="200" w:lineRule="atLeast"/>
        <w:jc w:val="center"/>
        <w:rPr>
          <w:color w:val="000000"/>
          <w:sz w:val="20"/>
          <w:szCs w:val="20"/>
        </w:rPr>
      </w:pPr>
    </w:p>
    <w:p w:rsidR="00800C27" w:rsidRDefault="00EB6D86" w:rsidP="00800C27">
      <w:pPr>
        <w:spacing w:line="200" w:lineRule="atLeast"/>
        <w:jc w:val="center"/>
        <w:rPr>
          <w:rFonts w:cs="Calibri"/>
          <w:i/>
          <w:color w:val="000000"/>
          <w:sz w:val="22"/>
          <w:szCs w:val="22"/>
          <w:lang w:val="sr-Latn-CS"/>
        </w:rPr>
      </w:pPr>
      <w:r>
        <w:rPr>
          <w:noProof/>
          <w:color w:val="000080"/>
          <w:sz w:val="18"/>
          <w:lang w:eastAsia="en-US"/>
        </w:rPr>
        <w:drawing>
          <wp:inline distT="0" distB="0" distL="0" distR="0">
            <wp:extent cx="5010785" cy="3651250"/>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srcRect/>
                    <a:stretch>
                      <a:fillRect/>
                    </a:stretch>
                  </pic:blipFill>
                  <pic:spPr bwMode="auto">
                    <a:xfrm>
                      <a:off x="0" y="0"/>
                      <a:ext cx="5010785" cy="3651250"/>
                    </a:xfrm>
                    <a:prstGeom prst="rect">
                      <a:avLst/>
                    </a:prstGeom>
                    <a:solidFill>
                      <a:srgbClr val="FFFFFF"/>
                    </a:solidFill>
                    <a:ln w="9525">
                      <a:noFill/>
                      <a:miter lim="800000"/>
                      <a:headEnd/>
                      <a:tailEnd/>
                    </a:ln>
                  </pic:spPr>
                </pic:pic>
              </a:graphicData>
            </a:graphic>
          </wp:inline>
        </w:drawing>
      </w:r>
    </w:p>
    <w:p w:rsidR="00CC7AB8" w:rsidRDefault="00CC7AB8" w:rsidP="00800C27">
      <w:pPr>
        <w:spacing w:line="200" w:lineRule="atLeast"/>
        <w:jc w:val="center"/>
        <w:rPr>
          <w:rFonts w:cs="Calibri"/>
          <w:i/>
          <w:color w:val="000000"/>
          <w:sz w:val="22"/>
          <w:szCs w:val="22"/>
          <w:lang w:val="sr-Latn-CS"/>
        </w:rPr>
      </w:pPr>
    </w:p>
    <w:p w:rsidR="00C01C82" w:rsidRPr="00800C27" w:rsidRDefault="007B5CF4" w:rsidP="00800C27">
      <w:pPr>
        <w:spacing w:line="200" w:lineRule="atLeast"/>
        <w:jc w:val="center"/>
        <w:rPr>
          <w:color w:val="000000"/>
          <w:sz w:val="20"/>
          <w:szCs w:val="20"/>
        </w:rPr>
      </w:pPr>
      <w:r>
        <w:rPr>
          <w:rFonts w:cs="Calibri"/>
          <w:i/>
          <w:color w:val="000000"/>
          <w:sz w:val="22"/>
          <w:szCs w:val="22"/>
          <w:lang w:val="sr-Latn-CS"/>
        </w:rPr>
        <w:t xml:space="preserve">Slika 5. </w:t>
      </w:r>
      <w:r>
        <w:rPr>
          <w:rFonts w:cs="Calibri"/>
          <w:i/>
          <w:color w:val="000000"/>
          <w:sz w:val="22"/>
          <w:szCs w:val="22"/>
        </w:rPr>
        <w:t>TGA krive elastomera na osnovu EU kaučuka registrovane u atmosferi azota</w:t>
      </w:r>
    </w:p>
    <w:p w:rsidR="00C01C82" w:rsidRDefault="00C01C82">
      <w:pPr>
        <w:spacing w:line="200" w:lineRule="atLeast"/>
        <w:jc w:val="both"/>
        <w:rPr>
          <w:color w:val="000000"/>
          <w:sz w:val="20"/>
          <w:szCs w:val="20"/>
        </w:rPr>
      </w:pPr>
    </w:p>
    <w:p w:rsidR="00C15CB5" w:rsidRDefault="00C15CB5" w:rsidP="00055D5F">
      <w:pPr>
        <w:rPr>
          <w:b/>
          <w:color w:val="000000"/>
          <w:w w:val="103"/>
          <w:sz w:val="22"/>
          <w:szCs w:val="22"/>
        </w:rPr>
      </w:pPr>
    </w:p>
    <w:p w:rsidR="00C01C82" w:rsidRDefault="00E129AF" w:rsidP="00800C27">
      <w:pPr>
        <w:jc w:val="center"/>
        <w:rPr>
          <w:b/>
          <w:color w:val="000000"/>
          <w:w w:val="103"/>
          <w:sz w:val="22"/>
          <w:szCs w:val="22"/>
        </w:rPr>
      </w:pPr>
      <w:r w:rsidRPr="00F824C1">
        <w:rPr>
          <w:b/>
          <w:color w:val="000000"/>
          <w:w w:val="103"/>
          <w:sz w:val="22"/>
          <w:szCs w:val="22"/>
        </w:rPr>
        <w:t xml:space="preserve">5. </w:t>
      </w:r>
      <w:r w:rsidR="00800C27">
        <w:rPr>
          <w:b/>
          <w:color w:val="000000"/>
          <w:w w:val="103"/>
          <w:sz w:val="22"/>
          <w:szCs w:val="22"/>
        </w:rPr>
        <w:t>ZAKLJUČAK</w:t>
      </w:r>
    </w:p>
    <w:p w:rsidR="00C15CB5" w:rsidRPr="00F824C1" w:rsidRDefault="00C15CB5" w:rsidP="00800C27">
      <w:pPr>
        <w:jc w:val="center"/>
        <w:rPr>
          <w:color w:val="000000"/>
          <w:sz w:val="22"/>
          <w:szCs w:val="22"/>
        </w:rPr>
      </w:pPr>
    </w:p>
    <w:p w:rsidR="00C01C82" w:rsidRPr="00F824C1" w:rsidRDefault="00BB416A" w:rsidP="00F824C1">
      <w:pPr>
        <w:autoSpaceDE w:val="0"/>
        <w:jc w:val="both"/>
        <w:rPr>
          <w:rFonts w:cs="Calibri"/>
          <w:color w:val="000000"/>
          <w:sz w:val="22"/>
          <w:szCs w:val="22"/>
        </w:rPr>
      </w:pPr>
      <w:r>
        <w:rPr>
          <w:rFonts w:cs="Calibri"/>
          <w:color w:val="000000"/>
          <w:sz w:val="22"/>
          <w:szCs w:val="22"/>
        </w:rPr>
        <w:t xml:space="preserve">    </w:t>
      </w:r>
      <w:r w:rsidR="007B5CF4" w:rsidRPr="00F824C1">
        <w:rPr>
          <w:rFonts w:cs="Calibri"/>
          <w:color w:val="000000"/>
          <w:sz w:val="22"/>
          <w:szCs w:val="22"/>
        </w:rPr>
        <w:t xml:space="preserve">U radu su primenjena mineralna i procesna ulja kao zamena za industrijski prihvaćena referentna ulja u sistemima sa EPDM, NBR, NR i EU kaučukom. Ustanovljeno je da se korišćena ulja mogu industrijski primeniti kao plastifikatori kod elastomernih materijala jer nemaju nepovoljan uticaj na režim umrežavanja. Korišćena ulja značajno poboljšavaju i toplotnu postojanost materijala dobijenih od EPDM, NBR i NR kaučuka u inertnoj atmosferi. Do povećanja toplotne stabilnosti dolazi zbog pojačane  interakcije između ulja i umreženih lanaca kaučuka, kao i zbog povećanog udela cikličnih aromatskih derivata u mineralnom ili procesnom ulju u poređenju sa referentnim uljima. </w:t>
      </w:r>
    </w:p>
    <w:p w:rsidR="00C01C82" w:rsidRPr="00F824C1" w:rsidRDefault="00C01C82" w:rsidP="00F824C1">
      <w:pPr>
        <w:autoSpaceDE w:val="0"/>
        <w:rPr>
          <w:color w:val="000000"/>
          <w:sz w:val="22"/>
          <w:szCs w:val="22"/>
        </w:rPr>
      </w:pPr>
    </w:p>
    <w:p w:rsidR="00C01C82" w:rsidRPr="00F824C1" w:rsidRDefault="00C01C82" w:rsidP="00F824C1">
      <w:pPr>
        <w:autoSpaceDE w:val="0"/>
        <w:rPr>
          <w:color w:val="000000"/>
          <w:sz w:val="22"/>
          <w:szCs w:val="22"/>
        </w:rPr>
      </w:pPr>
    </w:p>
    <w:p w:rsidR="00C01C82" w:rsidRDefault="00800C27" w:rsidP="00F824C1">
      <w:pPr>
        <w:autoSpaceDE w:val="0"/>
        <w:jc w:val="center"/>
        <w:rPr>
          <w:rFonts w:eastAsia="Calibri" w:cs="Calibri"/>
          <w:b/>
          <w:color w:val="000000"/>
          <w:sz w:val="22"/>
          <w:szCs w:val="22"/>
          <w:lang w:val="en-GB"/>
        </w:rPr>
      </w:pPr>
      <w:r>
        <w:rPr>
          <w:rFonts w:eastAsia="Calibri" w:cs="Calibri"/>
          <w:b/>
          <w:color w:val="000000"/>
          <w:sz w:val="22"/>
          <w:szCs w:val="22"/>
          <w:lang w:val="en-GB"/>
        </w:rPr>
        <w:t>6. ZAHVALNICA</w:t>
      </w:r>
    </w:p>
    <w:p w:rsidR="00C15CB5" w:rsidRPr="00F824C1" w:rsidRDefault="00C15CB5" w:rsidP="00F824C1">
      <w:pPr>
        <w:autoSpaceDE w:val="0"/>
        <w:jc w:val="center"/>
        <w:rPr>
          <w:rFonts w:eastAsia="Calibri" w:cs="Calibri"/>
          <w:b/>
          <w:color w:val="000000"/>
          <w:sz w:val="22"/>
          <w:szCs w:val="22"/>
          <w:lang w:val="en-GB"/>
        </w:rPr>
      </w:pPr>
    </w:p>
    <w:p w:rsidR="00C01C82" w:rsidRPr="00F824C1" w:rsidRDefault="00BB416A" w:rsidP="00F824C1">
      <w:pPr>
        <w:autoSpaceDE w:val="0"/>
        <w:jc w:val="both"/>
        <w:rPr>
          <w:rFonts w:eastAsia="Calibri" w:cs="Calibri"/>
          <w:color w:val="000000"/>
          <w:sz w:val="22"/>
          <w:szCs w:val="22"/>
          <w:lang w:val="sr-Cyrl-CS"/>
        </w:rPr>
      </w:pPr>
      <w:r>
        <w:rPr>
          <w:rFonts w:eastAsia="Calibri" w:cs="Calibri"/>
          <w:color w:val="000000"/>
          <w:sz w:val="22"/>
          <w:szCs w:val="22"/>
          <w:lang w:val="en-GB"/>
        </w:rPr>
        <w:t xml:space="preserve">    </w:t>
      </w:r>
      <w:r w:rsidR="007B5CF4" w:rsidRPr="00F824C1">
        <w:rPr>
          <w:rFonts w:eastAsia="Calibri" w:cs="Calibri"/>
          <w:color w:val="000000"/>
          <w:sz w:val="22"/>
          <w:szCs w:val="22"/>
          <w:lang w:val="en-GB"/>
        </w:rPr>
        <w:t xml:space="preserve">Autori se zahvaljuju za finansijsku podršku </w:t>
      </w:r>
      <w:r w:rsidR="007B5CF4" w:rsidRPr="00F824C1">
        <w:rPr>
          <w:rFonts w:eastAsia="Calibri" w:cs="Calibri"/>
          <w:iCs/>
          <w:color w:val="000000"/>
          <w:sz w:val="22"/>
          <w:szCs w:val="22"/>
        </w:rPr>
        <w:t>Ministarstvu za obrazovanje, nauku i tehnološki razvoj Republike Srbije</w:t>
      </w:r>
      <w:r w:rsidR="007B5CF4" w:rsidRPr="00F824C1">
        <w:rPr>
          <w:rFonts w:eastAsia="Calibri" w:cs="Calibri"/>
          <w:color w:val="000000"/>
          <w:sz w:val="22"/>
          <w:szCs w:val="22"/>
          <w:lang w:val="en-GB"/>
        </w:rPr>
        <w:t xml:space="preserve">, Projekat No. III 45022, i </w:t>
      </w:r>
      <w:r w:rsidR="007B5CF4" w:rsidRPr="00F824C1">
        <w:rPr>
          <w:rFonts w:eastAsia="Calibri" w:cs="Calibri"/>
          <w:color w:val="000000"/>
          <w:sz w:val="22"/>
          <w:szCs w:val="22"/>
        </w:rPr>
        <w:t xml:space="preserve">Pokrajinskom Sekretarijatu za nauku I tehnološki razvoj, Grant </w:t>
      </w:r>
      <w:r w:rsidR="007B5CF4" w:rsidRPr="00F824C1">
        <w:rPr>
          <w:rFonts w:eastAsia="Calibri" w:cs="Calibri"/>
          <w:color w:val="000000"/>
          <w:sz w:val="22"/>
          <w:szCs w:val="22"/>
          <w:lang w:val="ru-RU"/>
        </w:rPr>
        <w:t>114-451-2396/</w:t>
      </w:r>
      <w:r w:rsidR="007B5CF4" w:rsidRPr="00F824C1">
        <w:rPr>
          <w:rFonts w:eastAsia="Calibri" w:cs="Calibri"/>
          <w:color w:val="000000"/>
          <w:sz w:val="22"/>
          <w:szCs w:val="22"/>
          <w:lang w:val="sr-Cyrl-CS"/>
        </w:rPr>
        <w:t>2011-01.</w:t>
      </w:r>
    </w:p>
    <w:p w:rsidR="00C01C82" w:rsidRDefault="00C01C82" w:rsidP="00F824C1">
      <w:pPr>
        <w:autoSpaceDE w:val="0"/>
        <w:jc w:val="both"/>
        <w:rPr>
          <w:color w:val="000000"/>
          <w:sz w:val="22"/>
          <w:szCs w:val="22"/>
        </w:rPr>
      </w:pPr>
    </w:p>
    <w:p w:rsidR="00C15CB5" w:rsidRPr="00F824C1" w:rsidRDefault="00C15CB5" w:rsidP="00F824C1">
      <w:pPr>
        <w:autoSpaceDE w:val="0"/>
        <w:jc w:val="both"/>
        <w:rPr>
          <w:color w:val="000000"/>
          <w:sz w:val="22"/>
          <w:szCs w:val="22"/>
        </w:rPr>
      </w:pPr>
    </w:p>
    <w:p w:rsidR="00C01C82" w:rsidRPr="00F824C1" w:rsidRDefault="00800C27" w:rsidP="00F824C1">
      <w:pPr>
        <w:autoSpaceDE w:val="0"/>
        <w:jc w:val="center"/>
        <w:rPr>
          <w:b/>
          <w:bCs/>
          <w:color w:val="000000"/>
          <w:w w:val="106"/>
          <w:sz w:val="22"/>
          <w:szCs w:val="22"/>
        </w:rPr>
      </w:pPr>
      <w:r>
        <w:rPr>
          <w:b/>
          <w:bCs/>
          <w:color w:val="000000"/>
          <w:w w:val="106"/>
          <w:sz w:val="22"/>
          <w:szCs w:val="22"/>
        </w:rPr>
        <w:t>7. LITERATURA</w:t>
      </w:r>
    </w:p>
    <w:p w:rsidR="00C01C82" w:rsidRPr="00F824C1" w:rsidRDefault="00C01C82" w:rsidP="00F824C1">
      <w:pPr>
        <w:autoSpaceDE w:val="0"/>
        <w:jc w:val="both"/>
        <w:rPr>
          <w:color w:val="000000"/>
          <w:sz w:val="22"/>
          <w:szCs w:val="22"/>
        </w:rPr>
      </w:pPr>
    </w:p>
    <w:p w:rsidR="00C01C82" w:rsidRPr="00F824C1" w:rsidRDefault="007B5CF4" w:rsidP="00F824C1">
      <w:pPr>
        <w:pStyle w:val="ListParagraph"/>
        <w:numPr>
          <w:ilvl w:val="0"/>
          <w:numId w:val="1"/>
        </w:numPr>
        <w:tabs>
          <w:tab w:val="left" w:pos="392"/>
          <w:tab w:val="left" w:pos="720"/>
        </w:tabs>
        <w:autoSpaceDE w:val="0"/>
        <w:jc w:val="both"/>
        <w:rPr>
          <w:rFonts w:cs="Calibri"/>
          <w:color w:val="000000"/>
          <w:sz w:val="22"/>
          <w:szCs w:val="22"/>
        </w:rPr>
      </w:pPr>
      <w:r w:rsidRPr="00F824C1">
        <w:rPr>
          <w:rFonts w:cs="Calibri"/>
          <w:color w:val="000000"/>
          <w:sz w:val="22"/>
          <w:szCs w:val="22"/>
        </w:rPr>
        <w:t>Botros S., Tawfic M., Compatibility and thermal stability of EPDM-NBR elastomer blends,  Journal of Elastomers and Plastics 37</w:t>
      </w:r>
      <w:r w:rsidRPr="00F824C1">
        <w:rPr>
          <w:color w:val="000000"/>
          <w:sz w:val="22"/>
          <w:szCs w:val="22"/>
        </w:rPr>
        <w:t>:</w:t>
      </w:r>
      <w:r w:rsidRPr="00F824C1">
        <w:rPr>
          <w:rFonts w:cs="Calibri"/>
          <w:color w:val="000000"/>
          <w:sz w:val="22"/>
          <w:szCs w:val="22"/>
        </w:rPr>
        <w:t xml:space="preserve">299-317(2005). </w:t>
      </w:r>
    </w:p>
    <w:p w:rsidR="00C01C82" w:rsidRPr="00F824C1" w:rsidRDefault="007B5CF4" w:rsidP="00F824C1">
      <w:pPr>
        <w:pStyle w:val="ListParagraph"/>
        <w:numPr>
          <w:ilvl w:val="0"/>
          <w:numId w:val="1"/>
        </w:numPr>
        <w:tabs>
          <w:tab w:val="left" w:pos="392"/>
          <w:tab w:val="left" w:pos="720"/>
        </w:tabs>
        <w:autoSpaceDE w:val="0"/>
        <w:jc w:val="both"/>
        <w:rPr>
          <w:rFonts w:eastAsia="Calibri" w:cs="Calibri"/>
          <w:color w:val="000000"/>
          <w:sz w:val="22"/>
          <w:szCs w:val="22"/>
          <w:lang w:val="sr-Latn-CS"/>
        </w:rPr>
      </w:pPr>
      <w:r w:rsidRPr="00F824C1">
        <w:rPr>
          <w:rFonts w:eastAsia="Calibri" w:cs="Calibri"/>
          <w:color w:val="000000"/>
          <w:sz w:val="22"/>
          <w:szCs w:val="22"/>
          <w:lang w:val="sr-Latn-CS"/>
        </w:rPr>
        <w:t>Samaržija-Jovanović S., Jovanović V., Marković G., Marinović-Cincović M., Journal of thermal analysis and calorimetry, 98(1)</w:t>
      </w:r>
      <w:r w:rsidRPr="00F824C1">
        <w:rPr>
          <w:color w:val="000000"/>
          <w:sz w:val="22"/>
          <w:szCs w:val="22"/>
        </w:rPr>
        <w:t>:</w:t>
      </w:r>
      <w:r w:rsidRPr="00F824C1">
        <w:rPr>
          <w:rFonts w:eastAsia="Calibri" w:cs="Calibri"/>
          <w:color w:val="000000"/>
          <w:sz w:val="22"/>
          <w:szCs w:val="22"/>
          <w:lang w:val="sr-Latn-CS"/>
        </w:rPr>
        <w:t>275-283(2009).</w:t>
      </w:r>
    </w:p>
    <w:p w:rsidR="00C01C82" w:rsidRPr="00F824C1" w:rsidRDefault="007B5CF4" w:rsidP="00F824C1">
      <w:pPr>
        <w:numPr>
          <w:ilvl w:val="0"/>
          <w:numId w:val="1"/>
        </w:numPr>
        <w:shd w:val="clear" w:color="auto" w:fill="FFFFFF"/>
        <w:tabs>
          <w:tab w:val="left" w:pos="392"/>
          <w:tab w:val="left" w:pos="720"/>
        </w:tabs>
        <w:jc w:val="both"/>
        <w:rPr>
          <w:rFonts w:eastAsia="Calibri" w:cs="Calibri"/>
          <w:bCs/>
          <w:color w:val="000000"/>
          <w:sz w:val="22"/>
          <w:szCs w:val="22"/>
          <w:lang w:val="sr-Latn-CS"/>
        </w:rPr>
      </w:pPr>
      <w:r w:rsidRPr="00F824C1">
        <w:rPr>
          <w:rFonts w:eastAsia="Calibri" w:cs="Calibri"/>
          <w:color w:val="000000"/>
          <w:sz w:val="22"/>
          <w:szCs w:val="22"/>
          <w:lang w:val="sr-Latn-CS"/>
        </w:rPr>
        <w:t xml:space="preserve">Budinski-Simendić J., Milić J., Cvetković I., Radičević R.,  Korugic-Karasz Lj., </w:t>
      </w:r>
      <w:r w:rsidRPr="00F824C1">
        <w:rPr>
          <w:rFonts w:eastAsia="Calibri" w:cs="Calibri"/>
          <w:bCs/>
          <w:color w:val="000000"/>
          <w:sz w:val="22"/>
          <w:szCs w:val="22"/>
          <w:lang w:val="sr-Latn-CS"/>
        </w:rPr>
        <w:t>Vukov M., Mirković D., Hemijska Industrija, 60 (11-12)</w:t>
      </w:r>
      <w:r w:rsidRPr="00F824C1">
        <w:rPr>
          <w:color w:val="000000"/>
          <w:sz w:val="22"/>
          <w:szCs w:val="22"/>
        </w:rPr>
        <w:t>:</w:t>
      </w:r>
      <w:r w:rsidRPr="00F824C1">
        <w:rPr>
          <w:rFonts w:eastAsia="Calibri" w:cs="Calibri"/>
          <w:bCs/>
          <w:color w:val="000000"/>
          <w:sz w:val="22"/>
          <w:szCs w:val="22"/>
          <w:lang w:val="sr-Latn-CS"/>
        </w:rPr>
        <w:t xml:space="preserve">321-326 (2006). </w:t>
      </w:r>
    </w:p>
    <w:p w:rsidR="007B5CF4" w:rsidRPr="00055D5F" w:rsidRDefault="007B5CF4" w:rsidP="00055D5F">
      <w:pPr>
        <w:numPr>
          <w:ilvl w:val="0"/>
          <w:numId w:val="1"/>
        </w:numPr>
        <w:shd w:val="clear" w:color="auto" w:fill="FFFFFF"/>
        <w:tabs>
          <w:tab w:val="left" w:pos="392"/>
          <w:tab w:val="left" w:pos="720"/>
        </w:tabs>
        <w:jc w:val="both"/>
        <w:rPr>
          <w:rFonts w:eastAsia="Calibri" w:cs="Calibri"/>
          <w:color w:val="000000"/>
          <w:sz w:val="22"/>
          <w:szCs w:val="22"/>
          <w:lang w:val="sr-Latn-CS"/>
        </w:rPr>
      </w:pPr>
      <w:r w:rsidRPr="00F824C1">
        <w:rPr>
          <w:rFonts w:eastAsia="Calibri" w:cs="Calibri"/>
          <w:bCs/>
          <w:color w:val="000000"/>
          <w:sz w:val="22"/>
          <w:szCs w:val="22"/>
          <w:lang w:val="sr-Latn-CS"/>
        </w:rPr>
        <w:t>Janković B., Marinović-Cincović M., Jovanović V., Samaržija-Jovanović S., Marković G.,  Thermochimica Acta, 543</w:t>
      </w:r>
      <w:r w:rsidRPr="00F824C1">
        <w:rPr>
          <w:color w:val="000000"/>
          <w:sz w:val="22"/>
          <w:szCs w:val="22"/>
        </w:rPr>
        <w:t>:295-303</w:t>
      </w:r>
      <w:r w:rsidRPr="00F824C1">
        <w:rPr>
          <w:rFonts w:eastAsia="Calibri" w:cs="Calibri"/>
          <w:color w:val="000000"/>
          <w:sz w:val="22"/>
          <w:szCs w:val="22"/>
          <w:lang w:val="sr-Latn-CS"/>
        </w:rPr>
        <w:t>(2012).</w:t>
      </w:r>
    </w:p>
    <w:sectPr w:rsidR="007B5CF4" w:rsidRPr="00055D5F" w:rsidSect="00C01C82">
      <w:footnotePr>
        <w:pos w:val="beneathText"/>
      </w:footnotePr>
      <w:pgSz w:w="11905" w:h="16837"/>
      <w:pgMar w:top="1456" w:right="1457" w:bottom="1456" w:left="1457" w:header="1400" w:footer="140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54E3" w:rsidRDefault="001154E3">
      <w:r>
        <w:separator/>
      </w:r>
    </w:p>
  </w:endnote>
  <w:endnote w:type="continuationSeparator" w:id="1">
    <w:p w:rsidR="001154E3" w:rsidRDefault="001154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tarSymbol">
    <w:altName w:val="Arial Unicode MS"/>
    <w:charset w:val="80"/>
    <w:family w:val="auto"/>
    <w:pitch w:val="default"/>
    <w:sig w:usb0="00000000" w:usb1="00000000" w:usb2="00000000" w:usb3="00000000" w:csb0="00000000" w:csb1="00000000"/>
  </w:font>
  <w:font w:name="Liberation Sans">
    <w:charset w:val="00"/>
    <w:family w:val="swiss"/>
    <w:pitch w:val="variable"/>
    <w:sig w:usb0="00000000" w:usb1="00000000" w:usb2="00000000" w:usb3="00000000" w:csb0="00000000" w:csb1="00000000"/>
  </w:font>
  <w:font w:name="DejaVu Sans">
    <w:charset w:val="00"/>
    <w:family w:val="auto"/>
    <w:pitch w:val="variable"/>
    <w:sig w:usb0="00000000" w:usb1="00000000" w:usb2="00000000" w:usb3="00000000" w:csb0="00000000" w:csb1="00000000"/>
  </w:font>
  <w:font w:name="Tahoma">
    <w:panose1 w:val="020B0604030504040204"/>
    <w:charset w:val="00"/>
    <w:family w:val="swiss"/>
    <w:pitch w:val="variable"/>
    <w:sig w:usb0="61002A87" w:usb1="80000000" w:usb2="00000008" w:usb3="00000000" w:csb0="000101FF" w:csb1="00000000"/>
  </w:font>
  <w:font w:name="Times">
    <w:altName w:val="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54E3" w:rsidRDefault="001154E3">
      <w:r>
        <w:separator/>
      </w:r>
    </w:p>
  </w:footnote>
  <w:footnote w:type="continuationSeparator" w:id="1">
    <w:p w:rsidR="001154E3" w:rsidRDefault="001154E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392"/>
        </w:tabs>
        <w:ind w:left="392" w:hanging="369"/>
      </w:pPr>
    </w:lvl>
    <w:lvl w:ilvl="1">
      <w:start w:val="1"/>
      <w:numFmt w:val="bullet"/>
      <w:lvlText w:val=""/>
      <w:lvlJc w:val="left"/>
      <w:pPr>
        <w:tabs>
          <w:tab w:val="num" w:pos="720"/>
        </w:tabs>
        <w:ind w:left="720" w:firstLine="0"/>
      </w:pPr>
      <w:rPr>
        <w:rFonts w:ascii="Symbol" w:hAnsi="Symbol" w:cs="StarSymbol"/>
        <w:sz w:val="18"/>
        <w:szCs w:val="18"/>
      </w:rPr>
    </w:lvl>
    <w:lvl w:ilvl="2">
      <w:start w:val="1"/>
      <w:numFmt w:val="bullet"/>
      <w:lvlText w:val=""/>
      <w:lvlJc w:val="left"/>
      <w:pPr>
        <w:tabs>
          <w:tab w:val="num" w:pos="1080"/>
        </w:tabs>
        <w:ind w:left="1080" w:firstLine="0"/>
      </w:pPr>
      <w:rPr>
        <w:rFonts w:ascii="Symbol" w:hAnsi="Symbol" w:cs="StarSymbol"/>
        <w:sz w:val="18"/>
        <w:szCs w:val="18"/>
      </w:rPr>
    </w:lvl>
    <w:lvl w:ilvl="3">
      <w:start w:val="1"/>
      <w:numFmt w:val="bullet"/>
      <w:lvlText w:val=""/>
      <w:lvlJc w:val="left"/>
      <w:pPr>
        <w:tabs>
          <w:tab w:val="num" w:pos="1440"/>
        </w:tabs>
        <w:ind w:left="1440" w:firstLine="0"/>
      </w:pPr>
      <w:rPr>
        <w:rFonts w:ascii="Symbol" w:hAnsi="Symbol" w:cs="StarSymbol"/>
        <w:sz w:val="18"/>
        <w:szCs w:val="18"/>
      </w:rPr>
    </w:lvl>
    <w:lvl w:ilvl="4">
      <w:start w:val="1"/>
      <w:numFmt w:val="bullet"/>
      <w:lvlText w:val=""/>
      <w:lvlJc w:val="left"/>
      <w:pPr>
        <w:tabs>
          <w:tab w:val="num" w:pos="1800"/>
        </w:tabs>
        <w:ind w:left="1800" w:firstLine="0"/>
      </w:pPr>
      <w:rPr>
        <w:rFonts w:ascii="Symbol" w:hAnsi="Symbol" w:cs="StarSymbol"/>
        <w:sz w:val="18"/>
        <w:szCs w:val="18"/>
      </w:rPr>
    </w:lvl>
    <w:lvl w:ilvl="5">
      <w:start w:val="1"/>
      <w:numFmt w:val="bullet"/>
      <w:lvlText w:val=""/>
      <w:lvlJc w:val="left"/>
      <w:pPr>
        <w:tabs>
          <w:tab w:val="num" w:pos="2160"/>
        </w:tabs>
        <w:ind w:left="2160" w:firstLine="0"/>
      </w:pPr>
      <w:rPr>
        <w:rFonts w:ascii="Symbol" w:hAnsi="Symbol" w:cs="StarSymbol"/>
        <w:sz w:val="18"/>
        <w:szCs w:val="18"/>
      </w:rPr>
    </w:lvl>
    <w:lvl w:ilvl="6">
      <w:start w:val="1"/>
      <w:numFmt w:val="bullet"/>
      <w:lvlText w:val=""/>
      <w:lvlJc w:val="left"/>
      <w:pPr>
        <w:tabs>
          <w:tab w:val="num" w:pos="2520"/>
        </w:tabs>
        <w:ind w:left="2520" w:firstLine="0"/>
      </w:pPr>
      <w:rPr>
        <w:rFonts w:ascii="Symbol" w:hAnsi="Symbol" w:cs="StarSymbol"/>
        <w:sz w:val="18"/>
        <w:szCs w:val="18"/>
      </w:rPr>
    </w:lvl>
    <w:lvl w:ilvl="7">
      <w:start w:val="1"/>
      <w:numFmt w:val="bullet"/>
      <w:lvlText w:val=""/>
      <w:lvlJc w:val="left"/>
      <w:pPr>
        <w:tabs>
          <w:tab w:val="num" w:pos="2880"/>
        </w:tabs>
        <w:ind w:left="2880" w:firstLine="0"/>
      </w:pPr>
      <w:rPr>
        <w:rFonts w:ascii="Symbol" w:hAnsi="Symbol" w:cs="StarSymbol"/>
        <w:sz w:val="18"/>
        <w:szCs w:val="18"/>
      </w:rPr>
    </w:lvl>
    <w:lvl w:ilvl="8">
      <w:start w:val="1"/>
      <w:numFmt w:val="bullet"/>
      <w:lvlText w:val=""/>
      <w:lvlJc w:val="left"/>
      <w:pPr>
        <w:tabs>
          <w:tab w:val="num" w:pos="3240"/>
        </w:tabs>
        <w:ind w:left="3240" w:firstLine="0"/>
      </w:pPr>
      <w:rPr>
        <w:rFonts w:ascii="Symbol" w:hAnsi="Symbol" w:cs="StarSymbol"/>
        <w:sz w:val="18"/>
        <w:szCs w:val="18"/>
      </w:r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displayBackgroundShape/>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A07744"/>
    <w:rsid w:val="00055D5F"/>
    <w:rsid w:val="00081C45"/>
    <w:rsid w:val="000B37CD"/>
    <w:rsid w:val="001154E3"/>
    <w:rsid w:val="0019241B"/>
    <w:rsid w:val="002C293D"/>
    <w:rsid w:val="00321809"/>
    <w:rsid w:val="00342F7D"/>
    <w:rsid w:val="0040716B"/>
    <w:rsid w:val="005140D3"/>
    <w:rsid w:val="005859C5"/>
    <w:rsid w:val="005C781E"/>
    <w:rsid w:val="00613DB1"/>
    <w:rsid w:val="006B0D22"/>
    <w:rsid w:val="006C62BA"/>
    <w:rsid w:val="006D3277"/>
    <w:rsid w:val="007B5CF4"/>
    <w:rsid w:val="007D0A00"/>
    <w:rsid w:val="00800C27"/>
    <w:rsid w:val="008660C5"/>
    <w:rsid w:val="00871A4B"/>
    <w:rsid w:val="00916FB0"/>
    <w:rsid w:val="00982DA6"/>
    <w:rsid w:val="00A07744"/>
    <w:rsid w:val="00A47D74"/>
    <w:rsid w:val="00A84ECC"/>
    <w:rsid w:val="00B44C9F"/>
    <w:rsid w:val="00B7055B"/>
    <w:rsid w:val="00BA0D77"/>
    <w:rsid w:val="00BB416A"/>
    <w:rsid w:val="00BC049D"/>
    <w:rsid w:val="00C01C82"/>
    <w:rsid w:val="00C15CB5"/>
    <w:rsid w:val="00CB5686"/>
    <w:rsid w:val="00CC7AB8"/>
    <w:rsid w:val="00D138C2"/>
    <w:rsid w:val="00D22997"/>
    <w:rsid w:val="00DC0DF3"/>
    <w:rsid w:val="00DE264E"/>
    <w:rsid w:val="00E129AF"/>
    <w:rsid w:val="00E83DD3"/>
    <w:rsid w:val="00E866E1"/>
    <w:rsid w:val="00EA05F7"/>
    <w:rsid w:val="00EB6D86"/>
    <w:rsid w:val="00EE2B15"/>
    <w:rsid w:val="00EE3CAF"/>
    <w:rsid w:val="00F10D07"/>
    <w:rsid w:val="00F22AC9"/>
    <w:rsid w:val="00F56EF4"/>
    <w:rsid w:val="00F66736"/>
    <w:rsid w:val="00F824C1"/>
    <w:rsid w:val="00FA47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4]" strokecolor="none [1]" shadowcolor="none [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C82"/>
    <w:pPr>
      <w:suppressAutoHyphens/>
    </w:pPr>
    <w:rPr>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rsid w:val="00C01C82"/>
  </w:style>
  <w:style w:type="character" w:customStyle="1" w:styleId="WW-Absatz-Standardschriftart">
    <w:name w:val="WW-Absatz-Standardschriftart"/>
    <w:rsid w:val="00C01C82"/>
  </w:style>
  <w:style w:type="character" w:customStyle="1" w:styleId="WW-Absatz-Standardschriftart1">
    <w:name w:val="WW-Absatz-Standardschriftart1"/>
    <w:rsid w:val="00C01C82"/>
  </w:style>
  <w:style w:type="character" w:customStyle="1" w:styleId="WW-Absatz-Standardschriftart11">
    <w:name w:val="WW-Absatz-Standardschriftart11"/>
    <w:rsid w:val="00C01C82"/>
  </w:style>
  <w:style w:type="character" w:customStyle="1" w:styleId="WW-Absatz-Standardschriftart111">
    <w:name w:val="WW-Absatz-Standardschriftart111"/>
    <w:rsid w:val="00C01C82"/>
  </w:style>
  <w:style w:type="character" w:customStyle="1" w:styleId="WW-DefaultParagraphFont">
    <w:name w:val="WW-Default Paragraph Font"/>
    <w:rsid w:val="00C01C82"/>
  </w:style>
  <w:style w:type="character" w:customStyle="1" w:styleId="WW-Absatz-Standardschriftart1111">
    <w:name w:val="WW-Absatz-Standardschriftart1111"/>
    <w:rsid w:val="00C01C82"/>
  </w:style>
  <w:style w:type="character" w:customStyle="1" w:styleId="WW-DefaultParagraphFont1">
    <w:name w:val="WW-Default Paragraph Font1"/>
    <w:rsid w:val="00C01C82"/>
  </w:style>
  <w:style w:type="character" w:customStyle="1" w:styleId="HeaderChar">
    <w:name w:val="Header Char"/>
    <w:rsid w:val="00C01C82"/>
    <w:rPr>
      <w:sz w:val="24"/>
      <w:szCs w:val="24"/>
      <w:lang w:val="en-US"/>
    </w:rPr>
  </w:style>
  <w:style w:type="character" w:customStyle="1" w:styleId="FooterChar">
    <w:name w:val="Footer Char"/>
    <w:rsid w:val="00C01C82"/>
    <w:rPr>
      <w:sz w:val="24"/>
      <w:szCs w:val="24"/>
      <w:lang w:val="en-US"/>
    </w:rPr>
  </w:style>
  <w:style w:type="character" w:styleId="Hyperlink">
    <w:name w:val="Hyperlink"/>
    <w:basedOn w:val="DefaultParagraphFont"/>
    <w:semiHidden/>
    <w:rsid w:val="00C01C82"/>
    <w:rPr>
      <w:color w:val="0000FF"/>
      <w:u w:val="single"/>
    </w:rPr>
  </w:style>
  <w:style w:type="character" w:customStyle="1" w:styleId="WW8Num1z1">
    <w:name w:val="WW8Num1z1"/>
    <w:rsid w:val="00C01C82"/>
    <w:rPr>
      <w:rFonts w:ascii="Symbol" w:hAnsi="Symbol" w:cs="StarSymbol"/>
      <w:sz w:val="18"/>
      <w:szCs w:val="18"/>
    </w:rPr>
  </w:style>
  <w:style w:type="character" w:customStyle="1" w:styleId="WW8Num11z0">
    <w:name w:val="WW8Num11z0"/>
    <w:rsid w:val="00C01C82"/>
    <w:rPr>
      <w:rFonts w:ascii="Times New Roman" w:hAnsi="Times New Roman" w:cs="Times New Roman"/>
    </w:rPr>
  </w:style>
  <w:style w:type="paragraph" w:customStyle="1" w:styleId="Heading">
    <w:name w:val="Heading"/>
    <w:basedOn w:val="Normal"/>
    <w:next w:val="BodyText"/>
    <w:rsid w:val="00C01C82"/>
    <w:pPr>
      <w:keepNext/>
      <w:spacing w:before="240" w:after="120"/>
    </w:pPr>
    <w:rPr>
      <w:rFonts w:ascii="Liberation Sans" w:eastAsia="DejaVu Sans" w:hAnsi="Liberation Sans" w:cs="DejaVu Sans"/>
      <w:sz w:val="28"/>
      <w:szCs w:val="28"/>
    </w:rPr>
  </w:style>
  <w:style w:type="paragraph" w:styleId="BodyText">
    <w:name w:val="Body Text"/>
    <w:basedOn w:val="Normal"/>
    <w:semiHidden/>
    <w:rsid w:val="00C01C82"/>
    <w:pPr>
      <w:spacing w:after="120"/>
    </w:pPr>
  </w:style>
  <w:style w:type="paragraph" w:styleId="List">
    <w:name w:val="List"/>
    <w:basedOn w:val="BodyText"/>
    <w:semiHidden/>
    <w:rsid w:val="00C01C82"/>
  </w:style>
  <w:style w:type="paragraph" w:styleId="Caption">
    <w:name w:val="caption"/>
    <w:basedOn w:val="Normal"/>
    <w:qFormat/>
    <w:rsid w:val="00C01C82"/>
    <w:pPr>
      <w:suppressLineNumbers/>
      <w:spacing w:before="120" w:after="120"/>
    </w:pPr>
    <w:rPr>
      <w:i/>
      <w:iCs/>
    </w:rPr>
  </w:style>
  <w:style w:type="paragraph" w:customStyle="1" w:styleId="Index">
    <w:name w:val="Index"/>
    <w:basedOn w:val="Normal"/>
    <w:rsid w:val="00C01C82"/>
    <w:pPr>
      <w:suppressLineNumbers/>
    </w:pPr>
  </w:style>
  <w:style w:type="paragraph" w:styleId="BalloonText">
    <w:name w:val="Balloon Text"/>
    <w:basedOn w:val="Normal"/>
    <w:rsid w:val="00C01C82"/>
    <w:rPr>
      <w:rFonts w:ascii="Tahoma" w:hAnsi="Tahoma" w:cs="Tahoma"/>
      <w:sz w:val="16"/>
      <w:szCs w:val="16"/>
    </w:rPr>
  </w:style>
  <w:style w:type="paragraph" w:styleId="Header">
    <w:name w:val="header"/>
    <w:basedOn w:val="Normal"/>
    <w:semiHidden/>
    <w:rsid w:val="00C01C82"/>
    <w:pPr>
      <w:tabs>
        <w:tab w:val="center" w:pos="4513"/>
        <w:tab w:val="right" w:pos="9026"/>
      </w:tabs>
    </w:pPr>
  </w:style>
  <w:style w:type="paragraph" w:styleId="Footer">
    <w:name w:val="footer"/>
    <w:basedOn w:val="Normal"/>
    <w:semiHidden/>
    <w:rsid w:val="00C01C82"/>
    <w:pPr>
      <w:tabs>
        <w:tab w:val="center" w:pos="4513"/>
        <w:tab w:val="right" w:pos="9026"/>
      </w:tabs>
    </w:pPr>
  </w:style>
  <w:style w:type="paragraph" w:customStyle="1" w:styleId="References">
    <w:name w:val="References"/>
    <w:basedOn w:val="Normal"/>
    <w:rsid w:val="00C01C82"/>
    <w:pPr>
      <w:ind w:left="288" w:hanging="288"/>
      <w:jc w:val="both"/>
    </w:pPr>
    <w:rPr>
      <w:rFonts w:ascii="Times" w:hAnsi="Times"/>
      <w:color w:val="000000"/>
      <w:lang w:val="fr-FR"/>
    </w:rPr>
  </w:style>
  <w:style w:type="paragraph" w:customStyle="1" w:styleId="TableContents">
    <w:name w:val="Table Contents"/>
    <w:basedOn w:val="Normal"/>
    <w:rsid w:val="00C01C82"/>
    <w:pPr>
      <w:suppressLineNumbers/>
    </w:pPr>
  </w:style>
  <w:style w:type="paragraph" w:customStyle="1" w:styleId="TableHeading">
    <w:name w:val="Table Heading"/>
    <w:basedOn w:val="TableContents"/>
    <w:rsid w:val="00C01C82"/>
    <w:pPr>
      <w:jc w:val="center"/>
    </w:pPr>
    <w:rPr>
      <w:b/>
      <w:bCs/>
    </w:rPr>
  </w:style>
  <w:style w:type="paragraph" w:styleId="ListParagraph">
    <w:name w:val="List Paragraph"/>
    <w:basedOn w:val="Normal"/>
    <w:qFormat/>
    <w:rsid w:val="00C01C82"/>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oogle.com/url?q=http%3A%2F%2Fwww.scopus.com%2Frecord%2Fdisplay.url%3Feid%3D2-s2.0-79961150046%26origin%3Dresultslist&amp;sa=D&amp;sntz=1&amp;usg=AFQjCNFT5ZEIy_Fuaz2UkPx5F3V4I4gTcA" TargetMode="Externa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7</Pages>
  <Words>2250</Words>
  <Characters>12827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Tehnološki fakultet</vt:lpstr>
    </vt:vector>
  </TitlesOfParts>
  <Company>Sabac</Company>
  <LinksUpToDate>false</LinksUpToDate>
  <CharactersWithSpaces>15047</CharactersWithSpaces>
  <SharedDoc>false</SharedDoc>
  <HLinks>
    <vt:vector size="6" baseType="variant">
      <vt:variant>
        <vt:i4>2228239</vt:i4>
      </vt:variant>
      <vt:variant>
        <vt:i4>0</vt:i4>
      </vt:variant>
      <vt:variant>
        <vt:i4>0</vt:i4>
      </vt:variant>
      <vt:variant>
        <vt:i4>5</vt:i4>
      </vt:variant>
      <vt:variant>
        <vt:lpwstr>http://www.google.com/url?q=http%3A%2F%2Fwww.scopus.com%2Frecord%2Fdisplay.url%3Feid%3D2-s2.0-79961150046%26origin%3Dresultslist&amp;sa=D&amp;sntz=1&amp;usg=AFQjCNFT5ZEIy_Fuaz2UkPx5F3V4I4gTcA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Tehnološki fakultet</dc:title>
  <dc:subject/>
  <dc:creator>Radmila Radicevic</dc:creator>
  <cp:keywords/>
  <cp:lastModifiedBy>Manjencic</cp:lastModifiedBy>
  <cp:revision>26</cp:revision>
  <cp:lastPrinted>2013-04-18T10:44:00Z</cp:lastPrinted>
  <dcterms:created xsi:type="dcterms:W3CDTF">2013-06-30T07:45:00Z</dcterms:created>
  <dcterms:modified xsi:type="dcterms:W3CDTF">2013-06-30T10:30:00Z</dcterms:modified>
</cp:coreProperties>
</file>