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C28" w:rsidRPr="00D84C28" w:rsidRDefault="00D84C28">
      <w:pPr>
        <w:rPr>
          <w:b/>
          <w:sz w:val="36"/>
          <w:szCs w:val="36"/>
        </w:rPr>
      </w:pPr>
      <w:r w:rsidRPr="00D84C28">
        <w:rPr>
          <w:b/>
          <w:sz w:val="36"/>
          <w:szCs w:val="36"/>
        </w:rPr>
        <w:t xml:space="preserve">Graphene: a </w:t>
      </w:r>
      <w:r w:rsidR="00E94EE9">
        <w:rPr>
          <w:b/>
          <w:sz w:val="36"/>
          <w:szCs w:val="36"/>
        </w:rPr>
        <w:t>m</w:t>
      </w:r>
      <w:r w:rsidRPr="00D84C28">
        <w:rPr>
          <w:b/>
          <w:sz w:val="36"/>
          <w:szCs w:val="36"/>
        </w:rPr>
        <w:t xml:space="preserve">iracle </w:t>
      </w:r>
      <w:r w:rsidR="00E94EE9">
        <w:rPr>
          <w:b/>
          <w:sz w:val="36"/>
          <w:szCs w:val="36"/>
        </w:rPr>
        <w:t>m</w:t>
      </w:r>
      <w:r w:rsidRPr="00D84C28">
        <w:rPr>
          <w:b/>
          <w:sz w:val="36"/>
          <w:szCs w:val="36"/>
        </w:rPr>
        <w:t>aterial</w:t>
      </w:r>
    </w:p>
    <w:p w:rsidR="00D84C28" w:rsidRPr="00D84C28" w:rsidRDefault="00D84C28">
      <w:pPr>
        <w:rPr>
          <w:vertAlign w:val="superscript"/>
        </w:rPr>
      </w:pPr>
      <w:r w:rsidRPr="00E94EE9">
        <w:rPr>
          <w:rFonts w:ascii="Arial" w:hAnsi="Arial" w:cs="Arial"/>
          <w:iCs/>
        </w:rPr>
        <w:t>Bostjan Genorio</w:t>
      </w:r>
      <w:proofErr w:type="gramStart"/>
      <w:r w:rsidRPr="00B038D3">
        <w:rPr>
          <w:rFonts w:ascii="Arial" w:hAnsi="Arial" w:cs="Arial"/>
          <w:iCs/>
        </w:rPr>
        <w:t>,</w:t>
      </w:r>
      <w:r>
        <w:rPr>
          <w:rFonts w:ascii="Arial" w:hAnsi="Arial" w:cs="Arial"/>
          <w:iCs/>
          <w:vertAlign w:val="superscript"/>
        </w:rPr>
        <w:t>1,2</w:t>
      </w:r>
      <w:proofErr w:type="gramEnd"/>
      <w:r>
        <w:rPr>
          <w:rFonts w:ascii="Arial" w:hAnsi="Arial" w:cs="Arial"/>
          <w:iCs/>
        </w:rPr>
        <w:t xml:space="preserve"> and </w:t>
      </w:r>
      <w:r w:rsidRPr="00906CB5">
        <w:rPr>
          <w:rFonts w:ascii="Arial" w:hAnsi="Arial" w:cs="Arial"/>
          <w:iCs/>
          <w:u w:val="single"/>
        </w:rPr>
        <w:t>Stane Pejovnik</w:t>
      </w:r>
      <w:r w:rsidRPr="00906CB5">
        <w:rPr>
          <w:rFonts w:ascii="Arial" w:hAnsi="Arial" w:cs="Arial"/>
          <w:iCs/>
          <w:u w:val="single"/>
          <w:vertAlign w:val="superscript"/>
        </w:rPr>
        <w:t>1</w:t>
      </w:r>
    </w:p>
    <w:p w:rsidR="00D84C28" w:rsidRDefault="00D84C28" w:rsidP="00D84C28">
      <w:pPr>
        <w:pStyle w:val="Privzeto"/>
        <w:spacing w:line="240" w:lineRule="auto"/>
        <w:ind w:left="1440"/>
      </w:pPr>
      <w:r>
        <w:rPr>
          <w:sz w:val="22"/>
          <w:szCs w:val="22"/>
          <w:vertAlign w:val="superscript"/>
        </w:rPr>
        <w:t>1</w:t>
      </w:r>
      <w:r>
        <w:rPr>
          <w:sz w:val="22"/>
          <w:szCs w:val="22"/>
        </w:rPr>
        <w:t>University of Ljubljana, Faculty of Chemi</w:t>
      </w:r>
      <w:r w:rsidR="00906CB5">
        <w:rPr>
          <w:sz w:val="22"/>
          <w:szCs w:val="22"/>
        </w:rPr>
        <w:t>stry and Chemical Technology, Aškerč</w:t>
      </w:r>
      <w:r>
        <w:rPr>
          <w:sz w:val="22"/>
          <w:szCs w:val="22"/>
        </w:rPr>
        <w:t>eva cesta 5, 1000 Ljubljana, Slovenia</w:t>
      </w:r>
    </w:p>
    <w:p w:rsidR="00D84C28" w:rsidRDefault="00D84C28" w:rsidP="00D84C28">
      <w:pPr>
        <w:pStyle w:val="Privzeto"/>
        <w:spacing w:line="240" w:lineRule="auto"/>
        <w:ind w:left="1440"/>
      </w:pPr>
      <w:r>
        <w:rPr>
          <w:sz w:val="22"/>
          <w:szCs w:val="22"/>
          <w:vertAlign w:val="superscript"/>
        </w:rPr>
        <w:t>2</w:t>
      </w:r>
      <w:r>
        <w:rPr>
          <w:sz w:val="22"/>
          <w:szCs w:val="22"/>
        </w:rPr>
        <w:t>Centre of Excellence for Low-Carbon Technologies, Hajdrihova 19, 1000 Ljubljana, Slovenia</w:t>
      </w:r>
    </w:p>
    <w:p w:rsidR="00D84C28" w:rsidRDefault="002B10D6">
      <w:r w:rsidRPr="002B10D6">
        <w:t xml:space="preserve">Graphene-based nanomaterials have attracted wide attention </w:t>
      </w:r>
      <w:r w:rsidRPr="009A021D">
        <w:t xml:space="preserve">due to </w:t>
      </w:r>
      <w:r w:rsidR="00906CB5">
        <w:t xml:space="preserve">their </w:t>
      </w:r>
      <w:r w:rsidRPr="009A021D">
        <w:t>extraordinary electrical, mechanical, and thermal properties.</w:t>
      </w:r>
      <w:r w:rsidR="00D84C28" w:rsidRPr="00D84C28">
        <w:t xml:space="preserve"> </w:t>
      </w:r>
      <w:r w:rsidR="00D84C28">
        <w:t xml:space="preserve">Combination of these extraordinary properties makes graphene one of the </w:t>
      </w:r>
      <w:r w:rsidR="00906CB5">
        <w:t>“</w:t>
      </w:r>
      <w:r w:rsidR="00D84C28">
        <w:t>hottest</w:t>
      </w:r>
      <w:r w:rsidR="00906CB5">
        <w:t>”</w:t>
      </w:r>
      <w:r w:rsidR="00D84C28">
        <w:t xml:space="preserve"> materials and motivates the scientific community to explore many potential future applications such as </w:t>
      </w:r>
      <w:r w:rsidR="00D84C28" w:rsidRPr="009A021D">
        <w:t>energy-related devices</w:t>
      </w:r>
      <w:r w:rsidR="00E94EE9">
        <w:t>;</w:t>
      </w:r>
      <w:r w:rsidR="00D84C28" w:rsidRPr="009A021D">
        <w:t xml:space="preserve"> ultracapacitors, Li-ion batteries,</w:t>
      </w:r>
      <w:r w:rsidR="00D84C28">
        <w:t xml:space="preserve"> solar cells and catalysis.</w:t>
      </w:r>
      <w:r w:rsidR="00D84C28" w:rsidRPr="009A021D">
        <w:t xml:space="preserve"> However, two important issues need to be solved to realize the use of graphene and its derivatives in those future applications: a) bulk preparation of high quality graphene-based nanomaterials and b) functionalization and incorporation of these materials into devices.</w:t>
      </w:r>
      <w:r w:rsidR="00D84C28">
        <w:t xml:space="preserve"> </w:t>
      </w:r>
    </w:p>
    <w:p w:rsidR="002B10D6" w:rsidRDefault="00D84C28">
      <w:r>
        <w:t xml:space="preserve">To tackle these two issues we have thoroughly investigated graphene nanoribbons – a high aspect ratio graphene subclass material. </w:t>
      </w:r>
      <w:r w:rsidRPr="00D84C28">
        <w:t xml:space="preserve">We have </w:t>
      </w:r>
      <w:r>
        <w:t>developed</w:t>
      </w:r>
      <w:r w:rsidRPr="00D84C28">
        <w:t xml:space="preserve"> the “one-pot” method that can yield bulk quantities of easily processable final graphene materials. Pristine graphene materials are very difficult to disperse, thus functionalization is generally required. The method enables selective functionalization with various functional groups without disturbing electrical properties of the graphene sheets. The greatest results were obtained with commercially available carbon nanotubes (CNTs) which were converted into a graphene nanoribbon stacks (GNRs). The wet chemistry approach that was developed, yielded </w:t>
      </w:r>
      <w:r w:rsidR="00E94EE9">
        <w:t>polymer</w:t>
      </w:r>
      <w:r w:rsidRPr="00D84C28">
        <w:t>-edge</w:t>
      </w:r>
      <w:r w:rsidR="00E94EE9">
        <w:t xml:space="preserve"> </w:t>
      </w:r>
      <w:r w:rsidRPr="00D84C28">
        <w:t>functionalized graphene nanoribbon stacks (</w:t>
      </w:r>
      <w:r w:rsidR="00E94EE9">
        <w:t>P</w:t>
      </w:r>
      <w:r w:rsidRPr="00D84C28">
        <w:t>-GNRs)</w:t>
      </w:r>
      <w:r w:rsidR="00E46ABA">
        <w:fldChar w:fldCharType="begin" w:fldLock="1"/>
      </w:r>
      <w:r w:rsidR="00E94EE9">
        <w:instrText>ADDIN CSL_CITATION { "citationItems" : [ { "id" : "ITEM-1", "itemData" : { "DOI" : "10.1021/nn400054t", "author" : [ { "dropping-particle" : "", "family" : "Lu", "given" : "Wei", "non-dropping-particle" : "", "parse-names" : false, "suffix" : "" }, { "dropping-particle" : "", "family" : "Ruan", "given" : "Gedeng", "non-dropping-particle" : "", "parse-names" : false, "suffix" : "" }, { "dropping-particle" : "", "family" : "Genorio", "given" : "Bostjan", "non-dropping-particle" : "", "parse-names" : false, "suffix" : "" }, { "dropping-particle" : "", "family" : "Zhu", "given" : "Yu", "non-dropping-particle" : "", "parse-names" : false, "suffix" : "" }, { "dropping-particle" : "", "family" : "Novosel", "given" : "Barbara", "non-dropping-particle" : "", "parse-names" : false, "suffix" : "" }, { "dropping-particle" : "", "family" : "Peng", "given" : "Zhiwei", "non-dropping-particle" : "", "parse-names" : false, "suffix" : "" }, { "dropping-particle" : "", "family" : "Tour", "given" : "James M", "non-dropping-particle" : "", "parse-names" : false, "suffix" : "" } ], "container-title" : "ACS Nano", "id" : "ITEM-1", "issued" : { "date-parts" : [ [ "2013", "2", "7" ] ] }, "note" : "doi: 10.1021/nn400054t", "publisher" : "American Chemical Society", "title" : "Functionalized Graphene Nanoribbons via Anionic Polymerization Initiated by Alkali Metal-Intercalated Carbon Nanotubes", "type" : "article-journal" }, "uris" : [ "http://www.mendeley.com/documents/?uuid=1b4b1bfd-a732-408d-a08e-1ba282e1aeba" ] } ], "mendeley" : { "previouslyFormattedCitation" : "&lt;sup&gt;1&lt;/sup&gt;" }, "properties" : { "noteIndex" : 0 }, "schema" : "https://github.com/citation-style-language/schema/raw/master/csl-citation.json" }</w:instrText>
      </w:r>
      <w:r w:rsidR="00E46ABA">
        <w:fldChar w:fldCharType="separate"/>
      </w:r>
      <w:r w:rsidR="00E94EE9" w:rsidRPr="00E94EE9">
        <w:rPr>
          <w:noProof/>
          <w:vertAlign w:val="superscript"/>
        </w:rPr>
        <w:t>1</w:t>
      </w:r>
      <w:r w:rsidR="00E46ABA">
        <w:fldChar w:fldCharType="end"/>
      </w:r>
      <w:r w:rsidR="00E94EE9">
        <w:t xml:space="preserve"> or alkyl-edge functionalized </w:t>
      </w:r>
      <w:r w:rsidR="00E94EE9" w:rsidRPr="00D84C28">
        <w:t>graphene nanoribbon stacks (A-GNRs)</w:t>
      </w:r>
      <w:r w:rsidRPr="00D84C28">
        <w:t>.</w:t>
      </w:r>
      <w:r w:rsidR="00E46ABA">
        <w:fldChar w:fldCharType="begin" w:fldLock="1"/>
      </w:r>
      <w:r w:rsidR="00E94EE9">
        <w:instrText>ADDIN CSL_CITATION { "citationItems" : [ { "id" : "ITEM-1", "itemData" : { "DOI" : "10.1021/nn300757t", "abstract" : "A cost-effective and potentially industrially scalable, in situ functionalization procedure for preparation of soluble graphene nanoribbon (GNRs) from commercially available carbon nanotubes is presented. The physical characteristics of the functionalized product were determined using SEM, evolved gas analysis, X-ray diffraction, solid-state (13)C NMR, Raman spectroscopy, and GC-MS analytical techniques. A relatively high preservation of electrical properties in the bulk material was observed. Moreover, replacement of intercalated potassium with haloalkanes was obtained. While carbon nanotubes can be covalently functionalized, the conversion of the sp(2)-hybridized carbon atoms to sp(3)-hybridized atoms dramatically lowers their conductivity, but edge functionalized GNRs permit their heavy functionalization while leaving the basal planes intact.", "author" : [ { "dropping-particle" : "", "family" : "Genorio", "given" : "Bostjan", "non-dropping-particle" : "", "parse-names" : false, "suffix" : "" }, { "dropping-particle" : "", "family" : "Lu", "given" : "Wei", "non-dropping-particle" : "", "parse-names" : false, "suffix" : "" }, { "dropping-particle" : "", "family" : "Dimiev", "given" : "Ayrat M", "non-dropping-particle" : "", "parse-names" : false, "suffix" : "" }, { "dropping-particle" : "", "family" : "Zhu", "given" : "Yu", "non-dropping-particle" : "", "parse-names" : false, "suffix" : "" }, { "dropping-particle" : "", "family" : "Raji", "given" : "Abdul-Rahman O", "non-dropping-particle" : "", "parse-names" : false, "suffix" : "" }, { "dropping-particle" : "", "family" : "Novosel", "given" : "Barbara", "non-dropping-particle" : "", "parse-names" : false, "suffix" : "" }, { "dropping-particle" : "", "family" : "Alemany", "given" : "Lawrence B", "non-dropping-particle" : "", "parse-names" : false, "suffix" : "" }, { "dropping-particle" : "", "family" : "Tour", "given" : "James M", "non-dropping-particle" : "", "parse-names" : false, "suffix" : "" } ], "container-title" : "ACS Nano", "id" : "ITEM-1", "issue" : "5", "issued" : { "date-parts" : [ [ "2012", "4", "10" ] ] }, "page" : "4231-4240", "title" : "In Situ Intercalation Replacement and Selective Functionalization of Graphene Nanoribbon Stacks", "type" : "article-journal", "volume" : "6" }, "uris" : [ "http://www.mendeley.com/documents/?uuid=9b28d2f7-0d0e-4857-8903-3aa3d9296133" ] } ], "mendeley" : { "previouslyFormattedCitation" : "&lt;sup&gt;2&lt;/sup&gt;" }, "properties" : { "noteIndex" : 0 }, "schema" : "https://github.com/citation-style-language/schema/raw/master/csl-citation.json" }</w:instrText>
      </w:r>
      <w:r w:rsidR="00E46ABA">
        <w:fldChar w:fldCharType="separate"/>
      </w:r>
      <w:r w:rsidR="00E94EE9" w:rsidRPr="00E94EE9">
        <w:rPr>
          <w:noProof/>
          <w:vertAlign w:val="superscript"/>
        </w:rPr>
        <w:t>2</w:t>
      </w:r>
      <w:r w:rsidR="00E46ABA">
        <w:fldChar w:fldCharType="end"/>
      </w:r>
      <w:r w:rsidRPr="00D84C28">
        <w:t xml:space="preserve"> Edge alkylation greatly improved solubility in o</w:t>
      </w:r>
      <w:r w:rsidR="00906CB5">
        <w:t>rganic solvents without sacrifiz</w:t>
      </w:r>
      <w:r w:rsidRPr="00D84C28">
        <w:t>i</w:t>
      </w:r>
      <w:r w:rsidR="003A433E">
        <w:t xml:space="preserve">ng single ribbon conductivity. </w:t>
      </w:r>
      <w:r w:rsidRPr="00D84C28">
        <w:t>Although single ribbons are conductive and soluble materials, the bulk conductivity might differ considerably as a percolation network must be formed. To enhance</w:t>
      </w:r>
      <w:r w:rsidR="00906CB5">
        <w:t xml:space="preserve"> bulk conductivity of A-GNRs, </w:t>
      </w:r>
      <w:bookmarkStart w:id="0" w:name="_GoBack"/>
      <w:bookmarkEnd w:id="0"/>
      <w:r w:rsidRPr="00D84C28">
        <w:t xml:space="preserve"> iron was intercalated between graphene nanoribbon stacks.</w:t>
      </w:r>
      <w:r w:rsidR="00E46ABA">
        <w:fldChar w:fldCharType="begin" w:fldLock="1"/>
      </w:r>
      <w:r w:rsidR="00E94EE9">
        <w:instrText>ADDIN CSL_CITATION { "citationItems" : [ { "id" : "ITEM-1", "itemData" : { "author" : [ { "dropping-particle" : "", "family" : "Genorio", "given" : "Bostjan", "non-dropping-particle" : "", "parse-names" : false, "suffix" : "" }, { "dropping-particle" : "", "family" : "Peng", "given" : "Zhiwei", "non-dropping-particle" : "", "parse-names" : false, "suffix" : "" }, { "dropping-particle" : "", "family" : "Lu", "given" : "Wei", "non-dropping-particle" : "", "parse-names" : false, "suffix" : "" }, { "dropping-particle" : "", "family" : "Hoelscher", "given" : "B K P", "non-dropping-particle" : "", "parse-names" : false, "suffix" : "" }, { "dropping-particle" : "", "family" : "Novosel", "given" : "B J", "non-dropping-particle" : "", "parse-names" : false, "suffix" : "" }, { "dropping-particle" : "", "family" : "Tour", "given" : "J M", "non-dropping-particle" : "", "parse-names" : false, "suffix" : "" } ], "container-title" : "ACS Nano", "id" : "ITEM-1", "issue" : "11", "issued" : { "date-parts" : [ [ "2012" ] ] }, "page" : "10396-10404", "title" : "Synthesis of Dispersable Ferromagnetic Graphene Nanoribbon Stacks with Enhanced Electrical Percolation Properties in Magnetic Field", "type" : "article-journal", "volume" : "6" }, "uris" : [ "http://www.mendeley.com/documents/?uuid=ec322752-118f-4f4b-995d-f625c8ed45a0" ] } ], "mendeley" : { "previouslyFormattedCitation" : "&lt;sup&gt;3&lt;/sup&gt;" }, "properties" : { "noteIndex" : 0 }, "schema" : "https://github.com/citation-style-language/schema/raw/master/csl-citation.json" }</w:instrText>
      </w:r>
      <w:r w:rsidR="00E46ABA">
        <w:fldChar w:fldCharType="separate"/>
      </w:r>
      <w:r w:rsidR="00E94EE9" w:rsidRPr="00E94EE9">
        <w:rPr>
          <w:noProof/>
          <w:vertAlign w:val="superscript"/>
        </w:rPr>
        <w:t>3</w:t>
      </w:r>
      <w:r w:rsidR="00E46ABA">
        <w:fldChar w:fldCharType="end"/>
      </w:r>
      <w:r w:rsidRPr="00D84C28">
        <w:t xml:space="preserve"> Iron intercalated and alkyl-edge-functionalized graphene nanoribbon stacks (Fe@A-GNRs) were then aligned in a magnetic field. We have shown that the aligned dispersions enhanced electrical percolation at given concentrations in previously non-conductive solven</w:t>
      </w:r>
      <w:r>
        <w:t xml:space="preserve">ts. </w:t>
      </w:r>
      <w:r w:rsidRPr="00D84C28">
        <w:t>Further, this method is a cost-effective and potentially industrially scalable.</w:t>
      </w:r>
    </w:p>
    <w:p w:rsidR="00E94EE9" w:rsidRPr="00E94EE9" w:rsidRDefault="00E46ABA">
      <w:pPr>
        <w:pStyle w:val="NormalWeb"/>
        <w:ind w:left="640" w:hanging="640"/>
        <w:divId w:val="257175654"/>
        <w:rPr>
          <w:rFonts w:ascii="Calibri" w:hAnsi="Calibri"/>
          <w:noProof/>
          <w:sz w:val="22"/>
        </w:rPr>
      </w:pPr>
      <w:r w:rsidRPr="00E46ABA">
        <w:fldChar w:fldCharType="begin" w:fldLock="1"/>
      </w:r>
      <w:r w:rsidR="00E94EE9">
        <w:instrText xml:space="preserve">ADDIN Mendeley Bibliography CSL_BIBLIOGRAPHY </w:instrText>
      </w:r>
      <w:r w:rsidRPr="00E46ABA">
        <w:fldChar w:fldCharType="separate"/>
      </w:r>
      <w:r w:rsidR="00E94EE9" w:rsidRPr="00E94EE9">
        <w:rPr>
          <w:rFonts w:ascii="Calibri" w:hAnsi="Calibri"/>
          <w:noProof/>
          <w:sz w:val="22"/>
        </w:rPr>
        <w:t xml:space="preserve">(1) </w:t>
      </w:r>
      <w:r w:rsidR="00E94EE9" w:rsidRPr="00E94EE9">
        <w:rPr>
          <w:rFonts w:ascii="Calibri" w:hAnsi="Calibri"/>
          <w:noProof/>
          <w:sz w:val="22"/>
        </w:rPr>
        <w:tab/>
        <w:t xml:space="preserve">Lu, W.; Ruan, G.; Genorio, B.; Zhu, Y.; Novosel, B.; Peng, Z.; Tour, J. M. </w:t>
      </w:r>
      <w:r w:rsidR="00E94EE9" w:rsidRPr="00E94EE9">
        <w:rPr>
          <w:rFonts w:ascii="Calibri" w:hAnsi="Calibri"/>
          <w:i/>
          <w:iCs/>
          <w:noProof/>
          <w:sz w:val="22"/>
        </w:rPr>
        <w:t>ACS Nano</w:t>
      </w:r>
      <w:r w:rsidR="00E94EE9" w:rsidRPr="00E94EE9">
        <w:rPr>
          <w:rFonts w:ascii="Calibri" w:hAnsi="Calibri"/>
          <w:noProof/>
          <w:sz w:val="22"/>
        </w:rPr>
        <w:t xml:space="preserve"> </w:t>
      </w:r>
      <w:r w:rsidR="00E94EE9" w:rsidRPr="00E94EE9">
        <w:rPr>
          <w:rFonts w:ascii="Calibri" w:hAnsi="Calibri"/>
          <w:b/>
          <w:bCs/>
          <w:noProof/>
          <w:sz w:val="22"/>
        </w:rPr>
        <w:t>2013</w:t>
      </w:r>
      <w:r w:rsidR="00E94EE9" w:rsidRPr="00E94EE9">
        <w:rPr>
          <w:rFonts w:ascii="Calibri" w:hAnsi="Calibri"/>
          <w:noProof/>
          <w:sz w:val="22"/>
        </w:rPr>
        <w:t>.</w:t>
      </w:r>
    </w:p>
    <w:p w:rsidR="00E94EE9" w:rsidRPr="00E94EE9" w:rsidRDefault="00E94EE9">
      <w:pPr>
        <w:pStyle w:val="NormalWeb"/>
        <w:ind w:left="640" w:hanging="640"/>
        <w:divId w:val="257175654"/>
        <w:rPr>
          <w:rFonts w:ascii="Calibri" w:hAnsi="Calibri"/>
          <w:noProof/>
          <w:sz w:val="22"/>
        </w:rPr>
      </w:pPr>
      <w:r w:rsidRPr="00E94EE9">
        <w:rPr>
          <w:rFonts w:ascii="Calibri" w:hAnsi="Calibri"/>
          <w:noProof/>
          <w:sz w:val="22"/>
        </w:rPr>
        <w:t xml:space="preserve">(2) </w:t>
      </w:r>
      <w:r w:rsidRPr="00E94EE9">
        <w:rPr>
          <w:rFonts w:ascii="Calibri" w:hAnsi="Calibri"/>
          <w:noProof/>
          <w:sz w:val="22"/>
        </w:rPr>
        <w:tab/>
        <w:t xml:space="preserve">Genorio, B.; Lu, W.; Dimiev, A. M.; Zhu, Y.; Raji, A.-R. O.; Novosel, B.; Alemany, L. B.; Tour, J. M. </w:t>
      </w:r>
      <w:r w:rsidRPr="00E94EE9">
        <w:rPr>
          <w:rFonts w:ascii="Calibri" w:hAnsi="Calibri"/>
          <w:i/>
          <w:iCs/>
          <w:noProof/>
          <w:sz w:val="22"/>
        </w:rPr>
        <w:t>ACS Nano</w:t>
      </w:r>
      <w:r w:rsidRPr="00E94EE9">
        <w:rPr>
          <w:rFonts w:ascii="Calibri" w:hAnsi="Calibri"/>
          <w:noProof/>
          <w:sz w:val="22"/>
        </w:rPr>
        <w:t xml:space="preserve"> </w:t>
      </w:r>
      <w:r w:rsidRPr="00E94EE9">
        <w:rPr>
          <w:rFonts w:ascii="Calibri" w:hAnsi="Calibri"/>
          <w:b/>
          <w:bCs/>
          <w:noProof/>
          <w:sz w:val="22"/>
        </w:rPr>
        <w:t>2012</w:t>
      </w:r>
      <w:r w:rsidRPr="00E94EE9">
        <w:rPr>
          <w:rFonts w:ascii="Calibri" w:hAnsi="Calibri"/>
          <w:noProof/>
          <w:sz w:val="22"/>
        </w:rPr>
        <w:t xml:space="preserve">, </w:t>
      </w:r>
      <w:r w:rsidRPr="00E94EE9">
        <w:rPr>
          <w:rFonts w:ascii="Calibri" w:hAnsi="Calibri"/>
          <w:i/>
          <w:iCs/>
          <w:noProof/>
          <w:sz w:val="22"/>
        </w:rPr>
        <w:t>6</w:t>
      </w:r>
      <w:r w:rsidRPr="00E94EE9">
        <w:rPr>
          <w:rFonts w:ascii="Calibri" w:hAnsi="Calibri"/>
          <w:noProof/>
          <w:sz w:val="22"/>
        </w:rPr>
        <w:t>, 4231–4240.</w:t>
      </w:r>
    </w:p>
    <w:p w:rsidR="00E94EE9" w:rsidRPr="00E94EE9" w:rsidRDefault="00E94EE9">
      <w:pPr>
        <w:pStyle w:val="NormalWeb"/>
        <w:ind w:left="640" w:hanging="640"/>
        <w:divId w:val="257175654"/>
        <w:rPr>
          <w:rFonts w:ascii="Calibri" w:hAnsi="Calibri"/>
          <w:noProof/>
          <w:sz w:val="22"/>
        </w:rPr>
      </w:pPr>
      <w:r w:rsidRPr="00E94EE9">
        <w:rPr>
          <w:rFonts w:ascii="Calibri" w:hAnsi="Calibri"/>
          <w:noProof/>
          <w:sz w:val="22"/>
        </w:rPr>
        <w:t xml:space="preserve">(3) </w:t>
      </w:r>
      <w:r w:rsidRPr="00E94EE9">
        <w:rPr>
          <w:rFonts w:ascii="Calibri" w:hAnsi="Calibri"/>
          <w:noProof/>
          <w:sz w:val="22"/>
        </w:rPr>
        <w:tab/>
        <w:t xml:space="preserve">Genorio, B.; Peng, Z.; Lu, W.; Hoelscher, B. K. P.; Novosel, B. J.; Tour, J. M. </w:t>
      </w:r>
      <w:r w:rsidRPr="00E94EE9">
        <w:rPr>
          <w:rFonts w:ascii="Calibri" w:hAnsi="Calibri"/>
          <w:i/>
          <w:iCs/>
          <w:noProof/>
          <w:sz w:val="22"/>
        </w:rPr>
        <w:t>ACS Nano</w:t>
      </w:r>
      <w:r w:rsidRPr="00E94EE9">
        <w:rPr>
          <w:rFonts w:ascii="Calibri" w:hAnsi="Calibri"/>
          <w:noProof/>
          <w:sz w:val="22"/>
        </w:rPr>
        <w:t xml:space="preserve"> </w:t>
      </w:r>
      <w:r w:rsidRPr="00E94EE9">
        <w:rPr>
          <w:rFonts w:ascii="Calibri" w:hAnsi="Calibri"/>
          <w:b/>
          <w:bCs/>
          <w:noProof/>
          <w:sz w:val="22"/>
        </w:rPr>
        <w:t>2012</w:t>
      </w:r>
      <w:r w:rsidRPr="00E94EE9">
        <w:rPr>
          <w:rFonts w:ascii="Calibri" w:hAnsi="Calibri"/>
          <w:noProof/>
          <w:sz w:val="22"/>
        </w:rPr>
        <w:t xml:space="preserve">, </w:t>
      </w:r>
      <w:r w:rsidRPr="00E94EE9">
        <w:rPr>
          <w:rFonts w:ascii="Calibri" w:hAnsi="Calibri"/>
          <w:i/>
          <w:iCs/>
          <w:noProof/>
          <w:sz w:val="22"/>
        </w:rPr>
        <w:t>6</w:t>
      </w:r>
      <w:r w:rsidRPr="00E94EE9">
        <w:rPr>
          <w:rFonts w:ascii="Calibri" w:hAnsi="Calibri"/>
          <w:noProof/>
          <w:sz w:val="22"/>
        </w:rPr>
        <w:t xml:space="preserve">, 10396–10404. </w:t>
      </w:r>
    </w:p>
    <w:p w:rsidR="009A021D" w:rsidRDefault="00E46ABA">
      <w:r>
        <w:fldChar w:fldCharType="end"/>
      </w:r>
    </w:p>
    <w:sectPr w:rsidR="009A021D" w:rsidSect="00E46AB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Droid Sans Fallback">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characterSpacingControl w:val="doNotCompress"/>
  <w:compat/>
  <w:rsids>
    <w:rsidRoot w:val="009A021D"/>
    <w:rsid w:val="00283647"/>
    <w:rsid w:val="002B10D6"/>
    <w:rsid w:val="003A433E"/>
    <w:rsid w:val="00906CB5"/>
    <w:rsid w:val="00912518"/>
    <w:rsid w:val="009A021D"/>
    <w:rsid w:val="00D23993"/>
    <w:rsid w:val="00D84C28"/>
    <w:rsid w:val="00E25F76"/>
    <w:rsid w:val="00E46ABA"/>
    <w:rsid w:val="00E94EE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6AB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rivzeto">
    <w:name w:val="Privzeto"/>
    <w:rsid w:val="00D84C28"/>
    <w:pPr>
      <w:tabs>
        <w:tab w:val="left" w:pos="720"/>
      </w:tabs>
      <w:suppressAutoHyphens/>
    </w:pPr>
    <w:rPr>
      <w:rFonts w:ascii="Times New Roman" w:eastAsia="Droid Sans Fallback" w:hAnsi="Times New Roman" w:cs="Times New Roman"/>
      <w:sz w:val="24"/>
      <w:szCs w:val="24"/>
    </w:rPr>
  </w:style>
  <w:style w:type="paragraph" w:styleId="NormalWeb">
    <w:name w:val="Normal (Web)"/>
    <w:basedOn w:val="Normal"/>
    <w:uiPriority w:val="99"/>
    <w:semiHidden/>
    <w:unhideWhenUsed/>
    <w:rsid w:val="00E94EE9"/>
    <w:pPr>
      <w:spacing w:before="100" w:beforeAutospacing="1" w:after="100" w:afterAutospacing="1" w:line="240" w:lineRule="auto"/>
    </w:pPr>
    <w:rPr>
      <w:rFonts w:ascii="Times New Roman" w:eastAsiaTheme="minorEastAsia"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Privzeto">
    <w:name w:val="Privzeto"/>
    <w:rsid w:val="00D84C28"/>
    <w:pPr>
      <w:tabs>
        <w:tab w:val="left" w:pos="720"/>
      </w:tabs>
      <w:suppressAutoHyphens/>
    </w:pPr>
    <w:rPr>
      <w:rFonts w:ascii="Times New Roman" w:eastAsia="Droid Sans Fallback" w:hAnsi="Times New Roman" w:cs="Times New Roman"/>
      <w:sz w:val="24"/>
      <w:szCs w:val="24"/>
    </w:rPr>
  </w:style>
  <w:style w:type="paragraph" w:styleId="Navadensplet">
    <w:name w:val="Normal (Web)"/>
    <w:basedOn w:val="Navaden"/>
    <w:uiPriority w:val="99"/>
    <w:semiHidden/>
    <w:unhideWhenUsed/>
    <w:rsid w:val="00E94EE9"/>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5717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980FF-FB48-422D-849A-98A069C74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1318</Words>
  <Characters>7518</Characters>
  <Application>Microsoft Office Word</Application>
  <DocSecurity>0</DocSecurity>
  <Lines>62</Lines>
  <Paragraphs>17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FKKT</Company>
  <LinksUpToDate>false</LinksUpToDate>
  <CharactersWithSpaces>8819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Bostjan Genorio</dc:creator>
  <cp:lastModifiedBy>User</cp:lastModifiedBy>
  <cp:revision>2</cp:revision>
  <dcterms:created xsi:type="dcterms:W3CDTF">2013-06-06T11:49:00Z</dcterms:created>
  <dcterms:modified xsi:type="dcterms:W3CDTF">2013-06-06T11:49:00Z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bostjan.genorio@gmail.com@www.mendeley.com</vt:lpwstr>
  </property>
  <property fmtid="{D5CDD505-2E9C-101B-9397-08002B2CF9AE}" pid="4" name="Mendeley Citation Style_1">
    <vt:lpwstr>http://www.zotero.org/styles/journal-of-the-american-chemical-society</vt:lpwstr>
  </property>
  <property fmtid="{D5CDD505-2E9C-101B-9397-08002B2CF9AE}" pid="5" name="Mendeley Recent Style Id 0_1">
    <vt:lpwstr>http://www.zotero.org/styles/acs-applied-materials-and-interfaces</vt:lpwstr>
  </property>
  <property fmtid="{D5CDD505-2E9C-101B-9397-08002B2CF9AE}" pid="6" name="Mendeley Recent Style Name 0_1">
    <vt:lpwstr>ACS Applied Materials &amp; Interfaces</vt:lpwstr>
  </property>
  <property fmtid="{D5CDD505-2E9C-101B-9397-08002B2CF9AE}" pid="7" name="Mendeley Recent Style Id 1_1">
    <vt:lpwstr>http://www.zotero.org/styles/apsa</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http://www.zotero.org/styles/asa</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http://www.zotero.org/styles/biochemistry</vt:lpwstr>
  </property>
  <property fmtid="{D5CDD505-2E9C-101B-9397-08002B2CF9AE}" pid="14" name="Mendeley Recent Style Name 4_1">
    <vt:lpwstr>Biochemistry</vt:lpwstr>
  </property>
  <property fmtid="{D5CDD505-2E9C-101B-9397-08002B2CF9AE}" pid="15" name="Mendeley Recent Style Id 5_1">
    <vt:lpwstr>http://www.zotero.org/styles/chicago-author-date</vt:lpwstr>
  </property>
  <property fmtid="{D5CDD505-2E9C-101B-9397-08002B2CF9AE}" pid="16" name="Mendeley Recent Style Name 5_1">
    <vt:lpwstr>Chicago Manual of Style (author-date)</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(author-date)</vt:lpwstr>
  </property>
  <property fmtid="{D5CDD505-2E9C-101B-9397-08002B2CF9AE}" pid="19" name="Mendeley Recent Style Id 7_1">
    <vt:lpwstr>http://www.zotero.org/styles/iop-conference-series-materials-science-and-engineering</vt:lpwstr>
  </property>
  <property fmtid="{D5CDD505-2E9C-101B-9397-08002B2CF9AE}" pid="20" name="Mendeley Recent Style Name 7_1">
    <vt:lpwstr>IOP Conference Series: Materials Science and Engineering</vt:lpwstr>
  </property>
  <property fmtid="{D5CDD505-2E9C-101B-9397-08002B2CF9AE}" pid="21" name="Mendeley Recent Style Id 8_1">
    <vt:lpwstr>http://www.zotero.org/styles/journal-of-the-american-chemical-society</vt:lpwstr>
  </property>
  <property fmtid="{D5CDD505-2E9C-101B-9397-08002B2CF9AE}" pid="22" name="Mendeley Recent Style Name 8_1">
    <vt:lpwstr>Journal of the American Chemical Society</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