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0F6B" w:rsidRDefault="00C81576" w:rsidP="007B0F6B">
      <w:r>
        <w:rPr>
          <w:noProof/>
          <w:lang w:val="en-US"/>
        </w:rPr>
        <w:pict>
          <v:shapetype id="_x0000_t202" coordsize="21600,21600" o:spt="202" path="m,l,21600r21600,l21600,xe">
            <v:stroke joinstyle="miter"/>
            <v:path gradientshapeok="t" o:connecttype="rect"/>
          </v:shapetype>
          <v:shape id="_x0000_s1036" type="#_x0000_t202" style="position:absolute;margin-left:1in;margin-top:18pt;width:243pt;height:20.2pt;z-index:251657728" filled="f" stroked="f">
            <v:textbox style="mso-next-textbox:#_x0000_s1036">
              <w:txbxContent>
                <w:p w:rsidR="007B0F6B" w:rsidRPr="001424C8" w:rsidRDefault="00133AB9" w:rsidP="007B0F6B">
                  <w:pPr>
                    <w:jc w:val="center"/>
                    <w:rPr>
                      <w:rFonts w:ascii="Arial" w:hAnsi="Arial" w:cs="Arial"/>
                      <w:lang w:val="sr-Latn-CS"/>
                    </w:rPr>
                  </w:pPr>
                  <w:r>
                    <w:rPr>
                      <w:rFonts w:ascii="Arial" w:hAnsi="Arial" w:cs="Arial"/>
                      <w:lang w:val="sr-Latn-CS"/>
                    </w:rPr>
                    <w:t xml:space="preserve">LOGO </w:t>
                  </w:r>
                  <w:r w:rsidR="007B0F6B">
                    <w:rPr>
                      <w:rFonts w:ascii="Arial" w:hAnsi="Arial" w:cs="Arial"/>
                      <w:lang w:val="sr-Latn-CS"/>
                    </w:rPr>
                    <w:t xml:space="preserve">WILL BE </w:t>
                  </w:r>
                  <w:r>
                    <w:rPr>
                      <w:rFonts w:ascii="Arial" w:hAnsi="Arial" w:cs="Arial"/>
                      <w:lang w:val="sr-Latn-CS"/>
                    </w:rPr>
                    <w:t>HERE</w:t>
                  </w:r>
                </w:p>
              </w:txbxContent>
            </v:textbox>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7pt;height:85pt">
            <v:imagedata r:id="rId8" o:title="zaglavlje"/>
          </v:shape>
        </w:pict>
      </w:r>
    </w:p>
    <w:p w:rsidR="00CB1960" w:rsidRDefault="00A60241" w:rsidP="007B0F6B">
      <w:pPr>
        <w:pStyle w:val="NASLOV"/>
        <w:rPr>
          <w:szCs w:val="20"/>
        </w:rPr>
      </w:pPr>
      <w:r w:rsidRPr="00C50E2C">
        <w:t>Engine misfire identification by monitoring exhaust pressure and temperature pulsation in the exhaust manifolds</w:t>
      </w:r>
    </w:p>
    <w:p w:rsidR="00CB1960" w:rsidRPr="00813024" w:rsidRDefault="00A60241" w:rsidP="007B0F6B">
      <w:pPr>
        <w:pStyle w:val="imeautoraikoautora"/>
        <w:rPr>
          <w:szCs w:val="20"/>
        </w:rPr>
      </w:pPr>
      <w:r w:rsidRPr="004B49C4">
        <w:t>S. Biočanin</w:t>
      </w:r>
      <w:r>
        <w:rPr>
          <w:rStyle w:val="FootnoteReference"/>
        </w:rPr>
        <w:t xml:space="preserve"> </w:t>
      </w:r>
      <w:r w:rsidR="00813024">
        <w:rPr>
          <w:rStyle w:val="FootnoteReference"/>
        </w:rPr>
        <w:footnoteReference w:id="2"/>
      </w:r>
      <w:r w:rsidR="00CB1960">
        <w:t xml:space="preserve">, </w:t>
      </w:r>
      <w:r w:rsidRPr="004B49C4">
        <w:t>Ž. Bulatović</w:t>
      </w:r>
      <w:r>
        <w:rPr>
          <w:rStyle w:val="FootnoteReference"/>
        </w:rPr>
        <w:t xml:space="preserve"> </w:t>
      </w:r>
      <w:r w:rsidR="00813024">
        <w:rPr>
          <w:rStyle w:val="FootnoteReference"/>
        </w:rPr>
        <w:footnoteReference w:id="3"/>
      </w:r>
      <w:r>
        <w:t xml:space="preserve">, </w:t>
      </w:r>
      <w:r w:rsidRPr="004B49C4">
        <w:t>A. Milašinović</w:t>
      </w:r>
      <w:r w:rsidR="006A10D5">
        <w:rPr>
          <w:rStyle w:val="FootnoteReference"/>
        </w:rPr>
        <w:footnoteReference w:id="4"/>
      </w:r>
      <w:r>
        <w:t xml:space="preserve">, </w:t>
      </w:r>
      <w:r w:rsidRPr="004B49C4">
        <w:t>I. Mujanić</w:t>
      </w:r>
      <w:r w:rsidR="006A10D5">
        <w:rPr>
          <w:rStyle w:val="FootnoteReference"/>
        </w:rPr>
        <w:footnoteReference w:id="5"/>
      </w:r>
      <w:r>
        <w:t>, R. Bo</w:t>
      </w:r>
      <w:r>
        <w:rPr>
          <w:lang w:val="sr-Latn-CS"/>
        </w:rPr>
        <w:t>žičković</w:t>
      </w:r>
      <w:r w:rsidR="006A10D5">
        <w:rPr>
          <w:rStyle w:val="FootnoteReference"/>
          <w:lang w:val="sr-Latn-CS"/>
        </w:rPr>
        <w:footnoteReference w:id="6"/>
      </w:r>
    </w:p>
    <w:p w:rsidR="00CB1960" w:rsidRDefault="00CB1960" w:rsidP="007B0F6B">
      <w:pPr>
        <w:pStyle w:val="rezime"/>
        <w:rPr>
          <w:szCs w:val="20"/>
        </w:rPr>
      </w:pPr>
      <w:r w:rsidRPr="007B0F6B">
        <w:rPr>
          <w:b/>
        </w:rPr>
        <w:t>Summary:</w:t>
      </w:r>
      <w:r>
        <w:t xml:space="preserve"> </w:t>
      </w:r>
      <w:r w:rsidR="006A10D5" w:rsidRPr="004B49C4">
        <w:t>This paper presents the results of a developed experimental method for misfire identification in engine cylinders. The subject of investigation was a ten-cylinder OM403 engine, licensed by the company "Mercedes-Benz", which is used as a drive unit for specialized tracked vehicles. The methods was developed under laboratory conditions and is based on monitoring pressure and mean temperature pulsations of exhaust gases for different operating conditions in the cylinders at steady state operation while monitoring the in-cylinder pressure of one engine cylinder. The in-cylinder pressure and pressure pulsations in the exhaust manifolds were measured by AVL piezo electric pressure transducers, a data acquisition module (USB 6210 National Instrument), an AVL charge amplifier and the Lab View software for synchronization and management of the measuring equipment. The aim of this paper is to give a practical contribution to studies identifying disturbances of engine working cycles by monitoring parameters of exhaust gases.</w:t>
      </w:r>
    </w:p>
    <w:p w:rsidR="00CB1960" w:rsidRPr="007B0F6B" w:rsidRDefault="00CB1960" w:rsidP="007B0F6B">
      <w:pPr>
        <w:pStyle w:val="rezime"/>
      </w:pPr>
      <w:r w:rsidRPr="007B0F6B">
        <w:t xml:space="preserve">Key words: </w:t>
      </w:r>
      <w:r w:rsidR="006A10D5" w:rsidRPr="004B49C4">
        <w:t>diagnostic, exhaust gas, pulsation, pressure, temperature</w:t>
      </w:r>
    </w:p>
    <w:p w:rsidR="00CB1960" w:rsidRPr="004B4035" w:rsidRDefault="006A10D5" w:rsidP="00E34AAF">
      <w:pPr>
        <w:pStyle w:val="podnaslov"/>
        <w:spacing w:before="360"/>
        <w:rPr>
          <w:lang w:val="en-US"/>
        </w:rPr>
      </w:pPr>
      <w:r>
        <w:t>INTRODUCTION</w:t>
      </w:r>
    </w:p>
    <w:p w:rsidR="00CB1960" w:rsidRDefault="006A10D5" w:rsidP="007B0F6B">
      <w:pPr>
        <w:pStyle w:val="paragraf"/>
      </w:pPr>
      <w:r w:rsidRPr="004B49C4">
        <w:t>This paper analyzes the efficiency of the method of monitoring exhaust gas pressure and mean temperature changes for detecting disorders of the engine cycle in one of the cylinders. The subject of investigation was the OM403 engine. The OM403 is a four-stroke ten-cylinder naturally aspirated V-type engine, with a V-angle of 90°. This engine belongs to the "Mercedes-Benz" engine series OM400 which also includes the 6-cylinder naturally aspirated V-type engine (OM401), the 8-cylinder naturally aspirated V-type engine (OM402), the 12-cylinder V-type engine (naturally aspirated OM404 and turbocharged OM404A) as well as the naturally aspirated in-line 5-cylinder and 6-cylinder engines. Some important technical characteristics of the OM403 engine, declared by the manufacturer, are given in Table 1.</w:t>
      </w:r>
    </w:p>
    <w:p w:rsidR="006A10D5" w:rsidRPr="004B49C4" w:rsidRDefault="006A10D5" w:rsidP="006A10D5">
      <w:pPr>
        <w:pStyle w:val="paragraf"/>
      </w:pPr>
      <w:r w:rsidRPr="004B49C4">
        <w:t xml:space="preserve">The misfire was simulated by disconnection of the fuel supply of individual </w:t>
      </w:r>
      <w:r w:rsidRPr="004B49C4">
        <w:lastRenderedPageBreak/>
        <w:t>engine</w:t>
      </w:r>
      <w:r>
        <w:t xml:space="preserve"> </w:t>
      </w:r>
      <w:r w:rsidRPr="004B49C4">
        <w:t>cylinders.At the same time, the following information about operating regimes and conditions of individual working fluids were noted:</w:t>
      </w:r>
    </w:p>
    <w:p w:rsidR="006A10D5" w:rsidRPr="004B49C4" w:rsidRDefault="006A10D5" w:rsidP="009A3D6A">
      <w:pPr>
        <w:pStyle w:val="paragraf"/>
        <w:numPr>
          <w:ilvl w:val="0"/>
          <w:numId w:val="5"/>
        </w:numPr>
        <w:ind w:left="964" w:hanging="284"/>
      </w:pPr>
      <w:r w:rsidRPr="004B49C4">
        <w:t>rpm (</w:t>
      </w:r>
      <w:r w:rsidRPr="006A10D5">
        <w:t>n</w:t>
      </w:r>
      <w:r w:rsidRPr="004B49C4">
        <w:t>),</w:t>
      </w:r>
    </w:p>
    <w:p w:rsidR="006A10D5" w:rsidRPr="004B49C4" w:rsidRDefault="006A10D5" w:rsidP="009A3D6A">
      <w:pPr>
        <w:pStyle w:val="paragraf"/>
        <w:numPr>
          <w:ilvl w:val="0"/>
          <w:numId w:val="5"/>
        </w:numPr>
        <w:ind w:left="964" w:hanging="284"/>
      </w:pPr>
      <w:r w:rsidRPr="004B49C4">
        <w:t>force measured by the force transducer on the brake (</w:t>
      </w:r>
      <w:r w:rsidRPr="006A10D5">
        <w:t>F</w:t>
      </w:r>
      <w:r w:rsidRPr="004B49C4">
        <w:t>),</w:t>
      </w:r>
    </w:p>
    <w:p w:rsidR="006A10D5" w:rsidRPr="004B49C4" w:rsidRDefault="006A10D5" w:rsidP="009A3D6A">
      <w:pPr>
        <w:pStyle w:val="paragraf"/>
        <w:numPr>
          <w:ilvl w:val="0"/>
          <w:numId w:val="5"/>
        </w:numPr>
        <w:ind w:left="964" w:hanging="284"/>
      </w:pPr>
      <w:r w:rsidRPr="004B49C4">
        <w:t>time (</w:t>
      </w:r>
      <w:r w:rsidRPr="006A10D5">
        <w:sym w:font="Symbol" w:char="F074"/>
      </w:r>
      <w:r w:rsidRPr="004B49C4">
        <w:t xml:space="preserve">) of the consumption of a certain amount of fuel (200 </w:t>
      </w:r>
      <w:r w:rsidRPr="006A10D5">
        <w:t>ml</w:t>
      </w:r>
      <w:r w:rsidRPr="004B49C4">
        <w:t>),</w:t>
      </w:r>
    </w:p>
    <w:p w:rsidR="006A10D5" w:rsidRPr="004B49C4" w:rsidRDefault="006A10D5" w:rsidP="009A3D6A">
      <w:pPr>
        <w:pStyle w:val="paragraf"/>
        <w:numPr>
          <w:ilvl w:val="0"/>
          <w:numId w:val="5"/>
        </w:numPr>
        <w:ind w:left="964" w:hanging="284"/>
      </w:pPr>
      <w:r w:rsidRPr="004B49C4">
        <w:t>mean pressure of the exhaust gases in the left exhaust manifold (</w:t>
      </w:r>
      <w:r w:rsidRPr="006A10D5">
        <w:t>p</w:t>
      </w:r>
      <w:r w:rsidRPr="006A10D5">
        <w:rPr>
          <w:vertAlign w:val="subscript"/>
        </w:rPr>
        <w:t>egL</w:t>
      </w:r>
      <w:r w:rsidRPr="004B49C4">
        <w:t>),</w:t>
      </w:r>
    </w:p>
    <w:p w:rsidR="006A10D5" w:rsidRPr="004B49C4" w:rsidRDefault="006A10D5" w:rsidP="009A3D6A">
      <w:pPr>
        <w:pStyle w:val="paragraf"/>
        <w:numPr>
          <w:ilvl w:val="0"/>
          <w:numId w:val="5"/>
        </w:numPr>
        <w:ind w:left="964" w:hanging="284"/>
      </w:pPr>
      <w:r w:rsidRPr="004B49C4">
        <w:t>mean pressure of the exhaust gases in the right exhaust manifold (</w:t>
      </w:r>
      <w:r w:rsidRPr="006A10D5">
        <w:t>p</w:t>
      </w:r>
      <w:r w:rsidRPr="006A10D5">
        <w:rPr>
          <w:vertAlign w:val="subscript"/>
        </w:rPr>
        <w:t>egR</w:t>
      </w:r>
      <w:r w:rsidRPr="004B49C4">
        <w:t>),</w:t>
      </w:r>
    </w:p>
    <w:p w:rsidR="006A10D5" w:rsidRPr="004B49C4" w:rsidRDefault="006A10D5" w:rsidP="009A3D6A">
      <w:pPr>
        <w:pStyle w:val="paragraf"/>
        <w:numPr>
          <w:ilvl w:val="0"/>
          <w:numId w:val="5"/>
        </w:numPr>
        <w:ind w:left="964" w:hanging="284"/>
      </w:pPr>
      <w:r w:rsidRPr="004B49C4">
        <w:t>mean temperature of the exhaust gases in the left exhaust manifold (</w:t>
      </w:r>
      <w:r w:rsidRPr="006A10D5">
        <w:t>t</w:t>
      </w:r>
      <w:r w:rsidRPr="006A10D5">
        <w:rPr>
          <w:vertAlign w:val="subscript"/>
        </w:rPr>
        <w:t>egL</w:t>
      </w:r>
      <w:r w:rsidRPr="004B49C4">
        <w:t>),</w:t>
      </w:r>
    </w:p>
    <w:p w:rsidR="006A10D5" w:rsidRPr="004B49C4" w:rsidRDefault="006A10D5" w:rsidP="009A3D6A">
      <w:pPr>
        <w:pStyle w:val="paragraf"/>
        <w:numPr>
          <w:ilvl w:val="0"/>
          <w:numId w:val="5"/>
        </w:numPr>
        <w:ind w:left="964" w:hanging="284"/>
      </w:pPr>
      <w:r w:rsidRPr="004B49C4">
        <w:t>mean temperature of the exhaust gases in the right exhaust manifold (</w:t>
      </w:r>
      <w:r w:rsidRPr="006A10D5">
        <w:t>t</w:t>
      </w:r>
      <w:r w:rsidRPr="006A10D5">
        <w:rPr>
          <w:vertAlign w:val="subscript"/>
        </w:rPr>
        <w:t>egR</w:t>
      </w:r>
      <w:r w:rsidRPr="004B49C4">
        <w:t>),</w:t>
      </w:r>
    </w:p>
    <w:p w:rsidR="006A10D5" w:rsidRPr="004B49C4" w:rsidRDefault="006A10D5" w:rsidP="009A3D6A">
      <w:pPr>
        <w:pStyle w:val="paragraf"/>
        <w:numPr>
          <w:ilvl w:val="0"/>
          <w:numId w:val="5"/>
        </w:numPr>
        <w:ind w:left="964" w:hanging="284"/>
      </w:pPr>
      <w:r w:rsidRPr="004B49C4">
        <w:t>engine outlet coolant temperature (</w:t>
      </w:r>
      <w:r w:rsidRPr="006A10D5">
        <w:t>t</w:t>
      </w:r>
      <w:r w:rsidRPr="006A10D5">
        <w:rPr>
          <w:vertAlign w:val="subscript"/>
        </w:rPr>
        <w:t>cool</w:t>
      </w:r>
      <w:r w:rsidRPr="004B49C4">
        <w:t>),</w:t>
      </w:r>
    </w:p>
    <w:p w:rsidR="006A10D5" w:rsidRPr="004B49C4" w:rsidRDefault="006A10D5" w:rsidP="009A3D6A">
      <w:pPr>
        <w:pStyle w:val="paragraf"/>
        <w:numPr>
          <w:ilvl w:val="0"/>
          <w:numId w:val="5"/>
        </w:numPr>
        <w:ind w:left="964" w:hanging="284"/>
      </w:pPr>
      <w:r w:rsidRPr="004B49C4">
        <w:t>engine oil temperature (</w:t>
      </w:r>
      <w:r w:rsidRPr="006A10D5">
        <w:t>t</w:t>
      </w:r>
      <w:r w:rsidRPr="006A10D5">
        <w:rPr>
          <w:vertAlign w:val="subscript"/>
        </w:rPr>
        <w:t>oil</w:t>
      </w:r>
      <w:r w:rsidRPr="004B49C4">
        <w:t>) and</w:t>
      </w:r>
    </w:p>
    <w:p w:rsidR="006A10D5" w:rsidRPr="004B49C4" w:rsidRDefault="006A10D5" w:rsidP="009A3D6A">
      <w:pPr>
        <w:pStyle w:val="paragraf"/>
        <w:numPr>
          <w:ilvl w:val="0"/>
          <w:numId w:val="5"/>
        </w:numPr>
        <w:ind w:left="964" w:hanging="284"/>
      </w:pPr>
      <w:r w:rsidRPr="004B49C4">
        <w:t>engine oil pressure (</w:t>
      </w:r>
      <w:r w:rsidRPr="006A10D5">
        <w:t>p</w:t>
      </w:r>
      <w:r w:rsidRPr="006A10D5">
        <w:rPr>
          <w:vertAlign w:val="subscript"/>
        </w:rPr>
        <w:t>oil</w:t>
      </w:r>
      <w:r w:rsidRPr="004B49C4">
        <w:t>).</w:t>
      </w:r>
    </w:p>
    <w:p w:rsidR="006A10D5" w:rsidRPr="004B49C4" w:rsidRDefault="006A10D5" w:rsidP="006A10D5">
      <w:pPr>
        <w:pStyle w:val="paragraf"/>
      </w:pPr>
      <w:r w:rsidRPr="004B49C4">
        <w:t>In addition to these values, the change of the following cycle parameters as a function of crankshaft angular position was monitored:</w:t>
      </w:r>
    </w:p>
    <w:p w:rsidR="006A10D5" w:rsidRPr="004B49C4" w:rsidRDefault="006A10D5" w:rsidP="009A3D6A">
      <w:pPr>
        <w:pStyle w:val="paragraf"/>
        <w:numPr>
          <w:ilvl w:val="0"/>
          <w:numId w:val="5"/>
        </w:numPr>
        <w:ind w:left="964" w:hanging="284"/>
      </w:pPr>
      <w:r w:rsidRPr="004B49C4">
        <w:t>in-cylinder pressure in cylinder number 1 (</w:t>
      </w:r>
      <w:r w:rsidRPr="006A10D5">
        <w:t>p</w:t>
      </w:r>
      <w:r w:rsidRPr="006A10D5">
        <w:rPr>
          <w:vertAlign w:val="subscript"/>
        </w:rPr>
        <w:t>i1</w:t>
      </w:r>
      <w:r w:rsidRPr="004B49C4">
        <w:t>),</w:t>
      </w:r>
    </w:p>
    <w:p w:rsidR="006A10D5" w:rsidRPr="004B49C4" w:rsidRDefault="006A10D5" w:rsidP="009A3D6A">
      <w:pPr>
        <w:pStyle w:val="paragraf"/>
        <w:numPr>
          <w:ilvl w:val="0"/>
          <w:numId w:val="5"/>
        </w:numPr>
        <w:ind w:left="964" w:hanging="284"/>
      </w:pPr>
      <w:r w:rsidRPr="004B49C4">
        <w:t>pressure changes in the left exhaust manifold (</w:t>
      </w:r>
      <w:r w:rsidRPr="006A10D5">
        <w:t>p</w:t>
      </w:r>
      <w:r w:rsidRPr="006A10D5">
        <w:rPr>
          <w:vertAlign w:val="subscript"/>
        </w:rPr>
        <w:t>fegL</w:t>
      </w:r>
      <w:r w:rsidRPr="004B49C4">
        <w:t>),</w:t>
      </w:r>
    </w:p>
    <w:p w:rsidR="006A10D5" w:rsidRPr="004B49C4" w:rsidRDefault="006A10D5" w:rsidP="009A3D6A">
      <w:pPr>
        <w:pStyle w:val="paragraf"/>
        <w:numPr>
          <w:ilvl w:val="0"/>
          <w:numId w:val="5"/>
        </w:numPr>
        <w:ind w:left="964" w:hanging="284"/>
      </w:pPr>
      <w:r w:rsidRPr="004B49C4">
        <w:t>pressure changes in the right exhaust manifold (</w:t>
      </w:r>
      <w:r w:rsidRPr="006A10D5">
        <w:t>p</w:t>
      </w:r>
      <w:r w:rsidRPr="006A10D5">
        <w:rPr>
          <w:vertAlign w:val="subscript"/>
        </w:rPr>
        <w:t>fegR</w:t>
      </w:r>
      <w:r w:rsidRPr="004B49C4">
        <w:t>),</w:t>
      </w:r>
    </w:p>
    <w:p w:rsidR="006A10D5" w:rsidRPr="004B49C4" w:rsidRDefault="006A10D5" w:rsidP="006A10D5">
      <w:pPr>
        <w:pStyle w:val="paragraf"/>
      </w:pPr>
      <w:r w:rsidRPr="004B49C4">
        <w:t>The main selection criteria for the working cycle parameters that are analyzed are the following:</w:t>
      </w:r>
    </w:p>
    <w:p w:rsidR="006A10D5" w:rsidRPr="004B49C4" w:rsidRDefault="006A10D5" w:rsidP="009A3D6A">
      <w:pPr>
        <w:pStyle w:val="paragraf"/>
        <w:numPr>
          <w:ilvl w:val="0"/>
          <w:numId w:val="5"/>
        </w:numPr>
        <w:ind w:left="964" w:hanging="284"/>
      </w:pPr>
      <w:r w:rsidRPr="004B49C4">
        <w:t>the method should be as simple as possible, including the adaptation of the engine,</w:t>
      </w:r>
    </w:p>
    <w:p w:rsidR="006A10D5" w:rsidRPr="004B49C4" w:rsidRDefault="006A10D5" w:rsidP="009A3D6A">
      <w:pPr>
        <w:pStyle w:val="paragraf"/>
        <w:numPr>
          <w:ilvl w:val="0"/>
          <w:numId w:val="5"/>
        </w:numPr>
        <w:ind w:left="964" w:hanging="284"/>
      </w:pPr>
      <w:r w:rsidRPr="004B49C4">
        <w:t>the costs of the measuring equipment and adaptation of the engine should be as small as possible,</w:t>
      </w:r>
    </w:p>
    <w:p w:rsidR="00CB1960" w:rsidRDefault="006A10D5" w:rsidP="009A3D6A">
      <w:pPr>
        <w:pStyle w:val="paragraf"/>
        <w:numPr>
          <w:ilvl w:val="0"/>
          <w:numId w:val="5"/>
        </w:numPr>
        <w:ind w:left="964" w:hanging="284"/>
      </w:pPr>
      <w:r w:rsidRPr="004B49C4">
        <w:t>if successful, the method has to have the potential of implementation under exploitation conditions.</w:t>
      </w:r>
    </w:p>
    <w:p w:rsidR="006A10D5" w:rsidRPr="006A10D5" w:rsidRDefault="006A10D5" w:rsidP="006A10D5">
      <w:pPr>
        <w:spacing w:before="240" w:after="120"/>
        <w:rPr>
          <w:rFonts w:ascii="Arial" w:hAnsi="Arial" w:cs="Arial"/>
          <w:sz w:val="20"/>
          <w:szCs w:val="20"/>
        </w:rPr>
      </w:pPr>
      <w:r w:rsidRPr="006A10D5">
        <w:rPr>
          <w:rFonts w:ascii="Arial" w:hAnsi="Arial" w:cs="Arial"/>
          <w:sz w:val="20"/>
          <w:szCs w:val="20"/>
        </w:rPr>
        <w:t>Table 1: Technical characteristics of the OM403 engine</w:t>
      </w:r>
    </w:p>
    <w:tbl>
      <w:tblPr>
        <w:tblpPr w:leftFromText="180" w:rightFromText="180" w:vertAnchor="text" w:horzAnchor="margin" w:tblpX="108" w:tblpY="42"/>
        <w:tblW w:w="7763" w:type="dxa"/>
        <w:tblBorders>
          <w:top w:val="single" w:sz="4" w:space="0" w:color="auto"/>
          <w:bottom w:val="single" w:sz="4" w:space="0" w:color="auto"/>
        </w:tblBorders>
        <w:tblLook w:val="01E0"/>
      </w:tblPr>
      <w:tblGrid>
        <w:gridCol w:w="4928"/>
        <w:gridCol w:w="2835"/>
      </w:tblGrid>
      <w:tr w:rsidR="006A10D5" w:rsidRPr="006A10D5" w:rsidTr="006A10D5">
        <w:trPr>
          <w:trHeight w:val="57"/>
        </w:trPr>
        <w:tc>
          <w:tcPr>
            <w:tcW w:w="4928" w:type="dxa"/>
            <w:vAlign w:val="center"/>
          </w:tcPr>
          <w:p w:rsidR="006A10D5" w:rsidRPr="006A10D5" w:rsidRDefault="006A10D5" w:rsidP="00B1486F">
            <w:pPr>
              <w:ind w:left="-90" w:firstLine="90"/>
              <w:rPr>
                <w:rFonts w:ascii="Arial" w:hAnsi="Arial" w:cs="Arial"/>
                <w:sz w:val="20"/>
                <w:szCs w:val="20"/>
              </w:rPr>
            </w:pPr>
            <w:r w:rsidRPr="006A10D5">
              <w:rPr>
                <w:rFonts w:ascii="Arial" w:hAnsi="Arial" w:cs="Arial"/>
                <w:sz w:val="20"/>
                <w:szCs w:val="20"/>
              </w:rPr>
              <w:t>Type</w:t>
            </w:r>
          </w:p>
        </w:tc>
        <w:tc>
          <w:tcPr>
            <w:tcW w:w="2835" w:type="dxa"/>
          </w:tcPr>
          <w:p w:rsidR="006A10D5" w:rsidRPr="006A10D5" w:rsidRDefault="006A10D5" w:rsidP="00B1486F">
            <w:pPr>
              <w:rPr>
                <w:rFonts w:ascii="Arial" w:hAnsi="Arial" w:cs="Arial"/>
                <w:sz w:val="20"/>
                <w:szCs w:val="20"/>
              </w:rPr>
            </w:pPr>
            <w:r w:rsidRPr="006A10D5">
              <w:rPr>
                <w:rFonts w:ascii="Arial" w:hAnsi="Arial" w:cs="Arial"/>
                <w:sz w:val="20"/>
                <w:szCs w:val="20"/>
              </w:rPr>
              <w:t>V10 engine</w:t>
            </w:r>
          </w:p>
        </w:tc>
      </w:tr>
      <w:tr w:rsidR="006A10D5" w:rsidRPr="006A10D5" w:rsidTr="006A10D5">
        <w:trPr>
          <w:trHeight w:val="20"/>
        </w:trPr>
        <w:tc>
          <w:tcPr>
            <w:tcW w:w="4928" w:type="dxa"/>
            <w:vAlign w:val="center"/>
          </w:tcPr>
          <w:p w:rsidR="006A10D5" w:rsidRPr="006A10D5" w:rsidRDefault="006A10D5" w:rsidP="00B1486F">
            <w:pPr>
              <w:ind w:left="-90" w:firstLine="90"/>
              <w:rPr>
                <w:rFonts w:ascii="Arial" w:hAnsi="Arial" w:cs="Arial"/>
                <w:sz w:val="20"/>
                <w:szCs w:val="20"/>
              </w:rPr>
            </w:pPr>
            <w:r w:rsidRPr="006A10D5">
              <w:rPr>
                <w:rFonts w:ascii="Arial" w:hAnsi="Arial" w:cs="Arial"/>
                <w:sz w:val="20"/>
                <w:szCs w:val="20"/>
              </w:rPr>
              <w:t>Effective power according to DIN 70200 (</w:t>
            </w:r>
            <w:proofErr w:type="spellStart"/>
            <w:r w:rsidRPr="006A10D5">
              <w:rPr>
                <w:rFonts w:ascii="Arial" w:hAnsi="Arial" w:cs="Arial"/>
                <w:sz w:val="20"/>
                <w:szCs w:val="20"/>
              </w:rPr>
              <w:t>Pe</w:t>
            </w:r>
            <w:proofErr w:type="spellEnd"/>
            <w:r w:rsidRPr="006A10D5">
              <w:rPr>
                <w:rFonts w:ascii="Arial" w:hAnsi="Arial" w:cs="Arial"/>
                <w:sz w:val="20"/>
                <w:szCs w:val="20"/>
              </w:rPr>
              <w:t>)</w:t>
            </w:r>
          </w:p>
        </w:tc>
        <w:tc>
          <w:tcPr>
            <w:tcW w:w="2835" w:type="dxa"/>
          </w:tcPr>
          <w:p w:rsidR="006A10D5" w:rsidRPr="006A10D5" w:rsidRDefault="006A10D5" w:rsidP="00B1486F">
            <w:pPr>
              <w:rPr>
                <w:rFonts w:ascii="Arial" w:hAnsi="Arial" w:cs="Arial"/>
                <w:sz w:val="20"/>
                <w:szCs w:val="20"/>
              </w:rPr>
            </w:pPr>
            <w:r w:rsidRPr="006A10D5">
              <w:rPr>
                <w:rFonts w:ascii="Arial" w:hAnsi="Arial" w:cs="Arial"/>
                <w:sz w:val="20"/>
                <w:szCs w:val="20"/>
              </w:rPr>
              <w:t>225 KW at 2500 rpm</w:t>
            </w:r>
          </w:p>
        </w:tc>
      </w:tr>
      <w:tr w:rsidR="006A10D5" w:rsidRPr="006A10D5" w:rsidTr="006A10D5">
        <w:trPr>
          <w:trHeight w:val="20"/>
        </w:trPr>
        <w:tc>
          <w:tcPr>
            <w:tcW w:w="4928" w:type="dxa"/>
            <w:vAlign w:val="center"/>
          </w:tcPr>
          <w:p w:rsidR="006A10D5" w:rsidRPr="006A10D5" w:rsidRDefault="006A10D5" w:rsidP="00B1486F">
            <w:pPr>
              <w:rPr>
                <w:rFonts w:ascii="Arial" w:hAnsi="Arial" w:cs="Arial"/>
                <w:sz w:val="20"/>
                <w:szCs w:val="20"/>
              </w:rPr>
            </w:pPr>
            <w:r w:rsidRPr="006A10D5">
              <w:rPr>
                <w:rFonts w:ascii="Arial" w:hAnsi="Arial" w:cs="Arial"/>
                <w:sz w:val="20"/>
                <w:szCs w:val="20"/>
              </w:rPr>
              <w:t>Maximum effective torque (Me)</w:t>
            </w:r>
          </w:p>
        </w:tc>
        <w:tc>
          <w:tcPr>
            <w:tcW w:w="2835" w:type="dxa"/>
          </w:tcPr>
          <w:p w:rsidR="006A10D5" w:rsidRPr="006A10D5" w:rsidRDefault="006A10D5" w:rsidP="00B1486F">
            <w:pPr>
              <w:rPr>
                <w:rFonts w:ascii="Arial" w:hAnsi="Arial" w:cs="Arial"/>
                <w:sz w:val="20"/>
                <w:szCs w:val="20"/>
              </w:rPr>
            </w:pPr>
            <w:r w:rsidRPr="006A10D5">
              <w:rPr>
                <w:rFonts w:ascii="Arial" w:hAnsi="Arial" w:cs="Arial"/>
                <w:sz w:val="20"/>
                <w:szCs w:val="20"/>
              </w:rPr>
              <w:t>1030 (Nm) at 1500 rpm</w:t>
            </w:r>
          </w:p>
        </w:tc>
      </w:tr>
      <w:tr w:rsidR="006A10D5" w:rsidRPr="006A10D5" w:rsidTr="006A10D5">
        <w:trPr>
          <w:trHeight w:val="57"/>
        </w:trPr>
        <w:tc>
          <w:tcPr>
            <w:tcW w:w="4928" w:type="dxa"/>
            <w:vAlign w:val="center"/>
          </w:tcPr>
          <w:p w:rsidR="006A10D5" w:rsidRPr="006A10D5" w:rsidRDefault="006A10D5" w:rsidP="00B1486F">
            <w:pPr>
              <w:rPr>
                <w:rFonts w:ascii="Arial" w:hAnsi="Arial" w:cs="Arial"/>
                <w:sz w:val="20"/>
                <w:szCs w:val="20"/>
              </w:rPr>
            </w:pPr>
            <w:r w:rsidRPr="006A10D5">
              <w:rPr>
                <w:rFonts w:ascii="Arial" w:hAnsi="Arial" w:cs="Arial"/>
                <w:sz w:val="20"/>
                <w:szCs w:val="20"/>
              </w:rPr>
              <w:t>Total volume (Vu)</w:t>
            </w:r>
          </w:p>
        </w:tc>
        <w:tc>
          <w:tcPr>
            <w:tcW w:w="2835" w:type="dxa"/>
          </w:tcPr>
          <w:p w:rsidR="006A10D5" w:rsidRPr="006A10D5" w:rsidRDefault="006A10D5" w:rsidP="005428AF">
            <w:pPr>
              <w:rPr>
                <w:rFonts w:ascii="Arial" w:hAnsi="Arial" w:cs="Arial"/>
                <w:sz w:val="20"/>
                <w:szCs w:val="20"/>
              </w:rPr>
            </w:pPr>
            <w:r w:rsidRPr="006A10D5">
              <w:rPr>
                <w:rFonts w:ascii="Arial" w:hAnsi="Arial" w:cs="Arial"/>
                <w:sz w:val="20"/>
                <w:szCs w:val="20"/>
              </w:rPr>
              <w:t>15</w:t>
            </w:r>
            <w:r w:rsidR="005428AF">
              <w:rPr>
                <w:rFonts w:ascii="Arial" w:hAnsi="Arial" w:cs="Arial"/>
                <w:sz w:val="20"/>
                <w:szCs w:val="20"/>
              </w:rPr>
              <w:t>.</w:t>
            </w:r>
            <w:r w:rsidRPr="006A10D5">
              <w:rPr>
                <w:rFonts w:ascii="Arial" w:hAnsi="Arial" w:cs="Arial"/>
                <w:sz w:val="20"/>
                <w:szCs w:val="20"/>
              </w:rPr>
              <w:t>95 dm</w:t>
            </w:r>
            <w:r w:rsidRPr="006A10D5">
              <w:rPr>
                <w:rFonts w:ascii="Arial" w:hAnsi="Arial" w:cs="Arial"/>
                <w:sz w:val="20"/>
                <w:szCs w:val="20"/>
                <w:vertAlign w:val="superscript"/>
              </w:rPr>
              <w:t>3</w:t>
            </w:r>
          </w:p>
        </w:tc>
      </w:tr>
    </w:tbl>
    <w:p w:rsidR="00CB1960" w:rsidRPr="006A10D5" w:rsidRDefault="006A10D5" w:rsidP="00E34AAF">
      <w:pPr>
        <w:pStyle w:val="podnaslov"/>
        <w:spacing w:before="360"/>
      </w:pPr>
      <w:r w:rsidRPr="006A10D5">
        <w:t>EXPERIMENTAL SETUP</w:t>
      </w:r>
    </w:p>
    <w:p w:rsidR="006A10D5" w:rsidRPr="004B49C4" w:rsidRDefault="006A10D5" w:rsidP="006A10D5">
      <w:pPr>
        <w:pStyle w:val="paragraf"/>
      </w:pPr>
      <w:r w:rsidRPr="004B49C4">
        <w:t>A block diagram representation of the measurement installation used for the experiment is shown in Figure 1.</w:t>
      </w:r>
    </w:p>
    <w:p w:rsidR="00CB1960" w:rsidRDefault="006A10D5" w:rsidP="00C85241">
      <w:pPr>
        <w:pStyle w:val="paragraf"/>
      </w:pPr>
      <w:r w:rsidRPr="004B49C4">
        <w:t>An opto-electronic incremental rotary encoder is directly mounted on the free end of the crankshaft and connected to a power supply unit. The encoder has a rectangular output signal in the form of 0 to +5V pulses with an angular resolution of 0,288° (or 1250 impulses) and one reference marker in a 360° revolution of the crankshaft. The signals from the encoder are transmitted to the USB 6210 device and used to manage and control the A/D conversion of measured analog values. The encoder shaft is fixed to the torsion vibration damper mounted on the free end of the crankshaft. A specially designed bracket attached to the engine was used for the fixation and centering of the encoder body relative to the crankshaft axis. This was the first major adaptation on the engine.</w:t>
      </w:r>
    </w:p>
    <w:p w:rsidR="006A10D5" w:rsidRPr="004B49C4" w:rsidRDefault="00C81576" w:rsidP="006A10D5">
      <w:pPr>
        <w:jc w:val="center"/>
      </w:pPr>
      <w:r w:rsidRPr="00C81576">
        <w:rPr>
          <w:noProof/>
          <w:lang w:val="en-US"/>
        </w:rPr>
        <w:lastRenderedPageBreak/>
        <w:pict>
          <v:shape id="Picture 1" o:spid="_x0000_i1026" type="#_x0000_t75" alt="figure 1.tif" style="width:188pt;height:185pt;visibility:visible;mso-wrap-style:square">
            <v:imagedata r:id="rId9" o:title="figure 1"/>
          </v:shape>
        </w:pict>
      </w:r>
    </w:p>
    <w:p w:rsidR="006A10D5" w:rsidRPr="006A10D5" w:rsidRDefault="006A10D5" w:rsidP="006A10D5">
      <w:pPr>
        <w:spacing w:before="120" w:after="240"/>
        <w:jc w:val="center"/>
        <w:rPr>
          <w:rFonts w:ascii="Arial" w:hAnsi="Arial" w:cs="Arial"/>
          <w:sz w:val="20"/>
          <w:szCs w:val="20"/>
        </w:rPr>
      </w:pPr>
      <w:r w:rsidRPr="006A10D5">
        <w:rPr>
          <w:rFonts w:ascii="Arial" w:hAnsi="Arial" w:cs="Arial"/>
          <w:sz w:val="20"/>
          <w:szCs w:val="20"/>
        </w:rPr>
        <w:t>Figure 1: Block diagram of the measurement installation</w:t>
      </w:r>
    </w:p>
    <w:p w:rsidR="006A10D5" w:rsidRPr="004B49C4" w:rsidRDefault="006A10D5" w:rsidP="006A10D5">
      <w:pPr>
        <w:pStyle w:val="paragraf"/>
      </w:pPr>
      <w:r w:rsidRPr="004B49C4">
        <w:t>During the experiment, three AVL piezoelectric pressure transducers were used. The first sensor was inserted into a specially prepared threaded hole in the cylinder head number 1. This was the second major adaptation on the engine during the experiment. The second and the third sensor were inserted into specially prepared threaded holes on the left and right exhaust manifold. After the experiment, stoppers were used to close these openings.</w:t>
      </w:r>
    </w:p>
    <w:p w:rsidR="006A10D5" w:rsidRPr="004B49C4" w:rsidRDefault="006A10D5" w:rsidP="006A10D5">
      <w:pPr>
        <w:pStyle w:val="paragraf"/>
      </w:pPr>
      <w:r w:rsidRPr="004B49C4">
        <w:t>The output from the piezoelectric transducers was converted and amplified by the charge amplifier. The analog voltage from the amplifier was forwarded to the USB 6210 device, where the A/D conversion was performed.</w:t>
      </w:r>
    </w:p>
    <w:p w:rsidR="00CB1960" w:rsidRPr="007B0F6B" w:rsidRDefault="006A10D5" w:rsidP="006A10D5">
      <w:pPr>
        <w:pStyle w:val="paragraf"/>
      </w:pPr>
      <w:r w:rsidRPr="004B49C4">
        <w:t>The USB 6210 is a 16-bit data acquisition module, small, with exceptional flexibility and very low price. The product is from the renowned company National Instruments and is easy to use with any PC with the software package Lab View installed on. The use of the USB 6210 implied the existence of a program for the synchronization and management of the measuring equipment. For this purpose, a special adaptive Lab View application was developed. This application enabled the synchronization of measurement of any rapidly changing parameter of the engine working cycle and its subsystems in the function of the crank angle.</w:t>
      </w:r>
    </w:p>
    <w:p w:rsidR="006A10D5" w:rsidRPr="006A10D5" w:rsidRDefault="006A10D5" w:rsidP="006A10D5">
      <w:pPr>
        <w:pStyle w:val="podnaslov"/>
        <w:tabs>
          <w:tab w:val="clear" w:pos="907"/>
          <w:tab w:val="num" w:pos="360"/>
        </w:tabs>
        <w:spacing w:before="360"/>
        <w:ind w:left="0" w:firstLine="0"/>
      </w:pPr>
      <w:r w:rsidRPr="006A10D5">
        <w:t>MEASUREMENT DATA PROCESSING</w:t>
      </w:r>
    </w:p>
    <w:p w:rsidR="006A10D5" w:rsidRPr="004B49C4" w:rsidRDefault="006A10D5" w:rsidP="006A10D5">
      <w:pPr>
        <w:pStyle w:val="paragraf"/>
      </w:pPr>
      <w:r w:rsidRPr="004B49C4">
        <w:t xml:space="preserve">The measurement of physical quantities implies their conversion to analog voltage values. After their amplification, the </w:t>
      </w:r>
      <w:r w:rsidRPr="00901ADB">
        <w:t xml:space="preserve">digitization </w:t>
      </w:r>
      <w:r w:rsidRPr="004B49C4">
        <w:t>of these analog signals was performed. The procedure of processing and obtaining parameter values as real physical quantities was performed in two phases.</w:t>
      </w:r>
    </w:p>
    <w:p w:rsidR="006A10D5" w:rsidRPr="004B49C4" w:rsidRDefault="006A10D5" w:rsidP="006A10D5">
      <w:pPr>
        <w:pStyle w:val="paragraf"/>
      </w:pPr>
      <w:r w:rsidRPr="004B49C4">
        <w:t>The objective of the first phase was to convert these digitalized records to real physical values</w:t>
      </w:r>
      <w:r>
        <w:t xml:space="preserve"> (Figure 2)</w:t>
      </w:r>
      <w:r w:rsidRPr="004B49C4">
        <w:t>. The second phase included the determination of the so called "zero line" for the measured pressures, the process of „filtration“ and their connection to the working cycle in cylinder number 1, in order to enable the clearly tracking of the pressure changes during the engine working cycle.</w:t>
      </w:r>
    </w:p>
    <w:p w:rsidR="00CB1960" w:rsidRPr="006A10D5" w:rsidRDefault="006A10D5" w:rsidP="00E34AAF">
      <w:pPr>
        <w:pStyle w:val="podnaslov"/>
        <w:numPr>
          <w:ilvl w:val="0"/>
          <w:numId w:val="0"/>
        </w:numPr>
        <w:spacing w:before="240"/>
      </w:pPr>
      <w:r w:rsidRPr="006A10D5">
        <w:lastRenderedPageBreak/>
        <w:t>3.1 THE FIRST PHASE OF MEASUREMENT DATA PROCESSING</w:t>
      </w:r>
    </w:p>
    <w:p w:rsidR="006A10D5" w:rsidRPr="004B49C4" w:rsidRDefault="006A10D5" w:rsidP="006A10D5">
      <w:pPr>
        <w:pStyle w:val="paragraf"/>
      </w:pPr>
      <w:r w:rsidRPr="004B49C4">
        <w:t>The measurement was organized so that, for every analyzed stationary regime, 50 cycles with the associated data on the changes of the measured values in the function of the crank angle were recorded. After that, for each test regime, a specially developed FORTRAN program was used to create separate files with "representative" samples of averaged measured values in order to partly eliminate the present "noise" and stochastic nature of the considered parameters. The measured values from the "representative" files were then multiplied with amplification coefficients, predetermined during the calibration of the applied piezoelectric transducers. During the calibration process and experiment, the same cables and amplifiers were used. Hence, principal changes of the measured pressures were obtained, ready to be used for further processing. The term "further processing" primarily refers to the determination of the so-called "zero line" of the measured pressures, since the piezoelectric sensors do not have the ability to register the absolute pressure in the space where the pressure change is happening, but register only the difference between the initial-state pressure and the values to be measured during the experiment.</w:t>
      </w:r>
    </w:p>
    <w:p w:rsidR="006A10D5" w:rsidRPr="004B49C4" w:rsidRDefault="00C81576" w:rsidP="006A10D5">
      <w:pPr>
        <w:jc w:val="center"/>
      </w:pPr>
      <w:r w:rsidRPr="00C81576">
        <w:rPr>
          <w:noProof/>
          <w:lang w:val="en-US"/>
        </w:rPr>
        <w:pict>
          <v:shape id="Picture 0" o:spid="_x0000_i1027" type="#_x0000_t75" alt="figure 2.jpg" style="width:232pt;height:145pt;visibility:visible;mso-wrap-style:square">
            <v:imagedata r:id="rId10" o:title="figure 2"/>
          </v:shape>
        </w:pict>
      </w:r>
    </w:p>
    <w:p w:rsidR="00CB1960" w:rsidRPr="006A10D5" w:rsidRDefault="006A10D5" w:rsidP="006A10D5">
      <w:pPr>
        <w:spacing w:before="120" w:after="240"/>
        <w:jc w:val="center"/>
        <w:rPr>
          <w:rFonts w:ascii="Arial" w:hAnsi="Arial" w:cs="Arial"/>
          <w:sz w:val="20"/>
          <w:szCs w:val="20"/>
        </w:rPr>
      </w:pPr>
      <w:r w:rsidRPr="006A10D5">
        <w:rPr>
          <w:rFonts w:ascii="Arial" w:hAnsi="Arial" w:cs="Arial"/>
          <w:sz w:val="20"/>
          <w:szCs w:val="20"/>
        </w:rPr>
        <w:t>Figure 2: Measured pressures without specified "zero line" and the TDC</w:t>
      </w:r>
    </w:p>
    <w:p w:rsidR="006A10D5" w:rsidRDefault="006A10D5" w:rsidP="00C67096">
      <w:pPr>
        <w:pStyle w:val="podnaslov"/>
        <w:numPr>
          <w:ilvl w:val="0"/>
          <w:numId w:val="0"/>
        </w:numPr>
        <w:spacing w:before="240"/>
      </w:pPr>
      <w:r>
        <w:t xml:space="preserve">3.2 </w:t>
      </w:r>
      <w:r w:rsidRPr="006A10D5">
        <w:t>THE SECOND PHASE OF MEASUREMENT DATA PROCESSING</w:t>
      </w:r>
    </w:p>
    <w:p w:rsidR="006A10D5" w:rsidRPr="004B49C4" w:rsidRDefault="006A10D5" w:rsidP="006A10D5">
      <w:pPr>
        <w:pStyle w:val="paragraf"/>
      </w:pPr>
      <w:r w:rsidRPr="004B49C4">
        <w:t>Figure 2 shows the pressure changes in the left exhaust manifold (</w:t>
      </w:r>
      <w:r w:rsidRPr="006A10D5">
        <w:t>p</w:t>
      </w:r>
      <w:r w:rsidRPr="006A10D5">
        <w:rPr>
          <w:vertAlign w:val="subscript"/>
        </w:rPr>
        <w:t>fegL</w:t>
      </w:r>
      <w:r w:rsidRPr="004B49C4">
        <w:t>), the pressure changes in the right exhaust manifold (</w:t>
      </w:r>
      <w:r w:rsidRPr="006A10D5">
        <w:t>p</w:t>
      </w:r>
      <w:r w:rsidRPr="006A10D5">
        <w:rPr>
          <w:vertAlign w:val="subscript"/>
        </w:rPr>
        <w:t>fegR</w:t>
      </w:r>
      <w:r w:rsidRPr="004B49C4">
        <w:t>), as well as the in-cylinder pressure change in cylinder number 1 (</w:t>
      </w:r>
      <w:r w:rsidRPr="006A10D5">
        <w:t>p</w:t>
      </w:r>
      <w:r w:rsidRPr="006A10D5">
        <w:rPr>
          <w:vertAlign w:val="subscript"/>
        </w:rPr>
        <w:t>i1</w:t>
      </w:r>
      <w:r w:rsidRPr="004B49C4">
        <w:t xml:space="preserve">) of the OM403 engine, after the first-phase-processing of the "representative" averaged values, obtained for a certain stationary regime. It is obvious that the pressure curves were </w:t>
      </w:r>
      <w:r w:rsidRPr="00901ADB">
        <w:t xml:space="preserve">shifted </w:t>
      </w:r>
      <w:r w:rsidRPr="00D96791">
        <w:t>in</w:t>
      </w:r>
      <w:r w:rsidRPr="004B49C4">
        <w:t xml:space="preserve"> the ordinate axis direction relative to their real values. On the other hand, the position of the curves in relation to the abscissa axis is entirely arbitrary. The last anomaly comes from the fact that the start of the parameter measurement was not associated to a cycle of any engine cylinder, but is dependent on the current, completely arbitrary position of the reference marker in relation to the crankshaft.“TDC </w:t>
      </w:r>
      <w:r w:rsidR="00E70BA1">
        <w:t>(</w:t>
      </w:r>
      <w:r w:rsidR="00E70BA1" w:rsidRPr="006A10D5">
        <w:t>Top Dead Center</w:t>
      </w:r>
      <w:r w:rsidR="00E70BA1">
        <w:t>)</w:t>
      </w:r>
      <w:r w:rsidR="00E70BA1" w:rsidRPr="004B49C4">
        <w:t xml:space="preserve"> </w:t>
      </w:r>
      <w:r w:rsidRPr="004B49C4">
        <w:t>determination” was used for shifting the parameter curves in the abscissa axis direction and their connection to a cycle of one of the engine cylinders, whereas the shifting in the ordinate axis direction is done by assessing the "zero line" for the measured values.</w:t>
      </w:r>
    </w:p>
    <w:p w:rsidR="00CB1960" w:rsidRDefault="006A10D5" w:rsidP="006A10D5">
      <w:pPr>
        <w:pStyle w:val="paragraf"/>
      </w:pPr>
      <w:r w:rsidRPr="004B49C4">
        <w:t xml:space="preserve">For the TDC determination, the pressure curve without combustion in the </w:t>
      </w:r>
      <w:r w:rsidRPr="004B49C4">
        <w:lastRenderedPageBreak/>
        <w:t>engine cylinder is mainly used. Numerous studies have found that the maximum of the in-cylinder pressure curve without combustion is shifted to the left of the top dead center for a specific, not great value (depending on engine type, speed regime and load, the mean value is about 1 crank angle degree).This phenomenon is called the „thermodynamic loss angle”, and it’s caused due to the existence of heat losses during the heat exchange between the combustion chamber boundaries and the working fluid, as well as the working fluid mass losses through the gaps between the piston rings and cylinder. The influence of the second factor on the observed phenomena is significantly lower (about 1/5 of the total value, provided that the clearance between the piston sealing rings and cylinder is within the prescribed limits). Although, the accuracy of TDC determination, considering the main goal of this paper, doesn’t substantially influence the final results and conclusions, it should be noted that a 1° error on TDC determination can lead to evaluation errors of about 10% on the mean in-cylinder pressure determination [1].</w:t>
      </w:r>
    </w:p>
    <w:tbl>
      <w:tblPr>
        <w:tblW w:w="0" w:type="auto"/>
        <w:jc w:val="center"/>
        <w:tblInd w:w="108" w:type="dxa"/>
        <w:tblLook w:val="04A0"/>
      </w:tblPr>
      <w:tblGrid>
        <w:gridCol w:w="3835"/>
        <w:gridCol w:w="3983"/>
      </w:tblGrid>
      <w:tr w:rsidR="006A10D5" w:rsidRPr="004B49C4" w:rsidTr="006A10D5">
        <w:trPr>
          <w:jc w:val="center"/>
        </w:trPr>
        <w:tc>
          <w:tcPr>
            <w:tcW w:w="3835" w:type="dxa"/>
            <w:hideMark/>
          </w:tcPr>
          <w:p w:rsidR="006A10D5" w:rsidRPr="004B49C4" w:rsidRDefault="00C81576" w:rsidP="006A10D5">
            <w:pPr>
              <w:tabs>
                <w:tab w:val="num" w:pos="960"/>
              </w:tabs>
              <w:spacing w:before="120"/>
              <w:jc w:val="center"/>
            </w:pPr>
            <w:r w:rsidRPr="00C81576">
              <w:rPr>
                <w:noProof/>
                <w:lang w:val="en-US"/>
              </w:rPr>
              <w:pict>
                <v:shape id="Picture 8" o:spid="_x0000_i1028" type="#_x0000_t75" alt="figure 3.jpg" style="width:180pt;height:112pt;visibility:visible;mso-wrap-style:square">
                  <v:imagedata r:id="rId11" o:title="figure 3"/>
                </v:shape>
              </w:pict>
            </w:r>
          </w:p>
        </w:tc>
        <w:tc>
          <w:tcPr>
            <w:tcW w:w="3983" w:type="dxa"/>
            <w:hideMark/>
          </w:tcPr>
          <w:p w:rsidR="006A10D5" w:rsidRPr="004B49C4" w:rsidRDefault="00C81576" w:rsidP="006A10D5">
            <w:pPr>
              <w:tabs>
                <w:tab w:val="num" w:pos="960"/>
              </w:tabs>
              <w:spacing w:before="120"/>
            </w:pPr>
            <w:r>
              <w:pict>
                <v:shape id="_x0000_i1029" type="#_x0000_t75" style="width:182pt;height:110pt">
                  <v:imagedata r:id="rId12" o:title="figure 4"/>
                </v:shape>
              </w:pict>
            </w:r>
          </w:p>
        </w:tc>
      </w:tr>
      <w:tr w:rsidR="006A10D5" w:rsidRPr="004B49C4" w:rsidTr="006A10D5">
        <w:trPr>
          <w:jc w:val="center"/>
        </w:trPr>
        <w:tc>
          <w:tcPr>
            <w:tcW w:w="3835" w:type="dxa"/>
            <w:tcMar>
              <w:top w:w="0" w:type="dxa"/>
              <w:left w:w="0" w:type="dxa"/>
              <w:bottom w:w="0" w:type="dxa"/>
              <w:right w:w="0" w:type="dxa"/>
            </w:tcMar>
            <w:hideMark/>
          </w:tcPr>
          <w:p w:rsidR="006A10D5" w:rsidRPr="006A10D5" w:rsidRDefault="006A10D5" w:rsidP="006A10D5">
            <w:pPr>
              <w:spacing w:before="120" w:after="240"/>
              <w:jc w:val="center"/>
              <w:rPr>
                <w:rFonts w:ascii="Arial" w:hAnsi="Arial" w:cs="Arial"/>
                <w:sz w:val="20"/>
                <w:szCs w:val="20"/>
              </w:rPr>
            </w:pPr>
            <w:r w:rsidRPr="006A10D5">
              <w:rPr>
                <w:rFonts w:ascii="Arial" w:hAnsi="Arial" w:cs="Arial"/>
                <w:sz w:val="20"/>
                <w:szCs w:val="20"/>
              </w:rPr>
              <w:t>Figure 3: Recommended values of the thermodynamic loss angle depending on engine speed [2]</w:t>
            </w:r>
          </w:p>
        </w:tc>
        <w:tc>
          <w:tcPr>
            <w:tcW w:w="3983" w:type="dxa"/>
            <w:hideMark/>
          </w:tcPr>
          <w:p w:rsidR="006A10D5" w:rsidRPr="006A10D5" w:rsidRDefault="006A10D5" w:rsidP="006A10D5">
            <w:pPr>
              <w:spacing w:before="120" w:after="240"/>
              <w:jc w:val="center"/>
              <w:rPr>
                <w:rFonts w:ascii="Arial" w:hAnsi="Arial" w:cs="Arial"/>
                <w:sz w:val="20"/>
                <w:szCs w:val="20"/>
              </w:rPr>
            </w:pPr>
            <w:r w:rsidRPr="006A10D5">
              <w:rPr>
                <w:rFonts w:ascii="Arial" w:hAnsi="Arial" w:cs="Arial"/>
                <w:sz w:val="20"/>
                <w:szCs w:val="20"/>
              </w:rPr>
              <w:t>Figure 4: Thermodynamic principle of the "zero line" determination of the in-cylinder pressure diagram [5]</w:t>
            </w:r>
          </w:p>
        </w:tc>
      </w:tr>
    </w:tbl>
    <w:p w:rsidR="00E70BA1" w:rsidRPr="00E70BA1" w:rsidRDefault="00E70BA1" w:rsidP="00E228BB">
      <w:pPr>
        <w:ind w:firstLine="709"/>
        <w:jc w:val="both"/>
        <w:rPr>
          <w:rFonts w:ascii="Arial" w:hAnsi="Arial" w:cs="Arial"/>
          <w:sz w:val="20"/>
          <w:szCs w:val="20"/>
        </w:rPr>
      </w:pPr>
      <w:r w:rsidRPr="00E70BA1">
        <w:rPr>
          <w:rFonts w:ascii="Arial" w:hAnsi="Arial" w:cs="Arial"/>
          <w:sz w:val="20"/>
          <w:szCs w:val="20"/>
        </w:rPr>
        <w:t>The TDC position can be accurately determined by using capacitive and inductive linear encoders for the piston stroke. If these methods are not used, methods based on the next principles can be used:</w:t>
      </w:r>
    </w:p>
    <w:p w:rsidR="00E70BA1" w:rsidRPr="00E70BA1" w:rsidRDefault="00E70BA1" w:rsidP="009A3D6A">
      <w:pPr>
        <w:pStyle w:val="paragraf"/>
        <w:numPr>
          <w:ilvl w:val="0"/>
          <w:numId w:val="5"/>
        </w:numPr>
        <w:ind w:left="964" w:hanging="284"/>
      </w:pPr>
      <w:r w:rsidRPr="00E70BA1">
        <w:t>Evaluation of the thermodynamic loss angle according to empirical data such as those given in [2] and shown in Figure 3.</w:t>
      </w:r>
    </w:p>
    <w:p w:rsidR="00E70BA1" w:rsidRPr="00E70BA1" w:rsidRDefault="00E70BA1" w:rsidP="009A3D6A">
      <w:pPr>
        <w:pStyle w:val="paragraf"/>
        <w:numPr>
          <w:ilvl w:val="0"/>
          <w:numId w:val="5"/>
        </w:numPr>
        <w:ind w:left="964" w:hanging="284"/>
      </w:pPr>
      <w:r w:rsidRPr="00E70BA1">
        <w:t>Explicit thermodynamic analysis of the engine working cycle. The variation of the compression ratio and the thermodynamic loss angle, until achieving symmetry of the T-s diagram of the engine cycle without combustion relative to the TDC appears to be a particularly effective method [3, 4].</w:t>
      </w:r>
    </w:p>
    <w:p w:rsidR="00E70BA1" w:rsidRPr="00E70BA1" w:rsidRDefault="00E70BA1" w:rsidP="00E70BA1">
      <w:pPr>
        <w:ind w:firstLine="709"/>
        <w:jc w:val="both"/>
        <w:rPr>
          <w:rFonts w:ascii="Arial" w:hAnsi="Arial" w:cs="Arial"/>
          <w:sz w:val="20"/>
          <w:szCs w:val="20"/>
        </w:rPr>
      </w:pPr>
      <w:r w:rsidRPr="00E70BA1">
        <w:rPr>
          <w:rFonts w:ascii="Arial" w:hAnsi="Arial" w:cs="Arial"/>
          <w:sz w:val="20"/>
          <w:szCs w:val="20"/>
        </w:rPr>
        <w:t>One of the easiest methods for the determination of the "zero line" is based on the equalization of the pressure in the intake manifold and in-cylinder pressure near the Bottom Dead Centre (BDC). However, this method is not reliable due to the existence of pressure waves in the intake manifold.</w:t>
      </w:r>
    </w:p>
    <w:p w:rsidR="00E70BA1" w:rsidRPr="00E70BA1" w:rsidRDefault="00E70BA1" w:rsidP="00E70BA1">
      <w:pPr>
        <w:ind w:firstLine="709"/>
        <w:jc w:val="both"/>
        <w:rPr>
          <w:rFonts w:ascii="Arial" w:hAnsi="Arial" w:cs="Arial"/>
          <w:sz w:val="20"/>
          <w:szCs w:val="20"/>
        </w:rPr>
      </w:pPr>
      <w:r w:rsidRPr="00E70BA1">
        <w:rPr>
          <w:rFonts w:ascii="Arial" w:hAnsi="Arial" w:cs="Arial"/>
          <w:sz w:val="20"/>
          <w:szCs w:val="20"/>
        </w:rPr>
        <w:t>The so called thermodynamic principle of referencing in two points is considered to be a significantly more accurate procedure [6], which implies a polytrophic compression with a constant polytrophic exponent during the compression stroke stage from 260</w:t>
      </w:r>
      <w:r w:rsidR="005428AF">
        <w:rPr>
          <w:rFonts w:ascii="Arial" w:hAnsi="Arial" w:cs="Arial"/>
          <w:sz w:val="20"/>
          <w:szCs w:val="20"/>
        </w:rPr>
        <w:t xml:space="preserve"> </w:t>
      </w:r>
      <w:r w:rsidRPr="00E70BA1">
        <w:rPr>
          <w:rFonts w:ascii="Arial" w:hAnsi="Arial" w:cs="Arial"/>
          <w:sz w:val="20"/>
          <w:szCs w:val="20"/>
        </w:rPr>
        <w:t xml:space="preserve">(point 1 in Figure 7) till 295crank angle degree (point 2 in Figure 4).Numerous studies have found that, without major errors, the polytrophic exponent can be assumed to be k=1,37 for the Diesel engine and k=1,32 for the Otto engine, </w:t>
      </w:r>
      <w:r w:rsidRPr="00E70BA1">
        <w:rPr>
          <w:rFonts w:ascii="Arial" w:hAnsi="Arial" w:cs="Arial"/>
          <w:sz w:val="20"/>
          <w:szCs w:val="20"/>
        </w:rPr>
        <w:lastRenderedPageBreak/>
        <w:t>whereby the working gas is assumed to behave like an ideal gas. The "zero line" determination procedure is carried out in the following steps:</w:t>
      </w:r>
    </w:p>
    <w:p w:rsidR="00E70BA1" w:rsidRPr="00E70BA1" w:rsidRDefault="00E70BA1" w:rsidP="00E70BA1">
      <w:pPr>
        <w:ind w:firstLine="709"/>
        <w:rPr>
          <w:rFonts w:ascii="Arial" w:hAnsi="Arial" w:cs="Arial"/>
          <w:sz w:val="20"/>
          <w:szCs w:val="20"/>
        </w:rPr>
      </w:pPr>
      <w:r w:rsidRPr="00E70BA1">
        <w:rPr>
          <w:rFonts w:ascii="Arial" w:hAnsi="Arial" w:cs="Arial"/>
          <w:sz w:val="20"/>
          <w:szCs w:val="20"/>
        </w:rPr>
        <w:t>The pressure difference between points 1 and 2 can be read from the indicator diagram:</w:t>
      </w:r>
    </w:p>
    <w:p w:rsidR="00E70BA1" w:rsidRPr="00E70BA1" w:rsidRDefault="00C81576" w:rsidP="00E70BA1">
      <w:pPr>
        <w:ind w:firstLine="709"/>
        <w:rPr>
          <w:rFonts w:ascii="Arial" w:hAnsi="Arial" w:cs="Arial"/>
          <w:sz w:val="20"/>
          <w:szCs w:val="20"/>
        </w:rPr>
      </w:pPr>
      <w:r w:rsidRPr="00E70BA1">
        <w:rPr>
          <w:rFonts w:ascii="Arial" w:hAnsi="Arial" w:cs="Arial"/>
          <w:sz w:val="20"/>
          <w:szCs w:val="20"/>
        </w:rPr>
        <w:fldChar w:fldCharType="begin"/>
      </w:r>
      <w:r w:rsidR="00E70BA1" w:rsidRPr="00E70BA1">
        <w:rPr>
          <w:rFonts w:ascii="Arial" w:hAnsi="Arial" w:cs="Arial"/>
          <w:sz w:val="20"/>
          <w:szCs w:val="20"/>
        </w:rPr>
        <w:instrText xml:space="preserve"> QUOTE </w:instrText>
      </w:r>
      <w:r w:rsidRPr="00C81576">
        <w:rPr>
          <w:rFonts w:ascii="Arial" w:hAnsi="Arial" w:cs="Arial"/>
          <w:position w:val="-6"/>
          <w:sz w:val="20"/>
          <w:szCs w:val="20"/>
        </w:rPr>
        <w:pict>
          <v:shape id="_x0000_i1030" type="#_x0000_t75" style="width:87pt;height:13pt" equationxml="&lt;">
            <v:imagedata r:id="rId13" o:title="" chromakey="white"/>
          </v:shape>
        </w:pict>
      </w:r>
      <w:r w:rsidR="00E70BA1" w:rsidRPr="00E70BA1">
        <w:rPr>
          <w:rFonts w:ascii="Arial" w:hAnsi="Arial" w:cs="Arial"/>
          <w:sz w:val="20"/>
          <w:szCs w:val="20"/>
        </w:rPr>
        <w:instrText xml:space="preserve"> </w:instrText>
      </w:r>
      <w:r w:rsidRPr="00E70BA1">
        <w:rPr>
          <w:rFonts w:ascii="Arial" w:hAnsi="Arial" w:cs="Arial"/>
          <w:sz w:val="20"/>
          <w:szCs w:val="20"/>
        </w:rPr>
        <w:fldChar w:fldCharType="separate"/>
      </w:r>
      <w:r w:rsidRPr="00C81576">
        <w:rPr>
          <w:rFonts w:ascii="Arial" w:hAnsi="Arial" w:cs="Arial"/>
          <w:position w:val="-6"/>
          <w:sz w:val="20"/>
          <w:szCs w:val="20"/>
        </w:rPr>
        <w:pict>
          <v:shape id="_x0000_i1031" type="#_x0000_t75" style="width:87pt;height:13pt" equationxml="&lt;">
            <v:imagedata r:id="rId13" o:title="" chromakey="white"/>
          </v:shape>
        </w:pict>
      </w:r>
      <w:r w:rsidRPr="00E70BA1">
        <w:rPr>
          <w:rFonts w:ascii="Arial" w:hAnsi="Arial" w:cs="Arial"/>
          <w:sz w:val="20"/>
          <w:szCs w:val="20"/>
        </w:rPr>
        <w:fldChar w:fldCharType="end"/>
      </w:r>
      <w:r w:rsidR="00E70BA1" w:rsidRPr="00E70BA1">
        <w:rPr>
          <w:rFonts w:ascii="Arial" w:hAnsi="Arial" w:cs="Arial"/>
          <w:sz w:val="20"/>
          <w:szCs w:val="20"/>
        </w:rPr>
        <w:tab/>
      </w:r>
      <w:r w:rsidR="00E70BA1" w:rsidRPr="00E70BA1">
        <w:rPr>
          <w:rFonts w:ascii="Arial" w:hAnsi="Arial" w:cs="Arial"/>
          <w:sz w:val="20"/>
          <w:szCs w:val="20"/>
        </w:rPr>
        <w:tab/>
      </w:r>
      <w:r w:rsidR="00E70BA1" w:rsidRPr="00E70BA1">
        <w:rPr>
          <w:rFonts w:ascii="Arial" w:hAnsi="Arial" w:cs="Arial"/>
          <w:sz w:val="20"/>
          <w:szCs w:val="20"/>
        </w:rPr>
        <w:tab/>
      </w:r>
      <w:r w:rsidR="00E70BA1">
        <w:rPr>
          <w:rFonts w:ascii="Arial" w:hAnsi="Arial" w:cs="Arial"/>
          <w:sz w:val="20"/>
          <w:szCs w:val="20"/>
        </w:rPr>
        <w:tab/>
      </w:r>
      <w:r w:rsidR="00E70BA1" w:rsidRPr="00E70BA1">
        <w:rPr>
          <w:rFonts w:ascii="Arial" w:hAnsi="Arial" w:cs="Arial"/>
          <w:sz w:val="20"/>
          <w:szCs w:val="20"/>
        </w:rPr>
        <w:tab/>
      </w:r>
      <w:r w:rsidR="00E70BA1" w:rsidRPr="00E70BA1">
        <w:rPr>
          <w:rFonts w:ascii="Arial" w:hAnsi="Arial" w:cs="Arial"/>
          <w:sz w:val="20"/>
          <w:szCs w:val="20"/>
        </w:rPr>
        <w:tab/>
      </w:r>
      <w:r w:rsidR="00E70BA1" w:rsidRPr="00E70BA1">
        <w:rPr>
          <w:rFonts w:ascii="Arial" w:hAnsi="Arial" w:cs="Arial"/>
          <w:sz w:val="20"/>
          <w:szCs w:val="20"/>
        </w:rPr>
        <w:tab/>
        <w:t>(1)</w:t>
      </w:r>
    </w:p>
    <w:p w:rsidR="00E70BA1" w:rsidRPr="00E70BA1" w:rsidRDefault="00E70BA1" w:rsidP="00E70BA1">
      <w:pPr>
        <w:rPr>
          <w:rFonts w:ascii="Arial" w:hAnsi="Arial" w:cs="Arial"/>
          <w:sz w:val="20"/>
          <w:szCs w:val="20"/>
        </w:rPr>
      </w:pPr>
      <w:proofErr w:type="gramStart"/>
      <w:r w:rsidRPr="00E70BA1">
        <w:rPr>
          <w:rFonts w:ascii="Arial" w:hAnsi="Arial" w:cs="Arial"/>
          <w:sz w:val="20"/>
          <w:szCs w:val="20"/>
        </w:rPr>
        <w:t>after</w:t>
      </w:r>
      <w:proofErr w:type="gramEnd"/>
      <w:r w:rsidRPr="00E70BA1">
        <w:rPr>
          <w:rFonts w:ascii="Arial" w:hAnsi="Arial" w:cs="Arial"/>
          <w:sz w:val="20"/>
          <w:szCs w:val="20"/>
        </w:rPr>
        <w:t xml:space="preserve"> which, from the equation for the polytrophic change of state of the working gas, the absolute pressure in point 1 is determined:</w:t>
      </w:r>
    </w:p>
    <w:p w:rsidR="00E70BA1" w:rsidRPr="00E70BA1" w:rsidRDefault="00C81576" w:rsidP="00E70BA1">
      <w:pPr>
        <w:ind w:firstLine="709"/>
        <w:rPr>
          <w:rFonts w:ascii="Arial" w:hAnsi="Arial" w:cs="Arial"/>
          <w:sz w:val="20"/>
          <w:szCs w:val="20"/>
        </w:rPr>
      </w:pPr>
      <w:r w:rsidRPr="00E70BA1">
        <w:rPr>
          <w:rFonts w:ascii="Arial" w:hAnsi="Arial" w:cs="Arial"/>
          <w:sz w:val="20"/>
          <w:szCs w:val="20"/>
        </w:rPr>
        <w:fldChar w:fldCharType="begin"/>
      </w:r>
      <w:r w:rsidR="00E70BA1" w:rsidRPr="00E70BA1">
        <w:rPr>
          <w:rFonts w:ascii="Arial" w:hAnsi="Arial" w:cs="Arial"/>
          <w:sz w:val="20"/>
          <w:szCs w:val="20"/>
        </w:rPr>
        <w:instrText xml:space="preserve"> QUOTE </w:instrText>
      </w:r>
      <w:r w:rsidRPr="00C81576">
        <w:rPr>
          <w:rFonts w:ascii="Arial" w:hAnsi="Arial" w:cs="Arial"/>
          <w:position w:val="-41"/>
          <w:sz w:val="20"/>
          <w:szCs w:val="20"/>
        </w:rPr>
        <w:pict>
          <v:shape id="_x0000_i1032" type="#_x0000_t75" style="width:86pt;height:35pt" equationxml="&lt;">
            <v:imagedata r:id="rId14" o:title="" chromakey="white"/>
          </v:shape>
        </w:pict>
      </w:r>
      <w:r w:rsidR="00E70BA1" w:rsidRPr="00E70BA1">
        <w:rPr>
          <w:rFonts w:ascii="Arial" w:hAnsi="Arial" w:cs="Arial"/>
          <w:sz w:val="20"/>
          <w:szCs w:val="20"/>
        </w:rPr>
        <w:instrText xml:space="preserve"> </w:instrText>
      </w:r>
      <w:r w:rsidRPr="00E70BA1">
        <w:rPr>
          <w:rFonts w:ascii="Arial" w:hAnsi="Arial" w:cs="Arial"/>
          <w:sz w:val="20"/>
          <w:szCs w:val="20"/>
        </w:rPr>
        <w:fldChar w:fldCharType="separate"/>
      </w:r>
      <w:r w:rsidRPr="00C81576">
        <w:rPr>
          <w:rFonts w:ascii="Arial" w:hAnsi="Arial" w:cs="Arial"/>
          <w:position w:val="-41"/>
          <w:sz w:val="20"/>
          <w:szCs w:val="20"/>
        </w:rPr>
        <w:pict>
          <v:shape id="_x0000_i1033" type="#_x0000_t75" style="width:86pt;height:35pt" equationxml="&lt;">
            <v:imagedata r:id="rId14" o:title="" chromakey="white"/>
          </v:shape>
        </w:pict>
      </w:r>
      <w:r w:rsidRPr="00E70BA1">
        <w:rPr>
          <w:rFonts w:ascii="Arial" w:hAnsi="Arial" w:cs="Arial"/>
          <w:sz w:val="20"/>
          <w:szCs w:val="20"/>
        </w:rPr>
        <w:fldChar w:fldCharType="end"/>
      </w:r>
      <w:r w:rsidR="00E70BA1" w:rsidRPr="00E70BA1">
        <w:rPr>
          <w:rFonts w:ascii="Arial" w:hAnsi="Arial" w:cs="Arial"/>
          <w:sz w:val="20"/>
          <w:szCs w:val="20"/>
        </w:rPr>
        <w:tab/>
      </w:r>
      <w:r w:rsidR="00E70BA1" w:rsidRPr="00E70BA1">
        <w:rPr>
          <w:rFonts w:ascii="Arial" w:hAnsi="Arial" w:cs="Arial"/>
          <w:sz w:val="20"/>
          <w:szCs w:val="20"/>
        </w:rPr>
        <w:tab/>
      </w:r>
      <w:r w:rsidR="00E70BA1" w:rsidRPr="00E70BA1">
        <w:rPr>
          <w:rFonts w:ascii="Arial" w:hAnsi="Arial" w:cs="Arial"/>
          <w:sz w:val="20"/>
          <w:szCs w:val="20"/>
        </w:rPr>
        <w:tab/>
      </w:r>
      <w:r w:rsidR="00E70BA1" w:rsidRPr="00E70BA1">
        <w:rPr>
          <w:rFonts w:ascii="Arial" w:hAnsi="Arial" w:cs="Arial"/>
          <w:sz w:val="20"/>
          <w:szCs w:val="20"/>
        </w:rPr>
        <w:tab/>
      </w:r>
      <w:r w:rsidR="00E70BA1">
        <w:rPr>
          <w:rFonts w:ascii="Arial" w:hAnsi="Arial" w:cs="Arial"/>
          <w:sz w:val="20"/>
          <w:szCs w:val="20"/>
        </w:rPr>
        <w:tab/>
      </w:r>
      <w:r w:rsidR="00E70BA1" w:rsidRPr="00E70BA1">
        <w:rPr>
          <w:rFonts w:ascii="Arial" w:hAnsi="Arial" w:cs="Arial"/>
          <w:sz w:val="20"/>
          <w:szCs w:val="20"/>
        </w:rPr>
        <w:tab/>
      </w:r>
      <w:r w:rsidR="00E70BA1" w:rsidRPr="00E70BA1">
        <w:rPr>
          <w:rFonts w:ascii="Arial" w:hAnsi="Arial" w:cs="Arial"/>
          <w:sz w:val="20"/>
          <w:szCs w:val="20"/>
        </w:rPr>
        <w:tab/>
        <w:t>(2)</w:t>
      </w:r>
    </w:p>
    <w:p w:rsidR="00E70BA1" w:rsidRPr="00E70BA1" w:rsidRDefault="00E70BA1" w:rsidP="00E70BA1">
      <w:pPr>
        <w:rPr>
          <w:rFonts w:ascii="Arial" w:hAnsi="Arial" w:cs="Arial"/>
          <w:sz w:val="20"/>
          <w:szCs w:val="20"/>
        </w:rPr>
      </w:pPr>
      <w:proofErr w:type="gramStart"/>
      <w:r w:rsidRPr="00E70BA1">
        <w:rPr>
          <w:rFonts w:ascii="Arial" w:hAnsi="Arial" w:cs="Arial"/>
          <w:sz w:val="20"/>
          <w:szCs w:val="20"/>
        </w:rPr>
        <w:t>where</w:t>
      </w:r>
      <w:proofErr w:type="gramEnd"/>
      <w:r w:rsidRPr="00E70BA1">
        <w:rPr>
          <w:rFonts w:ascii="Arial" w:hAnsi="Arial" w:cs="Arial"/>
          <w:sz w:val="20"/>
          <w:szCs w:val="20"/>
        </w:rPr>
        <w:t xml:space="preserve"> </w:t>
      </w:r>
      <w:r w:rsidRPr="00E70BA1">
        <w:rPr>
          <w:rFonts w:ascii="Arial" w:hAnsi="Arial" w:cs="Arial"/>
          <w:i/>
          <w:sz w:val="20"/>
          <w:szCs w:val="20"/>
        </w:rPr>
        <w:t>V</w:t>
      </w:r>
      <w:r w:rsidRPr="00E70BA1">
        <w:rPr>
          <w:rFonts w:ascii="Arial" w:hAnsi="Arial" w:cs="Arial"/>
          <w:i/>
          <w:sz w:val="20"/>
          <w:szCs w:val="20"/>
          <w:vertAlign w:val="subscript"/>
        </w:rPr>
        <w:t>260</w:t>
      </w:r>
      <w:r w:rsidRPr="00E70BA1">
        <w:rPr>
          <w:rFonts w:ascii="Arial" w:hAnsi="Arial" w:cs="Arial"/>
          <w:sz w:val="20"/>
          <w:szCs w:val="20"/>
        </w:rPr>
        <w:t xml:space="preserve"> and </w:t>
      </w:r>
      <w:r w:rsidRPr="00E70BA1">
        <w:rPr>
          <w:rFonts w:ascii="Arial" w:hAnsi="Arial" w:cs="Arial"/>
          <w:i/>
          <w:sz w:val="20"/>
          <w:szCs w:val="20"/>
        </w:rPr>
        <w:t>V</w:t>
      </w:r>
      <w:r w:rsidRPr="00E70BA1">
        <w:rPr>
          <w:rFonts w:ascii="Arial" w:hAnsi="Arial" w:cs="Arial"/>
          <w:i/>
          <w:sz w:val="20"/>
          <w:szCs w:val="20"/>
          <w:vertAlign w:val="subscript"/>
        </w:rPr>
        <w:t>295</w:t>
      </w:r>
      <w:r w:rsidRPr="00E70BA1">
        <w:rPr>
          <w:rFonts w:ascii="Arial" w:hAnsi="Arial" w:cs="Arial"/>
          <w:i/>
          <w:sz w:val="20"/>
          <w:szCs w:val="20"/>
        </w:rPr>
        <w:t xml:space="preserve"> </w:t>
      </w:r>
      <w:r w:rsidRPr="00E70BA1">
        <w:rPr>
          <w:rFonts w:ascii="Arial" w:hAnsi="Arial" w:cs="Arial"/>
          <w:sz w:val="20"/>
          <w:szCs w:val="20"/>
        </w:rPr>
        <w:t xml:space="preserve">represent the current volumes calculated according to equation (3) with the increased </w:t>
      </w:r>
      <w:r w:rsidRPr="00E70BA1">
        <w:rPr>
          <w:rFonts w:ascii="Arial" w:hAnsi="Arial" w:cs="Arial"/>
          <w:i/>
          <w:sz w:val="20"/>
          <w:szCs w:val="20"/>
        </w:rPr>
        <w:sym w:font="Symbol" w:char="F061"/>
      </w:r>
      <w:r w:rsidRPr="00E70BA1">
        <w:rPr>
          <w:rFonts w:ascii="Arial" w:hAnsi="Arial" w:cs="Arial"/>
          <w:sz w:val="20"/>
          <w:szCs w:val="20"/>
        </w:rPr>
        <w:t xml:space="preserve"> value by 180 degrees. Also, the </w:t>
      </w:r>
      <w:r w:rsidRPr="00E70BA1">
        <w:rPr>
          <w:rFonts w:ascii="Arial" w:hAnsi="Arial" w:cs="Arial"/>
          <w:i/>
          <w:sz w:val="20"/>
          <w:szCs w:val="20"/>
        </w:rPr>
        <w:sym w:font="Symbol" w:char="F064"/>
      </w:r>
      <w:r w:rsidRPr="00E70BA1">
        <w:rPr>
          <w:rFonts w:ascii="Arial" w:hAnsi="Arial" w:cs="Arial"/>
          <w:sz w:val="20"/>
          <w:szCs w:val="20"/>
        </w:rPr>
        <w:t xml:space="preserve"> value equals zero in equation (3) as there is no offset of the piston pin axis relative to the cylinder axis:</w:t>
      </w:r>
    </w:p>
    <w:p w:rsidR="00E70BA1" w:rsidRPr="00E70BA1" w:rsidRDefault="00C81576" w:rsidP="00E70BA1">
      <w:pPr>
        <w:ind w:firstLine="284"/>
        <w:rPr>
          <w:rFonts w:ascii="Arial" w:hAnsi="Arial" w:cs="Arial"/>
          <w:sz w:val="20"/>
          <w:szCs w:val="20"/>
        </w:rPr>
      </w:pPr>
      <w:r w:rsidRPr="00E70BA1">
        <w:rPr>
          <w:rFonts w:ascii="Arial" w:hAnsi="Arial" w:cs="Arial"/>
          <w:sz w:val="20"/>
          <w:szCs w:val="20"/>
        </w:rPr>
        <w:fldChar w:fldCharType="begin"/>
      </w:r>
      <w:r w:rsidR="00E70BA1" w:rsidRPr="00E70BA1">
        <w:rPr>
          <w:rFonts w:ascii="Arial" w:hAnsi="Arial" w:cs="Arial"/>
          <w:sz w:val="20"/>
          <w:szCs w:val="20"/>
        </w:rPr>
        <w:instrText xml:space="preserve"> QUOTE </w:instrText>
      </w:r>
      <w:r w:rsidRPr="00C81576">
        <w:rPr>
          <w:rFonts w:ascii="Arial" w:hAnsi="Arial" w:cs="Arial"/>
          <w:position w:val="-24"/>
          <w:sz w:val="20"/>
          <w:szCs w:val="20"/>
        </w:rPr>
        <w:pict>
          <v:shape id="_x0000_i1034" type="#_x0000_t75" style="width:341pt;height:33pt" equationxml="&lt;">
            <v:imagedata r:id="rId15" o:title="" chromakey="white"/>
          </v:shape>
        </w:pict>
      </w:r>
      <w:r w:rsidR="00E70BA1" w:rsidRPr="00E70BA1">
        <w:rPr>
          <w:rFonts w:ascii="Arial" w:hAnsi="Arial" w:cs="Arial"/>
          <w:sz w:val="20"/>
          <w:szCs w:val="20"/>
        </w:rPr>
        <w:instrText xml:space="preserve"> </w:instrText>
      </w:r>
      <w:r w:rsidRPr="00E70BA1">
        <w:rPr>
          <w:rFonts w:ascii="Arial" w:hAnsi="Arial" w:cs="Arial"/>
          <w:sz w:val="20"/>
          <w:szCs w:val="20"/>
        </w:rPr>
        <w:fldChar w:fldCharType="separate"/>
      </w:r>
      <w:r w:rsidRPr="00C81576">
        <w:rPr>
          <w:rFonts w:ascii="Arial" w:hAnsi="Arial" w:cs="Arial"/>
          <w:position w:val="-24"/>
          <w:sz w:val="20"/>
          <w:szCs w:val="20"/>
        </w:rPr>
        <w:pict>
          <v:shape id="_x0000_i1035" type="#_x0000_t75" style="width:341pt;height:33pt" equationxml="&lt;">
            <v:imagedata r:id="rId15" o:title="" chromakey="white"/>
          </v:shape>
        </w:pict>
      </w:r>
      <w:r w:rsidRPr="00E70BA1">
        <w:rPr>
          <w:rFonts w:ascii="Arial" w:hAnsi="Arial" w:cs="Arial"/>
          <w:sz w:val="20"/>
          <w:szCs w:val="20"/>
        </w:rPr>
        <w:fldChar w:fldCharType="end"/>
      </w:r>
      <w:r w:rsidR="00E70BA1" w:rsidRPr="00E70BA1">
        <w:rPr>
          <w:rFonts w:ascii="Arial" w:hAnsi="Arial" w:cs="Arial"/>
          <w:sz w:val="20"/>
          <w:szCs w:val="20"/>
        </w:rPr>
        <w:tab/>
        <w:t>(3)</w:t>
      </w:r>
    </w:p>
    <w:p w:rsidR="00E70BA1" w:rsidRPr="00E70BA1" w:rsidRDefault="00E70BA1" w:rsidP="00E70BA1">
      <w:pPr>
        <w:rPr>
          <w:rFonts w:ascii="Arial" w:hAnsi="Arial" w:cs="Arial"/>
          <w:sz w:val="20"/>
          <w:szCs w:val="20"/>
        </w:rPr>
      </w:pPr>
      <w:proofErr w:type="gramStart"/>
      <w:r w:rsidRPr="00E70BA1">
        <w:rPr>
          <w:rFonts w:ascii="Arial" w:hAnsi="Arial" w:cs="Arial"/>
          <w:sz w:val="20"/>
          <w:szCs w:val="20"/>
        </w:rPr>
        <w:t>where</w:t>
      </w:r>
      <w:proofErr w:type="gramEnd"/>
      <w:r w:rsidRPr="00E70BA1">
        <w:rPr>
          <w:rFonts w:ascii="Arial" w:hAnsi="Arial" w:cs="Arial"/>
          <w:sz w:val="20"/>
          <w:szCs w:val="20"/>
        </w:rPr>
        <w:t>:</w:t>
      </w:r>
    </w:p>
    <w:p w:rsidR="00E70BA1" w:rsidRPr="00E70BA1" w:rsidRDefault="00E70BA1" w:rsidP="00E70BA1">
      <w:pPr>
        <w:ind w:firstLine="709"/>
        <w:rPr>
          <w:rFonts w:ascii="Arial" w:hAnsi="Arial" w:cs="Arial"/>
          <w:sz w:val="20"/>
          <w:szCs w:val="20"/>
        </w:rPr>
      </w:pPr>
      <w:proofErr w:type="spellStart"/>
      <w:r w:rsidRPr="005428AF">
        <w:rPr>
          <w:rFonts w:ascii="Arial" w:hAnsi="Arial" w:cs="Arial"/>
          <w:sz w:val="20"/>
          <w:szCs w:val="20"/>
        </w:rPr>
        <w:t>V</w:t>
      </w:r>
      <w:r w:rsidRPr="005428AF">
        <w:rPr>
          <w:rFonts w:ascii="Arial" w:hAnsi="Arial" w:cs="Arial"/>
          <w:sz w:val="20"/>
          <w:szCs w:val="20"/>
          <w:vertAlign w:val="subscript"/>
        </w:rPr>
        <w:t>z</w:t>
      </w:r>
      <w:proofErr w:type="spellEnd"/>
      <w:r w:rsidRPr="005428AF">
        <w:rPr>
          <w:rFonts w:ascii="Arial" w:hAnsi="Arial" w:cs="Arial"/>
          <w:sz w:val="20"/>
          <w:szCs w:val="20"/>
        </w:rPr>
        <w:t xml:space="preserve"> </w:t>
      </w:r>
      <w:r w:rsidRPr="00E70BA1">
        <w:rPr>
          <w:rFonts w:ascii="Arial" w:hAnsi="Arial" w:cs="Arial"/>
          <w:sz w:val="20"/>
          <w:szCs w:val="20"/>
        </w:rPr>
        <w:t>- current volume of the cylinder,</w:t>
      </w:r>
    </w:p>
    <w:p w:rsidR="00E70BA1" w:rsidRPr="00E70BA1" w:rsidRDefault="00E70BA1" w:rsidP="00E70BA1">
      <w:pPr>
        <w:ind w:firstLine="709"/>
        <w:rPr>
          <w:rFonts w:ascii="Arial" w:hAnsi="Arial" w:cs="Arial"/>
          <w:sz w:val="20"/>
          <w:szCs w:val="20"/>
        </w:rPr>
      </w:pPr>
      <w:proofErr w:type="spellStart"/>
      <w:proofErr w:type="gramStart"/>
      <w:r w:rsidRPr="005428AF">
        <w:rPr>
          <w:rFonts w:ascii="Arial" w:hAnsi="Arial" w:cs="Arial"/>
          <w:sz w:val="20"/>
          <w:szCs w:val="20"/>
        </w:rPr>
        <w:t>V</w:t>
      </w:r>
      <w:r w:rsidRPr="005428AF">
        <w:rPr>
          <w:rFonts w:ascii="Arial" w:hAnsi="Arial" w:cs="Arial"/>
          <w:sz w:val="20"/>
          <w:szCs w:val="20"/>
          <w:vertAlign w:val="subscript"/>
        </w:rPr>
        <w:t>c</w:t>
      </w:r>
      <w:proofErr w:type="spellEnd"/>
      <w:proofErr w:type="gramEnd"/>
      <w:r w:rsidRPr="005428AF">
        <w:rPr>
          <w:rFonts w:ascii="Arial" w:hAnsi="Arial" w:cs="Arial"/>
          <w:sz w:val="20"/>
          <w:szCs w:val="20"/>
        </w:rPr>
        <w:t xml:space="preserve"> </w:t>
      </w:r>
      <w:r w:rsidRPr="00E70BA1">
        <w:rPr>
          <w:rFonts w:ascii="Arial" w:hAnsi="Arial" w:cs="Arial"/>
          <w:sz w:val="20"/>
          <w:szCs w:val="20"/>
        </w:rPr>
        <w:t>- compression cylinder volume,</w:t>
      </w:r>
    </w:p>
    <w:p w:rsidR="00E70BA1" w:rsidRPr="00E70BA1" w:rsidRDefault="00E70BA1" w:rsidP="00E70BA1">
      <w:pPr>
        <w:ind w:firstLine="709"/>
        <w:rPr>
          <w:rFonts w:ascii="Arial" w:hAnsi="Arial" w:cs="Arial"/>
          <w:sz w:val="20"/>
          <w:szCs w:val="20"/>
        </w:rPr>
      </w:pPr>
      <w:proofErr w:type="spellStart"/>
      <w:r w:rsidRPr="005428AF">
        <w:rPr>
          <w:rFonts w:ascii="Arial" w:hAnsi="Arial" w:cs="Arial"/>
          <w:sz w:val="20"/>
          <w:szCs w:val="20"/>
        </w:rPr>
        <w:t>V</w:t>
      </w:r>
      <w:r w:rsidRPr="005428AF">
        <w:rPr>
          <w:rFonts w:ascii="Arial" w:hAnsi="Arial" w:cs="Arial"/>
          <w:sz w:val="20"/>
          <w:szCs w:val="20"/>
          <w:vertAlign w:val="subscript"/>
        </w:rPr>
        <w:t>h</w:t>
      </w:r>
      <w:proofErr w:type="spellEnd"/>
      <w:r w:rsidRPr="005428AF">
        <w:rPr>
          <w:rFonts w:ascii="Arial" w:hAnsi="Arial" w:cs="Arial"/>
          <w:sz w:val="20"/>
          <w:szCs w:val="20"/>
        </w:rPr>
        <w:t xml:space="preserve"> </w:t>
      </w:r>
      <w:r w:rsidRPr="00E70BA1">
        <w:rPr>
          <w:rFonts w:ascii="Arial" w:hAnsi="Arial" w:cs="Arial"/>
          <w:sz w:val="20"/>
          <w:szCs w:val="20"/>
        </w:rPr>
        <w:t>- cylinder displacement,</w:t>
      </w:r>
    </w:p>
    <w:p w:rsidR="00E70BA1" w:rsidRPr="00E70BA1" w:rsidRDefault="00E70BA1" w:rsidP="00E70BA1">
      <w:pPr>
        <w:ind w:firstLine="709"/>
        <w:rPr>
          <w:rFonts w:ascii="Arial" w:hAnsi="Arial" w:cs="Arial"/>
          <w:sz w:val="20"/>
          <w:szCs w:val="20"/>
        </w:rPr>
      </w:pPr>
      <w:r w:rsidRPr="005428AF">
        <w:rPr>
          <w:rFonts w:ascii="Arial" w:hAnsi="Arial" w:cs="Arial"/>
          <w:sz w:val="20"/>
          <w:szCs w:val="20"/>
        </w:rPr>
        <w:t xml:space="preserve">λ </w:t>
      </w:r>
      <w:r w:rsidRPr="00E70BA1">
        <w:rPr>
          <w:rFonts w:ascii="Arial" w:hAnsi="Arial" w:cs="Arial"/>
          <w:sz w:val="20"/>
          <w:szCs w:val="20"/>
        </w:rPr>
        <w:t xml:space="preserve">- </w:t>
      </w:r>
      <w:proofErr w:type="gramStart"/>
      <w:r w:rsidRPr="00E70BA1">
        <w:rPr>
          <w:rFonts w:ascii="Arial" w:hAnsi="Arial" w:cs="Arial"/>
          <w:sz w:val="20"/>
          <w:szCs w:val="20"/>
        </w:rPr>
        <w:t>kinematic</w:t>
      </w:r>
      <w:proofErr w:type="gramEnd"/>
      <w:r w:rsidRPr="00E70BA1">
        <w:rPr>
          <w:rFonts w:ascii="Arial" w:hAnsi="Arial" w:cs="Arial"/>
          <w:sz w:val="20"/>
          <w:szCs w:val="20"/>
        </w:rPr>
        <w:t xml:space="preserve"> characteristic of the piston mechanism, </w:t>
      </w:r>
    </w:p>
    <w:p w:rsidR="00E70BA1" w:rsidRPr="00E70BA1" w:rsidRDefault="00E70BA1" w:rsidP="00E70BA1">
      <w:pPr>
        <w:ind w:firstLine="709"/>
        <w:rPr>
          <w:rFonts w:ascii="Arial" w:hAnsi="Arial" w:cs="Arial"/>
          <w:sz w:val="20"/>
          <w:szCs w:val="20"/>
        </w:rPr>
      </w:pPr>
      <w:r w:rsidRPr="005428AF">
        <w:rPr>
          <w:rFonts w:ascii="Arial" w:hAnsi="Arial" w:cs="Arial"/>
          <w:sz w:val="20"/>
          <w:szCs w:val="20"/>
        </w:rPr>
        <w:t xml:space="preserve">δ </w:t>
      </w:r>
      <w:r w:rsidRPr="00E70BA1">
        <w:rPr>
          <w:rFonts w:ascii="Arial" w:hAnsi="Arial" w:cs="Arial"/>
          <w:sz w:val="20"/>
          <w:szCs w:val="20"/>
        </w:rPr>
        <w:t xml:space="preserve">- </w:t>
      </w:r>
      <w:proofErr w:type="spellStart"/>
      <w:proofErr w:type="gramStart"/>
      <w:r w:rsidRPr="00E70BA1">
        <w:rPr>
          <w:rFonts w:ascii="Arial" w:hAnsi="Arial" w:cs="Arial"/>
          <w:sz w:val="20"/>
          <w:szCs w:val="20"/>
        </w:rPr>
        <w:t>offset’saxis</w:t>
      </w:r>
      <w:proofErr w:type="spellEnd"/>
      <w:proofErr w:type="gramEnd"/>
      <w:r w:rsidRPr="00E70BA1">
        <w:rPr>
          <w:rFonts w:ascii="Arial" w:hAnsi="Arial" w:cs="Arial"/>
          <w:sz w:val="20"/>
          <w:szCs w:val="20"/>
        </w:rPr>
        <w:t xml:space="preserve"> of the piston relative to the axis of the cylinder</w:t>
      </w:r>
    </w:p>
    <w:p w:rsidR="00E70BA1" w:rsidRPr="00E70BA1" w:rsidRDefault="00E70BA1" w:rsidP="00E70BA1">
      <w:pPr>
        <w:spacing w:before="120" w:line="260" w:lineRule="exact"/>
        <w:ind w:firstLine="709"/>
        <w:jc w:val="both"/>
        <w:rPr>
          <w:rFonts w:ascii="Arial" w:hAnsi="Arial" w:cs="Arial"/>
          <w:sz w:val="20"/>
          <w:szCs w:val="20"/>
        </w:rPr>
      </w:pPr>
      <w:r w:rsidRPr="00E70BA1">
        <w:rPr>
          <w:rFonts w:ascii="Arial" w:hAnsi="Arial" w:cs="Arial"/>
          <w:sz w:val="20"/>
          <w:szCs w:val="20"/>
        </w:rPr>
        <w:t>Thereafter all pressure points of the first left cylinder, for which the TDC is determined, were moved along the ordinate axis in order to equalize the pressure value measured in point 1 with the value obtained by this calculation, as shown in the</w:t>
      </w:r>
      <w:r w:rsidRPr="00E70BA1">
        <w:rPr>
          <w:rFonts w:ascii="Arial" w:hAnsi="Arial" w:cs="Arial"/>
          <w:i/>
          <w:sz w:val="20"/>
          <w:szCs w:val="20"/>
        </w:rPr>
        <w:t xml:space="preserve"> </w:t>
      </w:r>
      <w:r w:rsidRPr="005428AF">
        <w:rPr>
          <w:rFonts w:ascii="Arial" w:hAnsi="Arial" w:cs="Arial"/>
          <w:sz w:val="20"/>
          <w:szCs w:val="20"/>
        </w:rPr>
        <w:t>p-</w:t>
      </w:r>
      <w:r w:rsidRPr="005428AF">
        <w:rPr>
          <w:rFonts w:ascii="Arial" w:hAnsi="Arial" w:cs="Arial"/>
          <w:sz w:val="20"/>
          <w:szCs w:val="20"/>
        </w:rPr>
        <w:sym w:font="Symbol" w:char="F061"/>
      </w:r>
      <w:r w:rsidRPr="00E70BA1">
        <w:rPr>
          <w:rFonts w:ascii="Arial" w:hAnsi="Arial" w:cs="Arial"/>
          <w:sz w:val="20"/>
          <w:szCs w:val="20"/>
        </w:rPr>
        <w:t xml:space="preserve"> diagram (Figure 5) and the </w:t>
      </w:r>
      <w:r w:rsidRPr="005428AF">
        <w:rPr>
          <w:rFonts w:ascii="Arial" w:hAnsi="Arial" w:cs="Arial"/>
          <w:sz w:val="20"/>
          <w:szCs w:val="20"/>
        </w:rPr>
        <w:t>p-</w:t>
      </w:r>
      <w:proofErr w:type="spellStart"/>
      <w:r w:rsidRPr="005428AF">
        <w:rPr>
          <w:rFonts w:ascii="Arial" w:hAnsi="Arial" w:cs="Arial"/>
          <w:sz w:val="20"/>
          <w:szCs w:val="20"/>
        </w:rPr>
        <w:t>Vz</w:t>
      </w:r>
      <w:proofErr w:type="spellEnd"/>
      <w:r w:rsidRPr="00E70BA1">
        <w:rPr>
          <w:rFonts w:ascii="Arial" w:hAnsi="Arial" w:cs="Arial"/>
          <w:i/>
          <w:sz w:val="20"/>
          <w:szCs w:val="20"/>
        </w:rPr>
        <w:t xml:space="preserve"> </w:t>
      </w:r>
      <w:r w:rsidRPr="00E70BA1">
        <w:rPr>
          <w:rFonts w:ascii="Arial" w:hAnsi="Arial" w:cs="Arial"/>
          <w:sz w:val="20"/>
          <w:szCs w:val="20"/>
        </w:rPr>
        <w:t>diagram (Figure 6). Based on the diagrams, the maximum value of the indicator pressure is less than 65</w:t>
      </w:r>
      <w:r w:rsidR="005428AF">
        <w:rPr>
          <w:rFonts w:ascii="Arial" w:hAnsi="Arial" w:cs="Arial"/>
          <w:sz w:val="20"/>
          <w:szCs w:val="20"/>
        </w:rPr>
        <w:t xml:space="preserve"> </w:t>
      </w:r>
      <w:r w:rsidRPr="00E70BA1">
        <w:rPr>
          <w:rFonts w:ascii="Arial" w:hAnsi="Arial" w:cs="Arial"/>
          <w:sz w:val="20"/>
          <w:szCs w:val="20"/>
        </w:rPr>
        <w:t>bar, which ranks the OM403 engine among the mechanically and thermally less loaded diesel engines.</w:t>
      </w:r>
    </w:p>
    <w:tbl>
      <w:tblPr>
        <w:tblW w:w="7956" w:type="dxa"/>
        <w:jc w:val="center"/>
        <w:tblInd w:w="108" w:type="dxa"/>
        <w:tblLook w:val="04A0"/>
      </w:tblPr>
      <w:tblGrid>
        <w:gridCol w:w="4460"/>
        <w:gridCol w:w="3496"/>
      </w:tblGrid>
      <w:tr w:rsidR="00E70BA1" w:rsidRPr="004B49C4" w:rsidTr="00E70BA1">
        <w:trPr>
          <w:jc w:val="center"/>
        </w:trPr>
        <w:tc>
          <w:tcPr>
            <w:tcW w:w="4469" w:type="dxa"/>
            <w:hideMark/>
          </w:tcPr>
          <w:p w:rsidR="00E70BA1" w:rsidRPr="004B49C4" w:rsidRDefault="00C81576" w:rsidP="00B1486F">
            <w:pPr>
              <w:tabs>
                <w:tab w:val="num" w:pos="960"/>
              </w:tabs>
              <w:spacing w:before="120"/>
              <w:jc w:val="center"/>
            </w:pPr>
            <w:r>
              <w:pict>
                <v:shape id="_x0000_i1036" type="#_x0000_t75" style="width:162pt;height:132pt">
                  <v:imagedata r:id="rId16" o:title="figure 5"/>
                </v:shape>
              </w:pict>
            </w:r>
          </w:p>
        </w:tc>
        <w:tc>
          <w:tcPr>
            <w:tcW w:w="3487" w:type="dxa"/>
            <w:hideMark/>
          </w:tcPr>
          <w:p w:rsidR="00E70BA1" w:rsidRPr="004B49C4" w:rsidRDefault="00C81576" w:rsidP="00B1486F">
            <w:pPr>
              <w:tabs>
                <w:tab w:val="num" w:pos="960"/>
              </w:tabs>
              <w:spacing w:before="120"/>
            </w:pPr>
            <w:r>
              <w:pict>
                <v:shape id="_x0000_i1037" type="#_x0000_t75" style="width:164pt;height:134pt">
                  <v:imagedata r:id="rId17" o:title="figure 6"/>
                </v:shape>
              </w:pict>
            </w:r>
          </w:p>
        </w:tc>
      </w:tr>
      <w:tr w:rsidR="00E70BA1" w:rsidRPr="00E70BA1" w:rsidTr="00E70BA1">
        <w:trPr>
          <w:jc w:val="center"/>
        </w:trPr>
        <w:tc>
          <w:tcPr>
            <w:tcW w:w="4469" w:type="dxa"/>
            <w:tcMar>
              <w:top w:w="0" w:type="dxa"/>
              <w:left w:w="0" w:type="dxa"/>
              <w:bottom w:w="0" w:type="dxa"/>
              <w:right w:w="0" w:type="dxa"/>
            </w:tcMar>
            <w:hideMark/>
          </w:tcPr>
          <w:p w:rsidR="00E70BA1" w:rsidRPr="00E70BA1" w:rsidRDefault="00E70BA1" w:rsidP="00B1486F">
            <w:pPr>
              <w:spacing w:before="120" w:after="240"/>
              <w:jc w:val="center"/>
              <w:rPr>
                <w:rFonts w:ascii="Arial" w:hAnsi="Arial" w:cs="Arial"/>
                <w:sz w:val="20"/>
                <w:szCs w:val="20"/>
              </w:rPr>
            </w:pPr>
            <w:r w:rsidRPr="00E70BA1">
              <w:rPr>
                <w:rFonts w:ascii="Arial" w:hAnsi="Arial" w:cs="Arial"/>
                <w:sz w:val="20"/>
                <w:szCs w:val="20"/>
              </w:rPr>
              <w:t xml:space="preserve">Figure 5: </w:t>
            </w:r>
            <w:r w:rsidRPr="005428AF">
              <w:rPr>
                <w:rFonts w:ascii="Arial" w:hAnsi="Arial" w:cs="Arial"/>
                <w:sz w:val="20"/>
                <w:szCs w:val="20"/>
              </w:rPr>
              <w:t>p-</w:t>
            </w:r>
            <w:r w:rsidRPr="005428AF">
              <w:rPr>
                <w:rFonts w:ascii="Arial" w:hAnsi="Arial" w:cs="Arial"/>
                <w:sz w:val="20"/>
                <w:szCs w:val="20"/>
              </w:rPr>
              <w:sym w:font="Symbol" w:char="F061"/>
            </w:r>
            <w:r w:rsidRPr="00E70BA1">
              <w:rPr>
                <w:rFonts w:ascii="Arial" w:hAnsi="Arial" w:cs="Arial"/>
                <w:i/>
                <w:sz w:val="20"/>
                <w:szCs w:val="20"/>
              </w:rPr>
              <w:t xml:space="preserve"> </w:t>
            </w:r>
            <w:r w:rsidRPr="00E70BA1">
              <w:rPr>
                <w:rFonts w:ascii="Arial" w:hAnsi="Arial" w:cs="Arial"/>
                <w:sz w:val="20"/>
                <w:szCs w:val="20"/>
              </w:rPr>
              <w:t>diagram of measured pressures in the first left cylinder</w:t>
            </w:r>
          </w:p>
        </w:tc>
        <w:tc>
          <w:tcPr>
            <w:tcW w:w="3487" w:type="dxa"/>
            <w:hideMark/>
          </w:tcPr>
          <w:p w:rsidR="00E70BA1" w:rsidRPr="00E70BA1" w:rsidRDefault="00E70BA1" w:rsidP="00B1486F">
            <w:pPr>
              <w:spacing w:before="120" w:after="240"/>
              <w:jc w:val="center"/>
              <w:rPr>
                <w:rFonts w:ascii="Arial" w:hAnsi="Arial" w:cs="Arial"/>
                <w:sz w:val="20"/>
                <w:szCs w:val="20"/>
              </w:rPr>
            </w:pPr>
            <w:r w:rsidRPr="00E70BA1">
              <w:rPr>
                <w:rFonts w:ascii="Arial" w:hAnsi="Arial" w:cs="Arial"/>
                <w:sz w:val="20"/>
                <w:szCs w:val="20"/>
              </w:rPr>
              <w:t xml:space="preserve">Figure 6: </w:t>
            </w:r>
            <w:r w:rsidRPr="005428AF">
              <w:rPr>
                <w:rFonts w:ascii="Arial" w:hAnsi="Arial" w:cs="Arial"/>
                <w:sz w:val="20"/>
                <w:szCs w:val="20"/>
              </w:rPr>
              <w:t>p-</w:t>
            </w:r>
            <w:proofErr w:type="spellStart"/>
            <w:r w:rsidRPr="005428AF">
              <w:rPr>
                <w:rFonts w:ascii="Arial" w:hAnsi="Arial" w:cs="Arial"/>
                <w:sz w:val="20"/>
                <w:szCs w:val="20"/>
              </w:rPr>
              <w:t>Vz</w:t>
            </w:r>
            <w:proofErr w:type="spellEnd"/>
            <w:r w:rsidRPr="00E70BA1">
              <w:rPr>
                <w:rFonts w:ascii="Arial" w:hAnsi="Arial" w:cs="Arial"/>
                <w:i/>
                <w:sz w:val="20"/>
                <w:szCs w:val="20"/>
              </w:rPr>
              <w:t xml:space="preserve"> </w:t>
            </w:r>
            <w:r w:rsidRPr="00E70BA1">
              <w:rPr>
                <w:rFonts w:ascii="Arial" w:hAnsi="Arial" w:cs="Arial"/>
                <w:sz w:val="20"/>
                <w:szCs w:val="20"/>
              </w:rPr>
              <w:t>diagram of measured pressures in the first left cylinder</w:t>
            </w:r>
          </w:p>
        </w:tc>
      </w:tr>
    </w:tbl>
    <w:p w:rsidR="00E70BA1" w:rsidRPr="00E70BA1" w:rsidRDefault="00E70BA1" w:rsidP="00EA2EEF">
      <w:pPr>
        <w:ind w:firstLine="709"/>
        <w:jc w:val="both"/>
        <w:rPr>
          <w:rFonts w:ascii="Arial" w:hAnsi="Arial" w:cs="Arial"/>
          <w:sz w:val="20"/>
          <w:szCs w:val="20"/>
        </w:rPr>
      </w:pPr>
      <w:r w:rsidRPr="00E70BA1">
        <w:rPr>
          <w:rFonts w:ascii="Arial" w:hAnsi="Arial" w:cs="Arial"/>
          <w:sz w:val="20"/>
          <w:szCs w:val="20"/>
        </w:rPr>
        <w:t xml:space="preserve">The “zero line” of the measured pressure changes in the exhaust manifolds was determined based on the measured “mean pressures”. During the experiment, the </w:t>
      </w:r>
      <w:r w:rsidRPr="00E70BA1">
        <w:rPr>
          <w:rFonts w:ascii="Arial" w:hAnsi="Arial" w:cs="Arial"/>
          <w:sz w:val="20"/>
          <w:szCs w:val="20"/>
        </w:rPr>
        <w:lastRenderedPageBreak/>
        <w:t>engine was operating under constant exhaust manifold vacuum since the exhaust manifolds were connected with drainage pipes that were ventilated. The “mean pressures” were obtained as the difference between the current atmospheric pressure and vacuum measured with a water-filled U-tube manometer. The Figures 7 and 8 show the “processed” diagrams of the exhaust gas pressure changes in the right and left exhaust manifold respectively, connected to the working cycle of the first left cylinder.</w:t>
      </w:r>
    </w:p>
    <w:tbl>
      <w:tblPr>
        <w:tblW w:w="0" w:type="auto"/>
        <w:tblInd w:w="108" w:type="dxa"/>
        <w:tblLook w:val="04A0"/>
      </w:tblPr>
      <w:tblGrid>
        <w:gridCol w:w="3892"/>
        <w:gridCol w:w="3856"/>
      </w:tblGrid>
      <w:tr w:rsidR="00E70BA1" w:rsidRPr="004B49C4" w:rsidTr="00E228BB">
        <w:tc>
          <w:tcPr>
            <w:tcW w:w="3892" w:type="dxa"/>
          </w:tcPr>
          <w:p w:rsidR="00E70BA1" w:rsidRPr="004B49C4" w:rsidRDefault="00C81576" w:rsidP="00FF1BE9">
            <w:pPr>
              <w:spacing w:before="120"/>
              <w:rPr>
                <w:sz w:val="16"/>
                <w:szCs w:val="16"/>
              </w:rPr>
            </w:pPr>
            <w:r w:rsidRPr="00C81576">
              <w:rPr>
                <w:noProof/>
                <w:sz w:val="16"/>
                <w:szCs w:val="16"/>
                <w:lang w:val="en-US"/>
              </w:rPr>
              <w:pict>
                <v:shape id="Picture 5" o:spid="_x0000_i1038" type="#_x0000_t75" alt="figure 7.jpg" style="width:183pt;height:128pt;visibility:visible;mso-wrap-style:square">
                  <v:imagedata r:id="rId18" o:title="figure 7"/>
                </v:shape>
              </w:pict>
            </w:r>
          </w:p>
        </w:tc>
        <w:tc>
          <w:tcPr>
            <w:tcW w:w="3848" w:type="dxa"/>
          </w:tcPr>
          <w:p w:rsidR="00E70BA1" w:rsidRPr="004B49C4" w:rsidRDefault="00C81576" w:rsidP="00FF1BE9">
            <w:pPr>
              <w:spacing w:before="120"/>
              <w:rPr>
                <w:sz w:val="16"/>
                <w:szCs w:val="16"/>
              </w:rPr>
            </w:pPr>
            <w:r w:rsidRPr="00C81576">
              <w:rPr>
                <w:noProof/>
                <w:sz w:val="16"/>
                <w:szCs w:val="16"/>
                <w:lang w:val="en-US"/>
              </w:rPr>
              <w:pict>
                <v:shape id="Picture 9" o:spid="_x0000_i1039" type="#_x0000_t75" alt="figure 8.jpg" style="width:182pt;height:129pt;visibility:visible;mso-wrap-style:square">
                  <v:imagedata r:id="rId19" o:title="figure 8"/>
                </v:shape>
              </w:pict>
            </w:r>
          </w:p>
        </w:tc>
      </w:tr>
      <w:tr w:rsidR="00E70BA1" w:rsidRPr="00FF1BE9" w:rsidTr="00E228BB">
        <w:tc>
          <w:tcPr>
            <w:tcW w:w="3892" w:type="dxa"/>
          </w:tcPr>
          <w:p w:rsidR="00E70BA1" w:rsidRPr="00FF1BE9" w:rsidRDefault="00E70BA1" w:rsidP="00FF1BE9">
            <w:pPr>
              <w:spacing w:before="120" w:after="240"/>
              <w:jc w:val="center"/>
              <w:rPr>
                <w:rFonts w:ascii="Arial" w:hAnsi="Arial" w:cs="Arial"/>
                <w:sz w:val="20"/>
                <w:szCs w:val="20"/>
              </w:rPr>
            </w:pPr>
            <w:r w:rsidRPr="00FF1BE9">
              <w:rPr>
                <w:rFonts w:ascii="Arial" w:hAnsi="Arial" w:cs="Arial"/>
                <w:sz w:val="20"/>
                <w:szCs w:val="20"/>
              </w:rPr>
              <w:t>Figure 7: Pressure fluctuations in the right exhaust manifold obtained after the “zero line” determination and filtration</w:t>
            </w:r>
          </w:p>
        </w:tc>
        <w:tc>
          <w:tcPr>
            <w:tcW w:w="3848" w:type="dxa"/>
          </w:tcPr>
          <w:p w:rsidR="00E70BA1" w:rsidRPr="00FF1BE9" w:rsidRDefault="00E70BA1" w:rsidP="00FF1BE9">
            <w:pPr>
              <w:spacing w:before="120" w:after="240"/>
              <w:jc w:val="center"/>
              <w:rPr>
                <w:rFonts w:ascii="Arial" w:hAnsi="Arial" w:cs="Arial"/>
                <w:sz w:val="20"/>
                <w:szCs w:val="20"/>
              </w:rPr>
            </w:pPr>
            <w:r w:rsidRPr="00FF1BE9">
              <w:rPr>
                <w:rFonts w:ascii="Arial" w:hAnsi="Arial" w:cs="Arial"/>
                <w:sz w:val="20"/>
                <w:szCs w:val="20"/>
              </w:rPr>
              <w:t>Figure 8: Pressure fluctuations in the left exhaust manifold obtained after the “zero line” determination and filtration</w:t>
            </w:r>
          </w:p>
        </w:tc>
      </w:tr>
      <w:tr w:rsidR="00FF1BE9" w:rsidRPr="004B49C4" w:rsidTr="00E228BB">
        <w:trPr>
          <w:trHeight w:val="2072"/>
        </w:trPr>
        <w:tc>
          <w:tcPr>
            <w:tcW w:w="3892" w:type="dxa"/>
          </w:tcPr>
          <w:p w:rsidR="00FF1BE9" w:rsidRPr="00FF1BE9" w:rsidRDefault="00C81576" w:rsidP="00E228BB">
            <w:pPr>
              <w:jc w:val="center"/>
              <w:rPr>
                <w:rFonts w:ascii="Arial" w:hAnsi="Arial" w:cs="Arial"/>
                <w:sz w:val="20"/>
                <w:szCs w:val="20"/>
              </w:rPr>
            </w:pPr>
            <w:r w:rsidRPr="00C81576">
              <w:rPr>
                <w:rFonts w:ascii="Arial" w:hAnsi="Arial" w:cs="Arial"/>
                <w:sz w:val="20"/>
                <w:szCs w:val="20"/>
              </w:rPr>
              <w:pict>
                <v:shape id="Picture 10" o:spid="_x0000_i1040" type="#_x0000_t75" alt="figure 9.jpg" style="width:91pt;height:105pt;visibility:visible;mso-wrap-style:square">
                  <v:imagedata r:id="rId20" o:title="figure 9"/>
                </v:shape>
              </w:pict>
            </w:r>
          </w:p>
        </w:tc>
        <w:tc>
          <w:tcPr>
            <w:tcW w:w="3848" w:type="dxa"/>
          </w:tcPr>
          <w:p w:rsidR="00FF1BE9" w:rsidRPr="00FF1BE9" w:rsidRDefault="00C81576" w:rsidP="00E228BB">
            <w:pPr>
              <w:jc w:val="center"/>
              <w:rPr>
                <w:rFonts w:ascii="Arial" w:hAnsi="Arial" w:cs="Arial"/>
                <w:sz w:val="20"/>
                <w:szCs w:val="20"/>
              </w:rPr>
            </w:pPr>
            <w:r w:rsidRPr="00C81576">
              <w:rPr>
                <w:rFonts w:ascii="Arial" w:hAnsi="Arial" w:cs="Arial"/>
                <w:sz w:val="20"/>
                <w:szCs w:val="20"/>
              </w:rPr>
              <w:pict>
                <v:shape id="Picture 11" o:spid="_x0000_i1041" type="#_x0000_t75" alt="figure 10.jpg" style="width:107pt;height:105pt;visibility:visible;mso-wrap-style:square">
                  <v:imagedata r:id="rId21" o:title="figure 10"/>
                </v:shape>
              </w:pict>
            </w:r>
          </w:p>
        </w:tc>
      </w:tr>
      <w:tr w:rsidR="00FF1BE9" w:rsidRPr="004B49C4" w:rsidTr="00E228BB">
        <w:tc>
          <w:tcPr>
            <w:tcW w:w="3892" w:type="dxa"/>
          </w:tcPr>
          <w:p w:rsidR="00FF1BE9" w:rsidRPr="00FF1BE9" w:rsidRDefault="00FF1BE9" w:rsidP="00FF1BE9">
            <w:pPr>
              <w:spacing w:before="120" w:after="240"/>
              <w:jc w:val="center"/>
              <w:rPr>
                <w:rFonts w:ascii="Arial" w:hAnsi="Arial" w:cs="Arial"/>
                <w:sz w:val="20"/>
                <w:szCs w:val="20"/>
              </w:rPr>
            </w:pPr>
            <w:r w:rsidRPr="00FF1BE9">
              <w:rPr>
                <w:rFonts w:ascii="Arial" w:hAnsi="Arial" w:cs="Arial"/>
                <w:sz w:val="20"/>
                <w:szCs w:val="20"/>
              </w:rPr>
              <w:t>Figure 9: Valve timing diagram of the OM403 engine</w:t>
            </w:r>
          </w:p>
        </w:tc>
        <w:tc>
          <w:tcPr>
            <w:tcW w:w="3848" w:type="dxa"/>
          </w:tcPr>
          <w:p w:rsidR="00FF1BE9" w:rsidRPr="00FF1BE9" w:rsidRDefault="00FF1BE9" w:rsidP="00FF1BE9">
            <w:pPr>
              <w:spacing w:before="120" w:after="240"/>
              <w:jc w:val="center"/>
              <w:rPr>
                <w:rFonts w:ascii="Arial" w:hAnsi="Arial" w:cs="Arial"/>
                <w:sz w:val="20"/>
                <w:szCs w:val="20"/>
              </w:rPr>
            </w:pPr>
            <w:r w:rsidRPr="00FF1BE9">
              <w:rPr>
                <w:rFonts w:ascii="Arial" w:hAnsi="Arial" w:cs="Arial"/>
                <w:sz w:val="20"/>
                <w:szCs w:val="20"/>
              </w:rPr>
              <w:t>Figure 10: The crank angle diagrams of the OM403 engine</w:t>
            </w:r>
          </w:p>
        </w:tc>
      </w:tr>
    </w:tbl>
    <w:p w:rsidR="006A10D5" w:rsidRDefault="00FF1BE9" w:rsidP="006A10D5">
      <w:pPr>
        <w:pStyle w:val="paragraf"/>
      </w:pPr>
      <w:r w:rsidRPr="004B49C4">
        <w:t>In the lower parts of the diagrams (Figures 7 and 8) the curves of approximated exhaust valve strokes of individual cylinders are shown (</w:t>
      </w:r>
      <w:r w:rsidRPr="005428AF">
        <w:t>h</w:t>
      </w:r>
      <w:r w:rsidRPr="005428AF">
        <w:rPr>
          <w:vertAlign w:val="subscript"/>
        </w:rPr>
        <w:t>v</w:t>
      </w:r>
      <w:r w:rsidRPr="004B49C4">
        <w:t>). The numerical designations of the curves refer to the corresponding cylinders.</w:t>
      </w:r>
      <w:r>
        <w:t xml:space="preserve"> </w:t>
      </w:r>
      <w:r w:rsidRPr="004B49C4">
        <w:t>These diagrams were used to precisely establish the connection between exhaust gas pressure changes and working cycles of individual cylinders, i.e. their expansion and exhaust strokes. Numerical designations (from 1 to 10) above the upper frame of the diagram represent the cylinder with the most contribution to the existence of the observed peak value of pressure change in the exhaust manifold. The displayed approximated curves are in fact quadratic functions which have the same valve opening and closing times as the real curves defined by the valve timing diagram (Figure 9) and maximum valve stroke (13</w:t>
      </w:r>
      <w:r w:rsidR="005428AF">
        <w:t xml:space="preserve"> </w:t>
      </w:r>
      <w:r w:rsidRPr="004B49C4">
        <w:t>mm).The firing order (1-2-4-5-3-6-7-9-10) was also required information which is in agreement with the crank angle diagrams</w:t>
      </w:r>
      <w:r w:rsidR="00EA2EEF">
        <w:t xml:space="preserve"> </w:t>
      </w:r>
      <w:r w:rsidRPr="004B49C4">
        <w:t>(Figure 10).</w:t>
      </w:r>
    </w:p>
    <w:p w:rsidR="00FF1BE9" w:rsidRPr="00FF1BE9" w:rsidRDefault="00FF1BE9" w:rsidP="005E79E6">
      <w:pPr>
        <w:ind w:firstLine="709"/>
        <w:jc w:val="both"/>
        <w:rPr>
          <w:rFonts w:ascii="Arial" w:hAnsi="Arial" w:cs="Arial"/>
          <w:sz w:val="20"/>
          <w:szCs w:val="20"/>
          <w:lang w:val="sl-SI"/>
        </w:rPr>
      </w:pPr>
      <w:r w:rsidRPr="00FF1BE9">
        <w:rPr>
          <w:rFonts w:ascii="Arial" w:hAnsi="Arial" w:cs="Arial"/>
          <w:sz w:val="20"/>
          <w:szCs w:val="20"/>
          <w:lang w:val="sl-SI"/>
        </w:rPr>
        <w:lastRenderedPageBreak/>
        <w:t>The maximum values of exhaust gas pressure, according to the diagrams in Figures 7 and 8, do not correspond to the peak exhaust valve lift but are achieved earlier. This is explained by the fact that the effective flow cross-section of the valve, as well as the gas flow, achieve their maximum values before t</w:t>
      </w:r>
      <w:r>
        <w:rPr>
          <w:rFonts w:ascii="Arial" w:hAnsi="Arial" w:cs="Arial"/>
          <w:sz w:val="20"/>
          <w:szCs w:val="20"/>
          <w:lang w:val="sl-SI"/>
        </w:rPr>
        <w:t>he peak exhaust valve lift [6].</w:t>
      </w:r>
    </w:p>
    <w:p w:rsidR="00FF1BE9" w:rsidRPr="00FF1BE9" w:rsidRDefault="00FF1BE9" w:rsidP="00C67096">
      <w:pPr>
        <w:pStyle w:val="podnaslov"/>
        <w:tabs>
          <w:tab w:val="clear" w:pos="907"/>
          <w:tab w:val="num" w:pos="360"/>
        </w:tabs>
        <w:spacing w:before="360"/>
        <w:ind w:left="0" w:firstLine="0"/>
      </w:pPr>
      <w:r w:rsidRPr="00FF1BE9">
        <w:t>EXPERIMENTAL DATA DISPLAY</w:t>
      </w:r>
    </w:p>
    <w:p w:rsidR="00FF1BE9" w:rsidRPr="00FF1BE9" w:rsidRDefault="00FF1BE9" w:rsidP="00FF1BE9">
      <w:pPr>
        <w:spacing w:before="120"/>
        <w:ind w:firstLine="709"/>
        <w:jc w:val="both"/>
        <w:rPr>
          <w:rFonts w:ascii="Arial" w:hAnsi="Arial" w:cs="Arial"/>
          <w:sz w:val="20"/>
          <w:szCs w:val="20"/>
          <w:lang w:val="sl-SI"/>
        </w:rPr>
      </w:pPr>
      <w:r w:rsidRPr="00FF1BE9">
        <w:rPr>
          <w:rFonts w:ascii="Arial" w:hAnsi="Arial" w:cs="Arial"/>
          <w:sz w:val="20"/>
          <w:szCs w:val="20"/>
          <w:lang w:val="sl-SI"/>
        </w:rPr>
        <w:t>Figures from 11 to 13 display comparative diagrams of effective performance parameters (power, torque and specific fuel consumption), absolute pressures and temperatures of exhaust gases in the engine exhaust manifolds, at maximum load, in the case of normal operating conditions and deactivated left cylinder number 6 (with no combustion).</w:t>
      </w:r>
    </w:p>
    <w:p w:rsidR="00FF1BE9" w:rsidRPr="004B49C4" w:rsidRDefault="00C81576" w:rsidP="00FF1BE9">
      <w:pPr>
        <w:jc w:val="center"/>
      </w:pPr>
      <w:r>
        <w:pict>
          <v:shape id="_x0000_i1042" type="#_x0000_t75" style="width:162pt;height:169pt">
            <v:imagedata r:id="rId22" o:title="figure 11"/>
          </v:shape>
        </w:pict>
      </w:r>
    </w:p>
    <w:p w:rsidR="00D66B27" w:rsidRDefault="00FF1BE9" w:rsidP="00D66B27">
      <w:pPr>
        <w:spacing w:before="120"/>
        <w:jc w:val="center"/>
        <w:rPr>
          <w:rFonts w:ascii="Arial" w:hAnsi="Arial" w:cs="Arial"/>
          <w:sz w:val="20"/>
          <w:szCs w:val="20"/>
        </w:rPr>
      </w:pPr>
      <w:r w:rsidRPr="00FF1BE9">
        <w:rPr>
          <w:rFonts w:ascii="Arial" w:hAnsi="Arial" w:cs="Arial"/>
          <w:sz w:val="20"/>
          <w:szCs w:val="20"/>
        </w:rPr>
        <w:t xml:space="preserve">Figure 11: Comparative diagrams of effective performance parameters in the case of normal operating conditions (solid line) and </w:t>
      </w:r>
    </w:p>
    <w:p w:rsidR="00FF1BE9" w:rsidRDefault="00FF1BE9" w:rsidP="00D66B27">
      <w:pPr>
        <w:spacing w:after="240"/>
        <w:jc w:val="center"/>
        <w:rPr>
          <w:rFonts w:ascii="Arial" w:hAnsi="Arial" w:cs="Arial"/>
          <w:sz w:val="20"/>
          <w:szCs w:val="20"/>
        </w:rPr>
      </w:pPr>
      <w:proofErr w:type="gramStart"/>
      <w:r w:rsidRPr="00FF1BE9">
        <w:rPr>
          <w:rFonts w:ascii="Arial" w:hAnsi="Arial" w:cs="Arial"/>
          <w:sz w:val="20"/>
          <w:szCs w:val="20"/>
        </w:rPr>
        <w:t>deactivated</w:t>
      </w:r>
      <w:proofErr w:type="gramEnd"/>
      <w:r w:rsidRPr="00FF1BE9">
        <w:rPr>
          <w:rFonts w:ascii="Arial" w:hAnsi="Arial" w:cs="Arial"/>
          <w:sz w:val="20"/>
          <w:szCs w:val="20"/>
        </w:rPr>
        <w:t xml:space="preserve"> left cylinder number 6 (dashed line)</w:t>
      </w:r>
    </w:p>
    <w:p w:rsidR="00D66B27" w:rsidRPr="00D66B27" w:rsidRDefault="00D66B27" w:rsidP="00D66B27">
      <w:pPr>
        <w:spacing w:before="120"/>
        <w:ind w:firstLine="709"/>
        <w:rPr>
          <w:rFonts w:ascii="Arial" w:hAnsi="Arial" w:cs="Arial"/>
          <w:sz w:val="20"/>
          <w:szCs w:val="20"/>
        </w:rPr>
      </w:pPr>
      <w:r w:rsidRPr="00D66B27">
        <w:rPr>
          <w:rFonts w:ascii="Arial" w:hAnsi="Arial" w:cs="Arial"/>
          <w:sz w:val="20"/>
          <w:szCs w:val="20"/>
        </w:rPr>
        <w:t>During calculation of the mentioned engine effective performance parameters a correction factor was used [7]:</w:t>
      </w:r>
    </w:p>
    <w:p w:rsidR="00D66B27" w:rsidRPr="00D66B27" w:rsidRDefault="00C81576" w:rsidP="00D66B27">
      <w:pPr>
        <w:spacing w:before="120"/>
        <w:ind w:firstLine="142"/>
        <w:rPr>
          <w:rFonts w:ascii="Arial" w:hAnsi="Arial" w:cs="Arial"/>
          <w:sz w:val="20"/>
          <w:szCs w:val="20"/>
        </w:rPr>
      </w:pPr>
      <w:r w:rsidRPr="00D66B27">
        <w:rPr>
          <w:rFonts w:ascii="Arial" w:hAnsi="Arial" w:cs="Arial"/>
          <w:sz w:val="20"/>
          <w:szCs w:val="20"/>
        </w:rPr>
        <w:fldChar w:fldCharType="begin"/>
      </w:r>
      <w:r w:rsidR="00D66B27" w:rsidRPr="00D66B27">
        <w:rPr>
          <w:rFonts w:ascii="Arial" w:hAnsi="Arial" w:cs="Arial"/>
          <w:sz w:val="20"/>
          <w:szCs w:val="20"/>
        </w:rPr>
        <w:instrText xml:space="preserve"> QUOTE </w:instrText>
      </w:r>
      <w:r w:rsidRPr="00C81576">
        <w:rPr>
          <w:rFonts w:ascii="Arial" w:hAnsi="Arial" w:cs="Arial"/>
          <w:sz w:val="20"/>
          <w:szCs w:val="20"/>
        </w:rPr>
        <w:pict>
          <v:shape id="_x0000_i1043" type="#_x0000_t75" style="width:77pt;height:29pt" equationxml="&lt;">
            <v:imagedata r:id="rId23" o:title="" chromakey="white"/>
          </v:shape>
        </w:pict>
      </w:r>
      <w:r w:rsidR="00D66B27" w:rsidRPr="00D66B27">
        <w:rPr>
          <w:rFonts w:ascii="Arial" w:hAnsi="Arial" w:cs="Arial"/>
          <w:sz w:val="20"/>
          <w:szCs w:val="20"/>
        </w:rPr>
        <w:instrText xml:space="preserve"> </w:instrText>
      </w:r>
      <w:r w:rsidRPr="00D66B27">
        <w:rPr>
          <w:rFonts w:ascii="Arial" w:hAnsi="Arial" w:cs="Arial"/>
          <w:sz w:val="20"/>
          <w:szCs w:val="20"/>
        </w:rPr>
        <w:fldChar w:fldCharType="separate"/>
      </w:r>
      <w:r w:rsidRPr="00C81576">
        <w:rPr>
          <w:rFonts w:ascii="Arial" w:hAnsi="Arial" w:cs="Arial"/>
          <w:sz w:val="20"/>
          <w:szCs w:val="20"/>
        </w:rPr>
        <w:pict>
          <v:shape id="_x0000_i1044" type="#_x0000_t75" style="width:77pt;height:29pt" equationxml="&lt;">
            <v:imagedata r:id="rId23" o:title="" chromakey="white"/>
          </v:shape>
        </w:pict>
      </w:r>
      <w:r w:rsidRPr="00D66B27">
        <w:rPr>
          <w:rFonts w:ascii="Arial" w:hAnsi="Arial" w:cs="Arial"/>
          <w:sz w:val="20"/>
          <w:szCs w:val="20"/>
        </w:rPr>
        <w:fldChar w:fldCharType="end"/>
      </w:r>
      <w:r w:rsidR="00D66B27" w:rsidRPr="00D66B27">
        <w:rPr>
          <w:rFonts w:ascii="Arial" w:hAnsi="Arial" w:cs="Arial"/>
          <w:sz w:val="20"/>
          <w:szCs w:val="20"/>
        </w:rPr>
        <w:tab/>
      </w:r>
      <w:r w:rsidR="00D66B27" w:rsidRPr="00D66B27">
        <w:rPr>
          <w:rFonts w:ascii="Arial" w:hAnsi="Arial" w:cs="Arial"/>
          <w:sz w:val="20"/>
          <w:szCs w:val="20"/>
        </w:rPr>
        <w:tab/>
      </w:r>
      <w:r w:rsidR="00D66B27" w:rsidRPr="00D66B27">
        <w:rPr>
          <w:rFonts w:ascii="Arial" w:hAnsi="Arial" w:cs="Arial"/>
          <w:sz w:val="20"/>
          <w:szCs w:val="20"/>
        </w:rPr>
        <w:tab/>
      </w:r>
      <w:r w:rsidR="00D66B27" w:rsidRPr="00D66B27">
        <w:rPr>
          <w:rFonts w:ascii="Arial" w:hAnsi="Arial" w:cs="Arial"/>
          <w:sz w:val="20"/>
          <w:szCs w:val="20"/>
        </w:rPr>
        <w:tab/>
      </w:r>
      <w:r w:rsidR="00D66B27" w:rsidRPr="00D66B27">
        <w:rPr>
          <w:rFonts w:ascii="Arial" w:hAnsi="Arial" w:cs="Arial"/>
          <w:sz w:val="20"/>
          <w:szCs w:val="20"/>
        </w:rPr>
        <w:tab/>
      </w:r>
      <w:r w:rsidR="00D66B27" w:rsidRPr="00D66B27">
        <w:rPr>
          <w:rFonts w:ascii="Arial" w:hAnsi="Arial" w:cs="Arial"/>
          <w:sz w:val="20"/>
          <w:szCs w:val="20"/>
        </w:rPr>
        <w:tab/>
      </w:r>
      <w:r w:rsidR="00D66B27" w:rsidRPr="00D66B27">
        <w:rPr>
          <w:rFonts w:ascii="Arial" w:hAnsi="Arial" w:cs="Arial"/>
          <w:sz w:val="20"/>
          <w:szCs w:val="20"/>
        </w:rPr>
        <w:tab/>
      </w:r>
      <w:r w:rsidR="00D66B27" w:rsidRPr="00D66B27">
        <w:rPr>
          <w:rFonts w:ascii="Arial" w:hAnsi="Arial" w:cs="Arial"/>
          <w:bCs/>
          <w:sz w:val="20"/>
          <w:szCs w:val="20"/>
        </w:rPr>
        <w:t>(4</w:t>
      </w:r>
      <w:r w:rsidR="00D66B27" w:rsidRPr="00D66B27">
        <w:rPr>
          <w:rFonts w:ascii="Arial" w:hAnsi="Arial" w:cs="Arial"/>
          <w:sz w:val="20"/>
          <w:szCs w:val="20"/>
        </w:rPr>
        <w:t>)</w:t>
      </w:r>
    </w:p>
    <w:p w:rsidR="00D66B27" w:rsidRPr="00D66B27" w:rsidRDefault="00D66B27" w:rsidP="000B2576">
      <w:pPr>
        <w:spacing w:before="120"/>
        <w:ind w:firstLine="709"/>
        <w:jc w:val="both"/>
        <w:rPr>
          <w:rFonts w:ascii="Arial" w:hAnsi="Arial" w:cs="Arial"/>
          <w:sz w:val="20"/>
          <w:szCs w:val="20"/>
        </w:rPr>
      </w:pPr>
      <w:r w:rsidRPr="00D66B27">
        <w:rPr>
          <w:rFonts w:ascii="Arial" w:hAnsi="Arial" w:cs="Arial"/>
          <w:sz w:val="20"/>
          <w:szCs w:val="20"/>
        </w:rPr>
        <w:t xml:space="preserve">Since we had an older generation engine, the correction method indicated by DIN 70020 standards has been shown as optimal. The DIN70020 method indicates the reference atmospheric conditions of </w:t>
      </w:r>
      <w:proofErr w:type="spellStart"/>
      <w:r w:rsidRPr="00991EF8">
        <w:rPr>
          <w:rFonts w:ascii="Arial" w:hAnsi="Arial" w:cs="Arial"/>
          <w:sz w:val="20"/>
          <w:szCs w:val="20"/>
        </w:rPr>
        <w:t>p</w:t>
      </w:r>
      <w:r w:rsidRPr="00991EF8">
        <w:rPr>
          <w:rFonts w:ascii="Arial" w:hAnsi="Arial" w:cs="Arial"/>
          <w:sz w:val="20"/>
          <w:szCs w:val="20"/>
          <w:vertAlign w:val="subscript"/>
        </w:rPr>
        <w:t>ref</w:t>
      </w:r>
      <w:proofErr w:type="spellEnd"/>
      <w:r w:rsidRPr="00D66B27">
        <w:rPr>
          <w:rFonts w:ascii="Arial" w:hAnsi="Arial" w:cs="Arial"/>
          <w:sz w:val="20"/>
          <w:szCs w:val="20"/>
        </w:rPr>
        <w:t xml:space="preserve">=101.3 bar and </w:t>
      </w:r>
      <w:proofErr w:type="spellStart"/>
      <w:r w:rsidRPr="00991EF8">
        <w:rPr>
          <w:rFonts w:ascii="Arial" w:hAnsi="Arial" w:cs="Arial"/>
          <w:sz w:val="20"/>
          <w:szCs w:val="20"/>
        </w:rPr>
        <w:t>T</w:t>
      </w:r>
      <w:r w:rsidRPr="00991EF8">
        <w:rPr>
          <w:rFonts w:ascii="Arial" w:hAnsi="Arial" w:cs="Arial"/>
          <w:sz w:val="20"/>
          <w:szCs w:val="20"/>
          <w:vertAlign w:val="subscript"/>
        </w:rPr>
        <w:t>ref</w:t>
      </w:r>
      <w:proofErr w:type="spellEnd"/>
      <w:r w:rsidRPr="00D66B27">
        <w:rPr>
          <w:rFonts w:ascii="Arial" w:hAnsi="Arial" w:cs="Arial"/>
          <w:sz w:val="20"/>
          <w:szCs w:val="20"/>
        </w:rPr>
        <w:t>=288.152 K. Corrected values of effective power and torque were obtained by multiplying the calculated values by the correction factor, while the corrected specific fuel consumption values were obtained by dividing the calculated values by the same factor.</w:t>
      </w:r>
    </w:p>
    <w:p w:rsidR="00D66B27" w:rsidRPr="00D66B27" w:rsidRDefault="00D66B27" w:rsidP="00D66B27">
      <w:pPr>
        <w:ind w:firstLine="709"/>
        <w:rPr>
          <w:rFonts w:ascii="Arial" w:hAnsi="Arial" w:cs="Arial"/>
          <w:sz w:val="20"/>
          <w:szCs w:val="20"/>
        </w:rPr>
      </w:pPr>
      <w:r w:rsidRPr="00D66B27">
        <w:rPr>
          <w:rFonts w:ascii="Arial" w:hAnsi="Arial" w:cs="Arial"/>
          <w:sz w:val="20"/>
          <w:szCs w:val="20"/>
        </w:rPr>
        <w:t>The decline in value of all effective performance parameters in the case of one deactivated cylinder (with no combustion) is obvious, which opens the possibility to use also the monitoring of these parameters for the identification of such condition.</w:t>
      </w:r>
    </w:p>
    <w:tbl>
      <w:tblPr>
        <w:tblW w:w="7258" w:type="dxa"/>
        <w:tblLayout w:type="fixed"/>
        <w:tblLook w:val="04A0"/>
      </w:tblPr>
      <w:tblGrid>
        <w:gridCol w:w="3714"/>
        <w:gridCol w:w="3544"/>
      </w:tblGrid>
      <w:tr w:rsidR="00FF1BE9" w:rsidRPr="004B49C4" w:rsidTr="00D66B27">
        <w:tc>
          <w:tcPr>
            <w:tcW w:w="3714" w:type="dxa"/>
            <w:tcMar>
              <w:left w:w="28" w:type="dxa"/>
              <w:right w:w="28" w:type="dxa"/>
            </w:tcMar>
          </w:tcPr>
          <w:p w:rsidR="00FF1BE9" w:rsidRPr="004B49C4" w:rsidRDefault="00C81576" w:rsidP="00FF1BE9">
            <w:pPr>
              <w:jc w:val="center"/>
            </w:pPr>
            <w:r w:rsidRPr="00C81576">
              <w:rPr>
                <w:noProof/>
                <w:lang w:val="en-US"/>
              </w:rPr>
              <w:lastRenderedPageBreak/>
              <w:pict>
                <v:shape id="_x0000_i1045" type="#_x0000_t75" alt="figure 12.jpg" style="width:168pt;height:135pt;visibility:visible;mso-wrap-style:square">
                  <v:imagedata r:id="rId24" o:title="figure 12"/>
                </v:shape>
              </w:pict>
            </w:r>
          </w:p>
        </w:tc>
        <w:tc>
          <w:tcPr>
            <w:tcW w:w="3544" w:type="dxa"/>
          </w:tcPr>
          <w:p w:rsidR="00FF1BE9" w:rsidRPr="004B49C4" w:rsidRDefault="00C81576" w:rsidP="00FF1BE9">
            <w:pPr>
              <w:jc w:val="center"/>
            </w:pPr>
            <w:r w:rsidRPr="00C81576">
              <w:rPr>
                <w:noProof/>
                <w:lang w:val="en-US"/>
              </w:rPr>
              <w:pict>
                <v:shape id="_x0000_i1046" type="#_x0000_t75" alt="figure 13.jpg" style="width:173pt;height:137pt;visibility:visible;mso-wrap-style:square">
                  <v:imagedata r:id="rId25" o:title="figure 13"/>
                </v:shape>
              </w:pict>
            </w:r>
          </w:p>
        </w:tc>
      </w:tr>
      <w:tr w:rsidR="00FF1BE9" w:rsidRPr="00FF1BE9" w:rsidTr="00D66B27">
        <w:tc>
          <w:tcPr>
            <w:tcW w:w="3714" w:type="dxa"/>
          </w:tcPr>
          <w:p w:rsidR="00FF1BE9" w:rsidRPr="00FF1BE9" w:rsidRDefault="00FF1BE9" w:rsidP="00C67096">
            <w:pPr>
              <w:spacing w:before="120" w:after="240"/>
              <w:jc w:val="center"/>
              <w:rPr>
                <w:rFonts w:ascii="Arial" w:hAnsi="Arial" w:cs="Arial"/>
                <w:sz w:val="20"/>
                <w:szCs w:val="20"/>
              </w:rPr>
            </w:pPr>
            <w:r w:rsidRPr="00FF1BE9">
              <w:rPr>
                <w:rFonts w:ascii="Arial" w:hAnsi="Arial" w:cs="Arial"/>
                <w:sz w:val="20"/>
                <w:szCs w:val="20"/>
              </w:rPr>
              <w:t>Figure 12: Mean pressure values in the exhaust manifolds at maximum load, in the case of normal operating conditions  (solid line) and deactivated left cylinder number 6 (dashed line)</w:t>
            </w:r>
          </w:p>
        </w:tc>
        <w:tc>
          <w:tcPr>
            <w:tcW w:w="3544" w:type="dxa"/>
          </w:tcPr>
          <w:p w:rsidR="00FF1BE9" w:rsidRPr="00FF1BE9" w:rsidRDefault="00FF1BE9" w:rsidP="00C67096">
            <w:pPr>
              <w:spacing w:before="120" w:after="240"/>
              <w:jc w:val="center"/>
              <w:rPr>
                <w:rFonts w:ascii="Arial" w:hAnsi="Arial" w:cs="Arial"/>
                <w:iCs/>
                <w:sz w:val="20"/>
                <w:szCs w:val="20"/>
              </w:rPr>
            </w:pPr>
            <w:r w:rsidRPr="00FF1BE9">
              <w:rPr>
                <w:rFonts w:ascii="Arial" w:hAnsi="Arial" w:cs="Arial"/>
                <w:sz w:val="20"/>
                <w:szCs w:val="20"/>
              </w:rPr>
              <w:t>Figure 13: Mean exhaust gas temperatures at full load, in the case of normal operating conditions  (solid line) and deactivated left cylinder number 6 (dashed line)</w:t>
            </w:r>
          </w:p>
        </w:tc>
      </w:tr>
    </w:tbl>
    <w:p w:rsidR="00D66B27" w:rsidRPr="00D66B27" w:rsidRDefault="00D66B27" w:rsidP="00DC2774">
      <w:pPr>
        <w:ind w:firstLine="709"/>
        <w:jc w:val="both"/>
        <w:rPr>
          <w:rFonts w:ascii="Arial" w:hAnsi="Arial" w:cs="Arial"/>
          <w:sz w:val="20"/>
          <w:szCs w:val="20"/>
        </w:rPr>
      </w:pPr>
      <w:r w:rsidRPr="00D66B27">
        <w:rPr>
          <w:rFonts w:ascii="Arial" w:hAnsi="Arial" w:cs="Arial"/>
          <w:sz w:val="20"/>
          <w:szCs w:val="20"/>
        </w:rPr>
        <w:t>The change of average exhaust gas temperatures in the left exhaust manifold has also a similar tendency, on the side of the deactivated cylinder number 6 (decline by an average of about 10%), while changes in mean values of absolute pressures in the exhaust manifolds do not show the potential to be used for clear identification of irregular engine operation.</w:t>
      </w:r>
    </w:p>
    <w:p w:rsidR="00D66B27" w:rsidRPr="00D66B27" w:rsidRDefault="00D66B27" w:rsidP="00EA2EEF">
      <w:pPr>
        <w:ind w:firstLine="709"/>
        <w:jc w:val="both"/>
        <w:rPr>
          <w:rFonts w:ascii="Arial" w:hAnsi="Arial" w:cs="Arial"/>
          <w:sz w:val="20"/>
          <w:szCs w:val="20"/>
        </w:rPr>
      </w:pPr>
      <w:r w:rsidRPr="00D66B27">
        <w:rPr>
          <w:rFonts w:ascii="Arial" w:hAnsi="Arial" w:cs="Arial"/>
          <w:sz w:val="20"/>
          <w:szCs w:val="20"/>
        </w:rPr>
        <w:t>In the following section, results of measurements of pressure pulsations in the exhaust manifolds at 1700</w:t>
      </w:r>
      <w:r w:rsidR="00EA2EEF">
        <w:rPr>
          <w:rFonts w:ascii="Arial" w:hAnsi="Arial" w:cs="Arial"/>
          <w:sz w:val="20"/>
          <w:szCs w:val="20"/>
        </w:rPr>
        <w:t xml:space="preserve"> </w:t>
      </w:r>
      <w:r w:rsidRPr="00D66B27">
        <w:rPr>
          <w:rFonts w:ascii="Arial" w:hAnsi="Arial" w:cs="Arial"/>
          <w:sz w:val="20"/>
          <w:szCs w:val="20"/>
        </w:rPr>
        <w:t>rpm will be shown. At the same time, through interventions on the engine (by disconnecting the high pressure fuel lines from the high pressure pump) the following cases were simulated:</w:t>
      </w:r>
    </w:p>
    <w:p w:rsidR="00D66B27" w:rsidRPr="00D66B27" w:rsidRDefault="00D66B27" w:rsidP="0028645A">
      <w:pPr>
        <w:pStyle w:val="ListParagraph"/>
        <w:numPr>
          <w:ilvl w:val="0"/>
          <w:numId w:val="7"/>
        </w:numPr>
        <w:ind w:left="714" w:hanging="357"/>
        <w:rPr>
          <w:rFonts w:ascii="Arial" w:hAnsi="Arial" w:cs="Arial"/>
          <w:sz w:val="20"/>
          <w:szCs w:val="20"/>
        </w:rPr>
      </w:pPr>
      <w:r w:rsidRPr="00D66B27">
        <w:rPr>
          <w:rFonts w:ascii="Arial" w:hAnsi="Arial" w:cs="Arial"/>
          <w:sz w:val="20"/>
          <w:szCs w:val="20"/>
        </w:rPr>
        <w:t>normal operation in all cylinders,</w:t>
      </w:r>
    </w:p>
    <w:p w:rsidR="00D66B27" w:rsidRPr="00D66B27" w:rsidRDefault="00D66B27" w:rsidP="0028645A">
      <w:pPr>
        <w:pStyle w:val="ListParagraph"/>
        <w:numPr>
          <w:ilvl w:val="0"/>
          <w:numId w:val="7"/>
        </w:numPr>
        <w:ind w:left="714" w:hanging="357"/>
        <w:rPr>
          <w:rFonts w:ascii="Arial" w:hAnsi="Arial" w:cs="Arial"/>
          <w:sz w:val="20"/>
          <w:szCs w:val="20"/>
        </w:rPr>
      </w:pPr>
      <w:r w:rsidRPr="00D66B27">
        <w:rPr>
          <w:rFonts w:ascii="Arial" w:hAnsi="Arial" w:cs="Arial"/>
          <w:sz w:val="20"/>
          <w:szCs w:val="20"/>
        </w:rPr>
        <w:t>misfire in each cylinder individually,</w:t>
      </w:r>
    </w:p>
    <w:p w:rsidR="00D66B27" w:rsidRPr="00D66B27" w:rsidRDefault="00D66B27" w:rsidP="0028645A">
      <w:pPr>
        <w:pStyle w:val="ListParagraph"/>
        <w:numPr>
          <w:ilvl w:val="0"/>
          <w:numId w:val="7"/>
        </w:numPr>
        <w:ind w:left="714" w:hanging="357"/>
        <w:rPr>
          <w:rFonts w:ascii="Arial" w:hAnsi="Arial" w:cs="Arial"/>
          <w:sz w:val="20"/>
          <w:szCs w:val="20"/>
        </w:rPr>
      </w:pPr>
      <w:proofErr w:type="gramStart"/>
      <w:r w:rsidRPr="00D66B27">
        <w:rPr>
          <w:rFonts w:ascii="Arial" w:hAnsi="Arial" w:cs="Arial"/>
          <w:sz w:val="20"/>
          <w:szCs w:val="20"/>
        </w:rPr>
        <w:t>simultaneous</w:t>
      </w:r>
      <w:proofErr w:type="gramEnd"/>
      <w:r w:rsidRPr="00D66B27">
        <w:rPr>
          <w:rFonts w:ascii="Arial" w:hAnsi="Arial" w:cs="Arial"/>
          <w:sz w:val="20"/>
          <w:szCs w:val="20"/>
        </w:rPr>
        <w:t xml:space="preserve"> misfire in two cylinders - the 3rd and 6th.</w:t>
      </w:r>
    </w:p>
    <w:p w:rsidR="00D66B27" w:rsidRPr="00D66B27" w:rsidRDefault="00D66B27" w:rsidP="0028645A">
      <w:pPr>
        <w:ind w:firstLine="709"/>
        <w:jc w:val="both"/>
        <w:rPr>
          <w:rFonts w:ascii="Arial" w:hAnsi="Arial" w:cs="Arial"/>
          <w:sz w:val="20"/>
          <w:szCs w:val="20"/>
        </w:rPr>
      </w:pPr>
      <w:r w:rsidRPr="00D66B27">
        <w:rPr>
          <w:rFonts w:ascii="Arial" w:hAnsi="Arial" w:cs="Arial"/>
          <w:sz w:val="20"/>
          <w:szCs w:val="20"/>
        </w:rPr>
        <w:t>It should be reminded that all diagrams are shown as a function of the crank angle and are related to the working cycle of cylinder number 1, for which the TDC determination and parameter curve shifting was done. Numerical designations in the upper part of the diagrams represent the cylinder with the most contribution to the diagram changes (peak or absence of the expected peak).</w:t>
      </w:r>
    </w:p>
    <w:p w:rsidR="00DC2774" w:rsidRDefault="00DC2774" w:rsidP="00DC2774">
      <w:pPr>
        <w:ind w:firstLine="709"/>
        <w:jc w:val="both"/>
        <w:rPr>
          <w:rFonts w:ascii="Arial" w:hAnsi="Arial" w:cs="Arial"/>
          <w:sz w:val="20"/>
          <w:szCs w:val="20"/>
        </w:rPr>
      </w:pPr>
      <w:r w:rsidRPr="00DC2774">
        <w:rPr>
          <w:rFonts w:ascii="Arial" w:hAnsi="Arial" w:cs="Arial"/>
          <w:sz w:val="20"/>
          <w:szCs w:val="20"/>
        </w:rPr>
        <w:t>It should be reminded that all diagrams are shown as a function of the crank angle and are related to the working cycle of cylinder number 1, for which the TDC determination and parameter curve shifting was done. Numerical designations in the upper part of the diagrams represent the cylinder with the most contribution to the diagram changes (peak or absence of the expected peak).</w:t>
      </w:r>
    </w:p>
    <w:p w:rsidR="00DC2774" w:rsidRPr="00DC2774" w:rsidRDefault="00DC2774" w:rsidP="00DC2774">
      <w:pPr>
        <w:pStyle w:val="podnaslov"/>
        <w:numPr>
          <w:ilvl w:val="0"/>
          <w:numId w:val="0"/>
        </w:numPr>
        <w:spacing w:before="240"/>
      </w:pPr>
      <w:r w:rsidRPr="00DC2774">
        <w:t>4.1 NORMAL OPERATION IN ALL CYLINDERS</w:t>
      </w:r>
    </w:p>
    <w:p w:rsidR="00DC2774" w:rsidRPr="00DC2774" w:rsidRDefault="00DC2774" w:rsidP="00DC2774">
      <w:pPr>
        <w:ind w:firstLine="709"/>
        <w:jc w:val="both"/>
        <w:rPr>
          <w:rFonts w:ascii="Arial" w:hAnsi="Arial" w:cs="Arial"/>
          <w:sz w:val="20"/>
          <w:szCs w:val="20"/>
        </w:rPr>
      </w:pPr>
      <w:r w:rsidRPr="00DC2774">
        <w:rPr>
          <w:rFonts w:ascii="Arial" w:hAnsi="Arial" w:cs="Arial"/>
          <w:sz w:val="20"/>
          <w:szCs w:val="20"/>
        </w:rPr>
        <w:t>Exhaust gas pressure changes in the right and left exhaust manifolds (Figure 14) have an expected form, reaching their peaks at crank angle values which correspond to approximately maximum values of effective flow cross-sections of the corresponding valves (Figures 7 and 8).</w:t>
      </w:r>
    </w:p>
    <w:p w:rsidR="00DC2774" w:rsidRPr="00DC2774" w:rsidRDefault="00DC2774" w:rsidP="00DC2774">
      <w:pPr>
        <w:ind w:firstLine="709"/>
        <w:jc w:val="both"/>
        <w:rPr>
          <w:rFonts w:ascii="Arial" w:hAnsi="Arial" w:cs="Arial"/>
          <w:sz w:val="20"/>
          <w:szCs w:val="20"/>
        </w:rPr>
      </w:pPr>
      <w:r w:rsidRPr="00DC2774">
        <w:rPr>
          <w:rFonts w:ascii="Arial" w:hAnsi="Arial" w:cs="Arial"/>
          <w:sz w:val="20"/>
          <w:szCs w:val="20"/>
        </w:rPr>
        <w:lastRenderedPageBreak/>
        <w:t>The differences between the peak values could be related to the different thickness of valve and valve seat deposits, different real clearances between pushrod valve and cam, stochastic of the processes, inequalities of working cycles in individual cylinders, etc.</w:t>
      </w:r>
    </w:p>
    <w:tbl>
      <w:tblPr>
        <w:tblW w:w="0" w:type="auto"/>
        <w:tblLook w:val="04A0"/>
      </w:tblPr>
      <w:tblGrid>
        <w:gridCol w:w="3975"/>
        <w:gridCol w:w="3975"/>
      </w:tblGrid>
      <w:tr w:rsidR="00DC2774" w:rsidRPr="004B49C4" w:rsidTr="005E79E6">
        <w:trPr>
          <w:trHeight w:val="2619"/>
        </w:trPr>
        <w:tc>
          <w:tcPr>
            <w:tcW w:w="3973" w:type="dxa"/>
          </w:tcPr>
          <w:p w:rsidR="00DC2774" w:rsidRPr="004B49C4" w:rsidRDefault="00C81576" w:rsidP="00991EF8">
            <w:pPr>
              <w:spacing w:before="120"/>
              <w:jc w:val="center"/>
            </w:pPr>
            <w:r w:rsidRPr="00C81576">
              <w:rPr>
                <w:noProof/>
                <w:lang w:val="en-US"/>
              </w:rPr>
              <w:pict>
                <v:shape id="_x0000_i1047" type="#_x0000_t75" alt="figure 14a.jpg" style="width:188pt;height:147pt;visibility:visible;mso-wrap-style:square">
                  <v:imagedata r:id="rId26" o:title="figure 14a"/>
                </v:shape>
              </w:pict>
            </w:r>
          </w:p>
        </w:tc>
        <w:tc>
          <w:tcPr>
            <w:tcW w:w="3953" w:type="dxa"/>
          </w:tcPr>
          <w:p w:rsidR="00DC2774" w:rsidRPr="004B49C4" w:rsidRDefault="00C81576" w:rsidP="00991EF8">
            <w:pPr>
              <w:spacing w:before="120"/>
              <w:jc w:val="center"/>
            </w:pPr>
            <w:r w:rsidRPr="00C81576">
              <w:rPr>
                <w:noProof/>
                <w:lang w:val="en-US"/>
              </w:rPr>
              <w:pict>
                <v:shape id="_x0000_i1048" type="#_x0000_t75" alt="figure 14b.jpg" style="width:188pt;height:147pt;visibility:visible;mso-wrap-style:square">
                  <v:imagedata r:id="rId27" o:title="figure 14b"/>
                </v:shape>
              </w:pict>
            </w:r>
          </w:p>
        </w:tc>
      </w:tr>
      <w:tr w:rsidR="00DC2774" w:rsidRPr="00DC2774" w:rsidTr="005E79E6">
        <w:tc>
          <w:tcPr>
            <w:tcW w:w="7926" w:type="dxa"/>
            <w:gridSpan w:val="2"/>
          </w:tcPr>
          <w:p w:rsidR="00DC2774" w:rsidRPr="00DC2774" w:rsidRDefault="00DC2774" w:rsidP="00DC2774">
            <w:pPr>
              <w:spacing w:before="120" w:after="240"/>
              <w:ind w:left="238"/>
              <w:jc w:val="center"/>
              <w:rPr>
                <w:rFonts w:ascii="Arial" w:hAnsi="Arial" w:cs="Arial"/>
                <w:sz w:val="20"/>
                <w:szCs w:val="20"/>
              </w:rPr>
            </w:pPr>
            <w:r w:rsidRPr="00DC2774">
              <w:rPr>
                <w:rFonts w:ascii="Arial" w:hAnsi="Arial" w:cs="Arial"/>
                <w:sz w:val="20"/>
                <w:szCs w:val="20"/>
              </w:rPr>
              <w:t>Figure 14: Diagrams of pressure changes in the right exhaust manifold (</w:t>
            </w:r>
            <w:proofErr w:type="spellStart"/>
            <w:r w:rsidRPr="005428AF">
              <w:rPr>
                <w:rFonts w:ascii="Arial" w:hAnsi="Arial" w:cs="Arial"/>
                <w:sz w:val="20"/>
                <w:szCs w:val="20"/>
              </w:rPr>
              <w:t>p</w:t>
            </w:r>
            <w:r w:rsidRPr="005428AF">
              <w:rPr>
                <w:rFonts w:ascii="Arial" w:hAnsi="Arial" w:cs="Arial"/>
                <w:sz w:val="20"/>
                <w:szCs w:val="20"/>
                <w:vertAlign w:val="subscript"/>
              </w:rPr>
              <w:t>fegR</w:t>
            </w:r>
            <w:proofErr w:type="spellEnd"/>
            <w:r w:rsidRPr="00DC2774">
              <w:rPr>
                <w:rFonts w:ascii="Arial" w:hAnsi="Arial" w:cs="Arial"/>
                <w:sz w:val="20"/>
                <w:szCs w:val="20"/>
              </w:rPr>
              <w:t>) and in the left exhaust manifold (</w:t>
            </w:r>
            <w:proofErr w:type="spellStart"/>
            <w:r w:rsidRPr="005428AF">
              <w:rPr>
                <w:rFonts w:ascii="Arial" w:hAnsi="Arial" w:cs="Arial"/>
                <w:sz w:val="20"/>
                <w:szCs w:val="20"/>
              </w:rPr>
              <w:t>p</w:t>
            </w:r>
            <w:r w:rsidRPr="005428AF">
              <w:rPr>
                <w:rFonts w:ascii="Arial" w:hAnsi="Arial" w:cs="Arial"/>
                <w:sz w:val="20"/>
                <w:szCs w:val="20"/>
                <w:vertAlign w:val="subscript"/>
              </w:rPr>
              <w:t>fegL</w:t>
            </w:r>
            <w:proofErr w:type="spellEnd"/>
            <w:r w:rsidRPr="00DC2774">
              <w:rPr>
                <w:rFonts w:ascii="Arial" w:hAnsi="Arial" w:cs="Arial"/>
                <w:sz w:val="20"/>
                <w:szCs w:val="20"/>
              </w:rPr>
              <w:t>)</w:t>
            </w:r>
          </w:p>
        </w:tc>
      </w:tr>
    </w:tbl>
    <w:p w:rsidR="00E70BA1" w:rsidRPr="00DC2774" w:rsidRDefault="00DC2774" w:rsidP="005E79E6">
      <w:pPr>
        <w:pStyle w:val="podnaslov"/>
        <w:numPr>
          <w:ilvl w:val="0"/>
          <w:numId w:val="0"/>
        </w:numPr>
        <w:spacing w:before="0"/>
      </w:pPr>
      <w:r w:rsidRPr="00DC2774">
        <w:t>4.2 MISFIRE IN CYLINDER NUMBER 1</w:t>
      </w:r>
      <w:r w:rsidR="00E228BB">
        <w:t xml:space="preserve"> AND 2</w:t>
      </w:r>
    </w:p>
    <w:p w:rsidR="00DC2774" w:rsidRPr="00DC2774" w:rsidRDefault="00DC2774" w:rsidP="00DC2774">
      <w:pPr>
        <w:ind w:firstLine="709"/>
        <w:jc w:val="both"/>
        <w:rPr>
          <w:rFonts w:ascii="Arial" w:hAnsi="Arial" w:cs="Arial"/>
          <w:sz w:val="20"/>
          <w:szCs w:val="20"/>
        </w:rPr>
      </w:pPr>
      <w:r w:rsidRPr="00DC2774">
        <w:rPr>
          <w:rFonts w:ascii="Arial" w:hAnsi="Arial" w:cs="Arial"/>
          <w:sz w:val="20"/>
          <w:szCs w:val="20"/>
        </w:rPr>
        <w:t>Figure 15 (left) shows clearly the absence of the pressure peak in the right exhaust manifold at the cylinder position number 1, while the pressure change in the left exhaust manifold has an expected form (Figure 15 right). The recorded in-cylinder pressure in the case of misfire in cylinder 1 (Figure 5, dashed line) has a value a little over 40 bar, which is around 38.5% less than the maximum value under normal combustion (Figure 5, solid line).</w:t>
      </w:r>
      <w:r w:rsidR="00E228BB">
        <w:rPr>
          <w:rFonts w:ascii="Arial" w:hAnsi="Arial" w:cs="Arial"/>
          <w:sz w:val="20"/>
          <w:szCs w:val="20"/>
        </w:rPr>
        <w:t xml:space="preserve"> </w:t>
      </w:r>
      <w:r w:rsidR="00E228BB" w:rsidRPr="000B2576">
        <w:rPr>
          <w:rFonts w:ascii="Arial" w:hAnsi="Arial" w:cs="Arial"/>
          <w:sz w:val="20"/>
          <w:szCs w:val="20"/>
        </w:rPr>
        <w:t>Misfire in cylinder number 2 are shown in Figures 16</w:t>
      </w:r>
      <w:r w:rsidR="00E228BB">
        <w:rPr>
          <w:rFonts w:ascii="Arial" w:hAnsi="Arial" w:cs="Arial"/>
          <w:sz w:val="20"/>
          <w:szCs w:val="20"/>
        </w:rPr>
        <w:t>.</w:t>
      </w:r>
    </w:p>
    <w:tbl>
      <w:tblPr>
        <w:tblW w:w="0" w:type="auto"/>
        <w:tblLook w:val="04A0"/>
      </w:tblPr>
      <w:tblGrid>
        <w:gridCol w:w="3995"/>
        <w:gridCol w:w="4098"/>
      </w:tblGrid>
      <w:tr w:rsidR="005E79E6" w:rsidRPr="004B49C4" w:rsidTr="005E79E6">
        <w:trPr>
          <w:trHeight w:val="2893"/>
        </w:trPr>
        <w:tc>
          <w:tcPr>
            <w:tcW w:w="3951" w:type="dxa"/>
          </w:tcPr>
          <w:p w:rsidR="005E79E6" w:rsidRPr="004B49C4" w:rsidRDefault="00C81576" w:rsidP="00991EF8">
            <w:pPr>
              <w:spacing w:before="120"/>
              <w:jc w:val="center"/>
            </w:pPr>
            <w:r w:rsidRPr="00C81576">
              <w:rPr>
                <w:noProof/>
                <w:lang w:val="en-US"/>
              </w:rPr>
              <w:pict>
                <v:shape id="_x0000_i1049" type="#_x0000_t75" alt="figure 15a.jpg" style="width:189pt;height:150pt;visibility:visible;mso-wrap-style:square">
                  <v:imagedata r:id="rId28" o:title="figure 15a"/>
                </v:shape>
              </w:pict>
            </w:r>
          </w:p>
        </w:tc>
        <w:tc>
          <w:tcPr>
            <w:tcW w:w="3975" w:type="dxa"/>
          </w:tcPr>
          <w:p w:rsidR="005E79E6" w:rsidRPr="004B49C4" w:rsidRDefault="00C81576" w:rsidP="00991EF8">
            <w:pPr>
              <w:spacing w:before="120"/>
              <w:jc w:val="center"/>
            </w:pPr>
            <w:r w:rsidRPr="00C81576">
              <w:rPr>
                <w:noProof/>
                <w:lang w:val="en-US"/>
              </w:rPr>
              <w:pict>
                <v:shape id="_x0000_i1050" type="#_x0000_t75" alt="figure 15b.jpg" style="width:194pt;height:152pt;visibility:visible;mso-wrap-style:square">
                  <v:imagedata r:id="rId29" o:title="figure 15b"/>
                </v:shape>
              </w:pict>
            </w:r>
          </w:p>
        </w:tc>
      </w:tr>
      <w:tr w:rsidR="005E79E6" w:rsidRPr="005E79E6" w:rsidTr="005E79E6">
        <w:tc>
          <w:tcPr>
            <w:tcW w:w="7926" w:type="dxa"/>
            <w:gridSpan w:val="2"/>
          </w:tcPr>
          <w:p w:rsidR="005E79E6" w:rsidRPr="005E79E6" w:rsidRDefault="005E79E6" w:rsidP="005E79E6">
            <w:pPr>
              <w:spacing w:before="120" w:after="120"/>
              <w:ind w:left="238"/>
              <w:jc w:val="center"/>
              <w:rPr>
                <w:rFonts w:ascii="Arial" w:hAnsi="Arial" w:cs="Arial"/>
                <w:sz w:val="20"/>
                <w:szCs w:val="20"/>
              </w:rPr>
            </w:pPr>
            <w:r w:rsidRPr="005E79E6">
              <w:rPr>
                <w:rFonts w:ascii="Arial" w:hAnsi="Arial" w:cs="Arial"/>
                <w:sz w:val="20"/>
                <w:szCs w:val="20"/>
              </w:rPr>
              <w:t>Figure 15: Diagrams of pressure changes in the right exhaust manifold (</w:t>
            </w:r>
            <w:proofErr w:type="spellStart"/>
            <w:r w:rsidRPr="00991EF8">
              <w:rPr>
                <w:rFonts w:ascii="Arial" w:hAnsi="Arial" w:cs="Arial"/>
                <w:sz w:val="20"/>
                <w:szCs w:val="20"/>
              </w:rPr>
              <w:t>p</w:t>
            </w:r>
            <w:r w:rsidRPr="00991EF8">
              <w:rPr>
                <w:rFonts w:ascii="Arial" w:hAnsi="Arial" w:cs="Arial"/>
                <w:sz w:val="20"/>
                <w:szCs w:val="20"/>
                <w:vertAlign w:val="subscript"/>
              </w:rPr>
              <w:t>fegR</w:t>
            </w:r>
            <w:proofErr w:type="spellEnd"/>
            <w:r w:rsidRPr="005E79E6">
              <w:rPr>
                <w:rFonts w:ascii="Arial" w:hAnsi="Arial" w:cs="Arial"/>
                <w:sz w:val="20"/>
                <w:szCs w:val="20"/>
              </w:rPr>
              <w:t>) and in the left exhaust manifold (</w:t>
            </w:r>
            <w:proofErr w:type="spellStart"/>
            <w:r w:rsidRPr="005428AF">
              <w:rPr>
                <w:rFonts w:ascii="Arial" w:hAnsi="Arial" w:cs="Arial"/>
                <w:sz w:val="20"/>
                <w:szCs w:val="20"/>
              </w:rPr>
              <w:t>p</w:t>
            </w:r>
            <w:r w:rsidRPr="005428AF">
              <w:rPr>
                <w:rFonts w:ascii="Arial" w:hAnsi="Arial" w:cs="Arial"/>
                <w:sz w:val="20"/>
                <w:szCs w:val="20"/>
                <w:vertAlign w:val="subscript"/>
              </w:rPr>
              <w:t>fegL</w:t>
            </w:r>
            <w:proofErr w:type="spellEnd"/>
            <w:r w:rsidRPr="005E79E6">
              <w:rPr>
                <w:rFonts w:ascii="Arial" w:hAnsi="Arial" w:cs="Arial"/>
                <w:sz w:val="20"/>
                <w:szCs w:val="20"/>
              </w:rPr>
              <w:t>)</w:t>
            </w:r>
          </w:p>
        </w:tc>
      </w:tr>
      <w:tr w:rsidR="000B2576" w:rsidRPr="004B49C4" w:rsidTr="00292431">
        <w:trPr>
          <w:trHeight w:val="2893"/>
        </w:trPr>
        <w:tc>
          <w:tcPr>
            <w:tcW w:w="3951" w:type="dxa"/>
          </w:tcPr>
          <w:p w:rsidR="000B2576" w:rsidRPr="004B49C4" w:rsidRDefault="00C81576" w:rsidP="00292431">
            <w:pPr>
              <w:jc w:val="center"/>
            </w:pPr>
            <w:r w:rsidRPr="00C81576">
              <w:rPr>
                <w:noProof/>
                <w:lang w:val="en-US"/>
              </w:rPr>
              <w:lastRenderedPageBreak/>
              <w:pict>
                <v:shape id="Picture 20" o:spid="_x0000_i1051" type="#_x0000_t75" alt="figure 16a.jpg" style="width:178pt;height:139pt;visibility:visible;mso-wrap-style:square">
                  <v:imagedata r:id="rId30" o:title="figure 16a"/>
                </v:shape>
              </w:pict>
            </w:r>
          </w:p>
        </w:tc>
        <w:tc>
          <w:tcPr>
            <w:tcW w:w="3975" w:type="dxa"/>
          </w:tcPr>
          <w:p w:rsidR="000B2576" w:rsidRPr="004B49C4" w:rsidRDefault="00C81576" w:rsidP="00292431">
            <w:pPr>
              <w:jc w:val="center"/>
            </w:pPr>
            <w:r w:rsidRPr="00C81576">
              <w:rPr>
                <w:noProof/>
                <w:lang w:val="en-US"/>
              </w:rPr>
              <w:pict>
                <v:shape id="_x0000_i1052" type="#_x0000_t75" style="width:182pt;height:143pt">
                  <v:imagedata r:id="rId31" o:title="figure 16b"/>
                </v:shape>
              </w:pict>
            </w:r>
          </w:p>
        </w:tc>
      </w:tr>
      <w:tr w:rsidR="000B2576" w:rsidRPr="005E79E6" w:rsidTr="00292431">
        <w:tc>
          <w:tcPr>
            <w:tcW w:w="7926" w:type="dxa"/>
            <w:gridSpan w:val="2"/>
          </w:tcPr>
          <w:p w:rsidR="000B2576" w:rsidRPr="000B2576" w:rsidRDefault="000B2576" w:rsidP="000B2576">
            <w:pPr>
              <w:spacing w:before="120" w:after="240"/>
              <w:ind w:left="238"/>
              <w:jc w:val="center"/>
              <w:rPr>
                <w:rFonts w:ascii="Arial" w:hAnsi="Arial" w:cs="Arial"/>
                <w:sz w:val="20"/>
                <w:szCs w:val="20"/>
              </w:rPr>
            </w:pPr>
            <w:r w:rsidRPr="000B2576">
              <w:rPr>
                <w:rFonts w:ascii="Arial" w:hAnsi="Arial" w:cs="Arial"/>
                <w:sz w:val="20"/>
                <w:szCs w:val="20"/>
              </w:rPr>
              <w:t>Figure 16: Diagrams of pressure changes in the right exhaust manifold (</w:t>
            </w:r>
            <w:proofErr w:type="spellStart"/>
            <w:r w:rsidRPr="000B2576">
              <w:rPr>
                <w:rFonts w:ascii="Arial" w:hAnsi="Arial" w:cs="Arial"/>
                <w:sz w:val="20"/>
                <w:szCs w:val="20"/>
              </w:rPr>
              <w:t>pfegR</w:t>
            </w:r>
            <w:proofErr w:type="spellEnd"/>
            <w:r w:rsidRPr="000B2576">
              <w:rPr>
                <w:rFonts w:ascii="Arial" w:hAnsi="Arial" w:cs="Arial"/>
                <w:sz w:val="20"/>
                <w:szCs w:val="20"/>
              </w:rPr>
              <w:t>) and in the left exhaust manifold (</w:t>
            </w:r>
            <w:proofErr w:type="spellStart"/>
            <w:r w:rsidRPr="005428AF">
              <w:rPr>
                <w:rFonts w:ascii="Arial" w:hAnsi="Arial" w:cs="Arial"/>
                <w:sz w:val="20"/>
                <w:szCs w:val="20"/>
              </w:rPr>
              <w:t>p</w:t>
            </w:r>
            <w:r w:rsidRPr="005428AF">
              <w:rPr>
                <w:rFonts w:ascii="Arial" w:hAnsi="Arial" w:cs="Arial"/>
                <w:sz w:val="20"/>
                <w:szCs w:val="20"/>
                <w:vertAlign w:val="subscript"/>
              </w:rPr>
              <w:t>fegL</w:t>
            </w:r>
            <w:proofErr w:type="spellEnd"/>
            <w:r w:rsidRPr="000B2576">
              <w:rPr>
                <w:rFonts w:ascii="Arial" w:hAnsi="Arial" w:cs="Arial"/>
                <w:sz w:val="20"/>
                <w:szCs w:val="20"/>
              </w:rPr>
              <w:t>)</w:t>
            </w:r>
          </w:p>
        </w:tc>
      </w:tr>
    </w:tbl>
    <w:p w:rsidR="00FF1BE9" w:rsidRPr="000B2576" w:rsidRDefault="000B2576" w:rsidP="000B2576">
      <w:pPr>
        <w:pStyle w:val="podnaslov"/>
        <w:numPr>
          <w:ilvl w:val="0"/>
          <w:numId w:val="0"/>
        </w:numPr>
        <w:spacing w:before="0"/>
      </w:pPr>
      <w:r>
        <w:t>4.</w:t>
      </w:r>
      <w:r w:rsidR="00EA2EEF">
        <w:t>3</w:t>
      </w:r>
      <w:r>
        <w:t xml:space="preserve"> </w:t>
      </w:r>
      <w:r w:rsidRPr="000B2576">
        <w:t>SIMULTANEOUS MISFIRE IN TWO CYLINDERS-THE 3RD AND 6TH</w:t>
      </w:r>
    </w:p>
    <w:p w:rsidR="000B2576" w:rsidRPr="000B2576" w:rsidRDefault="009A3D6A" w:rsidP="000B2576">
      <w:pPr>
        <w:ind w:firstLine="709"/>
        <w:jc w:val="both"/>
        <w:rPr>
          <w:rFonts w:ascii="Arial" w:hAnsi="Arial" w:cs="Arial"/>
          <w:sz w:val="20"/>
          <w:szCs w:val="20"/>
        </w:rPr>
      </w:pPr>
      <w:r>
        <w:rPr>
          <w:rFonts w:ascii="Arial" w:hAnsi="Arial" w:cs="Arial"/>
          <w:sz w:val="20"/>
          <w:szCs w:val="20"/>
        </w:rPr>
        <w:t>S</w:t>
      </w:r>
      <w:r w:rsidR="000B2576" w:rsidRPr="000B2576">
        <w:rPr>
          <w:rFonts w:ascii="Arial" w:hAnsi="Arial" w:cs="Arial"/>
          <w:sz w:val="20"/>
          <w:szCs w:val="20"/>
        </w:rPr>
        <w:t>imultaneous misfire in cylinders number 3 and 6 are shown in Figures 16 and 17. The analysis leads to a conclusion that different combinations of deactivated cylinders give similar diagrams.</w:t>
      </w:r>
    </w:p>
    <w:tbl>
      <w:tblPr>
        <w:tblW w:w="0" w:type="auto"/>
        <w:tblLook w:val="04A0"/>
      </w:tblPr>
      <w:tblGrid>
        <w:gridCol w:w="3951"/>
        <w:gridCol w:w="3975"/>
      </w:tblGrid>
      <w:tr w:rsidR="000B2576" w:rsidRPr="004B49C4" w:rsidTr="00292431">
        <w:trPr>
          <w:trHeight w:val="2893"/>
        </w:trPr>
        <w:tc>
          <w:tcPr>
            <w:tcW w:w="3951" w:type="dxa"/>
          </w:tcPr>
          <w:p w:rsidR="000B2576" w:rsidRPr="004B49C4" w:rsidRDefault="00C81576" w:rsidP="000B2576">
            <w:pPr>
              <w:spacing w:before="120"/>
              <w:jc w:val="center"/>
            </w:pPr>
            <w:r w:rsidRPr="00C81576">
              <w:rPr>
                <w:noProof/>
                <w:lang w:val="en-US"/>
              </w:rPr>
              <w:pict>
                <v:shape id="Picture 22" o:spid="_x0000_i1053" type="#_x0000_t75" alt="figure 17a.jpg" style="width:185pt;height:146pt;visibility:visible;mso-wrap-style:square">
                  <v:imagedata r:id="rId32" o:title="figure 17a"/>
                </v:shape>
              </w:pict>
            </w:r>
          </w:p>
        </w:tc>
        <w:tc>
          <w:tcPr>
            <w:tcW w:w="3975" w:type="dxa"/>
          </w:tcPr>
          <w:p w:rsidR="000B2576" w:rsidRPr="004B49C4" w:rsidRDefault="00C81576" w:rsidP="000B2576">
            <w:pPr>
              <w:spacing w:before="120"/>
              <w:jc w:val="center"/>
            </w:pPr>
            <w:r w:rsidRPr="00C81576">
              <w:rPr>
                <w:noProof/>
                <w:lang w:val="en-US"/>
              </w:rPr>
              <w:pict>
                <v:shape id="Picture 23" o:spid="_x0000_i1054" type="#_x0000_t75" alt="figure 17b.jpg" style="width:187pt;height:2in;visibility:visible;mso-wrap-style:square">
                  <v:imagedata r:id="rId33" o:title="figure 17b"/>
                </v:shape>
              </w:pict>
            </w:r>
          </w:p>
        </w:tc>
      </w:tr>
      <w:tr w:rsidR="000B2576" w:rsidRPr="005E79E6" w:rsidTr="00292431">
        <w:tc>
          <w:tcPr>
            <w:tcW w:w="7926" w:type="dxa"/>
            <w:gridSpan w:val="2"/>
          </w:tcPr>
          <w:p w:rsidR="000B2576" w:rsidRPr="000B2576" w:rsidRDefault="000B2576" w:rsidP="00292431">
            <w:pPr>
              <w:spacing w:before="120" w:after="240"/>
              <w:ind w:left="238"/>
              <w:jc w:val="center"/>
              <w:rPr>
                <w:rFonts w:ascii="Arial" w:hAnsi="Arial" w:cs="Arial"/>
                <w:sz w:val="20"/>
                <w:szCs w:val="20"/>
              </w:rPr>
            </w:pPr>
            <w:r w:rsidRPr="000B2576">
              <w:rPr>
                <w:rFonts w:ascii="Arial" w:hAnsi="Arial" w:cs="Arial"/>
                <w:sz w:val="20"/>
                <w:szCs w:val="20"/>
              </w:rPr>
              <w:t>Figure 17: Diagrams of pressure changes in the right exhaust manifold (</w:t>
            </w:r>
            <w:proofErr w:type="spellStart"/>
            <w:r w:rsidRPr="000B2576">
              <w:rPr>
                <w:rFonts w:ascii="Arial" w:hAnsi="Arial" w:cs="Arial"/>
                <w:sz w:val="20"/>
                <w:szCs w:val="20"/>
              </w:rPr>
              <w:t>p</w:t>
            </w:r>
            <w:r w:rsidRPr="005428AF">
              <w:rPr>
                <w:rFonts w:ascii="Arial" w:hAnsi="Arial" w:cs="Arial"/>
                <w:sz w:val="20"/>
                <w:szCs w:val="20"/>
                <w:vertAlign w:val="subscript"/>
              </w:rPr>
              <w:t>fegR</w:t>
            </w:r>
            <w:proofErr w:type="spellEnd"/>
            <w:r w:rsidRPr="000B2576">
              <w:rPr>
                <w:rFonts w:ascii="Arial" w:hAnsi="Arial" w:cs="Arial"/>
                <w:sz w:val="20"/>
                <w:szCs w:val="20"/>
              </w:rPr>
              <w:t>) and in the left exhaust manifold (</w:t>
            </w:r>
            <w:proofErr w:type="spellStart"/>
            <w:r w:rsidRPr="005428AF">
              <w:rPr>
                <w:rFonts w:ascii="Arial" w:hAnsi="Arial" w:cs="Arial"/>
                <w:sz w:val="20"/>
                <w:szCs w:val="20"/>
              </w:rPr>
              <w:t>p</w:t>
            </w:r>
            <w:r w:rsidRPr="005428AF">
              <w:rPr>
                <w:rFonts w:ascii="Arial" w:hAnsi="Arial" w:cs="Arial"/>
                <w:sz w:val="20"/>
                <w:szCs w:val="20"/>
                <w:vertAlign w:val="subscript"/>
              </w:rPr>
              <w:t>fegL</w:t>
            </w:r>
            <w:proofErr w:type="spellEnd"/>
            <w:r w:rsidRPr="000B2576">
              <w:rPr>
                <w:rFonts w:ascii="Arial" w:hAnsi="Arial" w:cs="Arial"/>
                <w:sz w:val="20"/>
                <w:szCs w:val="20"/>
              </w:rPr>
              <w:t>)</w:t>
            </w:r>
          </w:p>
        </w:tc>
      </w:tr>
    </w:tbl>
    <w:p w:rsidR="000B2576" w:rsidRPr="000B2576" w:rsidRDefault="000B2576" w:rsidP="000B2576">
      <w:pPr>
        <w:pStyle w:val="podnaslov"/>
        <w:tabs>
          <w:tab w:val="clear" w:pos="907"/>
          <w:tab w:val="num" w:pos="360"/>
        </w:tabs>
        <w:spacing w:before="0"/>
        <w:ind w:left="0" w:firstLine="0"/>
      </w:pPr>
      <w:r w:rsidRPr="004B49C4">
        <w:t>ANALYSIS OF EXPERIMENTAL RESULTS</w:t>
      </w:r>
    </w:p>
    <w:p w:rsidR="000B2576" w:rsidRPr="00E228BB" w:rsidRDefault="000B2576" w:rsidP="00E228BB">
      <w:pPr>
        <w:ind w:firstLine="709"/>
        <w:jc w:val="both"/>
        <w:rPr>
          <w:rFonts w:ascii="Arial" w:hAnsi="Arial" w:cs="Arial"/>
          <w:sz w:val="20"/>
          <w:szCs w:val="20"/>
        </w:rPr>
      </w:pPr>
      <w:r w:rsidRPr="00E228BB">
        <w:rPr>
          <w:rFonts w:ascii="Arial" w:hAnsi="Arial" w:cs="Arial"/>
          <w:sz w:val="20"/>
          <w:szCs w:val="20"/>
        </w:rPr>
        <w:t xml:space="preserve">Monitoring exhaust gas pressure changes has proven to be a powerful and relatively simple tool for the identification of misfiring cylinders. After the exhaust valve stroke approximation, for the right side (Figure </w:t>
      </w:r>
      <w:r w:rsidR="00601387">
        <w:rPr>
          <w:rFonts w:ascii="Arial" w:hAnsi="Arial" w:cs="Arial"/>
          <w:sz w:val="20"/>
          <w:szCs w:val="20"/>
        </w:rPr>
        <w:t>7</w:t>
      </w:r>
      <w:r w:rsidRPr="00E228BB">
        <w:rPr>
          <w:rFonts w:ascii="Arial" w:hAnsi="Arial" w:cs="Arial"/>
          <w:sz w:val="20"/>
          <w:szCs w:val="20"/>
        </w:rPr>
        <w:t xml:space="preserve">) and left side (Figure </w:t>
      </w:r>
      <w:r w:rsidR="00601387">
        <w:rPr>
          <w:rFonts w:ascii="Arial" w:hAnsi="Arial" w:cs="Arial"/>
          <w:sz w:val="20"/>
          <w:szCs w:val="20"/>
        </w:rPr>
        <w:t>8</w:t>
      </w:r>
      <w:r w:rsidRPr="00E228BB">
        <w:rPr>
          <w:rFonts w:ascii="Arial" w:hAnsi="Arial" w:cs="Arial"/>
          <w:sz w:val="20"/>
          <w:szCs w:val="20"/>
        </w:rPr>
        <w:t xml:space="preserve">) cylinders, angular intervals on the abscissa axis, with recorded exhaust gas pressure jumps, were located. These angular intervals are unambiguously associated with the cylinders which caused these increases (peaks). Each of the recorded peaks is the result of the expelling of the spent fuel-air mixture from one of the engine cylinders, which is, in the moment of the exhaust valve opening, characterized by a high energy level, regarding temperature and pressure. The measured in-cylinder pressure, at maximum engine </w:t>
      </w:r>
      <w:r w:rsidRPr="00E228BB">
        <w:rPr>
          <w:rFonts w:ascii="Arial" w:hAnsi="Arial" w:cs="Arial"/>
          <w:sz w:val="20"/>
          <w:szCs w:val="20"/>
        </w:rPr>
        <w:lastRenderedPageBreak/>
        <w:t>load, in the moment of the exhaust valve opening of a cylinder with a regular combustion process, was around 3.7bar, while the measured in-cylinder pressure of a misfiring cylinder a little over the atmospheric pressure was. A direct consequence of this is that the misfiring cylinder, with a missing pressure peak, can be clearly distinguished from the properly working cylinders with recorded peaks on the exhaust gas pressure pulsation curve. The described phenomenon is happening also at lower engine loads, which is evidenced by the diagrams in Figure 18. These diagrams represent the pressure pulsations in the right and left exhaust manifold in case of misfire in cylinders number 3 and 6, at 1200 rpm and partial load. This leads to the conclusion, that the described misfire identification process has no limitation regarding engine speed and load.</w:t>
      </w:r>
    </w:p>
    <w:tbl>
      <w:tblPr>
        <w:tblW w:w="0" w:type="auto"/>
        <w:tblLook w:val="04A0"/>
      </w:tblPr>
      <w:tblGrid>
        <w:gridCol w:w="3995"/>
        <w:gridCol w:w="4078"/>
      </w:tblGrid>
      <w:tr w:rsidR="00991EF8" w:rsidRPr="004B49C4" w:rsidTr="0028645A">
        <w:trPr>
          <w:trHeight w:val="2893"/>
        </w:trPr>
        <w:tc>
          <w:tcPr>
            <w:tcW w:w="3935" w:type="dxa"/>
          </w:tcPr>
          <w:p w:rsidR="009A3D6A" w:rsidRPr="004B49C4" w:rsidRDefault="00C81576" w:rsidP="00292431">
            <w:pPr>
              <w:spacing w:before="120"/>
              <w:jc w:val="center"/>
            </w:pPr>
            <w:r w:rsidRPr="00C81576">
              <w:rPr>
                <w:noProof/>
                <w:lang w:val="en-US"/>
              </w:rPr>
              <w:pict>
                <v:shape id="_x0000_i1055" type="#_x0000_t75" style="width:189pt;height:146pt">
                  <v:imagedata r:id="rId34" o:title="figure 18a"/>
                </v:shape>
              </w:pict>
            </w:r>
          </w:p>
        </w:tc>
        <w:tc>
          <w:tcPr>
            <w:tcW w:w="3991" w:type="dxa"/>
          </w:tcPr>
          <w:p w:rsidR="009A3D6A" w:rsidRPr="004B49C4" w:rsidRDefault="00C81576" w:rsidP="00292431">
            <w:pPr>
              <w:spacing w:before="120"/>
              <w:jc w:val="center"/>
            </w:pPr>
            <w:r w:rsidRPr="00C81576">
              <w:rPr>
                <w:noProof/>
                <w:lang w:val="en-US"/>
              </w:rPr>
              <w:pict>
                <v:shape id="_x0000_i1056" type="#_x0000_t75" style="width:193pt;height:147pt">
                  <v:imagedata r:id="rId35" o:title="figure 18b"/>
                </v:shape>
              </w:pict>
            </w:r>
          </w:p>
        </w:tc>
      </w:tr>
      <w:tr w:rsidR="009A3D6A" w:rsidRPr="005E79E6" w:rsidTr="00292431">
        <w:tc>
          <w:tcPr>
            <w:tcW w:w="7926" w:type="dxa"/>
            <w:gridSpan w:val="2"/>
          </w:tcPr>
          <w:p w:rsidR="009A3D6A" w:rsidRPr="000B2576" w:rsidRDefault="009A3D6A" w:rsidP="00292431">
            <w:pPr>
              <w:spacing w:before="120" w:after="240"/>
              <w:ind w:left="238"/>
              <w:jc w:val="center"/>
              <w:rPr>
                <w:rFonts w:ascii="Arial" w:hAnsi="Arial" w:cs="Arial"/>
                <w:sz w:val="20"/>
                <w:szCs w:val="20"/>
              </w:rPr>
            </w:pPr>
            <w:r w:rsidRPr="009A3D6A">
              <w:rPr>
                <w:rFonts w:ascii="Arial" w:hAnsi="Arial" w:cs="Arial"/>
                <w:sz w:val="20"/>
                <w:szCs w:val="20"/>
              </w:rPr>
              <w:t>Figure 18: Pressure pulsations in the right and left exhaust manifold while simultaneous misfire in cylinders number 3 and 6 (at 1200 rpm and 62% load)</w:t>
            </w:r>
          </w:p>
        </w:tc>
      </w:tr>
    </w:tbl>
    <w:p w:rsidR="0028645A" w:rsidRPr="0028645A" w:rsidRDefault="0028645A" w:rsidP="0028645A">
      <w:pPr>
        <w:ind w:firstLine="709"/>
        <w:rPr>
          <w:rFonts w:ascii="Arial" w:hAnsi="Arial" w:cs="Arial"/>
          <w:sz w:val="20"/>
          <w:szCs w:val="20"/>
        </w:rPr>
      </w:pPr>
      <w:r w:rsidRPr="0028645A">
        <w:rPr>
          <w:rFonts w:ascii="Arial" w:hAnsi="Arial" w:cs="Arial"/>
          <w:sz w:val="20"/>
          <w:szCs w:val="20"/>
        </w:rPr>
        <w:t>The main limitations and advantages of this procedure, especially in relation to the most effective diagnostic method, a direct cylinder indication, are:</w:t>
      </w:r>
    </w:p>
    <w:p w:rsidR="0028645A" w:rsidRPr="0028645A" w:rsidRDefault="0028645A" w:rsidP="0028645A">
      <w:pPr>
        <w:pStyle w:val="ListParagraph"/>
        <w:numPr>
          <w:ilvl w:val="0"/>
          <w:numId w:val="8"/>
        </w:numPr>
        <w:ind w:left="714" w:hanging="357"/>
        <w:rPr>
          <w:rFonts w:ascii="Arial" w:hAnsi="Arial" w:cs="Arial"/>
          <w:sz w:val="20"/>
          <w:szCs w:val="20"/>
        </w:rPr>
      </w:pPr>
      <w:r w:rsidRPr="0028645A">
        <w:rPr>
          <w:rFonts w:ascii="Arial" w:hAnsi="Arial" w:cs="Arial"/>
          <w:sz w:val="20"/>
          <w:szCs w:val="20"/>
        </w:rPr>
        <w:t>Amplitudes of the measured pulsations, which reached a maximum value of 0.65 bars at full engine load, decline with decreasing load due to lower values of in-cylinder pressure at the moment of the exhaust valve opening.</w:t>
      </w:r>
    </w:p>
    <w:p w:rsidR="0028645A" w:rsidRPr="0028645A" w:rsidRDefault="0028645A" w:rsidP="0028645A">
      <w:pPr>
        <w:pStyle w:val="ListParagraph"/>
        <w:numPr>
          <w:ilvl w:val="0"/>
          <w:numId w:val="8"/>
        </w:numPr>
        <w:ind w:left="714" w:hanging="357"/>
        <w:rPr>
          <w:rFonts w:ascii="Arial" w:hAnsi="Arial" w:cs="Arial"/>
          <w:sz w:val="20"/>
          <w:szCs w:val="20"/>
        </w:rPr>
      </w:pPr>
      <w:r w:rsidRPr="0028645A">
        <w:rPr>
          <w:rFonts w:ascii="Arial" w:hAnsi="Arial" w:cs="Arial"/>
          <w:sz w:val="20"/>
          <w:szCs w:val="20"/>
        </w:rPr>
        <w:t>The signals from the piezoelectric pressure transducers have to be amplified and converted into voltage output, and then interpreted into real physical values (Pa or bar), which implies the existence of a complex chain of electronic equipment that will perform all of these conversions.</w:t>
      </w:r>
    </w:p>
    <w:p w:rsidR="0028645A" w:rsidRPr="0028645A" w:rsidRDefault="0028645A" w:rsidP="0028645A">
      <w:pPr>
        <w:pStyle w:val="ListParagraph"/>
        <w:numPr>
          <w:ilvl w:val="0"/>
          <w:numId w:val="8"/>
        </w:numPr>
        <w:ind w:left="714" w:hanging="357"/>
        <w:rPr>
          <w:rFonts w:ascii="Arial" w:hAnsi="Arial" w:cs="Arial"/>
          <w:sz w:val="20"/>
          <w:szCs w:val="20"/>
        </w:rPr>
      </w:pPr>
      <w:r w:rsidRPr="0028645A">
        <w:rPr>
          <w:rFonts w:ascii="Arial" w:hAnsi="Arial" w:cs="Arial"/>
          <w:sz w:val="20"/>
          <w:szCs w:val="20"/>
        </w:rPr>
        <w:t>It is reasonable to expect a limited operating life of the embedded piezoelectric transducers in the conditions of long-term aggressive action of exhaust gases with high energy levels, regarding temperature and pressure.</w:t>
      </w:r>
    </w:p>
    <w:p w:rsidR="0028645A" w:rsidRPr="0028645A" w:rsidRDefault="0028645A" w:rsidP="0028645A">
      <w:pPr>
        <w:pStyle w:val="ListParagraph"/>
        <w:numPr>
          <w:ilvl w:val="0"/>
          <w:numId w:val="8"/>
        </w:numPr>
        <w:ind w:left="714" w:hanging="357"/>
        <w:rPr>
          <w:rFonts w:ascii="Arial" w:hAnsi="Arial" w:cs="Arial"/>
          <w:sz w:val="20"/>
          <w:szCs w:val="20"/>
        </w:rPr>
      </w:pPr>
      <w:r w:rsidRPr="0028645A">
        <w:rPr>
          <w:rFonts w:ascii="Arial" w:hAnsi="Arial" w:cs="Arial"/>
          <w:sz w:val="20"/>
          <w:szCs w:val="20"/>
        </w:rPr>
        <w:t>However, according to this method, the working conditions of the piezoelectric transducer are much more favorable than the conditions in the combustion chambers.</w:t>
      </w:r>
    </w:p>
    <w:p w:rsidR="0028645A" w:rsidRPr="0028645A" w:rsidRDefault="0028645A" w:rsidP="0028645A">
      <w:pPr>
        <w:pStyle w:val="ListParagraph"/>
        <w:numPr>
          <w:ilvl w:val="0"/>
          <w:numId w:val="8"/>
        </w:numPr>
        <w:ind w:left="714" w:hanging="357"/>
        <w:rPr>
          <w:rFonts w:ascii="Arial" w:hAnsi="Arial" w:cs="Arial"/>
          <w:sz w:val="20"/>
          <w:szCs w:val="20"/>
        </w:rPr>
      </w:pPr>
      <w:r w:rsidRPr="0028645A">
        <w:rPr>
          <w:rFonts w:ascii="Arial" w:hAnsi="Arial" w:cs="Arial"/>
          <w:sz w:val="20"/>
          <w:szCs w:val="20"/>
        </w:rPr>
        <w:t>The advantage of this method for diagnostic purposes of working cycles, in relation to the direct indication of each cylinder, is in a far smaller number of used sensors.</w:t>
      </w:r>
    </w:p>
    <w:p w:rsidR="0028645A" w:rsidRPr="0028645A" w:rsidRDefault="0028645A" w:rsidP="0028645A">
      <w:pPr>
        <w:ind w:firstLine="709"/>
        <w:jc w:val="both"/>
        <w:rPr>
          <w:rFonts w:ascii="Arial" w:hAnsi="Arial" w:cs="Arial"/>
          <w:sz w:val="20"/>
          <w:szCs w:val="20"/>
        </w:rPr>
      </w:pPr>
      <w:r w:rsidRPr="0028645A">
        <w:rPr>
          <w:rFonts w:ascii="Arial" w:hAnsi="Arial" w:cs="Arial"/>
          <w:sz w:val="20"/>
          <w:szCs w:val="20"/>
        </w:rPr>
        <w:lastRenderedPageBreak/>
        <w:t>The above-mentioned limitations and technical problems to be solved clearly illustrate why the crankshaft speed variation analysis is the most widely studied method of improving engine diagnostics [8-15].</w:t>
      </w:r>
    </w:p>
    <w:p w:rsidR="0028645A" w:rsidRPr="0028645A" w:rsidRDefault="0028645A" w:rsidP="0028645A">
      <w:pPr>
        <w:ind w:firstLine="720"/>
        <w:jc w:val="both"/>
        <w:rPr>
          <w:rFonts w:ascii="Arial" w:hAnsi="Arial" w:cs="Arial"/>
          <w:sz w:val="20"/>
          <w:szCs w:val="20"/>
        </w:rPr>
      </w:pPr>
      <w:r w:rsidRPr="0028645A">
        <w:rPr>
          <w:rFonts w:ascii="Arial" w:hAnsi="Arial" w:cs="Arial"/>
          <w:sz w:val="20"/>
          <w:szCs w:val="20"/>
        </w:rPr>
        <w:t>Finally, once again a parameter should be pointed out, which monitoring could indicate irregular engine operation, or misfire in some engine cylinder, very simple and quite effective. The mentioned parameter is the mean temperature of exhaust gases (Figure 19).</w:t>
      </w:r>
    </w:p>
    <w:p w:rsidR="0028645A" w:rsidRPr="0028645A" w:rsidRDefault="0028645A" w:rsidP="0028645A">
      <w:pPr>
        <w:ind w:firstLine="709"/>
        <w:jc w:val="both"/>
        <w:rPr>
          <w:rFonts w:ascii="Arial" w:hAnsi="Arial" w:cs="Arial"/>
          <w:sz w:val="20"/>
          <w:szCs w:val="20"/>
        </w:rPr>
      </w:pPr>
      <w:r w:rsidRPr="0028645A">
        <w:rPr>
          <w:rFonts w:ascii="Arial" w:hAnsi="Arial" w:cs="Arial"/>
          <w:sz w:val="20"/>
          <w:szCs w:val="20"/>
        </w:rPr>
        <w:t>Figure 19 shows clearly the decline in mean exhaust gas temperatures in the exhaust manifold on the side of the engine that contained a defective cylinder.</w:t>
      </w:r>
    </w:p>
    <w:p w:rsidR="0028645A" w:rsidRPr="004B49C4" w:rsidRDefault="00C81576" w:rsidP="00991EF8">
      <w:pPr>
        <w:spacing w:before="120"/>
        <w:jc w:val="center"/>
      </w:pPr>
      <w:r w:rsidRPr="00C81576">
        <w:rPr>
          <w:noProof/>
          <w:lang w:val="en-US"/>
        </w:rPr>
        <w:pict>
          <v:shape id="Picture 29" o:spid="_x0000_i1057" type="#_x0000_t75" alt="figure 19.jpg" style="width:225pt;height:175pt;visibility:visible;mso-wrap-style:square">
            <v:imagedata r:id="rId36" o:title="figure 19"/>
          </v:shape>
        </w:pict>
      </w:r>
    </w:p>
    <w:p w:rsidR="0028645A" w:rsidRPr="0028645A" w:rsidRDefault="0028645A" w:rsidP="0028645A">
      <w:pPr>
        <w:spacing w:before="120" w:after="240"/>
        <w:ind w:left="238"/>
        <w:jc w:val="center"/>
        <w:rPr>
          <w:rFonts w:ascii="Arial" w:hAnsi="Arial" w:cs="Arial"/>
          <w:sz w:val="20"/>
          <w:szCs w:val="20"/>
        </w:rPr>
      </w:pPr>
      <w:r w:rsidRPr="0028645A">
        <w:rPr>
          <w:rFonts w:ascii="Arial" w:hAnsi="Arial" w:cs="Arial"/>
          <w:sz w:val="20"/>
          <w:szCs w:val="20"/>
        </w:rPr>
        <w:t>Figure 19: Mean temperatures of exhaust gases in the right exhaust manifold (</w:t>
      </w:r>
      <w:proofErr w:type="spellStart"/>
      <w:r w:rsidRPr="005428AF">
        <w:rPr>
          <w:rFonts w:ascii="Arial" w:hAnsi="Arial" w:cs="Arial"/>
          <w:sz w:val="20"/>
          <w:szCs w:val="20"/>
        </w:rPr>
        <w:t>t</w:t>
      </w:r>
      <w:r w:rsidRPr="005428AF">
        <w:rPr>
          <w:rFonts w:ascii="Arial" w:hAnsi="Arial" w:cs="Arial"/>
          <w:sz w:val="20"/>
          <w:szCs w:val="20"/>
          <w:vertAlign w:val="subscript"/>
        </w:rPr>
        <w:t>egR</w:t>
      </w:r>
      <w:proofErr w:type="spellEnd"/>
      <w:r w:rsidRPr="0028645A">
        <w:rPr>
          <w:rFonts w:ascii="Arial" w:hAnsi="Arial" w:cs="Arial"/>
          <w:sz w:val="20"/>
          <w:szCs w:val="20"/>
        </w:rPr>
        <w:t>) and left exhaust manifold (</w:t>
      </w:r>
      <w:proofErr w:type="spellStart"/>
      <w:r w:rsidRPr="005428AF">
        <w:rPr>
          <w:rFonts w:ascii="Arial" w:hAnsi="Arial" w:cs="Arial"/>
          <w:sz w:val="20"/>
          <w:szCs w:val="20"/>
        </w:rPr>
        <w:t>t</w:t>
      </w:r>
      <w:r w:rsidRPr="005428AF">
        <w:rPr>
          <w:rFonts w:ascii="Arial" w:hAnsi="Arial" w:cs="Arial"/>
          <w:sz w:val="20"/>
          <w:szCs w:val="20"/>
          <w:vertAlign w:val="subscript"/>
        </w:rPr>
        <w:t>egL</w:t>
      </w:r>
      <w:proofErr w:type="spellEnd"/>
      <w:r w:rsidRPr="0028645A">
        <w:rPr>
          <w:rFonts w:ascii="Arial" w:hAnsi="Arial" w:cs="Arial"/>
          <w:sz w:val="20"/>
          <w:szCs w:val="20"/>
        </w:rPr>
        <w:t>)</w:t>
      </w:r>
    </w:p>
    <w:p w:rsidR="00CB1960" w:rsidRDefault="00EA2EEF" w:rsidP="00C67096">
      <w:pPr>
        <w:pStyle w:val="podnaslov"/>
        <w:spacing w:before="0"/>
        <w:ind w:left="908" w:hanging="454"/>
      </w:pPr>
      <w:r>
        <w:t>CONCLUSION</w:t>
      </w:r>
    </w:p>
    <w:p w:rsidR="00C67096" w:rsidRPr="00C67096" w:rsidRDefault="00C67096" w:rsidP="00C67096">
      <w:pPr>
        <w:ind w:firstLine="720"/>
        <w:jc w:val="both"/>
        <w:rPr>
          <w:rFonts w:ascii="Arial" w:hAnsi="Arial" w:cs="Arial"/>
          <w:sz w:val="20"/>
          <w:szCs w:val="20"/>
        </w:rPr>
      </w:pPr>
      <w:r w:rsidRPr="00C67096">
        <w:rPr>
          <w:rFonts w:ascii="Arial" w:hAnsi="Arial" w:cs="Arial"/>
          <w:sz w:val="20"/>
          <w:szCs w:val="20"/>
        </w:rPr>
        <w:t>This paper presents the method of misfire detection in the cylinders of the OM403 diesel engine by exhaust gas pressure and means temperature measurement in the exhaust manifolds. Monitoring exhaust gas pressure changes has proven to be a powerful and relatively simple tool for the identification of misfiring cylinders. Study results lead to the conclusion that the described procedure has no limitation regarding engine speed and load. Mean exhaust gas temperature in the exhaust manifold on the side of the engine that contained a defective cylinder declined meanly by 10%.This means that the method based on measuring mean exhaust gas temperatures in the exhaust manifolds could be a reliable procedure for misfire determination. The advantage of this method is that the measurement of temperature is easier to implement, both in laboratory and in exploitation conditions of the engine.</w:t>
      </w:r>
    </w:p>
    <w:p w:rsidR="00CB1960" w:rsidRDefault="00C67096" w:rsidP="005C0275">
      <w:pPr>
        <w:ind w:firstLine="720"/>
        <w:jc w:val="both"/>
      </w:pPr>
      <w:r w:rsidRPr="00C67096">
        <w:rPr>
          <w:rFonts w:ascii="Arial" w:hAnsi="Arial" w:cs="Arial"/>
          <w:sz w:val="20"/>
          <w:szCs w:val="20"/>
        </w:rPr>
        <w:t>Further research could go in the direction of attempting to establish a functional dependence between the change in pressure in some cylinders and pressure changes in the exhaust manifolds. If it would be proven that the slight in-cylinder pressure changes, at the end of the expansion stroke, have dominant influence on the values of the pressure peaks in the exhaust manifolds, this would mean that the level of contribution of individual cylinders to the total torque of the engine could be estimated.</w:t>
      </w:r>
    </w:p>
    <w:p w:rsidR="00CB1960" w:rsidRDefault="00DE4D0B" w:rsidP="0077537C">
      <w:pPr>
        <w:pStyle w:val="LITERATURA0"/>
        <w:spacing w:before="360"/>
      </w:pPr>
      <w:r>
        <w:lastRenderedPageBreak/>
        <w:t>REFERENCES</w:t>
      </w:r>
    </w:p>
    <w:p w:rsidR="00C67096" w:rsidRPr="00C67096" w:rsidRDefault="00C67096" w:rsidP="00C67096">
      <w:pPr>
        <w:numPr>
          <w:ilvl w:val="0"/>
          <w:numId w:val="9"/>
        </w:numPr>
        <w:ind w:left="567" w:hanging="567"/>
        <w:jc w:val="both"/>
        <w:rPr>
          <w:rFonts w:ascii="Arial" w:hAnsi="Arial" w:cs="Arial"/>
          <w:sz w:val="20"/>
          <w:szCs w:val="20"/>
        </w:rPr>
      </w:pPr>
      <w:proofErr w:type="spellStart"/>
      <w:r w:rsidRPr="00C67096">
        <w:rPr>
          <w:rFonts w:ascii="Arial" w:hAnsi="Arial" w:cs="Arial"/>
          <w:sz w:val="20"/>
          <w:szCs w:val="20"/>
        </w:rPr>
        <w:t>Jankov</w:t>
      </w:r>
      <w:proofErr w:type="spellEnd"/>
      <w:r>
        <w:rPr>
          <w:rFonts w:ascii="Arial" w:hAnsi="Arial" w:cs="Arial"/>
          <w:sz w:val="20"/>
          <w:szCs w:val="20"/>
        </w:rPr>
        <w:t xml:space="preserve"> </w:t>
      </w:r>
      <w:r w:rsidRPr="00C67096">
        <w:rPr>
          <w:rFonts w:ascii="Arial" w:hAnsi="Arial" w:cs="Arial"/>
          <w:sz w:val="20"/>
          <w:szCs w:val="20"/>
        </w:rPr>
        <w:t>R.</w:t>
      </w:r>
      <w:r>
        <w:rPr>
          <w:rFonts w:ascii="Arial" w:hAnsi="Arial" w:cs="Arial"/>
          <w:sz w:val="20"/>
          <w:szCs w:val="20"/>
        </w:rPr>
        <w:t xml:space="preserve"> (</w:t>
      </w:r>
      <w:r w:rsidRPr="00C67096">
        <w:rPr>
          <w:rFonts w:ascii="Arial" w:hAnsi="Arial" w:cs="Arial"/>
          <w:sz w:val="20"/>
          <w:szCs w:val="20"/>
        </w:rPr>
        <w:t>1984</w:t>
      </w:r>
      <w:r>
        <w:rPr>
          <w:rFonts w:ascii="Arial" w:hAnsi="Arial" w:cs="Arial"/>
          <w:sz w:val="20"/>
          <w:szCs w:val="20"/>
        </w:rPr>
        <w:t>)</w:t>
      </w:r>
      <w:r w:rsidR="00FB5FFC">
        <w:rPr>
          <w:rFonts w:ascii="Arial" w:hAnsi="Arial" w:cs="Arial"/>
          <w:sz w:val="20"/>
          <w:szCs w:val="20"/>
        </w:rPr>
        <w:t>.</w:t>
      </w:r>
      <w:r w:rsidRPr="00C67096">
        <w:rPr>
          <w:rFonts w:ascii="Arial" w:hAnsi="Arial" w:cs="Arial"/>
          <w:sz w:val="20"/>
          <w:szCs w:val="20"/>
        </w:rPr>
        <w:t xml:space="preserve"> Mathematical </w:t>
      </w:r>
      <w:proofErr w:type="spellStart"/>
      <w:r w:rsidRPr="00C67096">
        <w:rPr>
          <w:rFonts w:ascii="Arial" w:hAnsi="Arial" w:cs="Arial"/>
          <w:sz w:val="20"/>
          <w:szCs w:val="20"/>
        </w:rPr>
        <w:t>modeling</w:t>
      </w:r>
      <w:proofErr w:type="spellEnd"/>
      <w:r w:rsidRPr="00C67096">
        <w:rPr>
          <w:rFonts w:ascii="Arial" w:hAnsi="Arial" w:cs="Arial"/>
          <w:sz w:val="20"/>
          <w:szCs w:val="20"/>
        </w:rPr>
        <w:t xml:space="preserve"> of current-dynamic processes and operating characteristics of diesel engines, quasi-stationary models</w:t>
      </w:r>
      <w:r w:rsidR="00FB5FFC">
        <w:rPr>
          <w:rFonts w:ascii="Arial" w:hAnsi="Arial" w:cs="Arial"/>
          <w:sz w:val="20"/>
          <w:szCs w:val="20"/>
        </w:rPr>
        <w:t>.</w:t>
      </w:r>
      <w:r w:rsidRPr="00C67096">
        <w:rPr>
          <w:rFonts w:ascii="Arial" w:hAnsi="Arial" w:cs="Arial"/>
          <w:sz w:val="20"/>
          <w:szCs w:val="20"/>
        </w:rPr>
        <w:t xml:space="preserve"> </w:t>
      </w:r>
      <w:r w:rsidR="00FB5FFC">
        <w:rPr>
          <w:rFonts w:ascii="Arial" w:hAnsi="Arial" w:cs="Arial"/>
          <w:sz w:val="20"/>
          <w:szCs w:val="20"/>
        </w:rPr>
        <w:t>P</w:t>
      </w:r>
      <w:r w:rsidRPr="00C67096">
        <w:rPr>
          <w:rFonts w:ascii="Arial" w:hAnsi="Arial" w:cs="Arial"/>
          <w:sz w:val="20"/>
          <w:szCs w:val="20"/>
        </w:rPr>
        <w:t>art I, basically</w:t>
      </w:r>
      <w:r w:rsidR="00FB5FFC">
        <w:rPr>
          <w:rFonts w:ascii="Arial" w:hAnsi="Arial" w:cs="Arial"/>
          <w:sz w:val="20"/>
          <w:szCs w:val="20"/>
        </w:rPr>
        <w:t>.</w:t>
      </w:r>
      <w:r w:rsidRPr="00C67096">
        <w:rPr>
          <w:rFonts w:ascii="Arial" w:hAnsi="Arial" w:cs="Arial"/>
          <w:sz w:val="20"/>
          <w:szCs w:val="20"/>
        </w:rPr>
        <w:t xml:space="preserve"> Scientific Book, Belgrade.</w:t>
      </w:r>
    </w:p>
    <w:p w:rsidR="00C67096" w:rsidRPr="00C67096" w:rsidRDefault="00C67096" w:rsidP="00C67096">
      <w:pPr>
        <w:numPr>
          <w:ilvl w:val="0"/>
          <w:numId w:val="9"/>
        </w:numPr>
        <w:ind w:left="567" w:hanging="567"/>
        <w:jc w:val="both"/>
        <w:rPr>
          <w:rFonts w:ascii="Arial" w:hAnsi="Arial" w:cs="Arial"/>
          <w:sz w:val="20"/>
          <w:szCs w:val="20"/>
        </w:rPr>
      </w:pPr>
      <w:proofErr w:type="spellStart"/>
      <w:r w:rsidRPr="00C67096">
        <w:rPr>
          <w:rFonts w:ascii="Arial" w:hAnsi="Arial" w:cs="Arial"/>
          <w:sz w:val="20"/>
          <w:szCs w:val="20"/>
        </w:rPr>
        <w:t>Hohenberg</w:t>
      </w:r>
      <w:proofErr w:type="spellEnd"/>
      <w:r w:rsidR="00FB5FFC">
        <w:rPr>
          <w:rFonts w:ascii="Arial" w:hAnsi="Arial" w:cs="Arial"/>
          <w:sz w:val="20"/>
          <w:szCs w:val="20"/>
        </w:rPr>
        <w:t xml:space="preserve"> </w:t>
      </w:r>
      <w:r w:rsidR="00FB5FFC" w:rsidRPr="00C67096">
        <w:rPr>
          <w:rFonts w:ascii="Arial" w:hAnsi="Arial" w:cs="Arial"/>
          <w:sz w:val="20"/>
          <w:szCs w:val="20"/>
        </w:rPr>
        <w:t>G.</w:t>
      </w:r>
      <w:r w:rsidR="00FB5FFC">
        <w:rPr>
          <w:rFonts w:ascii="Arial" w:hAnsi="Arial" w:cs="Arial"/>
          <w:sz w:val="20"/>
          <w:szCs w:val="20"/>
        </w:rPr>
        <w:t xml:space="preserve"> (1976).</w:t>
      </w:r>
      <w:r w:rsidRPr="00C67096">
        <w:rPr>
          <w:rFonts w:ascii="Arial" w:hAnsi="Arial" w:cs="Arial"/>
          <w:sz w:val="20"/>
          <w:szCs w:val="20"/>
        </w:rPr>
        <w:t xml:space="preserve"> Definition und </w:t>
      </w:r>
      <w:proofErr w:type="spellStart"/>
      <w:r w:rsidRPr="00C67096">
        <w:rPr>
          <w:rFonts w:ascii="Arial" w:hAnsi="Arial" w:cs="Arial"/>
          <w:sz w:val="20"/>
          <w:szCs w:val="20"/>
        </w:rPr>
        <w:t>Eigenschaften</w:t>
      </w:r>
      <w:proofErr w:type="spellEnd"/>
      <w:r w:rsidRPr="00C67096">
        <w:rPr>
          <w:rFonts w:ascii="Arial" w:hAnsi="Arial" w:cs="Arial"/>
          <w:sz w:val="20"/>
          <w:szCs w:val="20"/>
        </w:rPr>
        <w:t xml:space="preserve"> des </w:t>
      </w:r>
      <w:proofErr w:type="spellStart"/>
      <w:r w:rsidRPr="00C67096">
        <w:rPr>
          <w:rFonts w:ascii="Arial" w:hAnsi="Arial" w:cs="Arial"/>
          <w:sz w:val="20"/>
          <w:szCs w:val="20"/>
        </w:rPr>
        <w:t>thermodymischen</w:t>
      </w:r>
      <w:proofErr w:type="spellEnd"/>
      <w:r w:rsidRPr="00C67096">
        <w:rPr>
          <w:rFonts w:ascii="Arial" w:hAnsi="Arial" w:cs="Arial"/>
          <w:sz w:val="20"/>
          <w:szCs w:val="20"/>
        </w:rPr>
        <w:t xml:space="preserve"> </w:t>
      </w:r>
      <w:proofErr w:type="spellStart"/>
      <w:r w:rsidRPr="00C67096">
        <w:rPr>
          <w:rFonts w:ascii="Arial" w:hAnsi="Arial" w:cs="Arial"/>
          <w:sz w:val="20"/>
          <w:szCs w:val="20"/>
        </w:rPr>
        <w:t>Verlust-winkels</w:t>
      </w:r>
      <w:proofErr w:type="spellEnd"/>
      <w:r w:rsidRPr="00C67096">
        <w:rPr>
          <w:rFonts w:ascii="Arial" w:hAnsi="Arial" w:cs="Arial"/>
          <w:sz w:val="20"/>
          <w:szCs w:val="20"/>
        </w:rPr>
        <w:t xml:space="preserve"> von </w:t>
      </w:r>
      <w:proofErr w:type="spellStart"/>
      <w:r w:rsidRPr="00C67096">
        <w:rPr>
          <w:rFonts w:ascii="Arial" w:hAnsi="Arial" w:cs="Arial"/>
          <w:sz w:val="20"/>
          <w:szCs w:val="20"/>
        </w:rPr>
        <w:t>Kolbenmachinen</w:t>
      </w:r>
      <w:proofErr w:type="spellEnd"/>
      <w:r w:rsidR="00FB5FFC">
        <w:rPr>
          <w:rFonts w:ascii="Arial" w:hAnsi="Arial" w:cs="Arial"/>
          <w:sz w:val="20"/>
          <w:szCs w:val="20"/>
        </w:rPr>
        <w:t>.</w:t>
      </w:r>
      <w:r w:rsidRPr="00C67096">
        <w:rPr>
          <w:rFonts w:ascii="Arial" w:hAnsi="Arial" w:cs="Arial"/>
          <w:sz w:val="20"/>
          <w:szCs w:val="20"/>
        </w:rPr>
        <w:t xml:space="preserve"> </w:t>
      </w:r>
      <w:proofErr w:type="spellStart"/>
      <w:r w:rsidRPr="00C67096">
        <w:rPr>
          <w:rFonts w:ascii="Arial" w:hAnsi="Arial" w:cs="Arial"/>
          <w:sz w:val="20"/>
          <w:szCs w:val="20"/>
        </w:rPr>
        <w:t>Automobil–Industrie</w:t>
      </w:r>
      <w:proofErr w:type="spellEnd"/>
      <w:r w:rsidRPr="00C67096">
        <w:rPr>
          <w:rFonts w:ascii="Arial" w:hAnsi="Arial" w:cs="Arial"/>
          <w:sz w:val="20"/>
          <w:szCs w:val="20"/>
        </w:rPr>
        <w:t xml:space="preserve"> 4/1976, pp. 15-21.</w:t>
      </w:r>
    </w:p>
    <w:p w:rsidR="00C67096" w:rsidRPr="00C67096" w:rsidRDefault="00C67096" w:rsidP="00C67096">
      <w:pPr>
        <w:numPr>
          <w:ilvl w:val="0"/>
          <w:numId w:val="9"/>
        </w:numPr>
        <w:ind w:left="567" w:hanging="567"/>
        <w:jc w:val="both"/>
        <w:rPr>
          <w:rFonts w:ascii="Arial" w:hAnsi="Arial" w:cs="Arial"/>
          <w:sz w:val="20"/>
          <w:szCs w:val="20"/>
        </w:rPr>
      </w:pPr>
      <w:proofErr w:type="spellStart"/>
      <w:r w:rsidRPr="00C67096">
        <w:rPr>
          <w:rFonts w:ascii="Arial" w:hAnsi="Arial" w:cs="Arial"/>
          <w:sz w:val="20"/>
          <w:szCs w:val="20"/>
        </w:rPr>
        <w:t>Tazerout</w:t>
      </w:r>
      <w:proofErr w:type="spellEnd"/>
      <w:r w:rsidR="00FB5FFC">
        <w:rPr>
          <w:rFonts w:ascii="Arial" w:hAnsi="Arial" w:cs="Arial"/>
          <w:sz w:val="20"/>
          <w:szCs w:val="20"/>
        </w:rPr>
        <w:t xml:space="preserve"> </w:t>
      </w:r>
      <w:r w:rsidR="00FB5FFC" w:rsidRPr="00C67096">
        <w:rPr>
          <w:rFonts w:ascii="Arial" w:hAnsi="Arial" w:cs="Arial"/>
          <w:sz w:val="20"/>
          <w:szCs w:val="20"/>
        </w:rPr>
        <w:t>M.</w:t>
      </w:r>
      <w:r w:rsidRPr="00C67096">
        <w:rPr>
          <w:rFonts w:ascii="Arial" w:hAnsi="Arial" w:cs="Arial"/>
          <w:sz w:val="20"/>
          <w:szCs w:val="20"/>
        </w:rPr>
        <w:t xml:space="preserve">, Le </w:t>
      </w:r>
      <w:proofErr w:type="spellStart"/>
      <w:r w:rsidRPr="00C67096">
        <w:rPr>
          <w:rFonts w:ascii="Arial" w:hAnsi="Arial" w:cs="Arial"/>
          <w:sz w:val="20"/>
          <w:szCs w:val="20"/>
        </w:rPr>
        <w:t>Corre</w:t>
      </w:r>
      <w:proofErr w:type="spellEnd"/>
      <w:r w:rsidR="00FB5FFC">
        <w:rPr>
          <w:rFonts w:ascii="Arial" w:hAnsi="Arial" w:cs="Arial"/>
          <w:sz w:val="20"/>
          <w:szCs w:val="20"/>
        </w:rPr>
        <w:t xml:space="preserve"> </w:t>
      </w:r>
      <w:r w:rsidR="00FB5FFC" w:rsidRPr="00C67096">
        <w:rPr>
          <w:rFonts w:ascii="Arial" w:hAnsi="Arial" w:cs="Arial"/>
          <w:sz w:val="20"/>
          <w:szCs w:val="20"/>
        </w:rPr>
        <w:t>O.</w:t>
      </w:r>
      <w:r w:rsidRPr="00C67096">
        <w:rPr>
          <w:rFonts w:ascii="Arial" w:hAnsi="Arial" w:cs="Arial"/>
          <w:sz w:val="20"/>
          <w:szCs w:val="20"/>
        </w:rPr>
        <w:t>, and Rousseau</w:t>
      </w:r>
      <w:r w:rsidR="00FB5FFC">
        <w:rPr>
          <w:rFonts w:ascii="Arial" w:hAnsi="Arial" w:cs="Arial"/>
          <w:sz w:val="20"/>
          <w:szCs w:val="20"/>
        </w:rPr>
        <w:t xml:space="preserve"> </w:t>
      </w:r>
      <w:r w:rsidR="00FB5FFC" w:rsidRPr="00C67096">
        <w:rPr>
          <w:rFonts w:ascii="Arial" w:hAnsi="Arial" w:cs="Arial"/>
          <w:sz w:val="20"/>
          <w:szCs w:val="20"/>
        </w:rPr>
        <w:t>S.</w:t>
      </w:r>
      <w:r w:rsidR="00FB5FFC">
        <w:rPr>
          <w:rFonts w:ascii="Arial" w:hAnsi="Arial" w:cs="Arial"/>
          <w:sz w:val="20"/>
          <w:szCs w:val="20"/>
        </w:rPr>
        <w:t xml:space="preserve"> (May 1999).</w:t>
      </w:r>
      <w:r w:rsidRPr="00C67096">
        <w:rPr>
          <w:rFonts w:ascii="Arial" w:hAnsi="Arial" w:cs="Arial"/>
          <w:sz w:val="20"/>
          <w:szCs w:val="20"/>
        </w:rPr>
        <w:t xml:space="preserve"> TDC determination in IC engines based on the thermodynamic analysis of the Temperature–Entropy diagram</w:t>
      </w:r>
      <w:r w:rsidR="00FB5FFC">
        <w:rPr>
          <w:rFonts w:ascii="Arial" w:hAnsi="Arial" w:cs="Arial"/>
          <w:sz w:val="20"/>
          <w:szCs w:val="20"/>
        </w:rPr>
        <w:t>.</w:t>
      </w:r>
      <w:r w:rsidRPr="00C67096">
        <w:rPr>
          <w:rFonts w:ascii="Arial" w:hAnsi="Arial" w:cs="Arial"/>
          <w:sz w:val="20"/>
          <w:szCs w:val="20"/>
        </w:rPr>
        <w:t xml:space="preserve"> SAE International, </w:t>
      </w:r>
      <w:proofErr w:type="spellStart"/>
      <w:r w:rsidRPr="00C67096">
        <w:rPr>
          <w:rFonts w:ascii="Arial" w:hAnsi="Arial" w:cs="Arial"/>
          <w:sz w:val="20"/>
          <w:szCs w:val="20"/>
        </w:rPr>
        <w:t>Warrendal</w:t>
      </w:r>
      <w:r w:rsidR="00FB5FFC">
        <w:rPr>
          <w:rFonts w:ascii="Arial" w:hAnsi="Arial" w:cs="Arial"/>
          <w:sz w:val="20"/>
          <w:szCs w:val="20"/>
        </w:rPr>
        <w:t>e</w:t>
      </w:r>
      <w:proofErr w:type="spellEnd"/>
      <w:r w:rsidR="00FB5FFC">
        <w:rPr>
          <w:rFonts w:ascii="Arial" w:hAnsi="Arial" w:cs="Arial"/>
          <w:sz w:val="20"/>
          <w:szCs w:val="20"/>
        </w:rPr>
        <w:t>, PA, Tech. Rep. 1999–01–1489.</w:t>
      </w:r>
    </w:p>
    <w:p w:rsidR="00C67096" w:rsidRPr="00C67096" w:rsidRDefault="00C67096" w:rsidP="00C67096">
      <w:pPr>
        <w:numPr>
          <w:ilvl w:val="0"/>
          <w:numId w:val="9"/>
        </w:numPr>
        <w:ind w:left="567" w:hanging="567"/>
        <w:jc w:val="both"/>
        <w:rPr>
          <w:rFonts w:ascii="Arial" w:hAnsi="Arial" w:cs="Arial"/>
          <w:sz w:val="20"/>
          <w:szCs w:val="20"/>
        </w:rPr>
      </w:pPr>
      <w:proofErr w:type="spellStart"/>
      <w:r w:rsidRPr="00C67096">
        <w:rPr>
          <w:rFonts w:ascii="Arial" w:hAnsi="Arial" w:cs="Arial"/>
          <w:sz w:val="20"/>
          <w:szCs w:val="20"/>
        </w:rPr>
        <w:t>Pipitone</w:t>
      </w:r>
      <w:proofErr w:type="spellEnd"/>
      <w:r w:rsidR="00FB5FFC">
        <w:rPr>
          <w:rFonts w:ascii="Arial" w:hAnsi="Arial" w:cs="Arial"/>
          <w:sz w:val="20"/>
          <w:szCs w:val="20"/>
        </w:rPr>
        <w:t xml:space="preserve"> </w:t>
      </w:r>
      <w:r w:rsidR="00FB5FFC" w:rsidRPr="00C67096">
        <w:rPr>
          <w:rFonts w:ascii="Arial" w:hAnsi="Arial" w:cs="Arial"/>
          <w:sz w:val="20"/>
          <w:szCs w:val="20"/>
        </w:rPr>
        <w:t>E.</w:t>
      </w:r>
      <w:r w:rsidRPr="00C67096">
        <w:rPr>
          <w:rFonts w:ascii="Arial" w:hAnsi="Arial" w:cs="Arial"/>
          <w:sz w:val="20"/>
          <w:szCs w:val="20"/>
        </w:rPr>
        <w:t xml:space="preserve">, </w:t>
      </w:r>
      <w:proofErr w:type="spellStart"/>
      <w:r w:rsidRPr="00C67096">
        <w:rPr>
          <w:rFonts w:ascii="Arial" w:hAnsi="Arial" w:cs="Arial"/>
          <w:sz w:val="20"/>
          <w:szCs w:val="20"/>
        </w:rPr>
        <w:t>Beccari</w:t>
      </w:r>
      <w:proofErr w:type="spellEnd"/>
      <w:r w:rsidR="00FB5FFC">
        <w:rPr>
          <w:rFonts w:ascii="Arial" w:hAnsi="Arial" w:cs="Arial"/>
          <w:sz w:val="20"/>
          <w:szCs w:val="20"/>
        </w:rPr>
        <w:t xml:space="preserve"> </w:t>
      </w:r>
      <w:r w:rsidR="00FB5FFC" w:rsidRPr="00C67096">
        <w:rPr>
          <w:rFonts w:ascii="Arial" w:hAnsi="Arial" w:cs="Arial"/>
          <w:sz w:val="20"/>
          <w:szCs w:val="20"/>
        </w:rPr>
        <w:t>A.</w:t>
      </w:r>
      <w:r w:rsidR="00FB5FFC">
        <w:rPr>
          <w:rFonts w:ascii="Arial" w:hAnsi="Arial" w:cs="Arial"/>
          <w:sz w:val="20"/>
          <w:szCs w:val="20"/>
        </w:rPr>
        <w:t xml:space="preserve"> (</w:t>
      </w:r>
      <w:r w:rsidR="00FB5FFC" w:rsidRPr="00C67096">
        <w:rPr>
          <w:rFonts w:ascii="Arial" w:hAnsi="Arial" w:cs="Arial"/>
          <w:sz w:val="20"/>
          <w:szCs w:val="20"/>
        </w:rPr>
        <w:t>Oct. 2010</w:t>
      </w:r>
      <w:r w:rsidR="00FB5FFC">
        <w:rPr>
          <w:rFonts w:ascii="Arial" w:hAnsi="Arial" w:cs="Arial"/>
          <w:sz w:val="20"/>
          <w:szCs w:val="20"/>
        </w:rPr>
        <w:t>).</w:t>
      </w:r>
      <w:r w:rsidRPr="00C67096">
        <w:rPr>
          <w:rFonts w:ascii="Arial" w:hAnsi="Arial" w:cs="Arial"/>
          <w:sz w:val="20"/>
          <w:szCs w:val="20"/>
        </w:rPr>
        <w:t xml:space="preserve"> Determination of TDC in internal combustion engines by a newly developed thermodynamic approach</w:t>
      </w:r>
      <w:r w:rsidR="00FB5FFC">
        <w:rPr>
          <w:rFonts w:ascii="Arial" w:hAnsi="Arial" w:cs="Arial"/>
          <w:sz w:val="20"/>
          <w:szCs w:val="20"/>
        </w:rPr>
        <w:t>.</w:t>
      </w:r>
      <w:r w:rsidRPr="00C67096">
        <w:rPr>
          <w:rFonts w:ascii="Arial" w:hAnsi="Arial" w:cs="Arial"/>
          <w:sz w:val="20"/>
          <w:szCs w:val="20"/>
        </w:rPr>
        <w:t xml:space="preserve"> Applied Thermal Engineering, </w:t>
      </w:r>
      <w:r w:rsidR="00FB5FFC">
        <w:rPr>
          <w:rFonts w:ascii="Arial" w:hAnsi="Arial" w:cs="Arial"/>
          <w:sz w:val="20"/>
          <w:szCs w:val="20"/>
        </w:rPr>
        <w:t>V</w:t>
      </w:r>
      <w:r w:rsidRPr="00C67096">
        <w:rPr>
          <w:rFonts w:ascii="Arial" w:hAnsi="Arial" w:cs="Arial"/>
          <w:sz w:val="20"/>
          <w:szCs w:val="20"/>
        </w:rPr>
        <w:t xml:space="preserve">ol. 30, </w:t>
      </w:r>
      <w:r w:rsidR="00FB5FFC">
        <w:rPr>
          <w:rFonts w:ascii="Arial" w:hAnsi="Arial" w:cs="Arial"/>
          <w:sz w:val="20"/>
          <w:szCs w:val="20"/>
        </w:rPr>
        <w:t>N</w:t>
      </w:r>
      <w:r w:rsidRPr="00C67096">
        <w:rPr>
          <w:rFonts w:ascii="Arial" w:hAnsi="Arial" w:cs="Arial"/>
          <w:sz w:val="20"/>
          <w:szCs w:val="20"/>
        </w:rPr>
        <w:t>o. 14–15, pp. 1914–1926</w:t>
      </w:r>
      <w:proofErr w:type="gramStart"/>
      <w:r w:rsidRPr="00C67096">
        <w:rPr>
          <w:rFonts w:ascii="Arial" w:hAnsi="Arial" w:cs="Arial"/>
          <w:sz w:val="20"/>
          <w:szCs w:val="20"/>
        </w:rPr>
        <w:t>,.</w:t>
      </w:r>
      <w:proofErr w:type="gramEnd"/>
    </w:p>
    <w:p w:rsidR="00C67096" w:rsidRPr="00C67096" w:rsidRDefault="00C67096" w:rsidP="00C67096">
      <w:pPr>
        <w:numPr>
          <w:ilvl w:val="0"/>
          <w:numId w:val="9"/>
        </w:numPr>
        <w:ind w:left="567" w:hanging="567"/>
        <w:jc w:val="both"/>
        <w:rPr>
          <w:rFonts w:ascii="Arial" w:hAnsi="Arial" w:cs="Arial"/>
          <w:sz w:val="20"/>
          <w:szCs w:val="20"/>
        </w:rPr>
      </w:pPr>
      <w:proofErr w:type="spellStart"/>
      <w:r w:rsidRPr="00C67096">
        <w:rPr>
          <w:rFonts w:ascii="Arial" w:hAnsi="Arial" w:cs="Arial"/>
          <w:sz w:val="20"/>
          <w:szCs w:val="20"/>
        </w:rPr>
        <w:t>Hohenberg</w:t>
      </w:r>
      <w:proofErr w:type="spellEnd"/>
      <w:r w:rsidR="00FB5FFC">
        <w:rPr>
          <w:rFonts w:ascii="Arial" w:hAnsi="Arial" w:cs="Arial"/>
          <w:sz w:val="20"/>
          <w:szCs w:val="20"/>
        </w:rPr>
        <w:t xml:space="preserve"> </w:t>
      </w:r>
      <w:r w:rsidR="00FB5FFC" w:rsidRPr="00C67096">
        <w:rPr>
          <w:rFonts w:ascii="Arial" w:hAnsi="Arial" w:cs="Arial"/>
          <w:sz w:val="20"/>
          <w:szCs w:val="20"/>
        </w:rPr>
        <w:t>G.</w:t>
      </w:r>
      <w:r w:rsidRPr="00C67096">
        <w:rPr>
          <w:rFonts w:ascii="Arial" w:hAnsi="Arial" w:cs="Arial"/>
          <w:sz w:val="20"/>
          <w:szCs w:val="20"/>
        </w:rPr>
        <w:t xml:space="preserve">, </w:t>
      </w:r>
      <w:proofErr w:type="spellStart"/>
      <w:r w:rsidRPr="00C67096">
        <w:rPr>
          <w:rFonts w:ascii="Arial" w:hAnsi="Arial" w:cs="Arial"/>
          <w:sz w:val="20"/>
          <w:szCs w:val="20"/>
        </w:rPr>
        <w:t>Killmann</w:t>
      </w:r>
      <w:proofErr w:type="spellEnd"/>
      <w:r w:rsidR="00FB5FFC">
        <w:rPr>
          <w:rFonts w:ascii="Arial" w:hAnsi="Arial" w:cs="Arial"/>
          <w:sz w:val="20"/>
          <w:szCs w:val="20"/>
        </w:rPr>
        <w:t xml:space="preserve"> </w:t>
      </w:r>
      <w:r w:rsidR="00FB5FFC" w:rsidRPr="00C67096">
        <w:rPr>
          <w:rFonts w:ascii="Arial" w:hAnsi="Arial" w:cs="Arial"/>
          <w:sz w:val="20"/>
          <w:szCs w:val="20"/>
        </w:rPr>
        <w:t>I.</w:t>
      </w:r>
      <w:r w:rsidR="00FB5FFC">
        <w:rPr>
          <w:rFonts w:ascii="Arial" w:hAnsi="Arial" w:cs="Arial"/>
          <w:sz w:val="20"/>
          <w:szCs w:val="20"/>
        </w:rPr>
        <w:t xml:space="preserve"> (</w:t>
      </w:r>
      <w:r w:rsidR="00FB5FFC" w:rsidRPr="00C67096">
        <w:rPr>
          <w:rFonts w:ascii="Arial" w:hAnsi="Arial" w:cs="Arial"/>
          <w:sz w:val="20"/>
          <w:szCs w:val="20"/>
        </w:rPr>
        <w:t>1982</w:t>
      </w:r>
      <w:r w:rsidR="00FB5FFC">
        <w:rPr>
          <w:rFonts w:ascii="Arial" w:hAnsi="Arial" w:cs="Arial"/>
          <w:sz w:val="20"/>
          <w:szCs w:val="20"/>
        </w:rPr>
        <w:t>).</w:t>
      </w:r>
      <w:r w:rsidRPr="00C67096">
        <w:rPr>
          <w:rFonts w:ascii="Arial" w:hAnsi="Arial" w:cs="Arial"/>
          <w:sz w:val="20"/>
          <w:szCs w:val="20"/>
        </w:rPr>
        <w:t xml:space="preserve"> Basic </w:t>
      </w:r>
      <w:proofErr w:type="spellStart"/>
      <w:r w:rsidRPr="00C67096">
        <w:rPr>
          <w:rFonts w:ascii="Arial" w:hAnsi="Arial" w:cs="Arial"/>
          <w:sz w:val="20"/>
          <w:szCs w:val="20"/>
        </w:rPr>
        <w:t>findlings</w:t>
      </w:r>
      <w:proofErr w:type="spellEnd"/>
      <w:r w:rsidRPr="00C67096">
        <w:rPr>
          <w:rFonts w:ascii="Arial" w:hAnsi="Arial" w:cs="Arial"/>
          <w:sz w:val="20"/>
          <w:szCs w:val="20"/>
        </w:rPr>
        <w:t xml:space="preserve"> from </w:t>
      </w:r>
      <w:proofErr w:type="spellStart"/>
      <w:r w:rsidRPr="00C67096">
        <w:rPr>
          <w:rFonts w:ascii="Arial" w:hAnsi="Arial" w:cs="Arial"/>
          <w:sz w:val="20"/>
          <w:szCs w:val="20"/>
        </w:rPr>
        <w:t>mesaurement</w:t>
      </w:r>
      <w:proofErr w:type="spellEnd"/>
      <w:r w:rsidRPr="00C67096">
        <w:rPr>
          <w:rFonts w:ascii="Arial" w:hAnsi="Arial" w:cs="Arial"/>
          <w:sz w:val="20"/>
          <w:szCs w:val="20"/>
        </w:rPr>
        <w:t xml:space="preserve"> of the combustion process</w:t>
      </w:r>
      <w:r w:rsidR="00FB5FFC">
        <w:rPr>
          <w:rFonts w:ascii="Arial" w:hAnsi="Arial" w:cs="Arial"/>
          <w:sz w:val="20"/>
          <w:szCs w:val="20"/>
        </w:rPr>
        <w:t>.</w:t>
      </w:r>
      <w:r w:rsidRPr="00C67096">
        <w:rPr>
          <w:rFonts w:ascii="Arial" w:hAnsi="Arial" w:cs="Arial"/>
          <w:sz w:val="20"/>
          <w:szCs w:val="20"/>
        </w:rPr>
        <w:t xml:space="preserve"> XIX FISITA Congress, </w:t>
      </w:r>
      <w:proofErr w:type="spellStart"/>
      <w:r w:rsidRPr="00C67096">
        <w:rPr>
          <w:rFonts w:ascii="Arial" w:hAnsi="Arial" w:cs="Arial"/>
          <w:sz w:val="20"/>
          <w:szCs w:val="20"/>
        </w:rPr>
        <w:t>Melburne</w:t>
      </w:r>
      <w:proofErr w:type="spellEnd"/>
      <w:r w:rsidR="00FB5FFC">
        <w:rPr>
          <w:rFonts w:ascii="Arial" w:hAnsi="Arial" w:cs="Arial"/>
          <w:sz w:val="20"/>
          <w:szCs w:val="20"/>
        </w:rPr>
        <w:t>.</w:t>
      </w:r>
    </w:p>
    <w:p w:rsidR="00C67096" w:rsidRPr="00C67096" w:rsidRDefault="00C67096" w:rsidP="00C67096">
      <w:pPr>
        <w:numPr>
          <w:ilvl w:val="0"/>
          <w:numId w:val="9"/>
        </w:numPr>
        <w:ind w:left="567" w:hanging="567"/>
        <w:jc w:val="both"/>
        <w:rPr>
          <w:rFonts w:ascii="Arial" w:hAnsi="Arial" w:cs="Arial"/>
          <w:sz w:val="20"/>
          <w:szCs w:val="20"/>
        </w:rPr>
      </w:pPr>
      <w:proofErr w:type="spellStart"/>
      <w:r w:rsidRPr="00C67096">
        <w:rPr>
          <w:rFonts w:ascii="Arial" w:hAnsi="Arial" w:cs="Arial"/>
          <w:sz w:val="20"/>
          <w:szCs w:val="20"/>
        </w:rPr>
        <w:t>Cvetić</w:t>
      </w:r>
      <w:proofErr w:type="spellEnd"/>
      <w:r w:rsidRPr="00C67096">
        <w:rPr>
          <w:rFonts w:ascii="Arial" w:hAnsi="Arial" w:cs="Arial"/>
          <w:sz w:val="20"/>
          <w:szCs w:val="20"/>
        </w:rPr>
        <w:t xml:space="preserve"> M. (1990.)</w:t>
      </w:r>
      <w:r w:rsidR="00FB5FFC">
        <w:rPr>
          <w:rFonts w:ascii="Arial" w:hAnsi="Arial" w:cs="Arial"/>
          <w:sz w:val="20"/>
          <w:szCs w:val="20"/>
        </w:rPr>
        <w:t>.</w:t>
      </w:r>
      <w:r w:rsidRPr="00C67096">
        <w:rPr>
          <w:rFonts w:ascii="Arial" w:hAnsi="Arial" w:cs="Arial"/>
          <w:sz w:val="20"/>
          <w:szCs w:val="20"/>
        </w:rPr>
        <w:t xml:space="preserve"> Research of real </w:t>
      </w:r>
      <w:proofErr w:type="spellStart"/>
      <w:r w:rsidRPr="00C67096">
        <w:rPr>
          <w:rFonts w:ascii="Arial" w:hAnsi="Arial" w:cs="Arial"/>
          <w:sz w:val="20"/>
          <w:szCs w:val="20"/>
        </w:rPr>
        <w:t>gaso</w:t>
      </w:r>
      <w:proofErr w:type="spellEnd"/>
      <w:r w:rsidRPr="00C67096">
        <w:rPr>
          <w:rFonts w:ascii="Arial" w:hAnsi="Arial" w:cs="Arial"/>
          <w:sz w:val="20"/>
          <w:szCs w:val="20"/>
        </w:rPr>
        <w:t xml:space="preserve"> thermodynamic parameters coupling diesel engine turbo-compressor</w:t>
      </w:r>
      <w:r w:rsidR="00FB5FFC">
        <w:rPr>
          <w:rFonts w:ascii="Arial" w:hAnsi="Arial" w:cs="Arial"/>
          <w:sz w:val="20"/>
          <w:szCs w:val="20"/>
        </w:rPr>
        <w:t>.</w:t>
      </w:r>
      <w:r w:rsidRPr="00C67096">
        <w:rPr>
          <w:rFonts w:ascii="Arial" w:hAnsi="Arial" w:cs="Arial"/>
          <w:sz w:val="20"/>
          <w:szCs w:val="20"/>
        </w:rPr>
        <w:t xml:space="preserve"> Master's thesis, Belgrade.</w:t>
      </w:r>
    </w:p>
    <w:p w:rsidR="00C67096" w:rsidRPr="00C67096" w:rsidRDefault="00C67096" w:rsidP="00C67096">
      <w:pPr>
        <w:numPr>
          <w:ilvl w:val="0"/>
          <w:numId w:val="9"/>
        </w:numPr>
        <w:ind w:left="567" w:hanging="567"/>
        <w:jc w:val="both"/>
        <w:rPr>
          <w:rFonts w:ascii="Arial" w:hAnsi="Arial" w:cs="Arial"/>
          <w:sz w:val="20"/>
          <w:szCs w:val="20"/>
        </w:rPr>
      </w:pPr>
      <w:r w:rsidRPr="00C67096">
        <w:rPr>
          <w:rFonts w:ascii="Arial" w:hAnsi="Arial" w:cs="Arial"/>
          <w:sz w:val="20"/>
          <w:szCs w:val="20"/>
        </w:rPr>
        <w:t>DIN 70020:1976, Tail 6</w:t>
      </w:r>
      <w:r w:rsidR="005C0275" w:rsidRPr="00C67096">
        <w:rPr>
          <w:rFonts w:ascii="Arial" w:hAnsi="Arial" w:cs="Arial"/>
          <w:sz w:val="20"/>
          <w:szCs w:val="20"/>
        </w:rPr>
        <w:t>–</w:t>
      </w:r>
      <w:r w:rsidRPr="00C67096">
        <w:rPr>
          <w:rFonts w:ascii="Arial" w:hAnsi="Arial" w:cs="Arial"/>
          <w:sz w:val="20"/>
          <w:szCs w:val="20"/>
        </w:rPr>
        <w:t xml:space="preserve">Kraftfahrzeugbau. </w:t>
      </w:r>
      <w:proofErr w:type="spellStart"/>
      <w:r w:rsidRPr="00C67096">
        <w:rPr>
          <w:rFonts w:ascii="Arial" w:hAnsi="Arial" w:cs="Arial"/>
          <w:sz w:val="20"/>
          <w:szCs w:val="20"/>
        </w:rPr>
        <w:t>Leistungen</w:t>
      </w:r>
      <w:proofErr w:type="spellEnd"/>
      <w:r w:rsidRPr="00C67096">
        <w:rPr>
          <w:rFonts w:ascii="Arial" w:hAnsi="Arial" w:cs="Arial"/>
          <w:sz w:val="20"/>
          <w:szCs w:val="20"/>
        </w:rPr>
        <w:t>.</w:t>
      </w:r>
    </w:p>
    <w:p w:rsidR="00C67096" w:rsidRPr="00C67096" w:rsidRDefault="00C67096" w:rsidP="00C67096">
      <w:pPr>
        <w:numPr>
          <w:ilvl w:val="0"/>
          <w:numId w:val="9"/>
        </w:numPr>
        <w:ind w:left="567" w:hanging="567"/>
        <w:jc w:val="both"/>
        <w:rPr>
          <w:rFonts w:ascii="Arial" w:hAnsi="Arial" w:cs="Arial"/>
          <w:sz w:val="20"/>
          <w:szCs w:val="20"/>
        </w:rPr>
      </w:pPr>
      <w:proofErr w:type="spellStart"/>
      <w:r w:rsidRPr="00C67096">
        <w:rPr>
          <w:rFonts w:ascii="Arial" w:hAnsi="Arial" w:cs="Arial"/>
          <w:sz w:val="20"/>
          <w:szCs w:val="20"/>
        </w:rPr>
        <w:t>Bulatović</w:t>
      </w:r>
      <w:proofErr w:type="spellEnd"/>
      <w:r w:rsidR="005C0275" w:rsidRPr="005C0275">
        <w:rPr>
          <w:rFonts w:ascii="Arial" w:hAnsi="Arial" w:cs="Arial"/>
          <w:sz w:val="20"/>
          <w:szCs w:val="20"/>
        </w:rPr>
        <w:t xml:space="preserve"> </w:t>
      </w:r>
      <w:r w:rsidR="005C0275" w:rsidRPr="00C67096">
        <w:rPr>
          <w:rFonts w:ascii="Arial" w:hAnsi="Arial" w:cs="Arial"/>
          <w:sz w:val="20"/>
          <w:szCs w:val="20"/>
        </w:rPr>
        <w:t>Ž. M.</w:t>
      </w:r>
      <w:r w:rsidRPr="00C67096">
        <w:rPr>
          <w:rFonts w:ascii="Arial" w:hAnsi="Arial" w:cs="Arial"/>
          <w:sz w:val="20"/>
          <w:szCs w:val="20"/>
        </w:rPr>
        <w:t xml:space="preserve">, </w:t>
      </w:r>
      <w:proofErr w:type="spellStart"/>
      <w:r w:rsidRPr="00C67096">
        <w:rPr>
          <w:rFonts w:ascii="Arial" w:hAnsi="Arial" w:cs="Arial"/>
          <w:sz w:val="20"/>
          <w:szCs w:val="20"/>
        </w:rPr>
        <w:t>Štavljanin</w:t>
      </w:r>
      <w:proofErr w:type="spellEnd"/>
      <w:r w:rsidR="005C0275" w:rsidRPr="005C0275">
        <w:rPr>
          <w:rFonts w:ascii="Arial" w:hAnsi="Arial" w:cs="Arial"/>
          <w:sz w:val="20"/>
          <w:szCs w:val="20"/>
        </w:rPr>
        <w:t xml:space="preserve"> </w:t>
      </w:r>
      <w:r w:rsidR="005C0275" w:rsidRPr="00C67096">
        <w:rPr>
          <w:rFonts w:ascii="Arial" w:hAnsi="Arial" w:cs="Arial"/>
          <w:sz w:val="20"/>
          <w:szCs w:val="20"/>
        </w:rPr>
        <w:t>M. S.</w:t>
      </w:r>
      <w:r w:rsidRPr="00C67096">
        <w:rPr>
          <w:rFonts w:ascii="Arial" w:hAnsi="Arial" w:cs="Arial"/>
          <w:sz w:val="20"/>
          <w:szCs w:val="20"/>
        </w:rPr>
        <w:t xml:space="preserve">, </w:t>
      </w:r>
      <w:proofErr w:type="spellStart"/>
      <w:r w:rsidRPr="00C67096">
        <w:rPr>
          <w:rFonts w:ascii="Arial" w:hAnsi="Arial" w:cs="Arial"/>
          <w:sz w:val="20"/>
          <w:szCs w:val="20"/>
        </w:rPr>
        <w:t>Tomić</w:t>
      </w:r>
      <w:proofErr w:type="spellEnd"/>
      <w:r w:rsidR="005C0275" w:rsidRPr="005C0275">
        <w:rPr>
          <w:rFonts w:ascii="Arial" w:hAnsi="Arial" w:cs="Arial"/>
          <w:sz w:val="20"/>
          <w:szCs w:val="20"/>
        </w:rPr>
        <w:t xml:space="preserve"> </w:t>
      </w:r>
      <w:r w:rsidR="005C0275" w:rsidRPr="00C67096">
        <w:rPr>
          <w:rFonts w:ascii="Arial" w:hAnsi="Arial" w:cs="Arial"/>
          <w:sz w:val="20"/>
          <w:szCs w:val="20"/>
        </w:rPr>
        <w:t>M. V.</w:t>
      </w:r>
      <w:r w:rsidRPr="00C67096">
        <w:rPr>
          <w:rFonts w:ascii="Arial" w:hAnsi="Arial" w:cs="Arial"/>
          <w:sz w:val="20"/>
          <w:szCs w:val="20"/>
        </w:rPr>
        <w:t xml:space="preserve">, </w:t>
      </w:r>
      <w:proofErr w:type="spellStart"/>
      <w:r w:rsidRPr="00C67096">
        <w:rPr>
          <w:rFonts w:ascii="Arial" w:hAnsi="Arial" w:cs="Arial"/>
          <w:sz w:val="20"/>
          <w:szCs w:val="20"/>
        </w:rPr>
        <w:t>Knežević</w:t>
      </w:r>
      <w:proofErr w:type="spellEnd"/>
      <w:r w:rsidR="005C0275" w:rsidRPr="005C0275">
        <w:rPr>
          <w:rFonts w:ascii="Arial" w:hAnsi="Arial" w:cs="Arial"/>
          <w:sz w:val="20"/>
          <w:szCs w:val="20"/>
        </w:rPr>
        <w:t xml:space="preserve"> </w:t>
      </w:r>
      <w:r w:rsidR="005C0275" w:rsidRPr="00C67096">
        <w:rPr>
          <w:rFonts w:ascii="Arial" w:hAnsi="Arial" w:cs="Arial"/>
          <w:sz w:val="20"/>
          <w:szCs w:val="20"/>
        </w:rPr>
        <w:t>D. M.</w:t>
      </w:r>
      <w:r w:rsidRPr="00C67096">
        <w:rPr>
          <w:rFonts w:ascii="Arial" w:hAnsi="Arial" w:cs="Arial"/>
          <w:sz w:val="20"/>
          <w:szCs w:val="20"/>
        </w:rPr>
        <w:t xml:space="preserve">, </w:t>
      </w:r>
      <w:proofErr w:type="spellStart"/>
      <w:r w:rsidRPr="00C67096">
        <w:rPr>
          <w:rFonts w:ascii="Arial" w:hAnsi="Arial" w:cs="Arial"/>
          <w:sz w:val="20"/>
          <w:szCs w:val="20"/>
        </w:rPr>
        <w:t>Biočanin</w:t>
      </w:r>
      <w:proofErr w:type="spellEnd"/>
      <w:r w:rsidR="005C0275" w:rsidRPr="005C0275">
        <w:rPr>
          <w:rFonts w:ascii="Arial" w:hAnsi="Arial" w:cs="Arial"/>
          <w:sz w:val="20"/>
          <w:szCs w:val="20"/>
        </w:rPr>
        <w:t xml:space="preserve"> </w:t>
      </w:r>
      <w:r w:rsidR="005C0275" w:rsidRPr="00C67096">
        <w:rPr>
          <w:rFonts w:ascii="Arial" w:hAnsi="Arial" w:cs="Arial"/>
          <w:sz w:val="20"/>
          <w:szCs w:val="20"/>
        </w:rPr>
        <w:t xml:space="preserve">S. </w:t>
      </w:r>
      <w:proofErr w:type="spellStart"/>
      <w:r w:rsidR="005C0275" w:rsidRPr="00C67096">
        <w:rPr>
          <w:rFonts w:ascii="Arial" w:hAnsi="Arial" w:cs="Arial"/>
          <w:sz w:val="20"/>
          <w:szCs w:val="20"/>
        </w:rPr>
        <w:t>Lj</w:t>
      </w:r>
      <w:proofErr w:type="spellEnd"/>
      <w:r w:rsidR="005C0275" w:rsidRPr="00C67096">
        <w:rPr>
          <w:rFonts w:ascii="Arial" w:hAnsi="Arial" w:cs="Arial"/>
          <w:sz w:val="20"/>
          <w:szCs w:val="20"/>
        </w:rPr>
        <w:t>.</w:t>
      </w:r>
      <w:r w:rsidR="005C0275">
        <w:rPr>
          <w:rFonts w:ascii="Arial" w:hAnsi="Arial" w:cs="Arial"/>
          <w:sz w:val="20"/>
          <w:szCs w:val="20"/>
        </w:rPr>
        <w:t xml:space="preserve"> (</w:t>
      </w:r>
      <w:r w:rsidR="005C0275" w:rsidRPr="00C67096">
        <w:rPr>
          <w:rFonts w:ascii="Arial" w:hAnsi="Arial" w:cs="Arial"/>
          <w:sz w:val="20"/>
          <w:szCs w:val="20"/>
        </w:rPr>
        <w:t xml:space="preserve">November </w:t>
      </w:r>
      <w:r w:rsidR="005C0275">
        <w:rPr>
          <w:rFonts w:ascii="Arial" w:hAnsi="Arial" w:cs="Arial"/>
          <w:sz w:val="20"/>
          <w:szCs w:val="20"/>
        </w:rPr>
        <w:t>2011).</w:t>
      </w:r>
      <w:r w:rsidRPr="00C67096">
        <w:rPr>
          <w:rFonts w:ascii="Arial" w:hAnsi="Arial" w:cs="Arial"/>
          <w:sz w:val="20"/>
          <w:szCs w:val="20"/>
        </w:rPr>
        <w:t xml:space="preserve"> Measurement and Analysis of Angular Velocity Variations of Twelve-Cylinder Diesel Engine Crankshaft</w:t>
      </w:r>
      <w:r w:rsidR="005C0275">
        <w:rPr>
          <w:rFonts w:ascii="Arial" w:hAnsi="Arial" w:cs="Arial"/>
          <w:sz w:val="20"/>
          <w:szCs w:val="20"/>
        </w:rPr>
        <w:t>.</w:t>
      </w:r>
      <w:r w:rsidRPr="00C67096">
        <w:rPr>
          <w:rFonts w:ascii="Arial" w:hAnsi="Arial" w:cs="Arial"/>
          <w:sz w:val="20"/>
          <w:szCs w:val="20"/>
        </w:rPr>
        <w:t xml:space="preserve"> Mechanical Systems and Signal Processing, Volume 25, Issue 8, p.p. 3043 – 3061, ISSN 0888-3270, DOI: 10.1016/j.ymssp.2011.05.002.</w:t>
      </w:r>
    </w:p>
    <w:p w:rsidR="00C67096" w:rsidRPr="00C67096" w:rsidRDefault="00C67096" w:rsidP="00C67096">
      <w:pPr>
        <w:numPr>
          <w:ilvl w:val="0"/>
          <w:numId w:val="9"/>
        </w:numPr>
        <w:ind w:left="567" w:hanging="567"/>
        <w:jc w:val="both"/>
        <w:rPr>
          <w:rFonts w:ascii="Arial" w:hAnsi="Arial" w:cs="Arial"/>
          <w:sz w:val="20"/>
          <w:szCs w:val="20"/>
        </w:rPr>
      </w:pPr>
      <w:proofErr w:type="spellStart"/>
      <w:r w:rsidRPr="00C67096">
        <w:rPr>
          <w:rFonts w:ascii="Arial" w:hAnsi="Arial" w:cs="Arial"/>
          <w:sz w:val="20"/>
          <w:szCs w:val="20"/>
        </w:rPr>
        <w:t>Taraza</w:t>
      </w:r>
      <w:proofErr w:type="spellEnd"/>
      <w:r w:rsidRPr="00C67096">
        <w:rPr>
          <w:rFonts w:ascii="Arial" w:hAnsi="Arial" w:cs="Arial"/>
          <w:sz w:val="20"/>
          <w:szCs w:val="20"/>
        </w:rPr>
        <w:t xml:space="preserve"> D.</w:t>
      </w:r>
      <w:r w:rsidR="005C0275">
        <w:rPr>
          <w:rFonts w:ascii="Arial" w:hAnsi="Arial" w:cs="Arial"/>
          <w:sz w:val="20"/>
          <w:szCs w:val="20"/>
        </w:rPr>
        <w:t xml:space="preserve"> (2003).</w:t>
      </w:r>
      <w:r w:rsidRPr="00C67096">
        <w:rPr>
          <w:rFonts w:ascii="Arial" w:hAnsi="Arial" w:cs="Arial"/>
          <w:sz w:val="20"/>
          <w:szCs w:val="20"/>
        </w:rPr>
        <w:t xml:space="preserve"> Statistical Correlation </w:t>
      </w:r>
      <w:proofErr w:type="gramStart"/>
      <w:r w:rsidRPr="00C67096">
        <w:rPr>
          <w:rFonts w:ascii="Arial" w:hAnsi="Arial" w:cs="Arial"/>
          <w:sz w:val="20"/>
          <w:szCs w:val="20"/>
        </w:rPr>
        <w:t>Between</w:t>
      </w:r>
      <w:proofErr w:type="gramEnd"/>
      <w:r w:rsidRPr="00C67096">
        <w:rPr>
          <w:rFonts w:ascii="Arial" w:hAnsi="Arial" w:cs="Arial"/>
          <w:sz w:val="20"/>
          <w:szCs w:val="20"/>
        </w:rPr>
        <w:t xml:space="preserve"> the Crankshaft’s Speed Variation and Engine Performance–Part I: Theoretical Model</w:t>
      </w:r>
      <w:r w:rsidR="005C0275">
        <w:rPr>
          <w:rFonts w:ascii="Arial" w:hAnsi="Arial" w:cs="Arial"/>
          <w:sz w:val="20"/>
          <w:szCs w:val="20"/>
        </w:rPr>
        <w:t>.</w:t>
      </w:r>
      <w:r w:rsidRPr="00C67096">
        <w:rPr>
          <w:rFonts w:ascii="Arial" w:hAnsi="Arial" w:cs="Arial"/>
          <w:sz w:val="20"/>
          <w:szCs w:val="20"/>
        </w:rPr>
        <w:t xml:space="preserve"> Transaction of ASME, Journal of Engineering for Gas Turbines and Power, Vol. 125, No. 3, pp. 791-796.</w:t>
      </w:r>
    </w:p>
    <w:p w:rsidR="00C67096" w:rsidRPr="00C67096" w:rsidRDefault="00C67096" w:rsidP="00C67096">
      <w:pPr>
        <w:numPr>
          <w:ilvl w:val="0"/>
          <w:numId w:val="9"/>
        </w:numPr>
        <w:ind w:left="567" w:hanging="567"/>
        <w:jc w:val="both"/>
        <w:rPr>
          <w:rFonts w:ascii="Arial" w:hAnsi="Arial" w:cs="Arial"/>
          <w:sz w:val="20"/>
          <w:szCs w:val="20"/>
        </w:rPr>
      </w:pPr>
      <w:proofErr w:type="spellStart"/>
      <w:r w:rsidRPr="00C67096">
        <w:rPr>
          <w:rFonts w:ascii="Arial" w:hAnsi="Arial" w:cs="Arial"/>
          <w:sz w:val="20"/>
          <w:szCs w:val="20"/>
        </w:rPr>
        <w:t>Taraza</w:t>
      </w:r>
      <w:proofErr w:type="spellEnd"/>
      <w:r w:rsidRPr="00C67096">
        <w:rPr>
          <w:rFonts w:ascii="Arial" w:hAnsi="Arial" w:cs="Arial"/>
          <w:sz w:val="20"/>
          <w:szCs w:val="20"/>
        </w:rPr>
        <w:t>, D.</w:t>
      </w:r>
      <w:r w:rsidR="005C0275">
        <w:rPr>
          <w:rFonts w:ascii="Arial" w:hAnsi="Arial" w:cs="Arial"/>
          <w:sz w:val="20"/>
          <w:szCs w:val="20"/>
        </w:rPr>
        <w:t xml:space="preserve"> (2003).</w:t>
      </w:r>
      <w:r w:rsidRPr="00C67096">
        <w:rPr>
          <w:rFonts w:ascii="Arial" w:hAnsi="Arial" w:cs="Arial"/>
          <w:sz w:val="20"/>
          <w:szCs w:val="20"/>
        </w:rPr>
        <w:t xml:space="preserve"> Statistical Correlation </w:t>
      </w:r>
      <w:proofErr w:type="gramStart"/>
      <w:r w:rsidRPr="00C67096">
        <w:rPr>
          <w:rFonts w:ascii="Arial" w:hAnsi="Arial" w:cs="Arial"/>
          <w:sz w:val="20"/>
          <w:szCs w:val="20"/>
        </w:rPr>
        <w:t>Between</w:t>
      </w:r>
      <w:proofErr w:type="gramEnd"/>
      <w:r w:rsidRPr="00C67096">
        <w:rPr>
          <w:rFonts w:ascii="Arial" w:hAnsi="Arial" w:cs="Arial"/>
          <w:sz w:val="20"/>
          <w:szCs w:val="20"/>
        </w:rPr>
        <w:t xml:space="preserve"> the Crankshaft’s Speed Variation and Engine Performance–Part II: Detection of Deficient Cylinders and Mean Indicated Pressure Calculation</w:t>
      </w:r>
      <w:r w:rsidR="005C0275">
        <w:rPr>
          <w:rFonts w:ascii="Arial" w:hAnsi="Arial" w:cs="Arial"/>
          <w:sz w:val="20"/>
          <w:szCs w:val="20"/>
        </w:rPr>
        <w:t>.</w:t>
      </w:r>
      <w:r w:rsidRPr="00C67096">
        <w:rPr>
          <w:rFonts w:ascii="Arial" w:hAnsi="Arial" w:cs="Arial"/>
          <w:sz w:val="20"/>
          <w:szCs w:val="20"/>
        </w:rPr>
        <w:t xml:space="preserve"> Transaction of ASME, Journal of Engineering for Gas Turbines and Power, Vol. 125, No. 3, pp. 796-803.</w:t>
      </w:r>
    </w:p>
    <w:p w:rsidR="00C67096" w:rsidRPr="00C67096" w:rsidRDefault="00C67096" w:rsidP="00C67096">
      <w:pPr>
        <w:numPr>
          <w:ilvl w:val="0"/>
          <w:numId w:val="9"/>
        </w:numPr>
        <w:ind w:left="567" w:hanging="567"/>
        <w:jc w:val="both"/>
        <w:rPr>
          <w:rFonts w:ascii="Arial" w:hAnsi="Arial" w:cs="Arial"/>
          <w:sz w:val="20"/>
          <w:szCs w:val="20"/>
        </w:rPr>
      </w:pPr>
      <w:proofErr w:type="spellStart"/>
      <w:r w:rsidRPr="00C67096">
        <w:rPr>
          <w:rFonts w:ascii="Arial" w:hAnsi="Arial" w:cs="Arial"/>
          <w:sz w:val="20"/>
          <w:szCs w:val="20"/>
        </w:rPr>
        <w:t>Taraza</w:t>
      </w:r>
      <w:proofErr w:type="spellEnd"/>
      <w:r w:rsidRPr="00C67096">
        <w:rPr>
          <w:rFonts w:ascii="Arial" w:hAnsi="Arial" w:cs="Arial"/>
          <w:sz w:val="20"/>
          <w:szCs w:val="20"/>
        </w:rPr>
        <w:t xml:space="preserve"> D.</w:t>
      </w:r>
      <w:r w:rsidR="005C0275">
        <w:rPr>
          <w:rFonts w:ascii="Arial" w:hAnsi="Arial" w:cs="Arial"/>
          <w:sz w:val="20"/>
          <w:szCs w:val="20"/>
        </w:rPr>
        <w:t xml:space="preserve"> (2001).</w:t>
      </w:r>
      <w:r w:rsidRPr="00C67096">
        <w:rPr>
          <w:rFonts w:ascii="Arial" w:hAnsi="Arial" w:cs="Arial"/>
          <w:sz w:val="20"/>
          <w:szCs w:val="20"/>
        </w:rPr>
        <w:t xml:space="preserve"> Quantifying Relationships Between the Crankshaft’s Speed Variation and the Gas Pressure Torque, SAE Paper </w:t>
      </w:r>
      <w:r w:rsidR="005C0275">
        <w:rPr>
          <w:rFonts w:ascii="Arial" w:hAnsi="Arial" w:cs="Arial"/>
          <w:sz w:val="20"/>
          <w:szCs w:val="20"/>
        </w:rPr>
        <w:t xml:space="preserve">No. </w:t>
      </w:r>
      <w:r w:rsidRPr="00C67096">
        <w:rPr>
          <w:rFonts w:ascii="Arial" w:hAnsi="Arial" w:cs="Arial"/>
          <w:sz w:val="20"/>
          <w:szCs w:val="20"/>
        </w:rPr>
        <w:t>2001-01-1007.</w:t>
      </w:r>
    </w:p>
    <w:p w:rsidR="00C67096" w:rsidRPr="00C67096" w:rsidRDefault="00C67096" w:rsidP="00C67096">
      <w:pPr>
        <w:numPr>
          <w:ilvl w:val="0"/>
          <w:numId w:val="9"/>
        </w:numPr>
        <w:ind w:left="567" w:hanging="567"/>
        <w:jc w:val="both"/>
        <w:rPr>
          <w:rFonts w:ascii="Arial" w:hAnsi="Arial" w:cs="Arial"/>
          <w:sz w:val="20"/>
          <w:szCs w:val="20"/>
        </w:rPr>
      </w:pPr>
      <w:bookmarkStart w:id="0" w:name="_Ref137187779"/>
      <w:proofErr w:type="spellStart"/>
      <w:r w:rsidRPr="00C67096">
        <w:rPr>
          <w:rFonts w:ascii="Arial" w:hAnsi="Arial" w:cs="Arial"/>
          <w:sz w:val="20"/>
          <w:szCs w:val="20"/>
        </w:rPr>
        <w:t>Taraza</w:t>
      </w:r>
      <w:proofErr w:type="spellEnd"/>
      <w:r w:rsidRPr="00C67096">
        <w:rPr>
          <w:rFonts w:ascii="Arial" w:hAnsi="Arial" w:cs="Arial"/>
          <w:sz w:val="20"/>
          <w:szCs w:val="20"/>
        </w:rPr>
        <w:t xml:space="preserve"> D., </w:t>
      </w:r>
      <w:proofErr w:type="spellStart"/>
      <w:r w:rsidRPr="00C67096">
        <w:rPr>
          <w:rFonts w:ascii="Arial" w:hAnsi="Arial" w:cs="Arial"/>
          <w:sz w:val="20"/>
          <w:szCs w:val="20"/>
        </w:rPr>
        <w:t>Henein</w:t>
      </w:r>
      <w:proofErr w:type="spellEnd"/>
      <w:r w:rsidRPr="00C67096">
        <w:rPr>
          <w:rFonts w:ascii="Arial" w:hAnsi="Arial" w:cs="Arial"/>
          <w:sz w:val="20"/>
          <w:szCs w:val="20"/>
        </w:rPr>
        <w:t xml:space="preserve"> N.A., </w:t>
      </w:r>
      <w:proofErr w:type="spellStart"/>
      <w:r w:rsidRPr="00C67096">
        <w:rPr>
          <w:rFonts w:ascii="Arial" w:hAnsi="Arial" w:cs="Arial"/>
          <w:sz w:val="20"/>
          <w:szCs w:val="20"/>
        </w:rPr>
        <w:t>Bryzik</w:t>
      </w:r>
      <w:proofErr w:type="spellEnd"/>
      <w:r w:rsidRPr="00C67096">
        <w:rPr>
          <w:rFonts w:ascii="Arial" w:hAnsi="Arial" w:cs="Arial"/>
          <w:sz w:val="20"/>
          <w:szCs w:val="20"/>
        </w:rPr>
        <w:t xml:space="preserve"> W., </w:t>
      </w:r>
      <w:hyperlink r:id="rId37" w:history="1">
        <w:r w:rsidRPr="00C67096">
          <w:rPr>
            <w:rFonts w:ascii="Arial" w:hAnsi="Arial" w:cs="Arial"/>
            <w:sz w:val="20"/>
            <w:szCs w:val="20"/>
          </w:rPr>
          <w:t>The Frequency Analysis of the Crankshaft’s Speed Variation: A Reliable Tool for Diesel Engine Diagnosis, ASME Transactions</w:t>
        </w:r>
      </w:hyperlink>
      <w:r w:rsidRPr="00C67096">
        <w:rPr>
          <w:rFonts w:ascii="Arial" w:hAnsi="Arial" w:cs="Arial"/>
          <w:sz w:val="20"/>
          <w:szCs w:val="20"/>
        </w:rPr>
        <w:t xml:space="preserve">, Journal of Engineering for Gas Turbines and Power, </w:t>
      </w:r>
      <w:proofErr w:type="spellStart"/>
      <w:r w:rsidRPr="00C67096">
        <w:rPr>
          <w:rFonts w:ascii="Arial" w:hAnsi="Arial" w:cs="Arial"/>
          <w:sz w:val="20"/>
          <w:szCs w:val="20"/>
        </w:rPr>
        <w:t>Vol</w:t>
      </w:r>
      <w:proofErr w:type="spellEnd"/>
      <w:r w:rsidRPr="00C67096">
        <w:rPr>
          <w:rFonts w:ascii="Arial" w:hAnsi="Arial" w:cs="Arial"/>
          <w:sz w:val="20"/>
          <w:szCs w:val="20"/>
        </w:rPr>
        <w:t xml:space="preserve"> 123, No. 2, 2001.</w:t>
      </w:r>
      <w:bookmarkEnd w:id="0"/>
    </w:p>
    <w:p w:rsidR="00C67096" w:rsidRPr="00C67096" w:rsidRDefault="00C67096" w:rsidP="00C67096">
      <w:pPr>
        <w:numPr>
          <w:ilvl w:val="0"/>
          <w:numId w:val="9"/>
        </w:numPr>
        <w:ind w:left="567" w:hanging="567"/>
        <w:jc w:val="both"/>
        <w:rPr>
          <w:rFonts w:ascii="Arial" w:hAnsi="Arial" w:cs="Arial"/>
          <w:sz w:val="20"/>
          <w:szCs w:val="20"/>
        </w:rPr>
      </w:pPr>
      <w:bookmarkStart w:id="1" w:name="_Ref138730340"/>
      <w:proofErr w:type="spellStart"/>
      <w:r w:rsidRPr="00C67096">
        <w:rPr>
          <w:rFonts w:ascii="Arial" w:hAnsi="Arial" w:cs="Arial"/>
          <w:sz w:val="20"/>
          <w:szCs w:val="20"/>
        </w:rPr>
        <w:t>Taraza</w:t>
      </w:r>
      <w:proofErr w:type="spellEnd"/>
      <w:r w:rsidRPr="00C67096">
        <w:rPr>
          <w:rFonts w:ascii="Arial" w:hAnsi="Arial" w:cs="Arial"/>
          <w:sz w:val="20"/>
          <w:szCs w:val="20"/>
        </w:rPr>
        <w:t xml:space="preserve"> D., </w:t>
      </w:r>
      <w:proofErr w:type="spellStart"/>
      <w:r w:rsidRPr="00C67096">
        <w:rPr>
          <w:rFonts w:ascii="Arial" w:hAnsi="Arial" w:cs="Arial"/>
          <w:sz w:val="20"/>
          <w:szCs w:val="20"/>
        </w:rPr>
        <w:t>Henein</w:t>
      </w:r>
      <w:proofErr w:type="spellEnd"/>
      <w:r w:rsidRPr="00C67096">
        <w:rPr>
          <w:rFonts w:ascii="Arial" w:hAnsi="Arial" w:cs="Arial"/>
          <w:sz w:val="20"/>
          <w:szCs w:val="20"/>
        </w:rPr>
        <w:t xml:space="preserve"> N.</w:t>
      </w:r>
      <w:r w:rsidR="005C0275">
        <w:rPr>
          <w:rFonts w:ascii="Arial" w:hAnsi="Arial" w:cs="Arial"/>
          <w:sz w:val="20"/>
          <w:szCs w:val="20"/>
        </w:rPr>
        <w:t xml:space="preserve"> </w:t>
      </w:r>
      <w:r w:rsidRPr="00C67096">
        <w:rPr>
          <w:rFonts w:ascii="Arial" w:hAnsi="Arial" w:cs="Arial"/>
          <w:sz w:val="20"/>
          <w:szCs w:val="20"/>
        </w:rPr>
        <w:t xml:space="preserve">A., </w:t>
      </w:r>
      <w:proofErr w:type="spellStart"/>
      <w:r w:rsidRPr="00C67096">
        <w:rPr>
          <w:rFonts w:ascii="Arial" w:hAnsi="Arial" w:cs="Arial"/>
          <w:sz w:val="20"/>
          <w:szCs w:val="20"/>
        </w:rPr>
        <w:t>Bryzik</w:t>
      </w:r>
      <w:proofErr w:type="spellEnd"/>
      <w:r w:rsidRPr="00C67096">
        <w:rPr>
          <w:rFonts w:ascii="Arial" w:hAnsi="Arial" w:cs="Arial"/>
          <w:sz w:val="20"/>
          <w:szCs w:val="20"/>
        </w:rPr>
        <w:t xml:space="preserve"> W.</w:t>
      </w:r>
      <w:r w:rsidR="005C0275">
        <w:rPr>
          <w:rFonts w:ascii="Arial" w:hAnsi="Arial" w:cs="Arial"/>
          <w:sz w:val="20"/>
          <w:szCs w:val="20"/>
        </w:rPr>
        <w:t xml:space="preserve"> (19</w:t>
      </w:r>
      <w:r w:rsidR="009F777C">
        <w:rPr>
          <w:rFonts w:ascii="Arial" w:hAnsi="Arial" w:cs="Arial"/>
          <w:sz w:val="20"/>
          <w:szCs w:val="20"/>
        </w:rPr>
        <w:t>9</w:t>
      </w:r>
      <w:r w:rsidR="005C0275">
        <w:rPr>
          <w:rFonts w:ascii="Arial" w:hAnsi="Arial" w:cs="Arial"/>
          <w:sz w:val="20"/>
          <w:szCs w:val="20"/>
        </w:rPr>
        <w:t>8).</w:t>
      </w:r>
      <w:r w:rsidRPr="00C67096">
        <w:rPr>
          <w:rFonts w:ascii="Arial" w:hAnsi="Arial" w:cs="Arial"/>
          <w:sz w:val="20"/>
          <w:szCs w:val="20"/>
        </w:rPr>
        <w:t xml:space="preserve"> Diesel Engine Diagnosis Based on Analysis of the Crankshaft’s Speed Variation, SAE Paper 982540 and SAE Transactions, Vol. 107, Journal of Engines, pp.2183-2195.</w:t>
      </w:r>
      <w:bookmarkEnd w:id="1"/>
    </w:p>
    <w:p w:rsidR="00C67096" w:rsidRPr="00C67096" w:rsidRDefault="00C67096" w:rsidP="00C67096">
      <w:pPr>
        <w:numPr>
          <w:ilvl w:val="0"/>
          <w:numId w:val="9"/>
        </w:numPr>
        <w:ind w:left="567" w:hanging="567"/>
        <w:jc w:val="both"/>
        <w:rPr>
          <w:rFonts w:ascii="Arial" w:hAnsi="Arial" w:cs="Arial"/>
          <w:sz w:val="20"/>
          <w:szCs w:val="20"/>
        </w:rPr>
      </w:pPr>
      <w:r w:rsidRPr="00C67096">
        <w:rPr>
          <w:rFonts w:ascii="Arial" w:hAnsi="Arial" w:cs="Arial"/>
          <w:sz w:val="20"/>
          <w:szCs w:val="20"/>
        </w:rPr>
        <w:t>Williams J.</w:t>
      </w:r>
      <w:r w:rsidR="005C0275">
        <w:rPr>
          <w:rFonts w:ascii="Arial" w:hAnsi="Arial" w:cs="Arial"/>
          <w:sz w:val="20"/>
          <w:szCs w:val="20"/>
        </w:rPr>
        <w:t xml:space="preserve"> (1996).</w:t>
      </w:r>
      <w:r w:rsidRPr="00C67096">
        <w:rPr>
          <w:rFonts w:ascii="Arial" w:hAnsi="Arial" w:cs="Arial"/>
          <w:sz w:val="20"/>
          <w:szCs w:val="20"/>
        </w:rPr>
        <w:t xml:space="preserve"> </w:t>
      </w:r>
      <w:hyperlink r:id="rId38" w:history="1">
        <w:r w:rsidRPr="00C67096">
          <w:rPr>
            <w:rFonts w:ascii="Arial" w:hAnsi="Arial" w:cs="Arial"/>
            <w:sz w:val="20"/>
            <w:szCs w:val="20"/>
          </w:rPr>
          <w:t>Evaluation of Constant Speed Assumption for Determining Cylinder Excitation Torque</w:t>
        </w:r>
      </w:hyperlink>
      <w:r w:rsidRPr="00C67096">
        <w:rPr>
          <w:rFonts w:ascii="Arial" w:hAnsi="Arial" w:cs="Arial"/>
          <w:sz w:val="20"/>
          <w:szCs w:val="20"/>
        </w:rPr>
        <w:t>, SAE Paper No. 9600</w:t>
      </w:r>
      <w:r w:rsidR="005C0275">
        <w:rPr>
          <w:rFonts w:ascii="Arial" w:hAnsi="Arial" w:cs="Arial"/>
          <w:sz w:val="20"/>
          <w:szCs w:val="20"/>
        </w:rPr>
        <w:t>41</w:t>
      </w:r>
      <w:r w:rsidRPr="00C67096">
        <w:rPr>
          <w:rFonts w:ascii="Arial" w:hAnsi="Arial" w:cs="Arial"/>
          <w:sz w:val="20"/>
          <w:szCs w:val="20"/>
        </w:rPr>
        <w:t>.</w:t>
      </w:r>
    </w:p>
    <w:p w:rsidR="00C67096" w:rsidRPr="00C67096" w:rsidRDefault="00C67096" w:rsidP="00C67096">
      <w:pPr>
        <w:numPr>
          <w:ilvl w:val="0"/>
          <w:numId w:val="9"/>
        </w:numPr>
        <w:ind w:left="567" w:hanging="567"/>
        <w:jc w:val="both"/>
        <w:rPr>
          <w:rFonts w:ascii="Arial" w:hAnsi="Arial" w:cs="Arial"/>
          <w:sz w:val="20"/>
          <w:szCs w:val="20"/>
        </w:rPr>
      </w:pPr>
      <w:bookmarkStart w:id="2" w:name="_Ref137187787"/>
      <w:r w:rsidRPr="00C67096">
        <w:rPr>
          <w:rFonts w:ascii="Arial" w:hAnsi="Arial" w:cs="Arial"/>
          <w:sz w:val="20"/>
          <w:szCs w:val="20"/>
        </w:rPr>
        <w:t>Williams, J.</w:t>
      </w:r>
      <w:r w:rsidR="005C0275">
        <w:rPr>
          <w:rFonts w:ascii="Arial" w:hAnsi="Arial" w:cs="Arial"/>
          <w:sz w:val="20"/>
          <w:szCs w:val="20"/>
        </w:rPr>
        <w:t xml:space="preserve"> (1996).</w:t>
      </w:r>
      <w:r w:rsidRPr="00C67096">
        <w:rPr>
          <w:rFonts w:ascii="Arial" w:hAnsi="Arial" w:cs="Arial"/>
          <w:sz w:val="20"/>
          <w:szCs w:val="20"/>
        </w:rPr>
        <w:t xml:space="preserve"> </w:t>
      </w:r>
      <w:hyperlink r:id="rId39" w:history="1">
        <w:r w:rsidRPr="00C67096">
          <w:rPr>
            <w:rFonts w:ascii="Arial" w:hAnsi="Arial" w:cs="Arial"/>
            <w:sz w:val="20"/>
            <w:szCs w:val="20"/>
          </w:rPr>
          <w:t>An Overview of Misfiring Cylinder Engine Diagnostic Techniques Based on Crankshaft Angular Velocity Measurements</w:t>
        </w:r>
      </w:hyperlink>
      <w:r w:rsidR="005C0275">
        <w:rPr>
          <w:rFonts w:ascii="Arial" w:hAnsi="Arial" w:cs="Arial"/>
          <w:sz w:val="20"/>
          <w:szCs w:val="20"/>
        </w:rPr>
        <w:t>, SAE Paper No. 960039</w:t>
      </w:r>
      <w:r w:rsidRPr="00C67096">
        <w:rPr>
          <w:rFonts w:ascii="Arial" w:hAnsi="Arial" w:cs="Arial"/>
          <w:sz w:val="20"/>
          <w:szCs w:val="20"/>
        </w:rPr>
        <w:t>.</w:t>
      </w:r>
      <w:bookmarkEnd w:id="2"/>
    </w:p>
    <w:sectPr w:rsidR="00C67096" w:rsidRPr="00C67096" w:rsidSect="00D5198F">
      <w:headerReference w:type="even" r:id="rId40"/>
      <w:headerReference w:type="default" r:id="rId41"/>
      <w:footerReference w:type="even" r:id="rId42"/>
      <w:footerReference w:type="default" r:id="rId43"/>
      <w:pgSz w:w="9979" w:h="14175" w:code="34"/>
      <w:pgMar w:top="1701" w:right="851" w:bottom="1418" w:left="1418" w:header="1021" w:footer="1021" w:gutter="0"/>
      <w:paperSrc w:first="7" w:other="7"/>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16D8B" w:rsidRDefault="00E16D8B">
      <w:r>
        <w:separator/>
      </w:r>
    </w:p>
  </w:endnote>
  <w:endnote w:type="continuationSeparator" w:id="1">
    <w:p w:rsidR="00E16D8B" w:rsidRDefault="00E16D8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embedRegular r:id="rId1" w:fontKey="{7C45A316-7B32-461C-86E7-053E9D2D76AD}"/>
    <w:embedBold r:id="rId2" w:fontKey="{AF03FC4F-02A6-4F02-A0BF-94D2B6176CE0}"/>
    <w:embedItalic r:id="rId3" w:fontKey="{7BA928F5-A195-4CC4-930E-0BB1A322F515}"/>
    <w:embedBoldItalic r:id="rId4" w:fontKey="{865150F7-73B5-4AC8-89B7-070D499EB760}"/>
  </w:font>
  <w:font w:name="Arial">
    <w:panose1 w:val="020B0604020202020204"/>
    <w:charset w:val="00"/>
    <w:family w:val="swiss"/>
    <w:pitch w:val="variable"/>
    <w:sig w:usb0="20002A87" w:usb1="80000000" w:usb2="00000008" w:usb3="00000000" w:csb0="000001FF" w:csb1="00000000"/>
    <w:embedRegular r:id="rId5" w:fontKey="{18978D4E-80A3-4AFD-B100-1C7298AE08F7}"/>
    <w:embedBold r:id="rId6" w:fontKey="{D88E70F1-F7EF-4E61-922F-45FBC4955FE4}"/>
    <w:embedItalic r:id="rId7" w:fontKey="{C1A56B13-91BF-4B6E-B224-5C97C696B132}"/>
    <w:embedBoldItalic r:id="rId8" w:fontKey="{12772BCC-E97C-4351-9ED7-200260C497BC}"/>
  </w:font>
  <w:font w:name="Symbol">
    <w:panose1 w:val="05050102010706020507"/>
    <w:charset w:val="02"/>
    <w:family w:val="roman"/>
    <w:pitch w:val="variable"/>
    <w:sig w:usb0="00000000" w:usb1="10000000" w:usb2="00000000" w:usb3="00000000" w:csb0="80000000" w:csb1="00000000"/>
    <w:embedRegular r:id="rId9" w:fontKey="{B10581E4-CBCC-4FF9-AF18-805679659C7F}"/>
  </w:font>
  <w:font w:name="Courier New">
    <w:panose1 w:val="02070309020205020404"/>
    <w:charset w:val="00"/>
    <w:family w:val="modern"/>
    <w:pitch w:val="fixed"/>
    <w:sig w:usb0="20002A87" w:usb1="80000000" w:usb2="00000008" w:usb3="00000000" w:csb0="000001FF" w:csb1="00000000"/>
    <w:embedRegular r:id="rId10" w:fontKey="{BCC1E48F-AF9D-4B1D-BAD0-144B1CE8EBE8}"/>
  </w:font>
  <w:font w:name="Wingdings">
    <w:panose1 w:val="05000000000000000000"/>
    <w:charset w:val="02"/>
    <w:family w:val="auto"/>
    <w:pitch w:val="variable"/>
    <w:sig w:usb0="00000000" w:usb1="10000000" w:usb2="00000000" w:usb3="00000000" w:csb0="80000000" w:csb1="00000000"/>
    <w:embedRegular r:id="rId11" w:fontKey="{03AA745D-D292-44B4-A162-EC581D1EB40C}"/>
  </w:font>
  <w:font w:name="Calibri">
    <w:panose1 w:val="020F0502020204030204"/>
    <w:charset w:val="00"/>
    <w:family w:val="swiss"/>
    <w:pitch w:val="variable"/>
    <w:sig w:usb0="A00002EF" w:usb1="4000207B" w:usb2="00000000" w:usb3="00000000" w:csb0="0000009F" w:csb1="00000000"/>
    <w:embedRegular r:id="rId12" w:fontKey="{1D31581F-8A21-4F95-B01C-49D495354E93}"/>
  </w:font>
  <w:font w:name="Cambria">
    <w:panose1 w:val="02040503050406030204"/>
    <w:charset w:val="00"/>
    <w:family w:val="roman"/>
    <w:pitch w:val="variable"/>
    <w:sig w:usb0="A00002EF" w:usb1="4000004B" w:usb2="00000000" w:usb3="00000000" w:csb0="0000009F" w:csb1="00000000"/>
    <w:embedRegular r:id="rId13" w:fontKey="{BBB80919-BEB2-4DFA-B930-E0425B74B533}"/>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198F" w:rsidRDefault="00C81576" w:rsidP="00CB1960">
    <w:pPr>
      <w:pStyle w:val="Footer"/>
      <w:framePr w:wrap="around" w:vAnchor="text" w:hAnchor="margin" w:xAlign="outside" w:y="1"/>
      <w:rPr>
        <w:rStyle w:val="PageNumber"/>
      </w:rPr>
    </w:pPr>
    <w:r>
      <w:rPr>
        <w:rStyle w:val="PageNumber"/>
      </w:rPr>
      <w:fldChar w:fldCharType="begin"/>
    </w:r>
    <w:r w:rsidR="00D5198F">
      <w:rPr>
        <w:rStyle w:val="PageNumber"/>
      </w:rPr>
      <w:instrText xml:space="preserve">PAGE  </w:instrText>
    </w:r>
    <w:r>
      <w:rPr>
        <w:rStyle w:val="PageNumber"/>
      </w:rPr>
      <w:fldChar w:fldCharType="separate"/>
    </w:r>
    <w:r w:rsidR="00601387">
      <w:rPr>
        <w:rStyle w:val="PageNumber"/>
        <w:noProof/>
      </w:rPr>
      <w:t>14</w:t>
    </w:r>
    <w:r>
      <w:rPr>
        <w:rStyle w:val="PageNumber"/>
      </w:rPr>
      <w:fldChar w:fldCharType="end"/>
    </w:r>
  </w:p>
  <w:p w:rsidR="00D5198F" w:rsidRDefault="00D5198F" w:rsidP="00D5198F">
    <w:pPr>
      <w:pStyle w:val="Footer"/>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198F" w:rsidRDefault="00C81576" w:rsidP="00CB1960">
    <w:pPr>
      <w:pStyle w:val="Footer"/>
      <w:framePr w:wrap="around" w:vAnchor="text" w:hAnchor="margin" w:xAlign="outside" w:y="1"/>
      <w:rPr>
        <w:rStyle w:val="PageNumber"/>
      </w:rPr>
    </w:pPr>
    <w:r>
      <w:rPr>
        <w:rStyle w:val="PageNumber"/>
      </w:rPr>
      <w:fldChar w:fldCharType="begin"/>
    </w:r>
    <w:r w:rsidR="00D5198F">
      <w:rPr>
        <w:rStyle w:val="PageNumber"/>
      </w:rPr>
      <w:instrText xml:space="preserve">PAGE  </w:instrText>
    </w:r>
    <w:r>
      <w:rPr>
        <w:rStyle w:val="PageNumber"/>
      </w:rPr>
      <w:fldChar w:fldCharType="separate"/>
    </w:r>
    <w:r w:rsidR="00601387">
      <w:rPr>
        <w:rStyle w:val="PageNumber"/>
        <w:noProof/>
      </w:rPr>
      <w:t>13</w:t>
    </w:r>
    <w:r>
      <w:rPr>
        <w:rStyle w:val="PageNumber"/>
      </w:rPr>
      <w:fldChar w:fldCharType="end"/>
    </w:r>
  </w:p>
  <w:p w:rsidR="00D5198F" w:rsidRDefault="00D5198F" w:rsidP="00D5198F">
    <w:pPr>
      <w:pStyle w:val="Footer"/>
      <w:ind w:right="360"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16D8B" w:rsidRDefault="00E16D8B">
      <w:r>
        <w:separator/>
      </w:r>
    </w:p>
  </w:footnote>
  <w:footnote w:type="continuationSeparator" w:id="1">
    <w:p w:rsidR="00E16D8B" w:rsidRDefault="00E16D8B">
      <w:r>
        <w:continuationSeparator/>
      </w:r>
    </w:p>
  </w:footnote>
  <w:footnote w:id="2">
    <w:p w:rsidR="00813024" w:rsidRPr="00CF4F70" w:rsidRDefault="00813024" w:rsidP="00813024">
      <w:pPr>
        <w:pStyle w:val="fusnota"/>
      </w:pPr>
      <w:r>
        <w:rPr>
          <w:rStyle w:val="FootnoteReference"/>
        </w:rPr>
        <w:footnoteRef/>
      </w:r>
      <w:r>
        <w:t xml:space="preserve"> </w:t>
      </w:r>
      <w:r w:rsidR="00A60241">
        <w:t xml:space="preserve">Dr </w:t>
      </w:r>
      <w:r w:rsidR="00A60241" w:rsidRPr="00CF4F70">
        <w:t xml:space="preserve">S. </w:t>
      </w:r>
      <w:proofErr w:type="spellStart"/>
      <w:r w:rsidR="00A60241" w:rsidRPr="00CF4F70">
        <w:t>Biočanin</w:t>
      </w:r>
      <w:proofErr w:type="spellEnd"/>
      <w:r>
        <w:t xml:space="preserve">, </w:t>
      </w:r>
      <w:r w:rsidR="00CF4F70" w:rsidRPr="00CF4F70">
        <w:t>Directorate of Defense Technology, Belgrade</w:t>
      </w:r>
      <w:r w:rsidR="00CF4F70">
        <w:t xml:space="preserve"> (stojkobiocanin@gmail.com)</w:t>
      </w:r>
    </w:p>
  </w:footnote>
  <w:footnote w:id="3">
    <w:p w:rsidR="00813024" w:rsidRPr="006A10D5" w:rsidRDefault="00813024" w:rsidP="00CF4F70">
      <w:pPr>
        <w:rPr>
          <w:rFonts w:ascii="Arial" w:hAnsi="Arial" w:cs="Arial"/>
          <w:sz w:val="16"/>
          <w:szCs w:val="16"/>
        </w:rPr>
      </w:pPr>
      <w:r>
        <w:rPr>
          <w:rStyle w:val="FootnoteReference"/>
        </w:rPr>
        <w:footnoteRef/>
      </w:r>
      <w:r>
        <w:t xml:space="preserve"> </w:t>
      </w:r>
      <w:r w:rsidR="00CF4F70" w:rsidRPr="006A10D5">
        <w:rPr>
          <w:rFonts w:ascii="Arial" w:hAnsi="Arial" w:cs="Arial"/>
          <w:sz w:val="16"/>
          <w:szCs w:val="16"/>
        </w:rPr>
        <w:t xml:space="preserve">Dr Ž. </w:t>
      </w:r>
      <w:proofErr w:type="spellStart"/>
      <w:r w:rsidR="00CF4F70" w:rsidRPr="006A10D5">
        <w:rPr>
          <w:rFonts w:ascii="Arial" w:hAnsi="Arial" w:cs="Arial"/>
          <w:sz w:val="16"/>
          <w:szCs w:val="16"/>
        </w:rPr>
        <w:t>Bulatović</w:t>
      </w:r>
      <w:proofErr w:type="spellEnd"/>
      <w:r w:rsidR="00CF4F70" w:rsidRPr="006A10D5">
        <w:rPr>
          <w:rFonts w:ascii="Arial" w:hAnsi="Arial" w:cs="Arial"/>
          <w:sz w:val="16"/>
          <w:szCs w:val="16"/>
        </w:rPr>
        <w:t>, Military Technical Institute, Belgrade (</w:t>
      </w:r>
      <w:r w:rsidR="006A10D5">
        <w:rPr>
          <w:rFonts w:ascii="Arial" w:hAnsi="Arial" w:cs="Arial"/>
          <w:sz w:val="16"/>
          <w:szCs w:val="16"/>
        </w:rPr>
        <w:t>zetonbulat@gmail.com)</w:t>
      </w:r>
    </w:p>
  </w:footnote>
  <w:footnote w:id="4">
    <w:p w:rsidR="006A10D5" w:rsidRPr="006A10D5" w:rsidRDefault="006A10D5" w:rsidP="006A10D5">
      <w:pPr>
        <w:rPr>
          <w:rFonts w:ascii="Arial" w:hAnsi="Arial" w:cs="Arial"/>
          <w:sz w:val="16"/>
          <w:szCs w:val="16"/>
          <w:lang w:val="sr-Latn-CS"/>
        </w:rPr>
      </w:pPr>
      <w:r w:rsidRPr="006A10D5">
        <w:rPr>
          <w:rStyle w:val="FootnoteReference"/>
          <w:rFonts w:cs="Arial"/>
        </w:rPr>
        <w:footnoteRef/>
      </w:r>
      <w:r w:rsidRPr="006A10D5">
        <w:rPr>
          <w:rFonts w:ascii="Arial" w:hAnsi="Arial" w:cs="Arial"/>
        </w:rPr>
        <w:t xml:space="preserve"> </w:t>
      </w:r>
      <w:r w:rsidRPr="006A10D5">
        <w:rPr>
          <w:rFonts w:ascii="Arial" w:hAnsi="Arial" w:cs="Arial"/>
          <w:sz w:val="16"/>
          <w:szCs w:val="16"/>
        </w:rPr>
        <w:t xml:space="preserve">Prof </w:t>
      </w:r>
      <w:proofErr w:type="spellStart"/>
      <w:r w:rsidRPr="006A10D5">
        <w:rPr>
          <w:rFonts w:ascii="Arial" w:hAnsi="Arial" w:cs="Arial"/>
          <w:sz w:val="16"/>
          <w:szCs w:val="16"/>
        </w:rPr>
        <w:t>dr</w:t>
      </w:r>
      <w:proofErr w:type="spellEnd"/>
      <w:r w:rsidRPr="006A10D5">
        <w:rPr>
          <w:rFonts w:ascii="Arial" w:hAnsi="Arial" w:cs="Arial"/>
          <w:sz w:val="16"/>
          <w:szCs w:val="16"/>
        </w:rPr>
        <w:t xml:space="preserve"> A. </w:t>
      </w:r>
      <w:proofErr w:type="spellStart"/>
      <w:r w:rsidRPr="006A10D5">
        <w:rPr>
          <w:rFonts w:ascii="Arial" w:hAnsi="Arial" w:cs="Arial"/>
          <w:sz w:val="16"/>
          <w:szCs w:val="16"/>
        </w:rPr>
        <w:t>Milašinović</w:t>
      </w:r>
      <w:proofErr w:type="spellEnd"/>
      <w:r w:rsidRPr="006A10D5">
        <w:rPr>
          <w:rFonts w:ascii="Arial" w:hAnsi="Arial" w:cs="Arial"/>
          <w:sz w:val="16"/>
          <w:szCs w:val="16"/>
        </w:rPr>
        <w:t xml:space="preserve">, Faculty of Mechanical Engineering in </w:t>
      </w:r>
      <w:proofErr w:type="spellStart"/>
      <w:r w:rsidRPr="006A10D5">
        <w:rPr>
          <w:rFonts w:ascii="Arial" w:hAnsi="Arial" w:cs="Arial"/>
          <w:sz w:val="16"/>
          <w:szCs w:val="16"/>
        </w:rPr>
        <w:t>Banja</w:t>
      </w:r>
      <w:proofErr w:type="spellEnd"/>
      <w:r w:rsidRPr="006A10D5">
        <w:rPr>
          <w:rFonts w:ascii="Arial" w:hAnsi="Arial" w:cs="Arial"/>
          <w:sz w:val="16"/>
          <w:szCs w:val="16"/>
        </w:rPr>
        <w:t xml:space="preserve"> Luka, (amilasinovic@gmail.com)</w:t>
      </w:r>
    </w:p>
  </w:footnote>
  <w:footnote w:id="5">
    <w:p w:rsidR="006A10D5" w:rsidRPr="006A10D5" w:rsidRDefault="006A10D5">
      <w:pPr>
        <w:pStyle w:val="FootnoteText"/>
        <w:rPr>
          <w:lang w:val="sr-Latn-CS"/>
        </w:rPr>
      </w:pPr>
      <w:r>
        <w:rPr>
          <w:rStyle w:val="FootnoteReference"/>
        </w:rPr>
        <w:footnoteRef/>
      </w:r>
      <w:r>
        <w:t xml:space="preserve"> </w:t>
      </w:r>
      <w:proofErr w:type="spellStart"/>
      <w:r>
        <w:rPr>
          <w:rFonts w:ascii="Arial" w:hAnsi="Arial" w:cs="Arial"/>
          <w:sz w:val="16"/>
          <w:szCs w:val="16"/>
        </w:rPr>
        <w:t>m</w:t>
      </w:r>
      <w:r w:rsidRPr="006A10D5">
        <w:rPr>
          <w:rFonts w:ascii="Arial" w:hAnsi="Arial" w:cs="Arial"/>
          <w:sz w:val="16"/>
          <w:szCs w:val="16"/>
        </w:rPr>
        <w:t>r</w:t>
      </w:r>
      <w:proofErr w:type="spellEnd"/>
      <w:r w:rsidRPr="006A10D5">
        <w:rPr>
          <w:rFonts w:ascii="Arial" w:hAnsi="Arial" w:cs="Arial"/>
          <w:sz w:val="16"/>
          <w:szCs w:val="16"/>
        </w:rPr>
        <w:t xml:space="preserve"> </w:t>
      </w:r>
      <w:r>
        <w:rPr>
          <w:rFonts w:ascii="Arial" w:hAnsi="Arial" w:cs="Arial"/>
          <w:sz w:val="16"/>
          <w:szCs w:val="16"/>
        </w:rPr>
        <w:t xml:space="preserve">I. </w:t>
      </w:r>
      <w:proofErr w:type="spellStart"/>
      <w:r>
        <w:rPr>
          <w:rFonts w:ascii="Arial" w:hAnsi="Arial" w:cs="Arial"/>
          <w:sz w:val="16"/>
          <w:szCs w:val="16"/>
        </w:rPr>
        <w:t>Mujani</w:t>
      </w:r>
      <w:r w:rsidRPr="006A10D5">
        <w:rPr>
          <w:rFonts w:ascii="Arial" w:hAnsi="Arial" w:cs="Arial"/>
          <w:sz w:val="16"/>
          <w:szCs w:val="16"/>
        </w:rPr>
        <w:t>ć</w:t>
      </w:r>
      <w:proofErr w:type="spellEnd"/>
      <w:r w:rsidRPr="006A10D5">
        <w:rPr>
          <w:rFonts w:ascii="Arial" w:hAnsi="Arial" w:cs="Arial"/>
          <w:sz w:val="16"/>
          <w:szCs w:val="16"/>
        </w:rPr>
        <w:t xml:space="preserve">, Faculty of Mechanical Engineering in </w:t>
      </w:r>
      <w:proofErr w:type="spellStart"/>
      <w:r w:rsidRPr="006A10D5">
        <w:rPr>
          <w:rFonts w:ascii="Arial" w:hAnsi="Arial" w:cs="Arial"/>
          <w:sz w:val="16"/>
          <w:szCs w:val="16"/>
        </w:rPr>
        <w:t>Banja</w:t>
      </w:r>
      <w:proofErr w:type="spellEnd"/>
      <w:r w:rsidRPr="006A10D5">
        <w:rPr>
          <w:rFonts w:ascii="Arial" w:hAnsi="Arial" w:cs="Arial"/>
          <w:sz w:val="16"/>
          <w:szCs w:val="16"/>
        </w:rPr>
        <w:t xml:space="preserve"> Luka</w:t>
      </w:r>
      <w:r>
        <w:rPr>
          <w:rFonts w:ascii="Arial" w:hAnsi="Arial" w:cs="Arial"/>
          <w:sz w:val="16"/>
          <w:szCs w:val="16"/>
        </w:rPr>
        <w:t xml:space="preserve">, </w:t>
      </w:r>
      <w:proofErr w:type="spellStart"/>
      <w:r w:rsidRPr="006A10D5">
        <w:rPr>
          <w:rFonts w:ascii="Arial" w:hAnsi="Arial" w:cs="Arial"/>
          <w:sz w:val="16"/>
          <w:szCs w:val="16"/>
        </w:rPr>
        <w:t>Banja</w:t>
      </w:r>
      <w:proofErr w:type="spellEnd"/>
      <w:r w:rsidRPr="006A10D5">
        <w:rPr>
          <w:rFonts w:ascii="Arial" w:hAnsi="Arial" w:cs="Arial"/>
          <w:sz w:val="16"/>
          <w:szCs w:val="16"/>
        </w:rPr>
        <w:t xml:space="preserve"> Luka</w:t>
      </w:r>
    </w:p>
  </w:footnote>
  <w:footnote w:id="6">
    <w:p w:rsidR="006A10D5" w:rsidRPr="006A10D5" w:rsidRDefault="006A10D5">
      <w:pPr>
        <w:pStyle w:val="FootnoteText"/>
        <w:rPr>
          <w:lang w:val="sr-Latn-CS"/>
        </w:rPr>
      </w:pPr>
      <w:r>
        <w:rPr>
          <w:rStyle w:val="FootnoteReference"/>
        </w:rPr>
        <w:footnoteRef/>
      </w:r>
      <w:r>
        <w:t xml:space="preserve"> </w:t>
      </w:r>
      <w:r w:rsidRPr="006A10D5">
        <w:rPr>
          <w:rFonts w:ascii="Arial" w:hAnsi="Arial" w:cs="Arial"/>
          <w:sz w:val="16"/>
          <w:szCs w:val="16"/>
        </w:rPr>
        <w:t xml:space="preserve">Prof </w:t>
      </w:r>
      <w:proofErr w:type="spellStart"/>
      <w:r w:rsidRPr="006A10D5">
        <w:rPr>
          <w:rFonts w:ascii="Arial" w:hAnsi="Arial" w:cs="Arial"/>
          <w:sz w:val="16"/>
          <w:szCs w:val="16"/>
        </w:rPr>
        <w:t>dr</w:t>
      </w:r>
      <w:proofErr w:type="spellEnd"/>
      <w:r w:rsidRPr="006A10D5">
        <w:rPr>
          <w:rFonts w:ascii="Arial" w:hAnsi="Arial" w:cs="Arial"/>
          <w:sz w:val="16"/>
          <w:szCs w:val="16"/>
        </w:rPr>
        <w:t xml:space="preserve"> R. Bo</w:t>
      </w:r>
      <w:r w:rsidRPr="006A10D5">
        <w:rPr>
          <w:rFonts w:ascii="Arial" w:hAnsi="Arial" w:cs="Arial"/>
          <w:sz w:val="16"/>
          <w:szCs w:val="16"/>
          <w:lang w:val="sr-Latn-CS"/>
        </w:rPr>
        <w:t xml:space="preserve">žičković, </w:t>
      </w:r>
      <w:r w:rsidRPr="006A10D5">
        <w:rPr>
          <w:rFonts w:ascii="Arial" w:hAnsi="Arial" w:cs="Arial"/>
          <w:sz w:val="16"/>
          <w:szCs w:val="16"/>
        </w:rPr>
        <w:t>Faculty of Mechanical Engineering in East of Sarajevo, East of Sarajevo</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1960" w:rsidRDefault="006A10D5" w:rsidP="00C85241">
    <w:pPr>
      <w:pStyle w:val="Header"/>
      <w:pBdr>
        <w:bottom w:val="single" w:sz="4" w:space="1" w:color="auto"/>
      </w:pBdr>
    </w:pPr>
    <w:r w:rsidRPr="004B49C4">
      <w:t xml:space="preserve">S. </w:t>
    </w:r>
    <w:proofErr w:type="spellStart"/>
    <w:r w:rsidRPr="004B49C4">
      <w:t>Biočanin</w:t>
    </w:r>
    <w:proofErr w:type="spellEnd"/>
    <w:r>
      <w:t xml:space="preserve">, </w:t>
    </w:r>
    <w:r w:rsidRPr="004B49C4">
      <w:t xml:space="preserve">Ž. </w:t>
    </w:r>
    <w:proofErr w:type="spellStart"/>
    <w:r w:rsidRPr="004B49C4">
      <w:t>Bulatović</w:t>
    </w:r>
    <w:proofErr w:type="spellEnd"/>
    <w:r>
      <w:t xml:space="preserve">, </w:t>
    </w:r>
    <w:r w:rsidRPr="004B49C4">
      <w:t xml:space="preserve">A. </w:t>
    </w:r>
    <w:proofErr w:type="spellStart"/>
    <w:r w:rsidRPr="004B49C4">
      <w:t>Milašinović</w:t>
    </w:r>
    <w:proofErr w:type="spellEnd"/>
    <w:r>
      <w:t xml:space="preserve">, </w:t>
    </w:r>
    <w:r w:rsidRPr="004B49C4">
      <w:t xml:space="preserve">I. </w:t>
    </w:r>
    <w:proofErr w:type="spellStart"/>
    <w:r w:rsidRPr="004B49C4">
      <w:t>Mujanić</w:t>
    </w:r>
    <w:proofErr w:type="spellEnd"/>
    <w:r>
      <w:t>, R. Bo</w:t>
    </w:r>
    <w:r>
      <w:rPr>
        <w:lang w:val="sr-Latn-CS"/>
      </w:rPr>
      <w:t>žičković</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1960" w:rsidRDefault="006A10D5" w:rsidP="00342513">
    <w:pPr>
      <w:pStyle w:val="Header"/>
      <w:pBdr>
        <w:bottom w:val="single" w:sz="4" w:space="1" w:color="auto"/>
      </w:pBdr>
      <w:rPr>
        <w:lang w:val="en-US"/>
      </w:rPr>
    </w:pPr>
    <w:r w:rsidRPr="00C50E2C">
      <w:t xml:space="preserve">Engine misfire identification by monitoring exhaust pressure and temperature </w:t>
    </w:r>
    <w:proofErr w:type="gramStart"/>
    <w:r w:rsidRPr="00C50E2C">
      <w:t>pulsation</w:t>
    </w:r>
    <w:r>
      <w:t xml:space="preserve"> ...</w:t>
    </w:r>
    <w:proofErr w:type="gramEnd"/>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54286"/>
    <w:multiLevelType w:val="hybridMultilevel"/>
    <w:tmpl w:val="AF3C3530"/>
    <w:lvl w:ilvl="0" w:tplc="22C64C6E">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
    <w:nsid w:val="27DB42DD"/>
    <w:multiLevelType w:val="hybridMultilevel"/>
    <w:tmpl w:val="A648C03C"/>
    <w:lvl w:ilvl="0" w:tplc="D09EB266">
      <w:start w:val="1"/>
      <w:numFmt w:val="decimal"/>
      <w:lvlText w:val="[%1] "/>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9A7147E"/>
    <w:multiLevelType w:val="hybridMultilevel"/>
    <w:tmpl w:val="A81A97A2"/>
    <w:lvl w:ilvl="0" w:tplc="11A8BF96">
      <w:start w:val="1"/>
      <w:numFmt w:val="decimal"/>
      <w:pStyle w:val="literatura"/>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00D74D5"/>
    <w:multiLevelType w:val="hybridMultilevel"/>
    <w:tmpl w:val="B15C9840"/>
    <w:lvl w:ilvl="0" w:tplc="5AC834A4">
      <w:start w:val="1"/>
      <w:numFmt w:val="decimal"/>
      <w:pStyle w:val="podnaslov"/>
      <w:lvlText w:val="%1."/>
      <w:lvlJc w:val="left"/>
      <w:pPr>
        <w:tabs>
          <w:tab w:val="num" w:pos="907"/>
        </w:tabs>
        <w:ind w:left="907" w:hanging="453"/>
      </w:pPr>
      <w:rPr>
        <w:rFonts w:ascii="Arial" w:hAnsi="Arial" w:hint="default"/>
        <w:b/>
        <w:i w:val="0"/>
        <w:sz w:val="20"/>
      </w:rPr>
    </w:lvl>
    <w:lvl w:ilvl="1" w:tplc="D1925F86"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EC932F1"/>
    <w:multiLevelType w:val="hybridMultilevel"/>
    <w:tmpl w:val="9A16D398"/>
    <w:lvl w:ilvl="0" w:tplc="76FAC410">
      <w:start w:val="1"/>
      <w:numFmt w:val="decimal"/>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3ED03CC"/>
    <w:multiLevelType w:val="hybridMultilevel"/>
    <w:tmpl w:val="D312E7B8"/>
    <w:lvl w:ilvl="0" w:tplc="6C7E81CC">
      <w:start w:val="1"/>
      <w:numFmt w:val="decimal"/>
      <w:pStyle w:val="nazivslike"/>
      <w:lvlText w:val="Sl.%1"/>
      <w:lvlJc w:val="center"/>
      <w:pPr>
        <w:tabs>
          <w:tab w:val="num" w:pos="3261"/>
        </w:tabs>
        <w:ind w:left="3261" w:hanging="567"/>
      </w:pPr>
      <w:rPr>
        <w:rFonts w:ascii="Arial" w:hAnsi="Arial" w:hint="default"/>
        <w:b w:val="0"/>
        <w:i/>
        <w:sz w:val="20"/>
      </w:rPr>
    </w:lvl>
    <w:lvl w:ilvl="1" w:tplc="04090019" w:tentative="1">
      <w:start w:val="1"/>
      <w:numFmt w:val="lowerLetter"/>
      <w:lvlText w:val="%2."/>
      <w:lvlJc w:val="left"/>
      <w:pPr>
        <w:tabs>
          <w:tab w:val="num" w:pos="3964"/>
        </w:tabs>
        <w:ind w:left="3964" w:hanging="360"/>
      </w:pPr>
    </w:lvl>
    <w:lvl w:ilvl="2" w:tplc="0409001B" w:tentative="1">
      <w:start w:val="1"/>
      <w:numFmt w:val="lowerRoman"/>
      <w:lvlText w:val="%3."/>
      <w:lvlJc w:val="right"/>
      <w:pPr>
        <w:tabs>
          <w:tab w:val="num" w:pos="4684"/>
        </w:tabs>
        <w:ind w:left="4684" w:hanging="180"/>
      </w:pPr>
    </w:lvl>
    <w:lvl w:ilvl="3" w:tplc="0409000F" w:tentative="1">
      <w:start w:val="1"/>
      <w:numFmt w:val="decimal"/>
      <w:lvlText w:val="%4."/>
      <w:lvlJc w:val="left"/>
      <w:pPr>
        <w:tabs>
          <w:tab w:val="num" w:pos="5404"/>
        </w:tabs>
        <w:ind w:left="5404" w:hanging="360"/>
      </w:pPr>
    </w:lvl>
    <w:lvl w:ilvl="4" w:tplc="04090019" w:tentative="1">
      <w:start w:val="1"/>
      <w:numFmt w:val="lowerLetter"/>
      <w:lvlText w:val="%5."/>
      <w:lvlJc w:val="left"/>
      <w:pPr>
        <w:tabs>
          <w:tab w:val="num" w:pos="6124"/>
        </w:tabs>
        <w:ind w:left="6124" w:hanging="360"/>
      </w:pPr>
    </w:lvl>
    <w:lvl w:ilvl="5" w:tplc="0409001B" w:tentative="1">
      <w:start w:val="1"/>
      <w:numFmt w:val="lowerRoman"/>
      <w:lvlText w:val="%6."/>
      <w:lvlJc w:val="right"/>
      <w:pPr>
        <w:tabs>
          <w:tab w:val="num" w:pos="6844"/>
        </w:tabs>
        <w:ind w:left="6844" w:hanging="180"/>
      </w:pPr>
    </w:lvl>
    <w:lvl w:ilvl="6" w:tplc="0409000F" w:tentative="1">
      <w:start w:val="1"/>
      <w:numFmt w:val="decimal"/>
      <w:lvlText w:val="%7."/>
      <w:lvlJc w:val="left"/>
      <w:pPr>
        <w:tabs>
          <w:tab w:val="num" w:pos="7564"/>
        </w:tabs>
        <w:ind w:left="7564" w:hanging="360"/>
      </w:pPr>
    </w:lvl>
    <w:lvl w:ilvl="7" w:tplc="04090019" w:tentative="1">
      <w:start w:val="1"/>
      <w:numFmt w:val="lowerLetter"/>
      <w:lvlText w:val="%8."/>
      <w:lvlJc w:val="left"/>
      <w:pPr>
        <w:tabs>
          <w:tab w:val="num" w:pos="8284"/>
        </w:tabs>
        <w:ind w:left="8284" w:hanging="360"/>
      </w:pPr>
    </w:lvl>
    <w:lvl w:ilvl="8" w:tplc="0409001B" w:tentative="1">
      <w:start w:val="1"/>
      <w:numFmt w:val="lowerRoman"/>
      <w:lvlText w:val="%9."/>
      <w:lvlJc w:val="right"/>
      <w:pPr>
        <w:tabs>
          <w:tab w:val="num" w:pos="9004"/>
        </w:tabs>
        <w:ind w:left="9004" w:hanging="180"/>
      </w:pPr>
    </w:lvl>
  </w:abstractNum>
  <w:abstractNum w:abstractNumId="6">
    <w:nsid w:val="696C331F"/>
    <w:multiLevelType w:val="hybridMultilevel"/>
    <w:tmpl w:val="9AD6A8D0"/>
    <w:lvl w:ilvl="0" w:tplc="38B60EB6">
      <w:start w:val="1"/>
      <w:numFmt w:val="bullet"/>
      <w:pStyle w:val="nabrajanje"/>
      <w:lvlText w:val=""/>
      <w:lvlJc w:val="left"/>
      <w:pPr>
        <w:tabs>
          <w:tab w:val="num" w:pos="624"/>
        </w:tabs>
        <w:ind w:left="624" w:hanging="397"/>
      </w:pPr>
      <w:rPr>
        <w:rFonts w:ascii="Symbol" w:hAnsi="Symbol"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6C3202CF"/>
    <w:multiLevelType w:val="hybridMultilevel"/>
    <w:tmpl w:val="C4FC7E36"/>
    <w:lvl w:ilvl="0" w:tplc="04090005">
      <w:start w:val="1"/>
      <w:numFmt w:val="bullet"/>
      <w:lvlText w:val=""/>
      <w:lvlJc w:val="left"/>
      <w:pPr>
        <w:ind w:left="1400" w:hanging="360"/>
      </w:pPr>
      <w:rPr>
        <w:rFonts w:ascii="Wingdings" w:hAnsi="Wingdings"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8">
    <w:nsid w:val="721D1A34"/>
    <w:multiLevelType w:val="hybridMultilevel"/>
    <w:tmpl w:val="E326EC00"/>
    <w:lvl w:ilvl="0" w:tplc="04090011">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abstractNumId w:val="3"/>
  </w:num>
  <w:num w:numId="2">
    <w:abstractNumId w:val="6"/>
  </w:num>
  <w:num w:numId="3">
    <w:abstractNumId w:val="5"/>
  </w:num>
  <w:num w:numId="4">
    <w:abstractNumId w:val="2"/>
  </w:num>
  <w:num w:numId="5">
    <w:abstractNumId w:val="7"/>
  </w:num>
  <w:num w:numId="6">
    <w:abstractNumId w:val="4"/>
  </w:num>
  <w:num w:numId="7">
    <w:abstractNumId w:val="8"/>
  </w:num>
  <w:num w:numId="8">
    <w:abstractNumId w:val="0"/>
  </w:num>
  <w:num w:numId="9">
    <w:abstractNumId w:val="1"/>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embedTrueTypeFonts/>
  <w:embedSystemFonts/>
  <w:mirrorMargins/>
  <w:hideSpellingErrors/>
  <w:hideGrammaticalErrors/>
  <w:activeWritingStyle w:appName="MSWord" w:lang="en-US" w:vendorID="64" w:dllVersion="131077" w:nlCheck="1" w:checkStyle="1"/>
  <w:activeWritingStyle w:appName="MSWord" w:lang="en-GB" w:vendorID="64" w:dllVersion="131077" w:nlCheck="1" w:checkStyle="1"/>
  <w:activeWritingStyle w:appName="MSWord" w:lang="en-US" w:vendorID="64" w:dllVersion="131078" w:nlCheck="1" w:checkStyle="1"/>
  <w:activeWritingStyle w:appName="MSWord" w:lang="en-GB" w:vendorID="64" w:dllVersion="131078" w:nlCheck="1" w:checkStyle="1"/>
  <w:proofState w:spelling="clean" w:grammar="clean"/>
  <w:stylePaneFormatFilter w:val="3001"/>
  <w:doNotTrackMoves/>
  <w:defaultTabStop w:val="720"/>
  <w:evenAndOddHeaders/>
  <w:noPunctuationKerning/>
  <w:characterSpacingControl w:val="doNotCompress"/>
  <w:hdrShapeDefaults>
    <o:shapedefaults v:ext="edit" spidmax="9217"/>
  </w:hdrShapeDefault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B0F6B"/>
    <w:rsid w:val="0003178C"/>
    <w:rsid w:val="000B2576"/>
    <w:rsid w:val="000B614D"/>
    <w:rsid w:val="00133AB9"/>
    <w:rsid w:val="00137707"/>
    <w:rsid w:val="001559C3"/>
    <w:rsid w:val="0018136C"/>
    <w:rsid w:val="00215181"/>
    <w:rsid w:val="0028645A"/>
    <w:rsid w:val="003117CF"/>
    <w:rsid w:val="00342513"/>
    <w:rsid w:val="003708F5"/>
    <w:rsid w:val="003C2ADE"/>
    <w:rsid w:val="00406AFA"/>
    <w:rsid w:val="004B4035"/>
    <w:rsid w:val="004D0772"/>
    <w:rsid w:val="004D6E4A"/>
    <w:rsid w:val="005428AF"/>
    <w:rsid w:val="00551471"/>
    <w:rsid w:val="005C0275"/>
    <w:rsid w:val="005E79E6"/>
    <w:rsid w:val="00601387"/>
    <w:rsid w:val="0064103A"/>
    <w:rsid w:val="00672C13"/>
    <w:rsid w:val="006951A6"/>
    <w:rsid w:val="006A0627"/>
    <w:rsid w:val="006A10D5"/>
    <w:rsid w:val="0077537C"/>
    <w:rsid w:val="007B0F6B"/>
    <w:rsid w:val="007B6FCB"/>
    <w:rsid w:val="00813024"/>
    <w:rsid w:val="00822E6A"/>
    <w:rsid w:val="008E6121"/>
    <w:rsid w:val="00991EF8"/>
    <w:rsid w:val="009A3D6A"/>
    <w:rsid w:val="009F777C"/>
    <w:rsid w:val="00A60241"/>
    <w:rsid w:val="00AC70F4"/>
    <w:rsid w:val="00AD3B8A"/>
    <w:rsid w:val="00B52D8B"/>
    <w:rsid w:val="00B91D5E"/>
    <w:rsid w:val="00C03B71"/>
    <w:rsid w:val="00C67096"/>
    <w:rsid w:val="00C81576"/>
    <w:rsid w:val="00C85241"/>
    <w:rsid w:val="00C9349F"/>
    <w:rsid w:val="00CB1760"/>
    <w:rsid w:val="00CB1960"/>
    <w:rsid w:val="00CF4F70"/>
    <w:rsid w:val="00D5198F"/>
    <w:rsid w:val="00D66B27"/>
    <w:rsid w:val="00D67A5D"/>
    <w:rsid w:val="00D96D16"/>
    <w:rsid w:val="00DC2774"/>
    <w:rsid w:val="00DE4D0B"/>
    <w:rsid w:val="00E0393A"/>
    <w:rsid w:val="00E16D8B"/>
    <w:rsid w:val="00E228BB"/>
    <w:rsid w:val="00E34AAF"/>
    <w:rsid w:val="00E614E3"/>
    <w:rsid w:val="00E70BA1"/>
    <w:rsid w:val="00EA2EEF"/>
    <w:rsid w:val="00F02BF9"/>
    <w:rsid w:val="00F0512E"/>
    <w:rsid w:val="00F8294F"/>
    <w:rsid w:val="00F92D41"/>
    <w:rsid w:val="00FB3BEC"/>
    <w:rsid w:val="00FB5FFC"/>
    <w:rsid w:val="00FF1BE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B0F6B"/>
    <w:rPr>
      <w:sz w:val="24"/>
      <w:szCs w:val="24"/>
      <w:lang w:val="en-GB"/>
    </w:rPr>
  </w:style>
  <w:style w:type="paragraph" w:styleId="Heading1">
    <w:name w:val="heading 1"/>
    <w:basedOn w:val="Normal"/>
    <w:next w:val="Normal"/>
    <w:qFormat/>
    <w:rsid w:val="007B0F6B"/>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7B0F6B"/>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B0F6B"/>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7B0F6B"/>
    <w:pPr>
      <w:tabs>
        <w:tab w:val="center" w:pos="4153"/>
        <w:tab w:val="right" w:pos="8306"/>
      </w:tabs>
    </w:pPr>
    <w:rPr>
      <w:rFonts w:ascii="Arial" w:hAnsi="Arial"/>
      <w:sz w:val="16"/>
      <w:szCs w:val="16"/>
    </w:rPr>
  </w:style>
  <w:style w:type="paragraph" w:customStyle="1" w:styleId="fusnota">
    <w:name w:val="fusnota"/>
    <w:basedOn w:val="Normal"/>
    <w:rsid w:val="007B0F6B"/>
    <w:pPr>
      <w:jc w:val="both"/>
    </w:pPr>
    <w:rPr>
      <w:rFonts w:ascii="Arial" w:hAnsi="Arial" w:cs="Arial"/>
      <w:sz w:val="16"/>
      <w:szCs w:val="16"/>
      <w:lang w:val="en-US"/>
    </w:rPr>
  </w:style>
  <w:style w:type="paragraph" w:styleId="Header">
    <w:name w:val="header"/>
    <w:basedOn w:val="Normal"/>
    <w:rsid w:val="00C85241"/>
    <w:pPr>
      <w:tabs>
        <w:tab w:val="center" w:pos="4153"/>
        <w:tab w:val="right" w:pos="8306"/>
      </w:tabs>
    </w:pPr>
    <w:rPr>
      <w:rFonts w:ascii="Arial" w:hAnsi="Arial"/>
      <w:i/>
      <w:sz w:val="18"/>
      <w:szCs w:val="18"/>
    </w:rPr>
  </w:style>
  <w:style w:type="paragraph" w:customStyle="1" w:styleId="imeautoraikoautora">
    <w:name w:val="ime autora i koautora"/>
    <w:basedOn w:val="Normal"/>
    <w:rsid w:val="007B0F6B"/>
    <w:pPr>
      <w:spacing w:before="120" w:after="360"/>
      <w:jc w:val="center"/>
    </w:pPr>
    <w:rPr>
      <w:rFonts w:ascii="Arial" w:hAnsi="Arial" w:cs="Arial"/>
      <w:b/>
      <w:bCs/>
      <w:sz w:val="20"/>
      <w:lang w:val="sl-SI"/>
    </w:rPr>
  </w:style>
  <w:style w:type="paragraph" w:customStyle="1" w:styleId="literatura">
    <w:name w:val="literatura"/>
    <w:basedOn w:val="Normal"/>
    <w:rsid w:val="007B6FCB"/>
    <w:pPr>
      <w:numPr>
        <w:numId w:val="4"/>
      </w:numPr>
      <w:jc w:val="both"/>
    </w:pPr>
    <w:rPr>
      <w:rFonts w:ascii="Arial" w:hAnsi="Arial" w:cs="Arial"/>
      <w:sz w:val="20"/>
    </w:rPr>
  </w:style>
  <w:style w:type="paragraph" w:customStyle="1" w:styleId="podnaslov">
    <w:name w:val="podnaslov"/>
    <w:basedOn w:val="Normal"/>
    <w:rsid w:val="007B0F6B"/>
    <w:pPr>
      <w:numPr>
        <w:numId w:val="1"/>
      </w:numPr>
      <w:spacing w:before="120" w:after="120"/>
      <w:jc w:val="both"/>
    </w:pPr>
    <w:rPr>
      <w:rFonts w:ascii="Arial" w:hAnsi="Arial" w:cs="Arial"/>
      <w:b/>
      <w:bCs/>
      <w:sz w:val="20"/>
      <w:lang w:val="sl-SI"/>
    </w:rPr>
  </w:style>
  <w:style w:type="paragraph" w:customStyle="1" w:styleId="LITERATURA0">
    <w:name w:val="LITERATURA"/>
    <w:basedOn w:val="podnaslov"/>
    <w:rsid w:val="007B0F6B"/>
    <w:pPr>
      <w:numPr>
        <w:numId w:val="0"/>
      </w:numPr>
    </w:pPr>
    <w:rPr>
      <w:rFonts w:cs="Times New Roman"/>
      <w:szCs w:val="20"/>
    </w:rPr>
  </w:style>
  <w:style w:type="paragraph" w:customStyle="1" w:styleId="nabrajanje">
    <w:name w:val="nabrajanje"/>
    <w:basedOn w:val="Normal"/>
    <w:rsid w:val="007B0F6B"/>
    <w:pPr>
      <w:numPr>
        <w:numId w:val="2"/>
      </w:numPr>
      <w:tabs>
        <w:tab w:val="clear" w:pos="624"/>
        <w:tab w:val="num" w:pos="360"/>
      </w:tabs>
      <w:spacing w:before="60" w:after="60"/>
      <w:ind w:left="0" w:firstLine="0"/>
    </w:pPr>
    <w:rPr>
      <w:rFonts w:ascii="Arial" w:hAnsi="Arial" w:cs="Arial"/>
      <w:snapToGrid w:val="0"/>
      <w:sz w:val="20"/>
    </w:rPr>
  </w:style>
  <w:style w:type="paragraph" w:customStyle="1" w:styleId="NASLOV">
    <w:name w:val="NASLOV"/>
    <w:basedOn w:val="Normal"/>
    <w:rsid w:val="007B0F6B"/>
    <w:pPr>
      <w:spacing w:before="240" w:after="120"/>
      <w:jc w:val="center"/>
    </w:pPr>
    <w:rPr>
      <w:rFonts w:ascii="Arial" w:hAnsi="Arial" w:cs="Arial"/>
      <w:b/>
      <w:bCs/>
      <w:lang w:val="sl-SI"/>
    </w:rPr>
  </w:style>
  <w:style w:type="paragraph" w:customStyle="1" w:styleId="naslovnadrugomjeziku">
    <w:name w:val="naslov na drugom jeziku"/>
    <w:basedOn w:val="Normal"/>
    <w:rsid w:val="007B0F6B"/>
    <w:pPr>
      <w:spacing w:before="120" w:after="120"/>
      <w:jc w:val="center"/>
    </w:pPr>
    <w:rPr>
      <w:rFonts w:ascii="Arial" w:hAnsi="Arial" w:cs="Arial"/>
      <w:b/>
      <w:i/>
      <w:iCs/>
      <w:sz w:val="20"/>
      <w:szCs w:val="20"/>
      <w:lang w:val="hr-HR"/>
    </w:rPr>
  </w:style>
  <w:style w:type="paragraph" w:customStyle="1" w:styleId="nazivslike">
    <w:name w:val="naziv slike"/>
    <w:basedOn w:val="Normal"/>
    <w:rsid w:val="007B0F6B"/>
    <w:pPr>
      <w:numPr>
        <w:numId w:val="3"/>
      </w:numPr>
      <w:tabs>
        <w:tab w:val="num" w:pos="360"/>
      </w:tabs>
      <w:spacing w:after="120"/>
      <w:ind w:left="0" w:firstLine="0"/>
      <w:jc w:val="center"/>
    </w:pPr>
    <w:rPr>
      <w:rFonts w:ascii="Arial" w:hAnsi="Arial" w:cs="Arial"/>
      <w:i/>
      <w:iCs/>
      <w:sz w:val="20"/>
      <w:lang w:val="en-US"/>
    </w:rPr>
  </w:style>
  <w:style w:type="character" w:styleId="PageNumber">
    <w:name w:val="page number"/>
    <w:rsid w:val="00D5198F"/>
    <w:rPr>
      <w:rFonts w:ascii="Arial" w:hAnsi="Arial"/>
      <w:sz w:val="20"/>
      <w:szCs w:val="20"/>
    </w:rPr>
  </w:style>
  <w:style w:type="paragraph" w:customStyle="1" w:styleId="paragraf">
    <w:name w:val="paragraf"/>
    <w:basedOn w:val="Normal"/>
    <w:link w:val="paragrafChar"/>
    <w:rsid w:val="007B0F6B"/>
    <w:pPr>
      <w:widowControl w:val="0"/>
      <w:ind w:firstLine="680"/>
      <w:jc w:val="both"/>
    </w:pPr>
    <w:rPr>
      <w:rFonts w:ascii="Arial" w:hAnsi="Arial" w:cs="Arial"/>
      <w:sz w:val="20"/>
      <w:szCs w:val="20"/>
      <w:lang w:val="sl-SI"/>
    </w:rPr>
  </w:style>
  <w:style w:type="paragraph" w:customStyle="1" w:styleId="rezime">
    <w:name w:val="rezime"/>
    <w:basedOn w:val="Normal"/>
    <w:rsid w:val="007B0F6B"/>
    <w:pPr>
      <w:jc w:val="both"/>
    </w:pPr>
    <w:rPr>
      <w:rFonts w:ascii="Arial" w:hAnsi="Arial" w:cs="Arial"/>
      <w:i/>
      <w:iCs/>
      <w:sz w:val="20"/>
      <w:lang w:val="sl-SI"/>
    </w:rPr>
  </w:style>
  <w:style w:type="paragraph" w:customStyle="1" w:styleId="slika">
    <w:name w:val="slika"/>
    <w:basedOn w:val="Normal"/>
    <w:rsid w:val="007B0F6B"/>
    <w:pPr>
      <w:widowControl w:val="0"/>
      <w:spacing w:before="120" w:after="120"/>
      <w:jc w:val="center"/>
    </w:pPr>
    <w:rPr>
      <w:rFonts w:ascii="Arial" w:hAnsi="Arial" w:cs="Arial"/>
    </w:rPr>
  </w:style>
  <w:style w:type="paragraph" w:styleId="FootnoteText">
    <w:name w:val="footnote text"/>
    <w:basedOn w:val="Normal"/>
    <w:semiHidden/>
    <w:rsid w:val="007B0F6B"/>
    <w:rPr>
      <w:sz w:val="20"/>
      <w:szCs w:val="20"/>
    </w:rPr>
  </w:style>
  <w:style w:type="character" w:styleId="FootnoteReference">
    <w:name w:val="footnote reference"/>
    <w:semiHidden/>
    <w:rsid w:val="00813024"/>
    <w:rPr>
      <w:rFonts w:ascii="Arial" w:hAnsi="Arial"/>
      <w:sz w:val="18"/>
      <w:szCs w:val="18"/>
      <w:vertAlign w:val="superscript"/>
    </w:rPr>
  </w:style>
  <w:style w:type="character" w:customStyle="1" w:styleId="paragrafChar">
    <w:name w:val="paragraf Char"/>
    <w:link w:val="paragraf"/>
    <w:rsid w:val="007B0F6B"/>
    <w:rPr>
      <w:rFonts w:ascii="Arial" w:hAnsi="Arial" w:cs="Arial"/>
      <w:lang w:val="sl-SI" w:eastAsia="en-US" w:bidi="ar-SA"/>
    </w:rPr>
  </w:style>
  <w:style w:type="character" w:customStyle="1" w:styleId="FooterChar">
    <w:name w:val="Footer Char"/>
    <w:link w:val="Footer"/>
    <w:rsid w:val="007B0F6B"/>
    <w:rPr>
      <w:rFonts w:ascii="Arial" w:hAnsi="Arial"/>
      <w:sz w:val="16"/>
      <w:szCs w:val="16"/>
      <w:lang w:val="en-GB" w:eastAsia="en-US" w:bidi="ar-SA"/>
    </w:rPr>
  </w:style>
  <w:style w:type="table" w:styleId="TableGrid">
    <w:name w:val="Table Grid"/>
    <w:basedOn w:val="TableNormal"/>
    <w:uiPriority w:val="59"/>
    <w:rsid w:val="00B91D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ps">
    <w:name w:val="hps"/>
    <w:rsid w:val="00B91D5E"/>
  </w:style>
  <w:style w:type="character" w:customStyle="1" w:styleId="Authorsname">
    <w:name w:val="Authors name"/>
    <w:rsid w:val="004B4035"/>
    <w:rPr>
      <w:rFonts w:ascii="Times New Roman" w:hAnsi="Times New Roman"/>
      <w:sz w:val="20"/>
    </w:rPr>
  </w:style>
  <w:style w:type="character" w:styleId="PlaceholderText">
    <w:name w:val="Placeholder Text"/>
    <w:basedOn w:val="DefaultParagraphFont"/>
    <w:uiPriority w:val="99"/>
    <w:semiHidden/>
    <w:rsid w:val="006A10D5"/>
    <w:rPr>
      <w:color w:val="808080"/>
    </w:rPr>
  </w:style>
  <w:style w:type="paragraph" w:styleId="ListParagraph">
    <w:name w:val="List Paragraph"/>
    <w:basedOn w:val="Normal"/>
    <w:uiPriority w:val="34"/>
    <w:qFormat/>
    <w:rsid w:val="006A10D5"/>
    <w:pPr>
      <w:ind w:left="720"/>
      <w:contextualSpacing/>
      <w:jc w:val="both"/>
    </w:pPr>
    <w:rPr>
      <w:rFonts w:asciiTheme="minorHAnsi" w:eastAsiaTheme="minorHAnsi" w:hAnsiTheme="minorHAnsi" w:cstheme="minorBidi"/>
      <w:sz w:val="22"/>
      <w:szCs w:val="22"/>
      <w:lang w:val="en-US"/>
    </w:rPr>
  </w:style>
</w:styles>
</file>

<file path=word/webSettings.xml><?xml version="1.0" encoding="utf-8"?>
<w:webSettings xmlns:r="http://schemas.openxmlformats.org/officeDocument/2006/relationships" xmlns:w="http://schemas.openxmlformats.org/wordprocessingml/2006/main">
  <w:divs>
    <w:div w:id="915166061">
      <w:bodyDiv w:val="1"/>
      <w:marLeft w:val="0"/>
      <w:marRight w:val="0"/>
      <w:marTop w:val="0"/>
      <w:marBottom w:val="0"/>
      <w:divBdr>
        <w:top w:val="none" w:sz="0" w:space="0" w:color="auto"/>
        <w:left w:val="none" w:sz="0" w:space="0" w:color="auto"/>
        <w:bottom w:val="none" w:sz="0" w:space="0" w:color="auto"/>
        <w:right w:val="none" w:sz="0" w:space="0" w:color="auto"/>
      </w:divBdr>
      <w:divsChild>
        <w:div w:id="59403780">
          <w:marLeft w:val="0"/>
          <w:marRight w:val="0"/>
          <w:marTop w:val="0"/>
          <w:marBottom w:val="0"/>
          <w:divBdr>
            <w:top w:val="none" w:sz="0" w:space="0" w:color="auto"/>
            <w:left w:val="none" w:sz="0" w:space="0" w:color="auto"/>
            <w:bottom w:val="none" w:sz="0" w:space="0" w:color="auto"/>
            <w:right w:val="none" w:sz="0" w:space="0" w:color="auto"/>
          </w:divBdr>
          <w:divsChild>
            <w:div w:id="1104114546">
              <w:marLeft w:val="0"/>
              <w:marRight w:val="0"/>
              <w:marTop w:val="0"/>
              <w:marBottom w:val="0"/>
              <w:divBdr>
                <w:top w:val="none" w:sz="0" w:space="0" w:color="auto"/>
                <w:left w:val="none" w:sz="0" w:space="0" w:color="auto"/>
                <w:bottom w:val="none" w:sz="0" w:space="0" w:color="auto"/>
                <w:right w:val="none" w:sz="0" w:space="0" w:color="auto"/>
              </w:divBdr>
              <w:divsChild>
                <w:div w:id="280452388">
                  <w:marLeft w:val="0"/>
                  <w:marRight w:val="0"/>
                  <w:marTop w:val="0"/>
                  <w:marBottom w:val="0"/>
                  <w:divBdr>
                    <w:top w:val="none" w:sz="0" w:space="0" w:color="auto"/>
                    <w:left w:val="none" w:sz="0" w:space="0" w:color="auto"/>
                    <w:bottom w:val="none" w:sz="0" w:space="0" w:color="auto"/>
                    <w:right w:val="none" w:sz="0" w:space="0" w:color="auto"/>
                  </w:divBdr>
                  <w:divsChild>
                    <w:div w:id="167599911">
                      <w:marLeft w:val="0"/>
                      <w:marRight w:val="0"/>
                      <w:marTop w:val="0"/>
                      <w:marBottom w:val="0"/>
                      <w:divBdr>
                        <w:top w:val="none" w:sz="0" w:space="0" w:color="auto"/>
                        <w:left w:val="none" w:sz="0" w:space="0" w:color="auto"/>
                        <w:bottom w:val="none" w:sz="0" w:space="0" w:color="auto"/>
                        <w:right w:val="none" w:sz="0" w:space="0" w:color="auto"/>
                      </w:divBdr>
                      <w:divsChild>
                        <w:div w:id="1763842393">
                          <w:marLeft w:val="0"/>
                          <w:marRight w:val="0"/>
                          <w:marTop w:val="0"/>
                          <w:marBottom w:val="0"/>
                          <w:divBdr>
                            <w:top w:val="none" w:sz="0" w:space="0" w:color="auto"/>
                            <w:left w:val="none" w:sz="0" w:space="0" w:color="auto"/>
                            <w:bottom w:val="none" w:sz="0" w:space="0" w:color="auto"/>
                            <w:right w:val="none" w:sz="0" w:space="0" w:color="auto"/>
                          </w:divBdr>
                          <w:divsChild>
                            <w:div w:id="305283706">
                              <w:marLeft w:val="0"/>
                              <w:marRight w:val="0"/>
                              <w:marTop w:val="0"/>
                              <w:marBottom w:val="0"/>
                              <w:divBdr>
                                <w:top w:val="none" w:sz="0" w:space="0" w:color="auto"/>
                                <w:left w:val="none" w:sz="0" w:space="0" w:color="auto"/>
                                <w:bottom w:val="none" w:sz="0" w:space="0" w:color="auto"/>
                                <w:right w:val="none" w:sz="0" w:space="0" w:color="auto"/>
                              </w:divBdr>
                              <w:divsChild>
                                <w:div w:id="36182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hyperlink" Target="file:///C:\Users\EC\AppData\Local\Literatura\960039.pdf" TargetMode="External"/><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hyperlink" Target="file:///C:\Users\EC\AppData\Local\Literatura\960041.pdf" TargetMode="Externa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4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hyperlink" Target="file:///C:\Users\EC\AppData\Local\Literatura\TarazaASME.pdf" TargetMode="External"/><Relationship Id="rId40" Type="http://schemas.openxmlformats.org/officeDocument/2006/relationships/header" Target="head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jpeg"/><Relationship Id="rId36" Type="http://schemas.openxmlformats.org/officeDocument/2006/relationships/image" Target="media/image29.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E8F6F7-3AF7-4951-9529-73E29CCE5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14</Pages>
  <Words>4527</Words>
  <Characters>24757</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lpstr>
    </vt:vector>
  </TitlesOfParts>
  <Company>Koming</Company>
  <LinksUpToDate>false</LinksUpToDate>
  <CharactersWithSpaces>29226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Administrator</dc:creator>
  <cp:keywords/>
  <dc:description/>
  <cp:lastModifiedBy>Zeljko</cp:lastModifiedBy>
  <cp:revision>6</cp:revision>
  <cp:lastPrinted>2005-03-14T12:21:00Z</cp:lastPrinted>
  <dcterms:created xsi:type="dcterms:W3CDTF">2015-02-09T17:56:00Z</dcterms:created>
  <dcterms:modified xsi:type="dcterms:W3CDTF">2015-03-16T13:48:00Z</dcterms:modified>
</cp:coreProperties>
</file>