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201" w:rsidRPr="00253442" w:rsidRDefault="00C67201" w:rsidP="004763FC">
      <w:pPr>
        <w:spacing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253442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Korelacija stres testa opterećenja vodom sa strukturnim i funkcionalnim promjenama </w:t>
      </w:r>
      <w:r w:rsidR="00253442" w:rsidRPr="00253442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kod novodijagnostikovanih</w:t>
      </w:r>
      <w:r w:rsidR="004565A4" w:rsidRPr="00253442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glaukomskih</w:t>
      </w:r>
      <w:r w:rsidR="000A01A2" w:rsidRPr="00253442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pacijenata</w:t>
      </w:r>
      <w:r w:rsidR="00732FEB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bez terapije</w:t>
      </w:r>
    </w:p>
    <w:p w:rsidR="00253442" w:rsidRDefault="00253442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Bojana Markić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val="sr-Latn-CS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, Milka Mavija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val="sr-Latn-CS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, Emira </w:t>
      </w:r>
      <w:r w:rsidRPr="00253442">
        <w:rPr>
          <w:rFonts w:ascii="Times New Roman" w:hAnsi="Times New Roman" w:cs="Times New Roman"/>
          <w:noProof/>
          <w:sz w:val="24"/>
          <w:szCs w:val="24"/>
          <w:lang w:val="sr-Latn-CS"/>
        </w:rPr>
        <w:t>Ignjatić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val="sr-Latn-CS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, </w:t>
      </w:r>
      <w:r w:rsidRPr="00253442">
        <w:rPr>
          <w:rFonts w:ascii="Times New Roman" w:hAnsi="Times New Roman" w:cs="Times New Roman"/>
          <w:noProof/>
          <w:sz w:val="24"/>
          <w:szCs w:val="24"/>
          <w:lang w:val="sr-Latn-CS"/>
        </w:rPr>
        <w:t>Vesna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Ljubojević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val="sr-Latn-CS"/>
        </w:rPr>
        <w:t>2</w:t>
      </w:r>
    </w:p>
    <w:p w:rsidR="004763FC" w:rsidRPr="004763FC" w:rsidRDefault="004763FC" w:rsidP="004763FC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sr-Latn-CS"/>
        </w:rPr>
      </w:pPr>
      <w:r>
        <w:rPr>
          <w:rFonts w:ascii="Times New Roman" w:eastAsia="Calibri" w:hAnsi="Times New Roman" w:cs="Times New Roman"/>
          <w:sz w:val="24"/>
          <w:szCs w:val="24"/>
          <w:vertAlign w:val="superscript"/>
          <w:lang w:val="sr-Latn-CS"/>
        </w:rPr>
        <w:t>1</w:t>
      </w:r>
      <w:r w:rsidRPr="004763FC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Klinika za očne bolesti, 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>UB</w:t>
      </w:r>
      <w:r w:rsidRPr="004763FC">
        <w:rPr>
          <w:rFonts w:ascii="Times New Roman" w:eastAsia="Calibri" w:hAnsi="Times New Roman" w:cs="Times New Roman"/>
          <w:sz w:val="24"/>
          <w:szCs w:val="24"/>
          <w:lang w:val="sr-Latn-CS"/>
        </w:rPr>
        <w:t>KC Banjaluka, Medicinski fakultet Univerziteta u Banjaluci, Banjaluka, Republika Srpska, Bosna i Hercegovina</w:t>
      </w:r>
    </w:p>
    <w:p w:rsidR="004763FC" w:rsidRPr="004763FC" w:rsidRDefault="004763FC" w:rsidP="004763FC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4763FC">
        <w:rPr>
          <w:rFonts w:ascii="Times New Roman" w:eastAsia="Calibri" w:hAnsi="Times New Roman" w:cs="Times New Roman"/>
          <w:sz w:val="24"/>
          <w:szCs w:val="24"/>
          <w:vertAlign w:val="superscript"/>
          <w:lang w:val="sr-Latn-CS"/>
        </w:rPr>
        <w:t>2</w:t>
      </w:r>
      <w:r w:rsidRPr="004763FC">
        <w:rPr>
          <w:rFonts w:ascii="Times New Roman" w:eastAsia="Calibri" w:hAnsi="Times New Roman" w:cs="Times New Roman"/>
          <w:sz w:val="24"/>
          <w:szCs w:val="24"/>
          <w:lang w:val="sr-Latn-CS"/>
        </w:rPr>
        <w:t>Medicinski fakultet Univerziteta u Banjaluci, Banjaluka, Republika Srpska, Bosna i Hercegovina</w:t>
      </w:r>
    </w:p>
    <w:p w:rsidR="00253442" w:rsidRDefault="00253442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Pr="004763FC" w:rsidRDefault="004763FC" w:rsidP="004763FC">
      <w:pPr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4763FC">
        <w:rPr>
          <w:rFonts w:ascii="Times New Roman" w:eastAsia="Calibri" w:hAnsi="Times New Roman" w:cs="Times New Roman"/>
          <w:sz w:val="24"/>
          <w:szCs w:val="24"/>
          <w:lang w:val="sr-Latn-CS"/>
        </w:rPr>
        <w:t>Adresa korespondirajućeg autora: Dr Bojana Markić</w:t>
      </w:r>
    </w:p>
    <w:p w:rsidR="004763FC" w:rsidRPr="004763FC" w:rsidRDefault="004763FC" w:rsidP="004763FC">
      <w:pPr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4763FC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Klinika za očne bolesti, 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>UB</w:t>
      </w:r>
      <w:r w:rsidRPr="004763FC">
        <w:rPr>
          <w:rFonts w:ascii="Times New Roman" w:eastAsia="Calibri" w:hAnsi="Times New Roman" w:cs="Times New Roman"/>
          <w:sz w:val="24"/>
          <w:szCs w:val="24"/>
          <w:lang w:val="sr-Latn-CS"/>
        </w:rPr>
        <w:t>KC Banja Luka</w:t>
      </w:r>
    </w:p>
    <w:p w:rsidR="004763FC" w:rsidRPr="004763FC" w:rsidRDefault="004763FC" w:rsidP="004763FC">
      <w:pPr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4763FC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                                           12 beba bb, 78000 Banja Luka</w:t>
      </w:r>
    </w:p>
    <w:p w:rsidR="004763FC" w:rsidRPr="004763FC" w:rsidRDefault="00FD33D6" w:rsidP="004763FC">
      <w:pPr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  <w:lang w:val="sr-Latn-CS"/>
        </w:rPr>
      </w:pPr>
      <w:hyperlink r:id="rId5" w:history="1">
        <w:r w:rsidR="004763FC" w:rsidRPr="004763F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sr-Latn-CS"/>
          </w:rPr>
          <w:t>zbmarkic@gmail.com</w:t>
        </w:r>
      </w:hyperlink>
    </w:p>
    <w:p w:rsidR="004763FC" w:rsidRPr="004763FC" w:rsidRDefault="004763FC" w:rsidP="00A04AB2">
      <w:pPr>
        <w:spacing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4763FC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lastRenderedPageBreak/>
        <w:t>Kratak sadržaj</w:t>
      </w:r>
    </w:p>
    <w:p w:rsidR="00A04AB2" w:rsidRPr="00A04AB2" w:rsidRDefault="004763FC" w:rsidP="0033378B">
      <w:pPr>
        <w:spacing w:after="0" w:line="48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4763FC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Uvod:</w:t>
      </w:r>
      <w:r w:rsidR="00043E67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="00043E67">
        <w:rPr>
          <w:rFonts w:ascii="Times New Roman" w:hAnsi="Times New Roman" w:cs="Times New Roman"/>
          <w:noProof/>
          <w:sz w:val="24"/>
          <w:szCs w:val="24"/>
          <w:lang w:val="sr-Latn-CS"/>
        </w:rPr>
        <w:t>Test opterećenja vodom</w:t>
      </w:r>
      <w:r w:rsidR="00A04AB2">
        <w:rPr>
          <w:rFonts w:ascii="Times New Roman" w:hAnsi="Times New Roman" w:cs="Times New Roman"/>
          <w:noProof/>
          <w:sz w:val="24"/>
          <w:szCs w:val="24"/>
          <w:lang w:val="sr-Latn-CS"/>
        </w:rPr>
        <w:t>, ranije</w:t>
      </w:r>
      <w:r w:rsidR="00043E6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smatra</w:t>
      </w:r>
      <w:r w:rsidR="00A04AB2">
        <w:rPr>
          <w:rFonts w:ascii="Times New Roman" w:hAnsi="Times New Roman" w:cs="Times New Roman"/>
          <w:noProof/>
          <w:sz w:val="24"/>
          <w:szCs w:val="24"/>
          <w:lang w:val="sr-Latn-CS"/>
        </w:rPr>
        <w:t>n</w:t>
      </w:r>
      <w:r w:rsidR="00043E6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dijagnostičkim testom za glaukom</w:t>
      </w:r>
      <w:r w:rsidR="00A04AB2">
        <w:rPr>
          <w:rFonts w:ascii="Times New Roman" w:hAnsi="Times New Roman" w:cs="Times New Roman"/>
          <w:noProof/>
          <w:sz w:val="24"/>
          <w:szCs w:val="24"/>
          <w:lang w:val="sr-Latn-CS"/>
        </w:rPr>
        <w:t>, je kao takav odbačen</w:t>
      </w:r>
      <w:r w:rsidR="00043E6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zbog dokazane niske senzitivnosti i specifičnosti. U</w:t>
      </w:r>
      <w:r w:rsidR="00043E67" w:rsidRPr="00043E6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današnje doba, nađena je njegova povezanost sa stepenom glaukomskog ošteć</w:t>
      </w:r>
      <w:r w:rsidR="0091233D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enja kao i progresijom glaukoma. </w:t>
      </w:r>
      <w:r w:rsidR="00043E67" w:rsidRPr="00043E67">
        <w:rPr>
          <w:rFonts w:ascii="Times New Roman" w:hAnsi="Times New Roman" w:cs="Times New Roman"/>
          <w:noProof/>
          <w:sz w:val="24"/>
          <w:szCs w:val="24"/>
          <w:lang w:val="sr-Latn-CS"/>
        </w:rPr>
        <w:t>Značajna veza je nađena i između pikova IOP-a detektovanih pri testu opterećenja i vrijednosti IOP-a pri testu dnevne krive, tako da se u novijim radovima razmatra njegov prediktorni potencijal za pikove IOP-a, a time i fluktuaciju IOP-a, pri dnevnoj krivoj.  Isto tako, razmatra se kao alternativna metoda za provjeru kontrole IOP-a kod pacijenata sa verifi</w:t>
      </w:r>
      <w:r w:rsidR="0091233D">
        <w:rPr>
          <w:rFonts w:ascii="Times New Roman" w:hAnsi="Times New Roman" w:cs="Times New Roman"/>
          <w:noProof/>
          <w:sz w:val="24"/>
          <w:szCs w:val="24"/>
          <w:lang w:val="sr-Latn-CS"/>
        </w:rPr>
        <w:t>kovanim glaukomom i na terapiji</w:t>
      </w:r>
      <w:r w:rsidR="00043E67" w:rsidRPr="00043E6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. </w:t>
      </w:r>
      <w:r w:rsidR="00A04AB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Cilj rada je </w:t>
      </w:r>
      <w:r w:rsidR="00043E67" w:rsidRPr="00043E6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A04AB2" w:rsidRPr="00A04AB2">
        <w:rPr>
          <w:rFonts w:ascii="Times New Roman" w:hAnsi="Times New Roman" w:cs="Times New Roman"/>
          <w:noProof/>
          <w:sz w:val="24"/>
          <w:szCs w:val="24"/>
          <w:lang w:val="sr-Latn-CS"/>
        </w:rPr>
        <w:t>da ispitamo korelaciju između stepena strukturnih i funkcionalnih glaukomskih oštećenja i vrijednosti dobivenih provokativnim testom opterećenja vodom kod novootkrivenih pacijenata oboljelih od POAG ili nekog od njegovih podtipova, prije započetog liječenja.</w:t>
      </w:r>
    </w:p>
    <w:p w:rsidR="0033378B" w:rsidRDefault="004763FC" w:rsidP="0033378B">
      <w:pPr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763FC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Metode:</w:t>
      </w:r>
      <w:r w:rsidR="00A04AB2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="00074980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Prospektivnom presijek studijom analizirani su rezultati </w:t>
      </w:r>
      <w:r w:rsidR="00EC675B">
        <w:rPr>
          <w:rFonts w:ascii="Times New Roman" w:hAnsi="Times New Roman" w:cs="Times New Roman"/>
          <w:noProof/>
          <w:sz w:val="24"/>
          <w:szCs w:val="24"/>
          <w:lang w:val="sr-Latn-CS"/>
        </w:rPr>
        <w:t>strukturnog i funkcionalnog statusa kao</w:t>
      </w:r>
      <w:r w:rsidR="00074980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 testa opterećenja vodom kod </w:t>
      </w:r>
      <w:r w:rsidR="00F7051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30 zdravih ispitanika (30 očiju) kontrolne grupe i 30 </w:t>
      </w:r>
      <w:r w:rsidR="00F70518" w:rsidRPr="00F7051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novootkrivenih pacijenata oboljelih od POAG ili nekog od njegovih podtipova </w:t>
      </w:r>
      <w:r w:rsidR="00F70518">
        <w:rPr>
          <w:rFonts w:ascii="Times New Roman" w:hAnsi="Times New Roman" w:cs="Times New Roman"/>
          <w:noProof/>
          <w:sz w:val="24"/>
          <w:szCs w:val="24"/>
          <w:lang w:val="sr-Latn-CS"/>
        </w:rPr>
        <w:t>(30 očiju) ciljne grupe</w:t>
      </w:r>
      <w:r w:rsidR="00074980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. </w:t>
      </w:r>
      <w:r w:rsidR="00F7051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</w:p>
    <w:p w:rsidR="004763FC" w:rsidRDefault="004763FC" w:rsidP="0033378B">
      <w:pPr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763FC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Rezultati:</w:t>
      </w:r>
      <w:r w:rsidR="00D966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="00D9662F" w:rsidRPr="00D9662F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Spearman</w:t>
      </w:r>
      <w:r w:rsidR="00D9662F" w:rsidRPr="00D9662F">
        <w:rPr>
          <w:rFonts w:ascii="Times New Roman" w:eastAsia="Times New Roman" w:hAnsi="Times New Roman" w:cs="Times New Roman"/>
          <w:bCs/>
          <w:noProof/>
          <w:sz w:val="24"/>
          <w:szCs w:val="24"/>
        </w:rPr>
        <w:t>-ov</w:t>
      </w:r>
      <w:r w:rsidR="00D9662F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om korelacijom je utvrđena statistički značajna umjerena pozitivna korelacija između fluktuacije IOP-a pri </w:t>
      </w:r>
      <w:r w:rsidR="00D9662F" w:rsidRPr="00487059">
        <w:rPr>
          <w:rFonts w:ascii="Times New Roman" w:hAnsi="Times New Roman" w:cs="Times New Roman"/>
          <w:noProof/>
          <w:sz w:val="24"/>
          <w:szCs w:val="24"/>
          <w:lang w:val="sr-Latn-CS"/>
        </w:rPr>
        <w:t>testu opterećenja vodom i indeksa prosječnog gubitka</w:t>
      </w:r>
      <w:r w:rsidR="00E16B20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senzitivnosti</w:t>
      </w:r>
      <w:r w:rsidR="00D9662F" w:rsidRPr="00487059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pri testu </w:t>
      </w:r>
      <w:r w:rsidR="00487059" w:rsidRPr="00487059">
        <w:rPr>
          <w:rFonts w:ascii="Times New Roman" w:hAnsi="Times New Roman" w:cs="Times New Roman"/>
          <w:noProof/>
          <w:sz w:val="24"/>
          <w:szCs w:val="24"/>
          <w:lang w:val="sr-Latn-CS"/>
        </w:rPr>
        <w:t>vidnog polja (ρ=0,366; p=</w:t>
      </w:r>
      <w:r w:rsidR="00487059" w:rsidRPr="00487059">
        <w:rPr>
          <w:rFonts w:ascii="Times New Roman" w:hAnsi="Times New Roman" w:cs="Times New Roman"/>
          <w:bCs/>
          <w:iCs/>
          <w:noProof/>
          <w:sz w:val="24"/>
          <w:szCs w:val="24"/>
          <w:lang w:val="sr-Latn-CS"/>
        </w:rPr>
        <w:t xml:space="preserve">0,004). Istim testom je utvrđena </w:t>
      </w:r>
      <w:r w:rsidR="00487059">
        <w:rPr>
          <w:rFonts w:ascii="Times New Roman" w:hAnsi="Times New Roman" w:cs="Times New Roman"/>
          <w:bCs/>
          <w:iCs/>
          <w:noProof/>
          <w:sz w:val="24"/>
          <w:szCs w:val="24"/>
          <w:lang w:val="sr-Latn-CS"/>
        </w:rPr>
        <w:t xml:space="preserve">i </w:t>
      </w:r>
      <w:r w:rsidR="00726106">
        <w:rPr>
          <w:rFonts w:ascii="Times New Roman" w:hAnsi="Times New Roman" w:cs="Times New Roman"/>
          <w:noProof/>
          <w:sz w:val="24"/>
          <w:szCs w:val="24"/>
        </w:rPr>
        <w:t>statistički značajna blaga pozitivna korelacija</w:t>
      </w:r>
      <w:r w:rsidR="00726106" w:rsidRPr="00487059">
        <w:rPr>
          <w:rFonts w:ascii="Times New Roman" w:hAnsi="Times New Roman" w:cs="Times New Roman"/>
          <w:bCs/>
          <w:iCs/>
          <w:noProof/>
          <w:sz w:val="24"/>
          <w:szCs w:val="24"/>
          <w:lang w:val="sr-Latn-CS"/>
        </w:rPr>
        <w:t xml:space="preserve"> </w:t>
      </w:r>
      <w:r w:rsidR="00726106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fluktuacije IOP-a pri </w:t>
      </w:r>
      <w:r w:rsidR="00726106" w:rsidRPr="00487059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testu opterećenja vodom </w:t>
      </w:r>
      <w:r w:rsidR="00726106" w:rsidRPr="00657D4A">
        <w:rPr>
          <w:rFonts w:ascii="Times New Roman" w:hAnsi="Times New Roman" w:cs="Times New Roman"/>
          <w:noProof/>
          <w:sz w:val="24"/>
          <w:szCs w:val="24"/>
        </w:rPr>
        <w:t xml:space="preserve">i </w:t>
      </w:r>
      <w:r w:rsidR="00726106">
        <w:rPr>
          <w:rFonts w:ascii="Times New Roman" w:hAnsi="Times New Roman" w:cs="Times New Roman"/>
          <w:noProof/>
          <w:sz w:val="24"/>
          <w:szCs w:val="24"/>
        </w:rPr>
        <w:t>vertikalnog ekskavacija/disk (cup/disc;</w:t>
      </w:r>
      <w:r w:rsidR="00726106" w:rsidRPr="00657D4A">
        <w:rPr>
          <w:rFonts w:ascii="Times New Roman" w:hAnsi="Times New Roman" w:cs="Times New Roman"/>
          <w:noProof/>
          <w:sz w:val="24"/>
          <w:szCs w:val="24"/>
        </w:rPr>
        <w:t xml:space="preserve"> C/D</w:t>
      </w:r>
      <w:r w:rsidR="00726106">
        <w:rPr>
          <w:rFonts w:ascii="Times New Roman" w:hAnsi="Times New Roman" w:cs="Times New Roman"/>
          <w:noProof/>
          <w:sz w:val="24"/>
          <w:szCs w:val="24"/>
        </w:rPr>
        <w:t>) odnosa</w:t>
      </w:r>
      <w:r w:rsidR="00726106" w:rsidRPr="00657D4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26106">
        <w:rPr>
          <w:rFonts w:ascii="Times New Roman" w:hAnsi="Times New Roman" w:cs="Times New Roman"/>
          <w:noProof/>
          <w:sz w:val="24"/>
          <w:szCs w:val="24"/>
        </w:rPr>
        <w:t>stereof</w:t>
      </w:r>
      <w:r w:rsidR="00726106">
        <w:rPr>
          <w:rFonts w:ascii="Times New Roman" w:hAnsi="Times New Roman" w:cs="Times New Roman"/>
          <w:bCs/>
          <w:iCs/>
          <w:noProof/>
          <w:sz w:val="24"/>
          <w:szCs w:val="24"/>
          <w:lang w:val="sr-Latn-CS"/>
        </w:rPr>
        <w:t xml:space="preserve">otografije papile optičkog nerva </w:t>
      </w:r>
      <w:r w:rsidR="00726106" w:rsidRPr="00726106">
        <w:rPr>
          <w:rFonts w:ascii="Times New Roman" w:hAnsi="Times New Roman" w:cs="Times New Roman"/>
          <w:bCs/>
          <w:iCs/>
          <w:noProof/>
          <w:sz w:val="24"/>
          <w:szCs w:val="24"/>
          <w:lang w:val="sr-Latn-CS"/>
        </w:rPr>
        <w:t>(ρ=</w:t>
      </w:r>
      <w:r w:rsidR="00726106" w:rsidRPr="003A448E">
        <w:rPr>
          <w:rFonts w:ascii="Times New Roman" w:eastAsia="Times New Roman" w:hAnsi="Times New Roman" w:cs="Times New Roman"/>
          <w:noProof/>
          <w:sz w:val="24"/>
          <w:szCs w:val="24"/>
        </w:rPr>
        <w:t>0,264</w:t>
      </w:r>
      <w:r w:rsidR="00726106" w:rsidRPr="00726106">
        <w:rPr>
          <w:rFonts w:ascii="Times New Roman" w:hAnsi="Times New Roman" w:cs="Times New Roman"/>
          <w:bCs/>
          <w:iCs/>
          <w:noProof/>
          <w:sz w:val="24"/>
          <w:szCs w:val="24"/>
          <w:lang w:val="sr-Latn-CS"/>
        </w:rPr>
        <w:t>; p=</w:t>
      </w:r>
      <w:r w:rsidR="00726106" w:rsidRPr="00726106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0,042</w:t>
      </w:r>
      <w:r w:rsidR="00726106" w:rsidRPr="00726106">
        <w:rPr>
          <w:rFonts w:ascii="Times New Roman" w:hAnsi="Times New Roman" w:cs="Times New Roman"/>
          <w:bCs/>
          <w:iCs/>
          <w:noProof/>
          <w:sz w:val="24"/>
          <w:szCs w:val="24"/>
          <w:lang w:val="sr-Latn-CS"/>
        </w:rPr>
        <w:t>).</w:t>
      </w:r>
    </w:p>
    <w:p w:rsidR="004763FC" w:rsidRDefault="004763FC" w:rsidP="0033378B">
      <w:pPr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763FC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Zaključak:</w:t>
      </w:r>
      <w:r w:rsidR="008C53F4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="00AB7103">
        <w:rPr>
          <w:rFonts w:ascii="Times New Roman" w:hAnsi="Times New Roman" w:cs="Times New Roman"/>
          <w:noProof/>
          <w:sz w:val="24"/>
          <w:szCs w:val="24"/>
          <w:lang w:val="sr-Latn-CS"/>
        </w:rPr>
        <w:t>Kore</w:t>
      </w:r>
      <w:r w:rsidR="008C53F4" w:rsidRPr="008C53F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lacije, koje smo mi dobili kao statistički značajne ukazuju da, oči sa  lošijim glaukomskim nalazom vidnog polja i izraženijim strukturnim promjenama na papili, a prije </w:t>
      </w:r>
      <w:r w:rsidR="008C53F4" w:rsidRPr="008C53F4">
        <w:rPr>
          <w:rFonts w:ascii="Times New Roman" w:hAnsi="Times New Roman" w:cs="Times New Roman"/>
          <w:noProof/>
          <w:sz w:val="24"/>
          <w:szCs w:val="24"/>
          <w:lang w:val="sr-Latn-CS"/>
        </w:rPr>
        <w:lastRenderedPageBreak/>
        <w:t xml:space="preserve">započetog liječenja glaukoma, imaju manji kapacitet da odgovore na stimulus koji vodi tranzitornom povećanju IOP-a. </w:t>
      </w:r>
    </w:p>
    <w:p w:rsidR="004763FC" w:rsidRP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4763FC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Ključne riječi:</w:t>
      </w:r>
      <w:r w:rsidR="00E919D7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="00E919D7" w:rsidRPr="00E919D7">
        <w:rPr>
          <w:rFonts w:ascii="Times New Roman" w:hAnsi="Times New Roman" w:cs="Times New Roman"/>
          <w:noProof/>
          <w:sz w:val="24"/>
          <w:szCs w:val="24"/>
          <w:lang w:val="sr-Latn-CS"/>
        </w:rPr>
        <w:t>glaukom, test opterećenja vodom, struktura-funkcija</w:t>
      </w: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763FC" w:rsidRDefault="004763FC" w:rsidP="00A36BBE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4763FC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Uvod</w:t>
      </w:r>
    </w:p>
    <w:p w:rsidR="00785181" w:rsidRPr="00BC03B3" w:rsidRDefault="00AC24E6" w:rsidP="006B367B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ab/>
      </w:r>
      <w:r w:rsidRPr="00AC24E6">
        <w:rPr>
          <w:rFonts w:ascii="Times New Roman" w:eastAsia="Calibri" w:hAnsi="Times New Roman" w:cs="Times New Roman"/>
          <w:sz w:val="24"/>
          <w:szCs w:val="24"/>
          <w:lang w:val="hr-BA"/>
        </w:rPr>
        <w:t>Primarni glaukom otvorenog ugla (Primary open-angle glaucoma, POAG)</w:t>
      </w:r>
      <w:r w:rsidRPr="00AC24E6">
        <w:rPr>
          <w:rFonts w:ascii="Times New Roman" w:eastAsia="Calibri" w:hAnsi="Times New Roman" w:cs="Times New Roman"/>
          <w:i/>
          <w:sz w:val="24"/>
          <w:szCs w:val="24"/>
          <w:lang w:val="hr-BA"/>
        </w:rPr>
        <w:t xml:space="preserve"> </w:t>
      </w:r>
      <w:r w:rsidRPr="00AC24E6">
        <w:rPr>
          <w:rFonts w:ascii="Times New Roman" w:eastAsia="Calibri" w:hAnsi="Times New Roman" w:cs="Times New Roman"/>
          <w:sz w:val="24"/>
          <w:szCs w:val="24"/>
          <w:lang w:val="hr-BA"/>
        </w:rPr>
        <w:t>je</w:t>
      </w:r>
      <w:r w:rsidRPr="00AC24E6">
        <w:rPr>
          <w:rFonts w:ascii="Times New Roman" w:eastAsia="Calibri" w:hAnsi="Times New Roman" w:cs="Times New Roman"/>
          <w:i/>
          <w:sz w:val="24"/>
          <w:szCs w:val="24"/>
          <w:lang w:val="hr-BA"/>
        </w:rPr>
        <w:t xml:space="preserve"> </w:t>
      </w:r>
      <w:r w:rsidRPr="00AC24E6">
        <w:rPr>
          <w:rFonts w:ascii="Times New Roman" w:eastAsia="Calibri" w:hAnsi="Times New Roman" w:cs="Times New Roman"/>
          <w:sz w:val="24"/>
          <w:szCs w:val="24"/>
          <w:lang w:val="hr-BA"/>
        </w:rPr>
        <w:t>najzastupljenija forma glaukoma sa prevalencom od oko 74 % slučajeva svih odraslih osoba oboljelih od glaukoma</w:t>
      </w:r>
      <w:r w:rsidR="00694380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</w:t>
      </w:r>
      <w:r w:rsidR="00694380">
        <w:rPr>
          <w:rFonts w:ascii="Times New Roman" w:eastAsia="Calibri" w:hAnsi="Times New Roman" w:cs="Times New Roman"/>
          <w:sz w:val="24"/>
          <w:szCs w:val="24"/>
        </w:rPr>
        <w:t>[1]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, a p</w:t>
      </w:r>
      <w:r w:rsidR="00785181"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ovišen intraokularni pritisak (IOP) je najvažniji faktor rizika za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njegov nastanak</w:t>
      </w:r>
      <w:r w:rsidR="00785181"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 progresiju [</w:t>
      </w:r>
      <w:r w:rsidR="00694380">
        <w:rPr>
          <w:rFonts w:ascii="Times New Roman" w:hAnsi="Times New Roman" w:cs="Times New Roman"/>
          <w:noProof/>
          <w:sz w:val="24"/>
          <w:szCs w:val="24"/>
          <w:lang w:val="sr-Latn-CS"/>
        </w:rPr>
        <w:t>2</w:t>
      </w:r>
      <w:r w:rsidR="00785181"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>].</w:t>
      </w:r>
      <w:r w:rsidR="0042101C"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Snižavanje</w:t>
      </w:r>
      <w:r w:rsidR="00BC03B3">
        <w:rPr>
          <w:rFonts w:ascii="Times New Roman" w:hAnsi="Times New Roman" w:cs="Times New Roman"/>
          <w:noProof/>
          <w:sz w:val="24"/>
          <w:szCs w:val="24"/>
          <w:lang w:val="sr-Latn-CS"/>
        </w:rPr>
        <w:t>m</w:t>
      </w:r>
      <w:r w:rsidR="0042101C"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IOP-a </w:t>
      </w:r>
      <w:r w:rsidR="00BC03B3">
        <w:rPr>
          <w:rFonts w:ascii="Times New Roman" w:hAnsi="Times New Roman" w:cs="Times New Roman"/>
          <w:noProof/>
          <w:sz w:val="24"/>
          <w:szCs w:val="24"/>
          <w:lang w:val="sr-Latn-CS"/>
        </w:rPr>
        <w:t>postiže</w:t>
      </w:r>
      <w:r w:rsidR="006B367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se</w:t>
      </w:r>
      <w:r w:rsidR="00BC03B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usporavanje glaukomskog propadanja vidnog</w:t>
      </w:r>
      <w:r w:rsidR="00BC03B3"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živc</w:t>
      </w:r>
      <w:r w:rsidR="00BC03B3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="00BC03B3"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BC03B3">
        <w:rPr>
          <w:rFonts w:ascii="Times New Roman" w:hAnsi="Times New Roman" w:cs="Times New Roman"/>
          <w:noProof/>
          <w:sz w:val="24"/>
          <w:szCs w:val="24"/>
          <w:lang w:val="sr-Latn-CS"/>
        </w:rPr>
        <w:t>i vidnog polja</w:t>
      </w:r>
      <w:r w:rsidR="00C739A9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ali, nažalost, ne u svim slučajevima.</w:t>
      </w:r>
      <w:r w:rsidR="00D71BF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10173F">
        <w:rPr>
          <w:rFonts w:ascii="Times New Roman" w:hAnsi="Times New Roman" w:cs="Times New Roman"/>
          <w:noProof/>
          <w:sz w:val="24"/>
          <w:szCs w:val="24"/>
          <w:lang w:val="sr-Latn-CS"/>
        </w:rPr>
        <w:t>Za to su najvjerovatnije odgovorni f</w:t>
      </w:r>
      <w:r w:rsidR="00C16595">
        <w:rPr>
          <w:rFonts w:ascii="Times New Roman" w:hAnsi="Times New Roman" w:cs="Times New Roman"/>
          <w:noProof/>
          <w:sz w:val="24"/>
          <w:szCs w:val="24"/>
          <w:lang w:val="sr-Latn-CS"/>
        </w:rPr>
        <w:t>aktori neovisni od</w:t>
      </w:r>
      <w:r w:rsidR="0010173F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IOP-a</w:t>
      </w:r>
      <w:r w:rsidR="003477C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ali i</w:t>
      </w:r>
      <w:r w:rsidR="00D71BF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C739A9">
        <w:rPr>
          <w:rFonts w:ascii="Times New Roman" w:hAnsi="Times New Roman" w:cs="Times New Roman"/>
          <w:noProof/>
          <w:sz w:val="24"/>
          <w:szCs w:val="24"/>
          <w:lang w:val="sr-Latn-CS"/>
        </w:rPr>
        <w:t>pikovi IO</w:t>
      </w:r>
      <w:r w:rsidR="003477C8">
        <w:rPr>
          <w:rFonts w:ascii="Times New Roman" w:hAnsi="Times New Roman" w:cs="Times New Roman"/>
          <w:noProof/>
          <w:sz w:val="24"/>
          <w:szCs w:val="24"/>
          <w:lang w:val="sr-Latn-CS"/>
        </w:rPr>
        <w:t>P-a ili diurnalna varijabilnost</w:t>
      </w:r>
      <w:r w:rsidR="00C739A9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IOP-a koja nije prepoznata tonometrijom za vrijeme redovnog radnog vremena oftalmoloških ambulanti</w:t>
      </w:r>
      <w:r w:rsidR="003477C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3477C8">
        <w:rPr>
          <w:rFonts w:ascii="Times New Roman" w:hAnsi="Times New Roman" w:cs="Times New Roman"/>
          <w:noProof/>
          <w:sz w:val="24"/>
          <w:szCs w:val="24"/>
        </w:rPr>
        <w:t>[</w:t>
      </w:r>
      <w:r w:rsidR="00694380">
        <w:rPr>
          <w:rFonts w:ascii="Times New Roman" w:hAnsi="Times New Roman" w:cs="Times New Roman"/>
          <w:noProof/>
          <w:sz w:val="24"/>
          <w:szCs w:val="24"/>
        </w:rPr>
        <w:t>3</w:t>
      </w:r>
      <w:r w:rsidR="003477C8">
        <w:rPr>
          <w:rFonts w:ascii="Times New Roman" w:hAnsi="Times New Roman" w:cs="Times New Roman"/>
          <w:noProof/>
          <w:sz w:val="24"/>
          <w:szCs w:val="24"/>
        </w:rPr>
        <w:t>]</w:t>
      </w:r>
      <w:r w:rsidR="00C739A9">
        <w:rPr>
          <w:rFonts w:ascii="Times New Roman" w:hAnsi="Times New Roman" w:cs="Times New Roman"/>
          <w:noProof/>
          <w:sz w:val="24"/>
          <w:szCs w:val="24"/>
          <w:lang w:val="sr-Latn-CS"/>
        </w:rPr>
        <w:t>.</w:t>
      </w:r>
      <w:r w:rsidR="00533BC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</w:p>
    <w:p w:rsidR="000622D7" w:rsidRDefault="000622D7" w:rsidP="000622D7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ab/>
        <w:t xml:space="preserve">Test </w:t>
      </w:r>
      <w:r w:rsidR="0057788E">
        <w:rPr>
          <w:rFonts w:ascii="Times New Roman" w:hAnsi="Times New Roman" w:cs="Times New Roman"/>
          <w:noProof/>
          <w:sz w:val="24"/>
          <w:szCs w:val="24"/>
          <w:lang w:val="sr-Latn-CS"/>
        </w:rPr>
        <w:t>opterećenja vodom</w:t>
      </w:r>
      <w:r w:rsidRPr="00BC03B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je kasnih 20-ih godina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prošlog vijeka predlagan kao dijagnostički test za glaukom. Kao takav, popularan 1950-ih i 1960-ih godina, već </w:t>
      </w:r>
      <w:r w:rsidR="008F23C3">
        <w:rPr>
          <w:rFonts w:ascii="Times New Roman" w:hAnsi="Times New Roman" w:cs="Times New Roman"/>
          <w:noProof/>
          <w:sz w:val="24"/>
          <w:szCs w:val="24"/>
          <w:lang w:val="sr-Latn-CS"/>
        </w:rPr>
        <w:t>u 70-im godinama prošlog vijeka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je odbačen zbog niske senzitivn</w:t>
      </w:r>
      <w:r w:rsidR="008F23C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osti i specifičnosti 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>dokazane desetogodišnjim prospektivnim studijama</w:t>
      </w:r>
      <w:r w:rsidR="008F23C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42101C">
        <w:rPr>
          <w:rFonts w:ascii="Times New Roman" w:hAnsi="Times New Roman" w:cs="Times New Roman"/>
          <w:noProof/>
          <w:sz w:val="24"/>
          <w:szCs w:val="24"/>
          <w:lang w:val="sr-Latn-CS"/>
        </w:rPr>
        <w:t>[</w:t>
      </w:r>
      <w:r w:rsidR="00694380">
        <w:rPr>
          <w:rFonts w:ascii="Times New Roman" w:hAnsi="Times New Roman" w:cs="Times New Roman"/>
          <w:noProof/>
          <w:sz w:val="24"/>
          <w:szCs w:val="24"/>
          <w:lang w:val="sr-Latn-CS"/>
        </w:rPr>
        <w:t>4</w:t>
      </w:r>
      <w:r w:rsidR="00C00F9A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, </w:t>
      </w:r>
      <w:r w:rsidR="00694380">
        <w:rPr>
          <w:rFonts w:ascii="Times New Roman" w:hAnsi="Times New Roman" w:cs="Times New Roman"/>
          <w:noProof/>
          <w:sz w:val="24"/>
          <w:szCs w:val="24"/>
          <w:lang w:val="sr-Latn-CS"/>
        </w:rPr>
        <w:t>5</w:t>
      </w:r>
      <w:r w:rsidR="008F23C3" w:rsidRPr="008F23C3">
        <w:rPr>
          <w:rFonts w:ascii="Times New Roman" w:hAnsi="Times New Roman" w:cs="Times New Roman"/>
          <w:noProof/>
          <w:sz w:val="24"/>
          <w:szCs w:val="24"/>
          <w:lang w:val="sr-Latn-CS"/>
        </w:rPr>
        <w:t>]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>. U današnje doba, nađena je njegova povezanost sa stepenom glaukomskog oštećenja kao i progresijom glaukoma [</w:t>
      </w:r>
      <w:r w:rsidR="00694380">
        <w:rPr>
          <w:rFonts w:ascii="Times New Roman" w:hAnsi="Times New Roman" w:cs="Times New Roman"/>
          <w:noProof/>
          <w:sz w:val="24"/>
          <w:szCs w:val="24"/>
          <w:lang w:val="sr-Latn-CS"/>
        </w:rPr>
        <w:t>6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]. Značajna veza je nađena i između pikova </w:t>
      </w:r>
      <w:r w:rsidR="006B367B">
        <w:rPr>
          <w:rFonts w:ascii="Times New Roman" w:hAnsi="Times New Roman" w:cs="Times New Roman"/>
          <w:noProof/>
          <w:sz w:val="24"/>
          <w:szCs w:val="24"/>
          <w:lang w:val="sr-Latn-CS"/>
        </w:rPr>
        <w:t>IOP-a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detektovanih pri testu </w:t>
      </w:r>
      <w:r w:rsidR="0057788E">
        <w:rPr>
          <w:rFonts w:ascii="Times New Roman" w:hAnsi="Times New Roman" w:cs="Times New Roman"/>
          <w:noProof/>
          <w:sz w:val="24"/>
          <w:szCs w:val="24"/>
          <w:lang w:val="sr-Latn-CS"/>
        </w:rPr>
        <w:t>opterećenja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vod</w:t>
      </w:r>
      <w:r w:rsidR="0057788E">
        <w:rPr>
          <w:rFonts w:ascii="Times New Roman" w:hAnsi="Times New Roman" w:cs="Times New Roman"/>
          <w:noProof/>
          <w:sz w:val="24"/>
          <w:szCs w:val="24"/>
          <w:lang w:val="sr-Latn-CS"/>
        </w:rPr>
        <w:t>om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 vrijednosti IOP-a pri testu dnevne krive [</w:t>
      </w:r>
      <w:r w:rsidR="00694380">
        <w:rPr>
          <w:rFonts w:ascii="Times New Roman" w:hAnsi="Times New Roman" w:cs="Times New Roman"/>
          <w:noProof/>
          <w:sz w:val="24"/>
          <w:szCs w:val="24"/>
          <w:lang w:val="sr-Latn-CS"/>
        </w:rPr>
        <w:t>6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>], tako da se u novijim radovima razmatra njegov prediktorni potencijal za pikove IOP-a, a time i fluktuaciju IOP-a, pri dnevnoj krivoj.  Isto tako, razmatra se kao alternativna metoda za provjeru kontrole IOP-a kod pacijenata sa verifikovanim glaukomom i na terapiji [</w:t>
      </w:r>
      <w:r w:rsidR="00694380">
        <w:rPr>
          <w:rFonts w:ascii="Times New Roman" w:hAnsi="Times New Roman" w:cs="Times New Roman"/>
          <w:noProof/>
          <w:sz w:val="24"/>
          <w:szCs w:val="24"/>
          <w:lang w:val="sr-Latn-CS"/>
        </w:rPr>
        <w:t>6</w:t>
      </w:r>
      <w:r w:rsidRPr="000622D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].  </w:t>
      </w:r>
    </w:p>
    <w:p w:rsidR="000622D7" w:rsidRDefault="00F36571" w:rsidP="00E65299">
      <w:pPr>
        <w:spacing w:line="480" w:lineRule="auto"/>
        <w:ind w:firstLine="720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lastRenderedPageBreak/>
        <w:t xml:space="preserve">Cilj rada je da ispitamo </w:t>
      </w:r>
      <w:r w:rsidRPr="00F36571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korelaciju između stepena strukturnih i funkcionalnih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glaukomskih </w:t>
      </w:r>
      <w:r w:rsidRPr="00F36571">
        <w:rPr>
          <w:rFonts w:ascii="Times New Roman" w:hAnsi="Times New Roman" w:cs="Times New Roman"/>
          <w:noProof/>
          <w:sz w:val="24"/>
          <w:szCs w:val="24"/>
          <w:lang w:val="sr-Latn-CS"/>
        </w:rPr>
        <w:t>oštećenja i vrijednosti</w:t>
      </w:r>
      <w:r w:rsidR="00E011B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dobiv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enih</w:t>
      </w:r>
      <w:r w:rsidRPr="00F36571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provokativnim testom</w:t>
      </w:r>
      <w:r w:rsidR="00E011B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57788E">
        <w:rPr>
          <w:rFonts w:ascii="Times New Roman" w:hAnsi="Times New Roman" w:cs="Times New Roman"/>
          <w:noProof/>
          <w:sz w:val="24"/>
          <w:szCs w:val="24"/>
          <w:lang w:val="sr-Latn-CS"/>
        </w:rPr>
        <w:t>opterećenja vodom</w:t>
      </w:r>
      <w:r w:rsidR="00A063F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kod </w:t>
      </w:r>
      <w:r w:rsidR="0058675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novootkrivenih pacijenata </w:t>
      </w:r>
      <w:r w:rsidR="00A063F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oboljelih od </w:t>
      </w:r>
      <w:r w:rsidR="003F44B0">
        <w:rPr>
          <w:rFonts w:ascii="Times New Roman" w:hAnsi="Times New Roman" w:cs="Times New Roman"/>
          <w:noProof/>
          <w:sz w:val="24"/>
          <w:szCs w:val="24"/>
          <w:lang w:val="sr-Latn-CS"/>
        </w:rPr>
        <w:t>POAG</w:t>
      </w:r>
      <w:r w:rsidR="0036102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nekog od njegovih podtipova</w:t>
      </w:r>
      <w:r w:rsidR="003F44B0">
        <w:rPr>
          <w:rFonts w:ascii="Times New Roman" w:hAnsi="Times New Roman" w:cs="Times New Roman"/>
          <w:noProof/>
          <w:sz w:val="24"/>
          <w:szCs w:val="24"/>
          <w:lang w:val="sr-Latn-CS"/>
        </w:rPr>
        <w:t>, prije započetog liječenja.</w:t>
      </w:r>
    </w:p>
    <w:p w:rsidR="000622D7" w:rsidRDefault="000622D7" w:rsidP="00A36BBE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Metode rada</w:t>
      </w:r>
    </w:p>
    <w:p w:rsidR="00097D9B" w:rsidRPr="00097D9B" w:rsidRDefault="00097D9B" w:rsidP="005C6EF4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Prospektivnom presijek studijom, rađenom u UBKC Banja Luka, Klinika za očne bolesti, Kabinet za glaukom, u periodu od </w:t>
      </w:r>
      <w:r w:rsidR="00E24E97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novembra 2012. do aprila 2013.,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ispitivanjem su obuhvaćene dvije grupe ispitanika ujednačene po starosno</w:t>
      </w:r>
      <w:r w:rsidR="00177793">
        <w:rPr>
          <w:rFonts w:ascii="Times New Roman" w:hAnsi="Times New Roman" w:cs="Times New Roman"/>
          <w:noProof/>
          <w:sz w:val="24"/>
          <w:szCs w:val="24"/>
          <w:lang w:val="sr-Latn-CS"/>
        </w:rPr>
        <w:t>j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dobi i bez obzira na polnu pripadnost</w:t>
      </w:r>
    </w:p>
    <w:p w:rsidR="002A3AFE" w:rsidRDefault="002A3AFE" w:rsidP="005C6EF4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Da bi bili uključeni u ispitivanje, svi ispitanici su morali da budu stariji od 18 godina, </w:t>
      </w:r>
      <w:r w:rsidRPr="002A3AFE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svjesn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i</w:t>
      </w:r>
      <w:r w:rsidRPr="002A3AFE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i orjentisan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i</w:t>
      </w:r>
      <w:r w:rsidRPr="002A3AFE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u sve tri dimenzije i da učestvovati na dobrovoljnoj 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osnovi, a</w:t>
      </w:r>
      <w:r w:rsidRPr="002A3AFE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što je potvrđeno</w:t>
      </w:r>
      <w:r w:rsidRPr="002A3AFE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svojeručno potpisan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im</w:t>
      </w:r>
      <w:r w:rsidRPr="002A3AFE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Informisani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m pristankom.</w:t>
      </w:r>
      <w:r w:rsidRPr="002A3AFE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Morali su da </w:t>
      </w:r>
      <w:r w:rsidRPr="002A3AFE">
        <w:rPr>
          <w:rFonts w:ascii="Times New Roman" w:eastAsia="Calibri" w:hAnsi="Times New Roman" w:cs="Times New Roman"/>
          <w:sz w:val="24"/>
          <w:szCs w:val="24"/>
          <w:lang w:val="hr-BA"/>
        </w:rPr>
        <w:t>imaju najbolju korigovanu vidnu oštrinu 0,5 (optotip po Snellen-u) ili bolju, korigovanu sfernu refrakciju u rasponu od – 3 do + 3 dioptrija, a cilindričnu korekciju od – 1 do + 1 dioptrije. Gonioskopski nalaz je morao da pokazuje otvoren komorni ugao.</w:t>
      </w:r>
    </w:p>
    <w:p w:rsidR="007026E4" w:rsidRDefault="007026E4" w:rsidP="005C6EF4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7026E4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Kontrolnu grupu je predstavljalo 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>30</w:t>
      </w:r>
      <w:r w:rsidRPr="007026E4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zdravih ispitanika volontera (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>30</w:t>
      </w:r>
      <w:r w:rsidRPr="007026E4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očiju) koji su </w:t>
      </w:r>
      <w:r w:rsidRPr="007026E4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morali da imaju 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IOP</w:t>
      </w:r>
      <w:r w:rsidRPr="007026E4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oba oka ≤ 21 mmHg, obostrano uredan nalaz vidnog polja, uredan nalaz papile očnog nerva i 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retinalnog sloja nervnih vlakana (retinal nerve fibre layer-</w:t>
      </w:r>
      <w:r w:rsidRPr="007026E4">
        <w:rPr>
          <w:rFonts w:ascii="Times New Roman" w:eastAsia="Calibri" w:hAnsi="Times New Roman" w:cs="Times New Roman"/>
          <w:sz w:val="24"/>
          <w:szCs w:val="24"/>
          <w:lang w:val="hr-BA"/>
        </w:rPr>
        <w:t>RNFL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)</w:t>
      </w:r>
      <w:r w:rsidRPr="007026E4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. </w:t>
      </w:r>
    </w:p>
    <w:p w:rsidR="00C20459" w:rsidRDefault="003F44B0" w:rsidP="005C6EF4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3F44B0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Ciljnu grupu </w:t>
      </w:r>
      <w:r w:rsidR="007026E4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je činilo </w:t>
      </w:r>
      <w:r w:rsidR="00586752">
        <w:rPr>
          <w:rFonts w:ascii="Times New Roman" w:eastAsia="Calibri" w:hAnsi="Times New Roman" w:cs="Times New Roman"/>
          <w:sz w:val="24"/>
          <w:szCs w:val="24"/>
          <w:lang w:val="sr-Latn-CS"/>
        </w:rPr>
        <w:t>30</w:t>
      </w:r>
      <w:r w:rsidRPr="003F44B0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ispitanika</w:t>
      </w:r>
      <w:r w:rsidR="007026E4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(</w:t>
      </w:r>
      <w:r w:rsidR="00586752">
        <w:rPr>
          <w:rFonts w:ascii="Times New Roman" w:eastAsia="Calibri" w:hAnsi="Times New Roman" w:cs="Times New Roman"/>
          <w:sz w:val="24"/>
          <w:szCs w:val="24"/>
          <w:lang w:val="sr-Latn-CS"/>
        </w:rPr>
        <w:t>30</w:t>
      </w:r>
      <w:r w:rsidR="007026E4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očiju)</w:t>
      </w:r>
      <w:r w:rsidRPr="003F44B0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sa novodijagnostikovanim POAG</w:t>
      </w:r>
      <w:r w:rsidR="00B23D79">
        <w:rPr>
          <w:rFonts w:ascii="Times New Roman" w:eastAsia="Calibri" w:hAnsi="Times New Roman" w:cs="Times New Roman"/>
          <w:sz w:val="24"/>
          <w:szCs w:val="24"/>
          <w:lang w:val="sr-Latn-CS"/>
        </w:rPr>
        <w:t>,</w:t>
      </w:r>
      <w:r w:rsidR="00E919D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E919D7" w:rsidRPr="00E919D7">
        <w:rPr>
          <w:rFonts w:ascii="Times New Roman" w:eastAsia="Calibri" w:hAnsi="Times New Roman" w:cs="Times New Roman"/>
          <w:sz w:val="24"/>
          <w:szCs w:val="24"/>
          <w:lang w:val="hr-BA"/>
        </w:rPr>
        <w:t>normotenzivn</w:t>
      </w:r>
      <w:r w:rsidR="00B23D79">
        <w:rPr>
          <w:rFonts w:ascii="Times New Roman" w:eastAsia="Calibri" w:hAnsi="Times New Roman" w:cs="Times New Roman"/>
          <w:sz w:val="24"/>
          <w:szCs w:val="24"/>
          <w:lang w:val="hr-BA"/>
        </w:rPr>
        <w:t>im</w:t>
      </w:r>
      <w:r w:rsidR="00E919D7" w:rsidRPr="00E919D7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glaukom</w:t>
      </w:r>
      <w:r w:rsidR="00B23D79">
        <w:rPr>
          <w:rFonts w:ascii="Times New Roman" w:eastAsia="Calibri" w:hAnsi="Times New Roman" w:cs="Times New Roman"/>
          <w:sz w:val="24"/>
          <w:szCs w:val="24"/>
          <w:lang w:val="hr-BA"/>
        </w:rPr>
        <w:t>om</w:t>
      </w:r>
      <w:r w:rsidR="00E919D7" w:rsidRPr="00E919D7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(Glaucoma normotensivum-</w:t>
      </w:r>
      <w:r w:rsidR="00B23D79">
        <w:rPr>
          <w:rFonts w:ascii="Times New Roman" w:eastAsia="Calibri" w:hAnsi="Times New Roman" w:cs="Times New Roman"/>
          <w:sz w:val="24"/>
          <w:szCs w:val="24"/>
          <w:lang w:val="hr-BA"/>
        </w:rPr>
        <w:t>NTG)</w:t>
      </w:r>
      <w:r w:rsidR="00586752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, </w:t>
      </w:r>
      <w:r w:rsidR="00B23D79">
        <w:rPr>
          <w:rFonts w:ascii="Times New Roman" w:eastAsia="Calibri" w:hAnsi="Times New Roman" w:cs="Times New Roman"/>
          <w:sz w:val="24"/>
          <w:szCs w:val="24"/>
          <w:lang w:val="hr-BA"/>
        </w:rPr>
        <w:t>okularnom</w:t>
      </w:r>
      <w:r w:rsidR="00E919D7" w:rsidRPr="00E919D7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hipertenzij</w:t>
      </w:r>
      <w:r w:rsidR="00B23D79">
        <w:rPr>
          <w:rFonts w:ascii="Times New Roman" w:eastAsia="Calibri" w:hAnsi="Times New Roman" w:cs="Times New Roman"/>
          <w:sz w:val="24"/>
          <w:szCs w:val="24"/>
          <w:lang w:val="hr-BA"/>
        </w:rPr>
        <w:t>om</w:t>
      </w:r>
      <w:r w:rsidR="00E919D7" w:rsidRPr="00E919D7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(Ocular hypertension-OH)</w:t>
      </w:r>
      <w:r w:rsidR="00586752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i</w:t>
      </w:r>
      <w:r w:rsidR="00384E59">
        <w:rPr>
          <w:rFonts w:ascii="Times New Roman" w:eastAsia="Calibri" w:hAnsi="Times New Roman" w:cs="Times New Roman"/>
          <w:sz w:val="24"/>
          <w:szCs w:val="24"/>
          <w:lang w:val="sr-Latn-CS"/>
        </w:rPr>
        <w:t>li</w:t>
      </w:r>
      <w:r w:rsidR="00586752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sa sumnjom na </w:t>
      </w:r>
      <w:r w:rsidR="00384E59">
        <w:rPr>
          <w:rFonts w:ascii="Times New Roman" w:eastAsia="Calibri" w:hAnsi="Times New Roman" w:cs="Times New Roman"/>
          <w:sz w:val="24"/>
          <w:szCs w:val="24"/>
          <w:lang w:val="sr-Latn-CS"/>
        </w:rPr>
        <w:t>POAG</w:t>
      </w:r>
      <w:r w:rsidR="00586752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(Glaucoma suspecta)</w:t>
      </w:r>
      <w:r w:rsidRPr="003F44B0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. </w:t>
      </w:r>
      <w:r w:rsidR="00C20459" w:rsidRPr="00C20459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Dijagnoza </w:t>
      </w:r>
      <w:r w:rsidR="00B23D79">
        <w:rPr>
          <w:rFonts w:ascii="Times New Roman" w:eastAsia="Calibri" w:hAnsi="Times New Roman" w:cs="Times New Roman"/>
          <w:sz w:val="24"/>
          <w:szCs w:val="24"/>
          <w:lang w:val="hr-BA"/>
        </w:rPr>
        <w:t>POAG, NTG i OH</w:t>
      </w:r>
      <w:r w:rsidR="00C20459" w:rsidRPr="00C20459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je postavljena na osnovu kliničkog pregleda, strukturnih i funkcionalnih promjena.</w:t>
      </w:r>
    </w:p>
    <w:p w:rsidR="0016330B" w:rsidRPr="0016330B" w:rsidRDefault="0016330B" w:rsidP="0016330B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lastRenderedPageBreak/>
        <w:t>Svakoj osobi je urađen kompletan oftalmološki pregled koji je obuhvatao ispitivanje anamneze, određivanje najbolje korigovane vidne oštrine, automatsku refraktometriju, biomikroskopski pregled, mjerenje IOP</w:t>
      </w:r>
      <w:r>
        <w:rPr>
          <w:rFonts w:ascii="Times New Roman" w:eastAsia="Calibri" w:hAnsi="Times New Roman" w:cs="Times New Roman"/>
          <w:sz w:val="24"/>
          <w:szCs w:val="24"/>
          <w:lang w:val="hr-BA"/>
        </w:rPr>
        <w:t>-a</w:t>
      </w: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Goldmanovim aplanacionim tonometrom, gonioskopiju kontaktnom indirektnom lupom po Goldmanu, pregled očnog dna u medikamentoznoj midrijazi nekontaktnom indirektnom oftalmoskopskom lupom (Volk SuperField, 0,78 x uvećanje), stereoskopsku fotografiju papile vidnog živca fundus-kamerom (Zeiss Visucam), pregled papile vidnog živca pomoću </w:t>
      </w:r>
      <w:r w:rsidR="004D1A19" w:rsidRPr="004D1A19">
        <w:rPr>
          <w:rFonts w:ascii="Times New Roman" w:eastAsia="Calibri" w:hAnsi="Times New Roman" w:cs="Times New Roman"/>
          <w:sz w:val="24"/>
          <w:szCs w:val="24"/>
          <w:lang w:val="sr-Latn-CS"/>
        </w:rPr>
        <w:t>Heidelberg retina tomograf 3 (HRT 3; Heidelberg Enginee</w:t>
      </w:r>
      <w:r w:rsidR="004D1A19">
        <w:rPr>
          <w:rFonts w:ascii="Times New Roman" w:eastAsia="Calibri" w:hAnsi="Times New Roman" w:cs="Times New Roman"/>
          <w:sz w:val="24"/>
          <w:szCs w:val="24"/>
          <w:lang w:val="sr-Latn-CS"/>
        </w:rPr>
        <w:t>ring GmbH, Dossenheim, Germany)-</w:t>
      </w:r>
      <w:r w:rsidR="001749D3">
        <w:rPr>
          <w:rFonts w:ascii="Times New Roman" w:eastAsia="Calibri" w:hAnsi="Times New Roman" w:cs="Times New Roman"/>
          <w:sz w:val="24"/>
          <w:szCs w:val="24"/>
          <w:lang w:val="hr-BA"/>
        </w:rPr>
        <w:t>stereometrijska</w:t>
      </w:r>
      <w:r w:rsidR="00124580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analiza, Moorfields regresiona analiza-</w:t>
      </w:r>
      <w:r w:rsidR="00124580" w:rsidRPr="00124580">
        <w:rPr>
          <w:rFonts w:ascii="Times New Roman" w:eastAsia="Calibri" w:hAnsi="Times New Roman" w:cs="Times New Roman"/>
          <w:sz w:val="24"/>
          <w:szCs w:val="24"/>
          <w:lang w:val="hr-BA"/>
        </w:rPr>
        <w:t>MRA</w:t>
      </w:r>
      <w:r w:rsidR="00124580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i </w:t>
      </w:r>
      <w:r w:rsidR="00124580" w:rsidRPr="00124580">
        <w:rPr>
          <w:rFonts w:ascii="Times New Roman" w:eastAsia="Calibri" w:hAnsi="Times New Roman" w:cs="Times New Roman"/>
          <w:sz w:val="24"/>
          <w:szCs w:val="24"/>
          <w:lang w:val="hr-BA"/>
        </w:rPr>
        <w:t>Skor vjerovatnoće glaukoma (Glaucoma Probability Score - GPS)</w:t>
      </w:r>
      <w:r w:rsidR="00124580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</w:t>
      </w: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t>i automatizovanu perimetriju odnosno</w:t>
      </w:r>
      <w:r w:rsidR="00757DD4">
        <w:rPr>
          <w:rFonts w:ascii="Times New Roman" w:eastAsia="Calibri" w:hAnsi="Times New Roman" w:cs="Times New Roman"/>
          <w:sz w:val="24"/>
          <w:szCs w:val="24"/>
          <w:lang w:val="hr-BA"/>
        </w:rPr>
        <w:t>,</w:t>
      </w: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pregled vidnog polja na perimetru Octopus 900 pro EyeSuite Perimetry software (Haag-Streit), program G Standard/ W-W / Normal.</w:t>
      </w:r>
    </w:p>
    <w:p w:rsidR="0016330B" w:rsidRDefault="0016330B" w:rsidP="0016330B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t>Ispitanicima je urađen test dnevne krive intraokularnog pritiska (mjerenje IOP-a u 7</w:t>
      </w:r>
      <w:r w:rsidRPr="0016330B">
        <w:rPr>
          <w:rFonts w:ascii="Times New Roman" w:eastAsia="Calibri" w:hAnsi="Times New Roman" w:cs="Times New Roman"/>
          <w:sz w:val="24"/>
          <w:szCs w:val="24"/>
          <w:vertAlign w:val="superscript"/>
          <w:lang w:val="hr-BA"/>
        </w:rPr>
        <w:t xml:space="preserve">30, </w:t>
      </w: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t>13</w:t>
      </w:r>
      <w:r w:rsidRPr="0016330B">
        <w:rPr>
          <w:rFonts w:ascii="Times New Roman" w:eastAsia="Calibri" w:hAnsi="Times New Roman" w:cs="Times New Roman"/>
          <w:sz w:val="24"/>
          <w:szCs w:val="24"/>
          <w:vertAlign w:val="superscript"/>
          <w:lang w:val="hr-BA"/>
        </w:rPr>
        <w:t>30</w:t>
      </w: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i 19</w:t>
      </w:r>
      <w:r w:rsidRPr="0016330B">
        <w:rPr>
          <w:rFonts w:ascii="Times New Roman" w:eastAsia="Calibri" w:hAnsi="Times New Roman" w:cs="Times New Roman"/>
          <w:sz w:val="24"/>
          <w:szCs w:val="24"/>
          <w:vertAlign w:val="superscript"/>
          <w:lang w:val="hr-BA"/>
        </w:rPr>
        <w:t>30</w:t>
      </w: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) i provokativni test </w:t>
      </w:r>
      <w:r w:rsidR="00801ED0">
        <w:rPr>
          <w:rFonts w:ascii="Times New Roman" w:eastAsia="Calibri" w:hAnsi="Times New Roman" w:cs="Times New Roman"/>
          <w:sz w:val="24"/>
          <w:szCs w:val="24"/>
          <w:lang w:val="hr-BA"/>
        </w:rPr>
        <w:t>opterećenja vodom</w:t>
      </w:r>
      <w:r w:rsidRPr="0016330B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(nulto mjerenje IOP-a prije pijenja litre tečnosti i potom četiri uzastopna mjerenja IOP-a sa rasponom od 15 minuta).</w:t>
      </w:r>
    </w:p>
    <w:p w:rsidR="00100007" w:rsidRDefault="00F478FC" w:rsidP="0016330B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F478FC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Test dnevne krive IOP-a se smatrao pozitivnim za fluktuaciju IOP-a ≥ 5 mmHg, a provokativni test </w:t>
      </w:r>
      <w:r w:rsidR="009A59CB">
        <w:rPr>
          <w:rFonts w:ascii="Times New Roman" w:eastAsia="Calibri" w:hAnsi="Times New Roman" w:cs="Times New Roman"/>
          <w:sz w:val="24"/>
          <w:szCs w:val="24"/>
          <w:lang w:val="hr-BA"/>
        </w:rPr>
        <w:t>vodom</w:t>
      </w:r>
      <w:r w:rsidRPr="00F478FC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je smatran pozitivnim ako je nastupilo povećanje IOP-a od 30% </w:t>
      </w:r>
      <w:r w:rsidRPr="00F478FC">
        <w:rPr>
          <w:rFonts w:ascii="Times New Roman" w:eastAsia="Calibri" w:hAnsi="Times New Roman" w:cs="Times New Roman"/>
          <w:sz w:val="24"/>
          <w:szCs w:val="24"/>
        </w:rPr>
        <w:t>[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F478FC">
        <w:rPr>
          <w:rFonts w:ascii="Times New Roman" w:eastAsia="Calibri" w:hAnsi="Times New Roman" w:cs="Times New Roman"/>
          <w:sz w:val="24"/>
          <w:szCs w:val="24"/>
        </w:rPr>
        <w:t>]</w:t>
      </w:r>
      <w:r w:rsidRPr="00F478FC">
        <w:rPr>
          <w:rFonts w:ascii="Times New Roman" w:eastAsia="Calibri" w:hAnsi="Times New Roman" w:cs="Times New Roman"/>
          <w:sz w:val="24"/>
          <w:szCs w:val="24"/>
          <w:lang w:val="hr-BA"/>
        </w:rPr>
        <w:t xml:space="preserve"> ili više u odnosu na nulto mjerenje.</w:t>
      </w:r>
    </w:p>
    <w:p w:rsidR="004D1A19" w:rsidRPr="004D1A19" w:rsidRDefault="004D1A19" w:rsidP="004D1A19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4D1A19">
        <w:rPr>
          <w:rFonts w:ascii="Times New Roman" w:eastAsia="Calibri" w:hAnsi="Times New Roman" w:cs="Times New Roman"/>
          <w:sz w:val="24"/>
          <w:szCs w:val="24"/>
          <w:lang w:val="hr-BA"/>
        </w:rPr>
        <w:t>U ispitanika obe grupe, analizirani su rezultati dobiveni ispitivanjem jednog oka. Kod ciljne grupe analizirano je „lošije“ oko, a kriterij za odabir „lošijeg“ oka je oko sa lošijim nalazom na PNO i/ili lošijim nalazom vidnog polja i/ili višim IOP-om. Kod ispitanika kontrolne grupe analizirani su rezultati dobiveni ispitivanjem desnog oka.</w:t>
      </w:r>
    </w:p>
    <w:p w:rsidR="004D1A19" w:rsidRPr="004D1A19" w:rsidRDefault="004D1A19" w:rsidP="004D1A19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4D1A19">
        <w:rPr>
          <w:rFonts w:ascii="Times New Roman" w:eastAsia="Calibri" w:hAnsi="Times New Roman" w:cs="Times New Roman"/>
          <w:sz w:val="24"/>
          <w:szCs w:val="24"/>
          <w:lang w:val="hr-BA"/>
        </w:rPr>
        <w:lastRenderedPageBreak/>
        <w:t>Osobe sa pozitivnom ličnom oftalmološkom anamnezom ili kliničkim pregledom ustanovljenu raniju traumu, upalni proces u smislu uveitisa ili intraokularnu lasersku ili operativnu intervenciju, značajnije zamućenje optičkih medija, retinalno oboljenje ili neglaukomsku optičku neuropatiju, bile su isključene iz ispitivanja.</w:t>
      </w:r>
    </w:p>
    <w:p w:rsidR="004D1A19" w:rsidRPr="004D1A19" w:rsidRDefault="004D1A19" w:rsidP="004D1A19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4D1A19">
        <w:rPr>
          <w:rFonts w:ascii="Times New Roman" w:eastAsia="Calibri" w:hAnsi="Times New Roman" w:cs="Times New Roman"/>
          <w:sz w:val="24"/>
          <w:szCs w:val="24"/>
          <w:lang w:val="hr-BA"/>
        </w:rPr>
        <w:t>Nemogućnost dobijanja pouzdanog i reproducibilnog nalaza vidnog polja te, kvalitetnih slika fundus-kamerom i HRT-om, su bili razlozi za isključenje osobe iz daljeg ispitivanja.</w:t>
      </w:r>
    </w:p>
    <w:p w:rsidR="00BE007D" w:rsidRDefault="00BE007D" w:rsidP="00BE007D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BE007D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Da bi mogli ispitati 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postavljeni cilj, </w:t>
      </w:r>
      <w:r w:rsidRPr="00BE007D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da li postoji korelacija između </w:t>
      </w:r>
      <w:r w:rsidR="001749D3">
        <w:rPr>
          <w:rFonts w:ascii="Times New Roman" w:eastAsia="Calibri" w:hAnsi="Times New Roman" w:cs="Times New Roman"/>
          <w:sz w:val="24"/>
          <w:szCs w:val="24"/>
          <w:lang w:val="sr-Latn-CS"/>
        </w:rPr>
        <w:t>kvantitativnih</w:t>
      </w:r>
      <w:r w:rsidRPr="00BE007D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podataka o strukturnom i funkcionalnom oštećenju sa j</w:t>
      </w:r>
      <w:r w:rsidR="00A03FB3">
        <w:rPr>
          <w:rFonts w:ascii="Times New Roman" w:eastAsia="Calibri" w:hAnsi="Times New Roman" w:cs="Times New Roman"/>
          <w:sz w:val="24"/>
          <w:szCs w:val="24"/>
          <w:lang w:val="sr-Latn-CS"/>
        </w:rPr>
        <w:t>edne strane i, vrijednosti dobiv</w:t>
      </w:r>
      <w:r w:rsidRPr="00BE007D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enih provokativnim testom sa druge strane, </w:t>
      </w:r>
      <w:r w:rsidR="00A03FB3">
        <w:rPr>
          <w:rFonts w:ascii="Times New Roman" w:eastAsia="Calibri" w:hAnsi="Times New Roman" w:cs="Times New Roman"/>
          <w:sz w:val="24"/>
          <w:szCs w:val="24"/>
          <w:lang w:val="sr-Latn-CS"/>
        </w:rPr>
        <w:t>određeni</w:t>
      </w:r>
      <w:r w:rsidRPr="00BE007D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su parametri koji predstavljaju strukturno oštećenje iz urađenih </w:t>
      </w:r>
      <w:r w:rsidR="001749D3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dijagnostičkih </w:t>
      </w:r>
      <w:r w:rsidRPr="00BE007D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testova. </w:t>
      </w:r>
    </w:p>
    <w:p w:rsidR="002E044C" w:rsidRDefault="002E044C" w:rsidP="00BE007D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>Iz tes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ta stereofotografije PNO i RNFL 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>naliziran</w:t>
      </w: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je parametar vertikalni C/D odnos. </w:t>
      </w: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>Analizom HRT 3.0,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analizirani su </w:t>
      </w: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>stereometrijsk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>i parametari i to</w:t>
      </w:r>
      <w:r w:rsidR="00810B0E" w:rsidRPr="00657D4A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 xml:space="preserve">, </w:t>
      </w:r>
      <w:r w:rsidR="00657D4A" w:rsidRPr="00657D4A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odnos ekskavacija/površina papile (</w:t>
      </w:r>
      <w:r w:rsidR="00810B0E" w:rsidRPr="00657D4A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Cup/Disc Area Ratio</w:t>
      </w:r>
      <w:r w:rsidR="00657D4A" w:rsidRPr="00657D4A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)</w:t>
      </w:r>
      <w:r w:rsidR="00810B0E" w:rsidRPr="00657D4A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, zatim, parametar srednja debljina sloja</w:t>
      </w:r>
      <w:r w:rsidR="00810B0E" w:rsidRPr="00810B0E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nervnih vlaka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>na retine (Mean RNFL Thickness), kao</w:t>
      </w: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odraz promjena na nivou parapapilarnog RNFL-a </w:t>
      </w:r>
      <w:r w:rsidR="006C0EE4">
        <w:rPr>
          <w:rFonts w:ascii="Times New Roman" w:eastAsia="Calibri" w:hAnsi="Times New Roman" w:cs="Times New Roman"/>
          <w:sz w:val="24"/>
          <w:szCs w:val="24"/>
          <w:lang w:val="sr-Latn-CS"/>
        </w:rPr>
        <w:t>i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parametar </w:t>
      </w: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>površina neuroretinalnog oboda (Rim Area)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>, kao odraz</w:t>
      </w: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>interpapilarnog</w:t>
      </w: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ekvivalent</w:t>
      </w:r>
      <w:r w:rsidR="00810B0E">
        <w:rPr>
          <w:rFonts w:ascii="Times New Roman" w:eastAsia="Calibri" w:hAnsi="Times New Roman" w:cs="Times New Roman"/>
          <w:sz w:val="24"/>
          <w:szCs w:val="24"/>
          <w:lang w:val="sr-Latn-CS"/>
        </w:rPr>
        <w:t>a</w:t>
      </w:r>
      <w:r w:rsidRPr="002E044C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RNFL-a. </w:t>
      </w:r>
    </w:p>
    <w:p w:rsidR="00A03FB3" w:rsidRPr="00A03FB3" w:rsidRDefault="00A03FB3" w:rsidP="00A03FB3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A03FB3">
        <w:rPr>
          <w:rFonts w:ascii="Times New Roman" w:eastAsia="Calibri" w:hAnsi="Times New Roman" w:cs="Times New Roman"/>
          <w:sz w:val="24"/>
          <w:szCs w:val="24"/>
          <w:lang w:val="sr-Latn-CS"/>
        </w:rPr>
        <w:t>Kvantitativni odraz stepena funkcionalnog oštećenja analiziran je vrijednostima indeksa prosj</w:t>
      </w:r>
      <w:r w:rsidR="003863BA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ečnog gubitka </w:t>
      </w:r>
      <w:r w:rsidR="006C0EE4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senzitivnosti </w:t>
      </w:r>
      <w:r w:rsidR="003863BA">
        <w:rPr>
          <w:rFonts w:ascii="Times New Roman" w:eastAsia="Calibri" w:hAnsi="Times New Roman" w:cs="Times New Roman"/>
          <w:sz w:val="24"/>
          <w:szCs w:val="24"/>
          <w:lang w:val="sr-Latn-CS"/>
        </w:rPr>
        <w:t>(MD)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dobivenog</w:t>
      </w:r>
      <w:r w:rsidRPr="00A03FB3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>perimetrijom</w:t>
      </w:r>
      <w:r w:rsidRPr="00A03FB3">
        <w:rPr>
          <w:rFonts w:ascii="Times New Roman" w:eastAsia="Calibri" w:hAnsi="Times New Roman" w:cs="Times New Roman"/>
          <w:sz w:val="24"/>
          <w:szCs w:val="24"/>
          <w:lang w:val="sr-Latn-CS"/>
        </w:rPr>
        <w:t>.</w:t>
      </w:r>
    </w:p>
    <w:p w:rsidR="00A03FB3" w:rsidRDefault="00A03FB3" w:rsidP="00A03FB3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Latn-CS"/>
        </w:rPr>
      </w:pPr>
      <w:r w:rsidRPr="00A03FB3">
        <w:rPr>
          <w:rFonts w:ascii="Times New Roman" w:eastAsia="Calibri" w:hAnsi="Times New Roman" w:cs="Times New Roman"/>
          <w:sz w:val="24"/>
          <w:szCs w:val="24"/>
          <w:lang w:val="sr-Latn-CS"/>
        </w:rPr>
        <w:t>Provokativni test vodom analiziran je preko vrijednosti fluktuacije</w:t>
      </w:r>
      <w:r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IOP-a odnosno,vrijednosti dobiv</w:t>
      </w:r>
      <w:r w:rsidRPr="00A03FB3">
        <w:rPr>
          <w:rFonts w:ascii="Times New Roman" w:eastAsia="Calibri" w:hAnsi="Times New Roman" w:cs="Times New Roman"/>
          <w:sz w:val="24"/>
          <w:szCs w:val="24"/>
          <w:lang w:val="sr-Latn-CS"/>
        </w:rPr>
        <w:t>ene razlikom maksimalnog IOP-a (pik) i početnog IOP-a pri stres testu (maximalan IOP – početni IOP).</w:t>
      </w:r>
      <w:r w:rsidR="00065F6A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Ispitana je i njegova senzitivnost i specifičnost.</w:t>
      </w:r>
    </w:p>
    <w:p w:rsidR="00A03FB3" w:rsidRDefault="00A03FB3" w:rsidP="00A03FB3">
      <w:pPr>
        <w:spacing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BA"/>
        </w:rPr>
      </w:pPr>
      <w:r w:rsidRPr="00A03FB3">
        <w:rPr>
          <w:rFonts w:ascii="Times New Roman" w:eastAsia="Calibri" w:hAnsi="Times New Roman" w:cs="Times New Roman"/>
          <w:sz w:val="24"/>
          <w:szCs w:val="24"/>
          <w:lang w:val="hr-BA"/>
        </w:rPr>
        <w:lastRenderedPageBreak/>
        <w:t xml:space="preserve">Statistička obrada svih parametara vršena je korištenjem statističkog paketa </w:t>
      </w:r>
      <w:r w:rsidR="00F2481C" w:rsidRPr="00F2481C">
        <w:rPr>
          <w:rFonts w:ascii="Times New Roman" w:eastAsia="Calibri" w:hAnsi="Times New Roman" w:cs="Times New Roman"/>
          <w:sz w:val="24"/>
          <w:szCs w:val="24"/>
          <w:lang w:val="sr-Latn-BA"/>
        </w:rPr>
        <w:t>IBM SPSS Statistics 20.0,</w:t>
      </w:r>
      <w:r w:rsidR="00F2481C">
        <w:rPr>
          <w:rFonts w:ascii="Times New Roman" w:eastAsia="Calibri" w:hAnsi="Times New Roman" w:cs="Times New Roman"/>
          <w:i/>
          <w:sz w:val="24"/>
          <w:szCs w:val="24"/>
          <w:lang w:val="sr-Latn-BA"/>
        </w:rPr>
        <w:t xml:space="preserve"> </w:t>
      </w:r>
      <w:r w:rsidRPr="00A03FB3">
        <w:rPr>
          <w:rFonts w:ascii="Times New Roman" w:eastAsia="Calibri" w:hAnsi="Times New Roman" w:cs="Times New Roman"/>
          <w:sz w:val="24"/>
          <w:szCs w:val="24"/>
          <w:lang w:val="hr-BA"/>
        </w:rPr>
        <w:t>deskriptivna statistika za opisivanje uzorka, Receiver operating characteristic (ROC) kriva z</w:t>
      </w:r>
      <w:r w:rsidRPr="00A03FB3">
        <w:rPr>
          <w:rFonts w:ascii="Times New Roman" w:eastAsia="Calibri" w:hAnsi="Times New Roman" w:cs="Times New Roman"/>
          <w:sz w:val="24"/>
          <w:szCs w:val="24"/>
          <w:lang w:val="sr-Latn-CS"/>
        </w:rPr>
        <w:t>a procjenu senzitivnosti i specifičn</w:t>
      </w:r>
      <w:r w:rsidR="00616436">
        <w:rPr>
          <w:rFonts w:ascii="Times New Roman" w:eastAsia="Calibri" w:hAnsi="Times New Roman" w:cs="Times New Roman"/>
          <w:sz w:val="24"/>
          <w:szCs w:val="24"/>
          <w:lang w:val="sr-Latn-CS"/>
        </w:rPr>
        <w:t>osti, a z</w:t>
      </w:r>
      <w:r w:rsidR="007C2AAD" w:rsidRPr="007C2AAD">
        <w:rPr>
          <w:rFonts w:ascii="Times New Roman" w:eastAsia="Calibri" w:hAnsi="Times New Roman" w:cs="Times New Roman"/>
          <w:sz w:val="24"/>
          <w:szCs w:val="24"/>
          <w:lang w:val="sr-Latn-BA"/>
        </w:rPr>
        <w:t>a utvrđivanje stepena povezanosti (korelacije) posmatranih obilježja</w:t>
      </w:r>
      <w:r w:rsidR="00616436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, </w:t>
      </w:r>
      <w:r w:rsidR="007C2AAD" w:rsidRPr="007C2AAD">
        <w:rPr>
          <w:rFonts w:ascii="Times New Roman" w:eastAsia="Calibri" w:hAnsi="Times New Roman" w:cs="Times New Roman"/>
          <w:i/>
          <w:sz w:val="24"/>
          <w:szCs w:val="24"/>
          <w:lang w:val="sr-Latn-BA"/>
        </w:rPr>
        <w:t>Spearman</w:t>
      </w:r>
      <w:r w:rsidR="00616436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-ova korelacija. </w:t>
      </w:r>
      <w:r w:rsidR="00616436" w:rsidRPr="00616436">
        <w:rPr>
          <w:rFonts w:ascii="Times New Roman" w:eastAsia="Calibri" w:hAnsi="Times New Roman" w:cs="Times New Roman"/>
          <w:sz w:val="24"/>
          <w:szCs w:val="24"/>
          <w:lang w:val="sr-Latn-BA"/>
        </w:rPr>
        <w:t>Rezultati su predstavljeni tabelarnim i grafičkim (scatter-plot) prikazom.</w:t>
      </w:r>
      <w:r w:rsidR="00616436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A03FB3">
        <w:rPr>
          <w:rFonts w:ascii="Times New Roman" w:eastAsia="Calibri" w:hAnsi="Times New Roman" w:cs="Times New Roman"/>
          <w:sz w:val="24"/>
          <w:szCs w:val="24"/>
          <w:lang w:val="sr-Latn-CS"/>
        </w:rPr>
        <w:t>Kao s</w:t>
      </w:r>
      <w:r w:rsidRPr="00A03FB3">
        <w:rPr>
          <w:rFonts w:ascii="Times New Roman" w:eastAsia="Calibri" w:hAnsi="Times New Roman" w:cs="Times New Roman"/>
          <w:sz w:val="24"/>
          <w:szCs w:val="24"/>
          <w:lang w:val="hr-BA"/>
        </w:rPr>
        <w:t>tatistički značajna razlika smatran je rezultat za p &lt;0,05.</w:t>
      </w:r>
    </w:p>
    <w:p w:rsidR="000622D7" w:rsidRDefault="000622D7" w:rsidP="00A36BBE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Rezultati</w:t>
      </w:r>
    </w:p>
    <w:p w:rsidR="00FD232D" w:rsidRPr="00FD232D" w:rsidRDefault="00EF5B3E" w:rsidP="0075188D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BA"/>
        </w:rPr>
      </w:pPr>
      <w:r w:rsidRPr="00EF5B3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Istraživanjem je obuhvaćen uzorak od </w:t>
      </w:r>
      <w:r w:rsidR="00AC45DB">
        <w:rPr>
          <w:rFonts w:ascii="Times New Roman" w:hAnsi="Times New Roman" w:cs="Times New Roman"/>
          <w:noProof/>
          <w:sz w:val="24"/>
          <w:szCs w:val="24"/>
          <w:lang w:val="sr-Latn-CS"/>
        </w:rPr>
        <w:t>60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ispitanika (</w:t>
      </w:r>
      <w:r w:rsidR="00AC45D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60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očiju) podijeljenih u kontrolnu i ciljnu grupu. </w:t>
      </w:r>
      <w:r w:rsidR="00667DF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Prosječna starost ispitanika kontrolne grupe je bila 62,63 godine (48-63), a </w:t>
      </w:r>
      <w:r w:rsidR="003B0091">
        <w:rPr>
          <w:rFonts w:ascii="Times New Roman" w:hAnsi="Times New Roman" w:cs="Times New Roman"/>
          <w:noProof/>
          <w:sz w:val="24"/>
          <w:szCs w:val="24"/>
          <w:lang w:val="sr-Latn-CS"/>
        </w:rPr>
        <w:t>ciljne, 62,23</w:t>
      </w:r>
      <w:r w:rsidR="00667DF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godin</w:t>
      </w:r>
      <w:r w:rsidR="003B0091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="00667DF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(44-80). Čet</w:t>
      </w:r>
      <w:r w:rsidR="00A95580">
        <w:rPr>
          <w:rFonts w:ascii="Times New Roman" w:hAnsi="Times New Roman" w:cs="Times New Roman"/>
          <w:noProof/>
          <w:sz w:val="24"/>
          <w:szCs w:val="24"/>
          <w:lang w:val="sr-Latn-CS"/>
        </w:rPr>
        <w:t>r</w:t>
      </w:r>
      <w:r w:rsidR="00667DF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deset i jedna žena i </w:t>
      </w:r>
      <w:r w:rsidR="003B0091">
        <w:rPr>
          <w:rFonts w:ascii="Times New Roman" w:hAnsi="Times New Roman" w:cs="Times New Roman"/>
          <w:noProof/>
          <w:sz w:val="24"/>
          <w:szCs w:val="24"/>
          <w:lang w:val="sr-Latn-CS"/>
        </w:rPr>
        <w:t>devetnaest</w:t>
      </w:r>
      <w:r w:rsidR="00667DF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muškaraca je uključeno u studiju. </w:t>
      </w:r>
      <w:r w:rsidR="00FD232D" w:rsidRPr="00FD232D">
        <w:rPr>
          <w:rFonts w:ascii="Times New Roman" w:eastAsia="Times New Roman" w:hAnsi="Times New Roman" w:cs="Times New Roman"/>
          <w:noProof/>
          <w:sz w:val="24"/>
          <w:szCs w:val="24"/>
          <w:lang w:val="sr-Latn-BA"/>
        </w:rPr>
        <w:t>U odnosu na polnu strukturu i starosnu dob, nije bila prisutna statistički značajna razlika između kontrolne i ciljne grupe.</w:t>
      </w:r>
      <w:r w:rsidR="00FD232D">
        <w:rPr>
          <w:rFonts w:ascii="Times New Roman" w:eastAsia="Times New Roman" w:hAnsi="Times New Roman" w:cs="Times New Roman"/>
          <w:noProof/>
          <w:sz w:val="24"/>
          <w:szCs w:val="24"/>
          <w:lang w:val="sr-Latn-BA"/>
        </w:rPr>
        <w:t xml:space="preserve"> </w:t>
      </w:r>
    </w:p>
    <w:p w:rsidR="00757DD4" w:rsidRDefault="00C278FA" w:rsidP="00EF5B3E">
      <w:pPr>
        <w:spacing w:line="48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U ciljnoj grupi, </w:t>
      </w:r>
      <w:r w:rsidR="008D26F3">
        <w:rPr>
          <w:rFonts w:ascii="Times New Roman" w:hAnsi="Times New Roman" w:cs="Times New Roman"/>
          <w:noProof/>
          <w:sz w:val="24"/>
          <w:szCs w:val="24"/>
          <w:lang w:val="sr-Latn-CS"/>
        </w:rPr>
        <w:t>POAG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je imao 21 ispitanik, </w:t>
      </w:r>
      <w:r w:rsidR="008D26F3">
        <w:rPr>
          <w:rFonts w:ascii="Times New Roman" w:hAnsi="Times New Roman" w:cs="Times New Roman"/>
          <w:noProof/>
          <w:sz w:val="24"/>
          <w:szCs w:val="24"/>
          <w:lang w:val="sr-Latn-CS"/>
        </w:rPr>
        <w:t>NTG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3 ispitanika</w:t>
      </w:r>
      <w:r w:rsidR="00FD232D">
        <w:rPr>
          <w:rFonts w:ascii="Times New Roman" w:hAnsi="Times New Roman" w:cs="Times New Roman"/>
          <w:noProof/>
          <w:sz w:val="24"/>
          <w:szCs w:val="24"/>
          <w:lang w:val="sr-Latn-CS"/>
        </w:rPr>
        <w:t>,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 </w:t>
      </w:r>
      <w:r w:rsidR="008D26F3">
        <w:rPr>
          <w:rFonts w:ascii="Times New Roman" w:hAnsi="Times New Roman" w:cs="Times New Roman"/>
          <w:noProof/>
          <w:sz w:val="24"/>
          <w:szCs w:val="24"/>
          <w:lang w:val="sr-Latn-CS"/>
        </w:rPr>
        <w:t>OH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FD232D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4 ispitanika, a 2 ispitanika su imala </w:t>
      </w:r>
      <w:r w:rsidR="0075188D">
        <w:rPr>
          <w:rFonts w:ascii="Times New Roman" w:hAnsi="Times New Roman" w:cs="Times New Roman"/>
          <w:noProof/>
          <w:sz w:val="24"/>
          <w:szCs w:val="24"/>
          <w:lang w:val="sr-Latn-CS"/>
        </w:rPr>
        <w:t>dijagnozu Glaucoma suspecta zbog nedovoljno prisutnih parametara da bi se sa sigurnošću mogla postaviti ili odbaciti dijagnoza glaukoma.</w:t>
      </w:r>
      <w:r w:rsidR="008D26F3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107AC5">
        <w:rPr>
          <w:rFonts w:ascii="Times New Roman" w:hAnsi="Times New Roman" w:cs="Times New Roman"/>
          <w:noProof/>
          <w:sz w:val="24"/>
          <w:szCs w:val="24"/>
          <w:lang w:val="sr-Latn-CS"/>
        </w:rPr>
        <w:t>Demogafsk</w:t>
      </w:r>
      <w:r w:rsidR="00A7459E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="00107AC5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A7459E">
        <w:rPr>
          <w:rFonts w:ascii="Times New Roman" w:hAnsi="Times New Roman" w:cs="Times New Roman"/>
          <w:noProof/>
          <w:sz w:val="24"/>
          <w:szCs w:val="24"/>
          <w:lang w:val="sr-Latn-CS"/>
        </w:rPr>
        <w:t>karakteristike</w:t>
      </w:r>
      <w:r w:rsidR="00107AC5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ispitanika prikazan</w:t>
      </w:r>
      <w:r w:rsidR="00A7459E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="00107AC5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su u Tabeli 1.</w:t>
      </w:r>
    </w:p>
    <w:p w:rsidR="003B0091" w:rsidRPr="0027044B" w:rsidRDefault="0027044B" w:rsidP="002704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hr-BA"/>
        </w:rPr>
      </w:pPr>
      <w:r w:rsidRPr="0027044B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Tabela 1.</w:t>
      </w:r>
    </w:p>
    <w:p w:rsidR="004C5F8E" w:rsidRDefault="004C5F8E" w:rsidP="00EF5B3E">
      <w:pPr>
        <w:spacing w:line="48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100007" w:rsidRPr="00100007" w:rsidRDefault="00100007" w:rsidP="00100007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100007">
        <w:rPr>
          <w:rFonts w:ascii="Times New Roman" w:eastAsia="Calibri" w:hAnsi="Times New Roman" w:cs="Times New Roman"/>
          <w:noProof/>
          <w:sz w:val="24"/>
          <w:szCs w:val="24"/>
        </w:rPr>
        <w:t>Stres test pijenja vode je bio pozitivan kod 13,33% ispitanika kontrolne grupe i, kod</w:t>
      </w:r>
      <w:r w:rsidR="00D070E4">
        <w:rPr>
          <w:rFonts w:ascii="Times New Roman" w:eastAsia="Calibri" w:hAnsi="Times New Roman" w:cs="Times New Roman"/>
          <w:noProof/>
          <w:sz w:val="24"/>
          <w:szCs w:val="24"/>
        </w:rPr>
        <w:t xml:space="preserve"> 36,67% ispitanika ciljne grupe, a što se pokazalo kao statistički značajno </w:t>
      </w:r>
      <w:r w:rsidRPr="00100007">
        <w:rPr>
          <w:rFonts w:ascii="Times New Roman" w:eastAsia="Calibri" w:hAnsi="Times New Roman" w:cs="Times New Roman"/>
          <w:noProof/>
          <w:sz w:val="24"/>
          <w:szCs w:val="24"/>
        </w:rPr>
        <w:t xml:space="preserve">(Tabela </w:t>
      </w:r>
      <w:r>
        <w:rPr>
          <w:rFonts w:ascii="Times New Roman" w:eastAsia="Calibri" w:hAnsi="Times New Roman" w:cs="Times New Roman"/>
          <w:noProof/>
          <w:sz w:val="24"/>
          <w:szCs w:val="24"/>
        </w:rPr>
        <w:t>2</w:t>
      </w:r>
      <w:r w:rsidRPr="00100007">
        <w:rPr>
          <w:rFonts w:ascii="Times New Roman" w:eastAsia="Calibri" w:hAnsi="Times New Roman" w:cs="Times New Roman"/>
          <w:noProof/>
          <w:sz w:val="24"/>
          <w:szCs w:val="24"/>
        </w:rPr>
        <w:t xml:space="preserve">). </w:t>
      </w:r>
    </w:p>
    <w:p w:rsidR="00100007" w:rsidRPr="00100007" w:rsidRDefault="00100007" w:rsidP="00100007">
      <w:pPr>
        <w:spacing w:after="0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100007" w:rsidRPr="0027044B" w:rsidRDefault="0027044B" w:rsidP="0027044B">
      <w:pPr>
        <w:spacing w:after="0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27044B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Tabela 2.</w:t>
      </w:r>
    </w:p>
    <w:p w:rsidR="00100007" w:rsidRDefault="00100007" w:rsidP="00EF5B3E">
      <w:pPr>
        <w:spacing w:line="48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4C5F8E" w:rsidRDefault="004C5F8E" w:rsidP="00EF5B3E">
      <w:pPr>
        <w:spacing w:line="48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lastRenderedPageBreak/>
        <w:t>Dva ispitanika sa dijagnozom Glaucoma suspecta nisu uključena u analizu procjene senzitivnosti i specifičnosti stres testa vodom za glaukom.</w:t>
      </w:r>
    </w:p>
    <w:p w:rsidR="00FB05C1" w:rsidRDefault="00FB05C1" w:rsidP="00FB05C1">
      <w:pPr>
        <w:spacing w:line="48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DA029F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Procjenujući sposobnost stres testa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vodom </w:t>
      </w:r>
      <w:r w:rsidRPr="00DA029F">
        <w:rPr>
          <w:rFonts w:ascii="Times New Roman" w:hAnsi="Times New Roman" w:cs="Times New Roman"/>
          <w:noProof/>
          <w:sz w:val="24"/>
          <w:szCs w:val="24"/>
          <w:lang w:val="sr-Latn-CS"/>
        </w:rPr>
        <w:t>za detektovanje glaukoma, dobili smo senzitivnost od 35,7%, uz specifičnost 86,7%. Ukupna preciznost stres testa pijenja vode za detektovanje glaukoma je loš</w:t>
      </w:r>
      <w:r w:rsidR="00D070E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a i iznosi 61,2% (0,465; 0,759) ( </w:t>
      </w:r>
      <w:r w:rsidR="006E2398">
        <w:rPr>
          <w:rFonts w:ascii="Times New Roman" w:hAnsi="Times New Roman" w:cs="Times New Roman"/>
          <w:noProof/>
          <w:sz w:val="24"/>
          <w:szCs w:val="24"/>
          <w:lang w:val="sr-Latn-CS"/>
        </w:rPr>
        <w:t>T</w:t>
      </w:r>
      <w:r w:rsidR="00D070E4">
        <w:rPr>
          <w:rFonts w:ascii="Times New Roman" w:hAnsi="Times New Roman" w:cs="Times New Roman"/>
          <w:noProof/>
          <w:sz w:val="24"/>
          <w:szCs w:val="24"/>
          <w:lang w:val="sr-Latn-CS"/>
        </w:rPr>
        <w:t>abela</w:t>
      </w:r>
      <w:r w:rsidR="00277C3D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3</w:t>
      </w:r>
      <w:r w:rsidR="006E2398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 Grafikon 1</w:t>
      </w:r>
      <w:r w:rsidR="00D070E4">
        <w:rPr>
          <w:rFonts w:ascii="Times New Roman" w:hAnsi="Times New Roman" w:cs="Times New Roman"/>
          <w:noProof/>
          <w:sz w:val="24"/>
          <w:szCs w:val="24"/>
          <w:lang w:val="sr-Latn-CS"/>
        </w:rPr>
        <w:t>)</w:t>
      </w:r>
      <w:r w:rsidR="006E2398">
        <w:rPr>
          <w:rFonts w:ascii="Times New Roman" w:hAnsi="Times New Roman" w:cs="Times New Roman"/>
          <w:noProof/>
          <w:sz w:val="24"/>
          <w:szCs w:val="24"/>
          <w:lang w:val="sr-Latn-CS"/>
        </w:rPr>
        <w:t>.</w:t>
      </w:r>
    </w:p>
    <w:p w:rsidR="006B42DD" w:rsidRDefault="0027044B" w:rsidP="0027044B">
      <w:pPr>
        <w:spacing w:after="0" w:line="480" w:lineRule="auto"/>
        <w:ind w:left="3600" w:firstLine="720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27044B">
        <w:rPr>
          <w:rFonts w:ascii="Times New Roman" w:eastAsia="Calibri" w:hAnsi="Times New Roman" w:cs="Times New Roman"/>
          <w:b/>
          <w:noProof/>
          <w:sz w:val="24"/>
          <w:szCs w:val="24"/>
        </w:rPr>
        <w:t>Tabela 3.</w:t>
      </w:r>
    </w:p>
    <w:p w:rsidR="0027044B" w:rsidRPr="0027044B" w:rsidRDefault="0027044B" w:rsidP="0027044B">
      <w:pPr>
        <w:spacing w:after="0" w:line="480" w:lineRule="auto"/>
        <w:ind w:firstLine="720"/>
        <w:jc w:val="center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:rsidR="006E2398" w:rsidRPr="0027044B" w:rsidRDefault="0027044B" w:rsidP="0027044B">
      <w:pPr>
        <w:spacing w:after="0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sr-Latn-BA"/>
        </w:rPr>
      </w:pPr>
      <w:r w:rsidRPr="0027044B">
        <w:rPr>
          <w:rFonts w:ascii="Times New Roman" w:hAnsi="Times New Roman" w:cs="Times New Roman"/>
          <w:b/>
          <w:noProof/>
          <w:sz w:val="24"/>
          <w:szCs w:val="24"/>
        </w:rPr>
        <w:t>Grafikon 1</w:t>
      </w:r>
    </w:p>
    <w:p w:rsidR="0058722E" w:rsidRDefault="0058722E" w:rsidP="00952DD9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C21DB5" w:rsidRDefault="00C21DB5" w:rsidP="00952DD9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Ispitana je </w:t>
      </w:r>
      <w:r w:rsidRPr="00C21DB5">
        <w:rPr>
          <w:rFonts w:ascii="Times New Roman" w:eastAsia="Times New Roman" w:hAnsi="Times New Roman" w:cs="Times New Roman"/>
          <w:noProof/>
          <w:sz w:val="24"/>
          <w:szCs w:val="24"/>
        </w:rPr>
        <w:t>korelacija stres testa vodom</w:t>
      </w:r>
      <w:r w:rsidR="0073057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(fluktuacije IOP-a)</w:t>
      </w:r>
      <w:r w:rsidRPr="00C21DB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sa parametrima koji se odnose na stepen funkcionalnog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i stepen strukturnog oštećenja i dobiveni r</w:t>
      </w:r>
      <w:r w:rsidR="00277C3D">
        <w:rPr>
          <w:rFonts w:ascii="Times New Roman" w:eastAsia="Times New Roman" w:hAnsi="Times New Roman" w:cs="Times New Roman"/>
          <w:noProof/>
          <w:sz w:val="24"/>
          <w:szCs w:val="24"/>
        </w:rPr>
        <w:t>ezultati su prikazani u Tabeli 4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</w:p>
    <w:p w:rsidR="00C21DB5" w:rsidRPr="0027044B" w:rsidRDefault="0027044B" w:rsidP="0027044B">
      <w:pPr>
        <w:spacing w:after="0" w:line="360" w:lineRule="auto"/>
        <w:ind w:left="3600" w:firstLine="720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27044B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Tabela 4.</w:t>
      </w:r>
    </w:p>
    <w:p w:rsidR="006E2398" w:rsidRDefault="00657D4A" w:rsidP="00DC2B15">
      <w:pPr>
        <w:spacing w:after="0" w:line="480" w:lineRule="auto"/>
        <w:ind w:firstLine="360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657D4A">
        <w:rPr>
          <w:rFonts w:ascii="Times New Roman" w:hAnsi="Times New Roman" w:cs="Times New Roman"/>
          <w:noProof/>
          <w:sz w:val="24"/>
          <w:szCs w:val="24"/>
        </w:rPr>
        <w:t>Stres test vodom i indeks prosječnog gubitka</w:t>
      </w:r>
      <w:r w:rsidR="009C4F66">
        <w:rPr>
          <w:rFonts w:ascii="Times New Roman" w:hAnsi="Times New Roman" w:cs="Times New Roman"/>
          <w:noProof/>
          <w:sz w:val="24"/>
          <w:szCs w:val="24"/>
        </w:rPr>
        <w:t xml:space="preserve"> senzitivnosti</w:t>
      </w:r>
      <w:r w:rsidRPr="00657D4A">
        <w:rPr>
          <w:rFonts w:ascii="Times New Roman" w:hAnsi="Times New Roman" w:cs="Times New Roman"/>
          <w:noProof/>
          <w:sz w:val="24"/>
          <w:szCs w:val="24"/>
        </w:rPr>
        <w:t xml:space="preserve"> vidnog polja su u statistički značajnoj umjerenoj pozitivnoj korelaciji (Grafikon 2).</w:t>
      </w:r>
    </w:p>
    <w:p w:rsidR="006E2398" w:rsidRPr="0027044B" w:rsidRDefault="0027044B" w:rsidP="0027044B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27044B">
        <w:rPr>
          <w:rFonts w:ascii="Times New Roman" w:hAnsi="Times New Roman" w:cs="Times New Roman"/>
          <w:b/>
          <w:noProof/>
          <w:sz w:val="24"/>
          <w:szCs w:val="24"/>
        </w:rPr>
        <w:t>Grafikon 2</w:t>
      </w:r>
    </w:p>
    <w:p w:rsidR="006E2398" w:rsidRDefault="006E2398" w:rsidP="006E2398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6E2398" w:rsidRPr="00657D4A" w:rsidRDefault="006E2398" w:rsidP="00657D4A">
      <w:pPr>
        <w:spacing w:after="0" w:line="480" w:lineRule="auto"/>
        <w:ind w:firstLine="36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57D4A" w:rsidRDefault="00657D4A" w:rsidP="00657D4A">
      <w:pPr>
        <w:spacing w:after="0" w:line="480" w:lineRule="auto"/>
        <w:ind w:firstLine="36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7D4A">
        <w:rPr>
          <w:rFonts w:ascii="Times New Roman" w:hAnsi="Times New Roman" w:cs="Times New Roman"/>
          <w:noProof/>
          <w:sz w:val="24"/>
          <w:szCs w:val="24"/>
        </w:rPr>
        <w:t>Stres test vodom i PNO vertikalni C/D su u statistički značajnoj blagoj pozitivnoj korelaciji (G</w:t>
      </w:r>
      <w:r w:rsidR="00A67833">
        <w:rPr>
          <w:rFonts w:ascii="Times New Roman" w:hAnsi="Times New Roman" w:cs="Times New Roman"/>
          <w:noProof/>
          <w:sz w:val="24"/>
          <w:szCs w:val="24"/>
        </w:rPr>
        <w:t xml:space="preserve">rafikon </w:t>
      </w:r>
      <w:r w:rsidRPr="00657D4A">
        <w:rPr>
          <w:rFonts w:ascii="Times New Roman" w:hAnsi="Times New Roman" w:cs="Times New Roman"/>
          <w:noProof/>
          <w:sz w:val="24"/>
          <w:szCs w:val="24"/>
        </w:rPr>
        <w:t>3).</w:t>
      </w:r>
    </w:p>
    <w:p w:rsidR="006E2398" w:rsidRPr="0027044B" w:rsidRDefault="0027044B" w:rsidP="002704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27044B">
        <w:rPr>
          <w:rFonts w:ascii="Times New Roman" w:eastAsia="Times New Roman" w:hAnsi="Times New Roman" w:cs="Times New Roman"/>
          <w:b/>
          <w:noProof/>
          <w:sz w:val="24"/>
          <w:szCs w:val="24"/>
        </w:rPr>
        <w:t>Grafikon 3</w:t>
      </w:r>
    </w:p>
    <w:p w:rsidR="006E2398" w:rsidRPr="00657D4A" w:rsidRDefault="006E2398" w:rsidP="00657D4A">
      <w:pPr>
        <w:spacing w:after="0" w:line="480" w:lineRule="auto"/>
        <w:ind w:firstLine="36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622D7" w:rsidRDefault="00657D4A" w:rsidP="00A67833">
      <w:pPr>
        <w:spacing w:after="0" w:line="480" w:lineRule="auto"/>
        <w:ind w:firstLine="36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7D4A">
        <w:rPr>
          <w:rFonts w:ascii="Times New Roman" w:hAnsi="Times New Roman" w:cs="Times New Roman"/>
          <w:noProof/>
          <w:sz w:val="24"/>
          <w:szCs w:val="24"/>
        </w:rPr>
        <w:t>Stres test vodom nije u statistički značajnoj korelaciji ni sa HRT odnosom ekskavacija/površina papile</w:t>
      </w:r>
      <w:r w:rsidR="006E2398">
        <w:rPr>
          <w:rFonts w:ascii="Times New Roman" w:hAnsi="Times New Roman" w:cs="Times New Roman"/>
          <w:noProof/>
          <w:sz w:val="24"/>
          <w:szCs w:val="24"/>
        </w:rPr>
        <w:t>,</w:t>
      </w:r>
      <w:r w:rsidRPr="00657D4A">
        <w:rPr>
          <w:rFonts w:ascii="Times New Roman" w:hAnsi="Times New Roman" w:cs="Times New Roman"/>
          <w:noProof/>
          <w:sz w:val="24"/>
          <w:szCs w:val="24"/>
        </w:rPr>
        <w:t xml:space="preserve"> ni sa HRT srednja debljina sloja nervnih vlakana retine, ni sa HRT</w:t>
      </w:r>
      <w:r w:rsidR="00A67833">
        <w:rPr>
          <w:rFonts w:ascii="Times New Roman" w:hAnsi="Times New Roman" w:cs="Times New Roman"/>
          <w:noProof/>
          <w:sz w:val="24"/>
          <w:szCs w:val="24"/>
        </w:rPr>
        <w:t xml:space="preserve"> površina neuroretinalnog oboda.</w:t>
      </w:r>
    </w:p>
    <w:p w:rsidR="000622D7" w:rsidRDefault="000622D7" w:rsidP="00A36BBE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0622D7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lastRenderedPageBreak/>
        <w:t>Diskusija</w:t>
      </w:r>
    </w:p>
    <w:p w:rsidR="006156FE" w:rsidRPr="006156FE" w:rsidRDefault="00217E11" w:rsidP="00217E1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Rezultati našeg istraživanja su pokazali </w:t>
      </w:r>
      <w:r w:rsidRPr="00217E11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senzitivnost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od 35,7%, specifičnost od 86,7% kao i lošu ukupnu dijagnostičku sposobnost stres testa vodom za glaukom od </w:t>
      </w:r>
      <w:r w:rsidRPr="00217E11">
        <w:rPr>
          <w:rFonts w:ascii="Times New Roman" w:hAnsi="Times New Roman" w:cs="Times New Roman"/>
          <w:noProof/>
          <w:sz w:val="24"/>
          <w:szCs w:val="24"/>
          <w:lang w:val="sr-Latn-CS"/>
        </w:rPr>
        <w:t>61,2%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.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6156FE" w:rsidRPr="006156F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Ovaj rezultat, u saglasnosti je sa rezultatom koji je dobio Roth </w:t>
      </w:r>
      <w:r w:rsidR="006156FE" w:rsidRPr="006156FE">
        <w:rPr>
          <w:rFonts w:ascii="Times New Roman" w:eastAsia="Times New Roman" w:hAnsi="Times New Roman" w:cs="Times New Roman"/>
          <w:noProof/>
          <w:sz w:val="24"/>
          <w:szCs w:val="24"/>
        </w:rPr>
        <w:t>[</w:t>
      </w:r>
      <w:r w:rsidR="003E24AC">
        <w:rPr>
          <w:rFonts w:ascii="Times New Roman" w:eastAsia="Times New Roman" w:hAnsi="Times New Roman" w:cs="Times New Roman"/>
          <w:noProof/>
          <w:sz w:val="24"/>
          <w:szCs w:val="24"/>
        </w:rPr>
        <w:t>8</w:t>
      </w:r>
      <w:r w:rsidR="006156FE" w:rsidRPr="006156F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] </w:t>
      </w:r>
      <w:r w:rsidR="006156FE" w:rsidRPr="006156F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ispitujući dijagnostičku sposobnost testa vodom kod četiri dijagnostičke grupe ispitanika: 64 oboljele od POAG, 41 zdrave osobe, 74 sa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OH</w:t>
      </w:r>
      <w:r w:rsidR="006156FE" w:rsidRPr="006156F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i 31 sa sumnjom na glaukom. Test je smatran za pozitivan za vrijednosti IOP-a ≥ 6 mmHg u odnosu na nulto mjerenje i, bio je pozitivan kod 9 zdravih osoba (22%), 33 oboljele od POAG (52%), 61 osobe sa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OH</w:t>
      </w:r>
      <w:r w:rsidR="006156FE" w:rsidRPr="006156F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(82%) i 23 osobe sa sumnjom na glaukom (74%). Lažno pozitivan test je nađen u 22% slučaja, a lažno negativan u 48% slučaja. Analizirajući svoje rezultate kao i rezultate drugih autora toga vremena, došao je do zaključka da je dijagnostička sposobnost testa pijenja vode za POAG loša. </w:t>
      </w:r>
    </w:p>
    <w:p w:rsidR="006156FE" w:rsidRPr="006156FE" w:rsidRDefault="006156FE" w:rsidP="002803AD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6156F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Do istog zaključka je došao i Armaly </w:t>
      </w:r>
      <w:r w:rsidRPr="006156FE">
        <w:rPr>
          <w:rFonts w:ascii="Times New Roman" w:eastAsia="Times New Roman" w:hAnsi="Times New Roman" w:cs="Times New Roman"/>
          <w:noProof/>
          <w:sz w:val="24"/>
          <w:szCs w:val="24"/>
        </w:rPr>
        <w:t>[9] analizirajući podatke Collaborative Glaucoma studije na uzorku 5886 očiju od kojih je 98, s vremenom, razvilo glaukomske defekte u vidnom polju. Studija je istraživala</w:t>
      </w:r>
      <w:r w:rsidRPr="006156F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tonografiju, životnu dob, tonometriju, C/D odnos i promjene IOP-a pri testu pijenja vode, kao prediktore za razvijanje glaukomskih promjena u vidnom polju. Zaključeno je da prediktori imaju nisku vrijednost kada se posmatraju izolovano ili udruženo zbog visokog procenta lažno pozitivnih i lažno negativnih rezultata.</w:t>
      </w:r>
    </w:p>
    <w:p w:rsidR="006156FE" w:rsidRDefault="006156FE" w:rsidP="00AE645F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6156F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 našem istraživanju, ispitali smo korelaciju između stepena strukturnih i funkcion</w:t>
      </w:r>
      <w:r w:rsidR="002803AD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alnih oštećenja i </w:t>
      </w:r>
      <w:r w:rsidR="0073057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fluktuacije IOP-a pri provokativnom testu vodom</w:t>
      </w:r>
      <w:r w:rsidRPr="006156FE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</w:p>
    <w:p w:rsidR="00AE645F" w:rsidRDefault="00AE645F" w:rsidP="00AE645F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AE645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Spearman-ovom korelacijom je utvrđena je statistički značajna blaga pozitivna korelacija između stres testa vodom i strukturnog glaukomskog oštećenja predstavljenog sa vertikalnim C/D odnosom (stereofotografija) (ρ:0,264; </w:t>
      </w:r>
      <w:r w:rsidRPr="00AE645F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sr-Latn-CS"/>
        </w:rPr>
        <w:t>p=</w:t>
      </w:r>
      <w:r w:rsidRPr="00AE645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0,042) (Tabela 4</w:t>
      </w:r>
      <w:r w:rsidR="001806A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i Grafikon </w:t>
      </w:r>
      <w:r w:rsidRPr="00AE645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3).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Pr="00AE645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Odnosno, naši rezultati ukazuju da je sa porastom vertikalnog C/D odnosa bio prisutan i porast  u intenzitetu </w:t>
      </w:r>
      <w:r w:rsidRPr="00AE645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lastRenderedPageBreak/>
        <w:t>promjene IOP-a</w:t>
      </w:r>
      <w:r w:rsidR="00971B97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pri testu vodom. Iz Grafikona </w:t>
      </w:r>
      <w:r w:rsidRPr="00AE645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3 se isto tako vidi da je intenzitet promjene IOP-a bio veći kod papila sa vertikalnim C/D odnosom od 0,5 i 0,6, pa čak i sa 0,3, nego kod onih sa vertikalnim C/D od 0,8. Na ovakvu distribuciju je najvjerovatnije uticao mali broj ispitanika sa vertikalnim C/D većim od 0,7 i, ranije dokazana, loša ukupna dijagnostička preciznost stres testa vodom da diferencija zdrave od oboljelih od glaukoma. </w:t>
      </w:r>
    </w:p>
    <w:p w:rsidR="00302E57" w:rsidRPr="00302E57" w:rsidRDefault="00302E57" w:rsidP="00302E57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302E57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Pregledom nama dostupne literarure indeksirane u PubMed-u, nismo našli radove drugih autora koji su ispitivali korelaciju između testa pijenja vode i parametra vertikalni C/D stereofotografije.</w:t>
      </w:r>
    </w:p>
    <w:p w:rsidR="00FE57A0" w:rsidRPr="00FE57A0" w:rsidRDefault="00302E57" w:rsidP="00FE57A0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302E57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Istim testom je utvrđena statistički značajna umjerena pozitivna korelacija (ρ:0,366; </w:t>
      </w:r>
      <w:r w:rsidRPr="00302E57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sr-Latn-CS"/>
        </w:rPr>
        <w:t>p</w:t>
      </w:r>
      <w:r w:rsidRPr="00302E57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=0,004) između stres testa vodom i indeksa prosječnog gubitka </w:t>
      </w:r>
      <w:r w:rsidR="003062F9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senzitivnosti </w:t>
      </w:r>
      <w:r w:rsidRPr="00302E57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vidnog polja (MD), kao odraza funkcionalnog glaukomskog oštećenja (Tabela 4</w:t>
      </w:r>
      <w:r w:rsidR="00971B97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i Grafikon </w:t>
      </w:r>
      <w:r w:rsidRPr="00302E57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2).</w:t>
      </w:r>
      <w:r w:rsidR="00FE57A0" w:rsidRPr="00FE57A0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 xml:space="preserve"> </w:t>
      </w:r>
      <w:r w:rsidR="00FE57A0"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To znači da oči sa lošijim MD-om prezentuju šire fluktuacije IOP-a nakon ingestije vode. Naš rezultat je u saglasnosti sa rezultatima drugih autora koji su našli značajnu povezanost između testa vodom i nalaza u vidnom polju.</w:t>
      </w:r>
    </w:p>
    <w:p w:rsidR="00FE57A0" w:rsidRDefault="00FE57A0" w:rsidP="00FE57A0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Na povezanost testa pijenja vode i promjena u vidnom polju je još </w:t>
      </w:r>
      <w:r w:rsidR="00B2663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1980-ih godina ukazao Armaly [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9] i saradnici. Oni su na osnovu velike prospektivne studije (Collaborative Glaucoma Study) ukazali na promjene IOP-a nakon testa vodom kao jedan od pet potencijalnih faktora rizika za razvoj glaukomskih promjena u vidnom polju kod pacijenata sa okularnom hipertenzijom.</w:t>
      </w:r>
    </w:p>
    <w:p w:rsidR="00FE57A0" w:rsidRPr="00FE57A0" w:rsidRDefault="00FE57A0" w:rsidP="00FE57A0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Yoshikawa i saradnici [10] su kod pacijenata sa normotenzivnim glaukomom pokazali, da je vrijednost maksimalnog IOP-a nakon testa </w:t>
      </w:r>
      <w:r w:rsidR="003E24AC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opterećenja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vod</w:t>
      </w:r>
      <w:r w:rsidR="003E24AC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om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kod pacijenata sa progresivnim oštećenjem vidnog polja bila značajno veća od vrijednosti maksimalnog IOP-a kod 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lastRenderedPageBreak/>
        <w:t xml:space="preserve">grupe pacijenata bez progresije u vidnom polju.  I Susanna i saradnici </w:t>
      </w:r>
      <w:r w:rsidR="000F107C">
        <w:rPr>
          <w:rFonts w:ascii="Times New Roman" w:eastAsia="Times New Roman" w:hAnsi="Times New Roman" w:cs="Times New Roman"/>
          <w:noProof/>
          <w:sz w:val="24"/>
          <w:szCs w:val="24"/>
        </w:rPr>
        <w:t>[1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1] 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su došli do istog zaključka kada su ispitali rezultate testa vodom kod pacijenata obljelih od POAG, sa i bez progresije u vidnom polju.</w:t>
      </w:r>
    </w:p>
    <w:p w:rsidR="00FE57A0" w:rsidRPr="00FE57A0" w:rsidRDefault="00FE57A0" w:rsidP="00FE57A0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 svom drug</w:t>
      </w:r>
      <w:r w:rsidR="005069F6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om radu, Susanna i saradnici [12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] su našli pozitivnu korelaciju između pikova IOP-a pri testu vodom i indeksa prosječnog gubitka </w:t>
      </w:r>
      <w:r w:rsidR="00D977C5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senzitivnosti 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vidnog polja (MD) kod pacijenata sa asimetričnim glaukomskim vidnim poljem. Zaključili su da oko sa lošijim MD vidnog polja ima veće pikove IOP-a i šire fluktuacije u odnosu na drugo oko sa boljim MD-om vidnog polja.</w:t>
      </w:r>
    </w:p>
    <w:p w:rsidR="007E25DC" w:rsidRDefault="00FE57A0" w:rsidP="00FE57A0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Za ostale parametre koji predstav</w:t>
      </w:r>
      <w:r w:rsidR="003E24AC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ljaju strukturni status, a dobiv</w:t>
      </w:r>
      <w:r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eni su analizom HRT 3.0, nije nađena statistički značajna korelacija sa stres testom vodom (Tabela </w:t>
      </w:r>
      <w:r w:rsidR="003E24AC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4).</w:t>
      </w:r>
    </w:p>
    <w:p w:rsidR="00FE57A0" w:rsidRDefault="00F40A5D" w:rsidP="00FE57A0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Kore</w:t>
      </w:r>
      <w:r w:rsidR="00FE57A0"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lacije, koje smo mi </w:t>
      </w:r>
      <w:r w:rsidR="008C584A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dobili kao statistički značajne</w:t>
      </w:r>
      <w:r w:rsidR="00FE57A0"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ukazuju da</w:t>
      </w:r>
      <w:r w:rsidR="008C584A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,</w:t>
      </w:r>
      <w:r w:rsidR="00FE57A0"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oči sa  lošijim glaukomskim nalazom vidnog polja i izraženijim strukturnim promjenama na papili,</w:t>
      </w:r>
      <w:r w:rsidR="00F34EC5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8C584A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a </w:t>
      </w:r>
      <w:r w:rsidR="00F34EC5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prije započetog liječenja glaukoma,</w:t>
      </w:r>
      <w:r w:rsidR="00FE57A0" w:rsidRPr="00FE57A0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imaju manji kapacitet da odgovore na stimulus koji vodi tranzitornom povećanju IOP-a.</w:t>
      </w:r>
      <w:r w:rsidR="00011FD3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</w:p>
    <w:p w:rsidR="000622D7" w:rsidRDefault="000622D7" w:rsidP="00A36BBE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Zaključak</w:t>
      </w:r>
    </w:p>
    <w:p w:rsidR="00C00F9A" w:rsidRPr="003118EC" w:rsidRDefault="00C00F9A" w:rsidP="00C00F9A">
      <w:pPr>
        <w:spacing w:line="480" w:lineRule="auto"/>
        <w:ind w:firstLine="540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ab/>
      </w:r>
      <w:r w:rsidRPr="003118EC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Pri ispitivanju korelacije stres testa vodom sa stepenom strukturnog i funkcionalnog oštećenja, utvrđena je statistički značajna, blaga pozitivna korelacija između stres testa vodom i strukturnog glaukomskog oštećenja predstavljenog sa vertikalnim C/D odnosom stereofotografije. Isto tako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,</w:t>
      </w:r>
      <w:r w:rsidRPr="003118EC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 xml:space="preserve"> utvrđena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 xml:space="preserve"> je</w:t>
      </w:r>
      <w:r w:rsidRPr="003118EC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 xml:space="preserve"> statistički značajna umjerena pozitivna korelacija između stres testa vodom i indeksa 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prosječnog gubitka</w:t>
      </w:r>
      <w:r w:rsidR="00D977C5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 xml:space="preserve"> senzitivnosti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 xml:space="preserve"> vidnog polja</w:t>
      </w:r>
      <w:r w:rsidRPr="003118EC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, kao odraza funkcionalnog glaukomskog oštećenja.</w:t>
      </w:r>
      <w:r w:rsidR="006532DF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 xml:space="preserve"> Fluktuacije IOP-a pri testu opterećenja vodom mogu da ukažu na prisustvo strukturnih i funkcionalnih glaukomskih promjena.</w:t>
      </w:r>
    </w:p>
    <w:p w:rsidR="000622D7" w:rsidRDefault="000622D7" w:rsidP="00A36BBE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lastRenderedPageBreak/>
        <w:t>Literatura</w:t>
      </w:r>
    </w:p>
    <w:p w:rsidR="00694380" w:rsidRPr="00916542" w:rsidRDefault="00694380" w:rsidP="0069438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BA"/>
        </w:rPr>
      </w:pPr>
      <w:r w:rsidRPr="00916542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sr-Latn-BA"/>
        </w:rPr>
        <w:t>Quigley HA, Broman AT. The number of people with glaucoma worldwide in 2010 and 2020.</w:t>
      </w:r>
      <w:r w:rsidRPr="000E6C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sr-Latn-BA"/>
        </w:rPr>
        <w:t> </w:t>
      </w:r>
      <w:r w:rsidRPr="000E6C41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>Br J Ophthalmol </w:t>
      </w:r>
      <w:r w:rsidRPr="00916542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 xml:space="preserve">2006; </w:t>
      </w:r>
      <w:r w:rsidRPr="000E6C41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>90:</w:t>
      </w:r>
      <w:r w:rsidRPr="00916542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>253–4.</w:t>
      </w:r>
    </w:p>
    <w:p w:rsidR="00785181" w:rsidRPr="00B93732" w:rsidRDefault="00785181" w:rsidP="0078518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B93732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Liu JH</w:t>
      </w:r>
      <w:r w:rsidRPr="00B937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Pr="00B937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Diurnal measurement of intraocular pressure.</w:t>
      </w:r>
      <w:r w:rsidRPr="00B9373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93732">
        <w:rPr>
          <w:rStyle w:val="ref-journal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J Glaucoma</w:t>
      </w:r>
      <w:r w:rsidRPr="00B9373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93732">
        <w:rPr>
          <w:rFonts w:ascii="Times New Roman" w:hAnsi="Times New Roman" w:cs="Times New Roman"/>
          <w:sz w:val="24"/>
          <w:szCs w:val="24"/>
          <w:shd w:val="clear" w:color="auto" w:fill="FFFFFF"/>
        </w:rPr>
        <w:t>2001</w:t>
      </w:r>
      <w:proofErr w:type="gramStart"/>
      <w:r w:rsidRPr="00B93732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B93732">
        <w:rPr>
          <w:rStyle w:val="ref-vol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10</w:t>
      </w:r>
      <w:r w:rsidRPr="00B93732">
        <w:rPr>
          <w:rFonts w:ascii="Times New Roman" w:hAnsi="Times New Roman" w:cs="Times New Roman"/>
          <w:sz w:val="24"/>
          <w:szCs w:val="24"/>
          <w:shd w:val="clear" w:color="auto" w:fill="FFFFFF"/>
        </w:rPr>
        <w:t>:39</w:t>
      </w:r>
      <w:proofErr w:type="gramEnd"/>
      <w:r w:rsidRPr="00B93732">
        <w:rPr>
          <w:rFonts w:ascii="Times New Roman" w:hAnsi="Times New Roman" w:cs="Times New Roman"/>
          <w:sz w:val="24"/>
          <w:szCs w:val="24"/>
          <w:shd w:val="clear" w:color="auto" w:fill="FFFFFF"/>
        </w:rPr>
        <w:t>–41.</w:t>
      </w:r>
    </w:p>
    <w:p w:rsidR="003477C8" w:rsidRPr="00B93732" w:rsidRDefault="003477C8" w:rsidP="0078518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B93732">
        <w:rPr>
          <w:rStyle w:val="Strong"/>
          <w:rFonts w:ascii="Times New Roman" w:hAnsi="Times New Roman" w:cs="Times New Roman"/>
          <w:b w:val="0"/>
          <w:noProof/>
          <w:sz w:val="24"/>
          <w:szCs w:val="24"/>
          <w:bdr w:val="none" w:sz="0" w:space="0" w:color="auto" w:frame="1"/>
          <w:shd w:val="clear" w:color="auto" w:fill="FFFFFF"/>
          <w:lang w:val="sr-Latn-CS"/>
        </w:rPr>
        <w:t>Asrani S</w:t>
      </w:r>
      <w:r w:rsidRPr="00B93732"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val="sr-Latn-CS"/>
        </w:rPr>
        <w:t>,</w:t>
      </w:r>
      <w:r w:rsidRPr="00B93732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sr-Latn-CS"/>
        </w:rPr>
        <w:t xml:space="preserve"> Zeimer R, Wilensky J,</w:t>
      </w:r>
      <w:r w:rsidRPr="00B93732">
        <w:rPr>
          <w:rStyle w:val="apple-converted-space"/>
          <w:rFonts w:ascii="Times New Roman" w:hAnsi="Times New Roman" w:cs="Times New Roman"/>
          <w:noProof/>
          <w:sz w:val="24"/>
          <w:szCs w:val="24"/>
          <w:shd w:val="clear" w:color="auto" w:fill="FFFFFF"/>
          <w:lang w:val="sr-Latn-CS"/>
        </w:rPr>
        <w:t> </w:t>
      </w:r>
      <w:r w:rsidRPr="00B93732">
        <w:rPr>
          <w:rStyle w:val="Emphasis"/>
          <w:rFonts w:ascii="Times New Roman" w:hAnsi="Times New Roman" w:cs="Times New Roman"/>
          <w:i w:val="0"/>
          <w:noProof/>
          <w:sz w:val="24"/>
          <w:szCs w:val="24"/>
          <w:bdr w:val="none" w:sz="0" w:space="0" w:color="auto" w:frame="1"/>
          <w:shd w:val="clear" w:color="auto" w:fill="FFFFFF"/>
          <w:lang w:val="sr-Latn-CS"/>
        </w:rPr>
        <w:t>et al.</w:t>
      </w:r>
      <w:r w:rsidRPr="00B93732">
        <w:rPr>
          <w:rStyle w:val="apple-converted-space"/>
          <w:rFonts w:ascii="Times New Roman" w:hAnsi="Times New Roman" w:cs="Times New Roman"/>
          <w:noProof/>
          <w:sz w:val="24"/>
          <w:szCs w:val="24"/>
          <w:shd w:val="clear" w:color="auto" w:fill="FFFFFF"/>
          <w:lang w:val="sr-Latn-CS"/>
        </w:rPr>
        <w:t> </w:t>
      </w:r>
      <w:r w:rsidRPr="00B93732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sr-Latn-CS"/>
        </w:rPr>
        <w:t>Large diurnal fluctuations in intraocular pressure are an independent risk factor in patients with glaucoma.</w:t>
      </w:r>
      <w:r w:rsidRPr="00B93732">
        <w:rPr>
          <w:rStyle w:val="apple-converted-space"/>
          <w:rFonts w:ascii="Times New Roman" w:hAnsi="Times New Roman" w:cs="Times New Roman"/>
          <w:noProof/>
          <w:sz w:val="24"/>
          <w:szCs w:val="24"/>
          <w:shd w:val="clear" w:color="auto" w:fill="FFFFFF"/>
          <w:lang w:val="sr-Latn-CS"/>
        </w:rPr>
        <w:t> </w:t>
      </w:r>
      <w:r w:rsidRPr="00B93732">
        <w:rPr>
          <w:rStyle w:val="ref-journal"/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CS"/>
        </w:rPr>
        <w:t>J Glaucoma</w:t>
      </w:r>
      <w:r w:rsidRPr="00B93732">
        <w:rPr>
          <w:rStyle w:val="apple-converted-space"/>
          <w:rFonts w:ascii="Times New Roman" w:hAnsi="Times New Roman" w:cs="Times New Roman"/>
          <w:noProof/>
          <w:sz w:val="24"/>
          <w:szCs w:val="24"/>
          <w:shd w:val="clear" w:color="auto" w:fill="FFFFFF"/>
          <w:lang w:val="sr-Latn-CS"/>
        </w:rPr>
        <w:t> </w:t>
      </w:r>
      <w:r w:rsidRPr="00B93732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sr-Latn-CS"/>
        </w:rPr>
        <w:t>2000;</w:t>
      </w:r>
      <w:r w:rsidRPr="00B93732">
        <w:rPr>
          <w:rStyle w:val="ref-vol"/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CS"/>
        </w:rPr>
        <w:t>9</w:t>
      </w:r>
      <w:r w:rsidRPr="00B93732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sr-Latn-CS"/>
        </w:rPr>
        <w:t>:134–42.</w:t>
      </w:r>
    </w:p>
    <w:p w:rsidR="008F23C3" w:rsidRPr="00916542" w:rsidRDefault="008F23C3" w:rsidP="008F23C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Roth JA. Inadequate diagnostic value of the water-drinnking test. Br J Ophthalmol 1974;58:55–61.</w:t>
      </w:r>
    </w:p>
    <w:p w:rsidR="008F23C3" w:rsidRPr="00916542" w:rsidRDefault="008F23C3" w:rsidP="008F23C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Rasmussen KE, Jorgensen HA. Diagnostic value of the water-drinking test in early detection of simple glaucoma. Acta Ophthalmol (Copenh) 1976;54:160–6.</w:t>
      </w:r>
    </w:p>
    <w:p w:rsidR="00C00F9A" w:rsidRPr="00916542" w:rsidRDefault="00C00F9A" w:rsidP="00C00F9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BA"/>
        </w:rPr>
      </w:pPr>
      <w:r w:rsidRPr="00916542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>Susanna R, Vessani RM, Sakata L, Zacarias LC, Hatanaka M. The relation between intraocular pressure peak in the water drinking test and visual field progression in glaucoma. </w:t>
      </w:r>
      <w:r w:rsidRPr="000E6C41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 xml:space="preserve">Br J Ophthalmol </w:t>
      </w:r>
      <w:r w:rsidRPr="00916542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>2005;89:1298–301.</w:t>
      </w:r>
    </w:p>
    <w:p w:rsidR="00F478FC" w:rsidRPr="00916542" w:rsidRDefault="00F478FC" w:rsidP="00F478F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916542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Medeiros FA</w:t>
      </w: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, Leite CA, Susanna R Jr. Correlação entre os picos pressóricos da curva tensional diária e do </w:t>
      </w:r>
      <w:r w:rsidRPr="00916542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test</w:t>
      </w: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e de sobrecarga hídrica. Estudo em pacientes com </w:t>
      </w:r>
      <w:r w:rsidRPr="00916542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glaucoma</w:t>
      </w: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primário de ângulo aberto em uso de tilmolol e dorzolamida. </w:t>
      </w:r>
      <w:r w:rsidRPr="00916542">
        <w:rPr>
          <w:rFonts w:ascii="Times New Roman" w:hAnsi="Times New Roman" w:cs="Times New Roman"/>
          <w:iCs/>
          <w:noProof/>
          <w:sz w:val="24"/>
          <w:szCs w:val="24"/>
          <w:lang w:val="sr-Latn-CS"/>
        </w:rPr>
        <w:t xml:space="preserve">Rev Bras Oftal </w:t>
      </w: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2001;60:418–23.</w:t>
      </w:r>
    </w:p>
    <w:p w:rsidR="003E24AC" w:rsidRPr="00916542" w:rsidRDefault="003E24AC" w:rsidP="003E24A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Roth JA. Inadequate diagnostic value of the water-drinnking test. Br J Ophthalmol 1974;58:55–61.</w:t>
      </w:r>
    </w:p>
    <w:p w:rsidR="003E24AC" w:rsidRPr="00916542" w:rsidRDefault="003E24AC" w:rsidP="003E24A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Armaly MF. Lessons to be learned from the Collaborative Glaucoma Study. Surv Ophthalmol 1980;25:139–44.</w:t>
      </w:r>
    </w:p>
    <w:p w:rsidR="000F107C" w:rsidRPr="000E6C41" w:rsidRDefault="000F107C" w:rsidP="000F107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916542">
        <w:rPr>
          <w:rFonts w:ascii="Times New Roman" w:hAnsi="Times New Roman" w:cs="Times New Roman"/>
          <w:noProof/>
          <w:sz w:val="24"/>
          <w:szCs w:val="24"/>
          <w:lang w:val="sr-Latn-CS"/>
        </w:rPr>
        <w:t>Yoshikawa K, Inoue T, Inoue Y. Normal tension glaucoma: the value of predictive tests. Acta Ophthalmol (Copenh) 1993;71:463–70.</w:t>
      </w:r>
    </w:p>
    <w:p w:rsidR="000F107C" w:rsidRPr="00916542" w:rsidRDefault="000F107C" w:rsidP="000F107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BA"/>
        </w:rPr>
      </w:pPr>
      <w:r w:rsidRPr="00916542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>Susanna R, Vessani RM, Sakata L, Zacarias LC, Hatanaka M. The relation between intraocular pressure peak in the water drinking test and visual field progression in glaucoma. </w:t>
      </w:r>
      <w:r w:rsidRPr="000E6C41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 xml:space="preserve">Br J Ophthalmol </w:t>
      </w:r>
      <w:r w:rsidRPr="00916542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  <w:lang w:val="sr-Latn-BA"/>
        </w:rPr>
        <w:t>2005;89:1298–301.</w:t>
      </w:r>
    </w:p>
    <w:p w:rsidR="005069F6" w:rsidRDefault="005069F6" w:rsidP="005069F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0E6C41">
        <w:rPr>
          <w:rFonts w:ascii="Times New Roman" w:hAnsi="Times New Roman" w:cs="Times New Roman"/>
          <w:noProof/>
          <w:sz w:val="24"/>
          <w:szCs w:val="24"/>
          <w:lang w:val="sr-Latn-CS"/>
        </w:rPr>
        <w:lastRenderedPageBreak/>
        <w:t>Susanna R Jr, Hatanaka M, Vessani RM, Pinheiro A, Morita C. Correlation of asymmetric glaucomatous visual field damage and water-drinking test response. Invest Ophthalmol Vis Sci 2006; 47: 641–4.</w:t>
      </w:r>
    </w:p>
    <w:p w:rsidR="0058722E" w:rsidRDefault="0058722E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8008A6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8008A6" w:rsidRDefault="00FD33D6" w:rsidP="00FD33D6">
      <w:pPr>
        <w:tabs>
          <w:tab w:val="left" w:pos="2554"/>
        </w:tabs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ab/>
      </w:r>
    </w:p>
    <w:p w:rsidR="00FD33D6" w:rsidRDefault="00FD33D6" w:rsidP="00FD33D6">
      <w:pPr>
        <w:tabs>
          <w:tab w:val="left" w:pos="2554"/>
        </w:tabs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FD33D6" w:rsidRDefault="00FD33D6" w:rsidP="00FD33D6">
      <w:pPr>
        <w:tabs>
          <w:tab w:val="left" w:pos="2554"/>
        </w:tabs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bookmarkStart w:id="0" w:name="_GoBack"/>
      <w:bookmarkEnd w:id="0"/>
    </w:p>
    <w:p w:rsidR="002F4A90" w:rsidRDefault="002F4A90" w:rsidP="0058722E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2F4A90" w:rsidRDefault="002F4A90" w:rsidP="0058722E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Pr="003B0091" w:rsidRDefault="0058722E" w:rsidP="0058722E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3B0091">
        <w:rPr>
          <w:rFonts w:ascii="Times New Roman" w:hAnsi="Times New Roman" w:cs="Times New Roman"/>
          <w:noProof/>
          <w:sz w:val="24"/>
          <w:szCs w:val="24"/>
          <w:lang w:val="sr-Latn-CS"/>
        </w:rPr>
        <w:lastRenderedPageBreak/>
        <w:t>Tabela 1. Demografske karakteristike</w:t>
      </w:r>
    </w:p>
    <w:tbl>
      <w:tblPr>
        <w:tblStyle w:val="TableGrid"/>
        <w:tblW w:w="8509" w:type="dxa"/>
        <w:tblLayout w:type="fixed"/>
        <w:tblLook w:val="04A0" w:firstRow="1" w:lastRow="0" w:firstColumn="1" w:lastColumn="0" w:noHBand="0" w:noVBand="1"/>
      </w:tblPr>
      <w:tblGrid>
        <w:gridCol w:w="985"/>
        <w:gridCol w:w="1897"/>
        <w:gridCol w:w="1479"/>
        <w:gridCol w:w="1516"/>
        <w:gridCol w:w="1516"/>
        <w:gridCol w:w="1116"/>
      </w:tblGrid>
      <w:tr w:rsidR="0058722E" w:rsidRPr="00384E59" w:rsidTr="0058722E">
        <w:trPr>
          <w:trHeight w:val="227"/>
        </w:trPr>
        <w:tc>
          <w:tcPr>
            <w:tcW w:w="2882" w:type="dxa"/>
            <w:gridSpan w:val="2"/>
            <w:vMerge w:val="restart"/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sr-Latn-BA"/>
              </w:rPr>
              <w:t>parametri</w:t>
            </w:r>
          </w:p>
        </w:tc>
        <w:tc>
          <w:tcPr>
            <w:tcW w:w="4511" w:type="dxa"/>
            <w:gridSpan w:val="3"/>
            <w:tcBorders>
              <w:bottom w:val="single" w:sz="4" w:space="0" w:color="auto"/>
            </w:tcBorders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Ispitivana grupa</w:t>
            </w:r>
          </w:p>
        </w:tc>
        <w:tc>
          <w:tcPr>
            <w:tcW w:w="1116" w:type="dxa"/>
            <w:vMerge w:val="restart"/>
            <w:shd w:val="clear" w:color="auto" w:fill="C6D9F1" w:themeFill="text2" w:themeFillTint="33"/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val="sr-Latn-BA"/>
              </w:rPr>
              <w:t>p</w:t>
            </w:r>
          </w:p>
        </w:tc>
      </w:tr>
      <w:tr w:rsidR="0058722E" w:rsidRPr="00384E59" w:rsidTr="0058722E">
        <w:trPr>
          <w:trHeight w:val="283"/>
        </w:trPr>
        <w:tc>
          <w:tcPr>
            <w:tcW w:w="2882" w:type="dxa"/>
            <w:gridSpan w:val="2"/>
            <w:vMerge/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sr-Latn-BA"/>
              </w:rPr>
            </w:pPr>
          </w:p>
        </w:tc>
        <w:tc>
          <w:tcPr>
            <w:tcW w:w="1479" w:type="dxa"/>
            <w:tcBorders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Kontrolna</w:t>
            </w:r>
          </w:p>
        </w:tc>
        <w:tc>
          <w:tcPr>
            <w:tcW w:w="15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Ciljna</w:t>
            </w:r>
          </w:p>
        </w:tc>
        <w:tc>
          <w:tcPr>
            <w:tcW w:w="1516" w:type="dxa"/>
            <w:tcBorders>
              <w:left w:val="single" w:sz="4" w:space="0" w:color="auto"/>
            </w:tcBorders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Ukupno</w:t>
            </w:r>
          </w:p>
        </w:tc>
        <w:tc>
          <w:tcPr>
            <w:tcW w:w="1116" w:type="dxa"/>
            <w:vMerge/>
            <w:shd w:val="clear" w:color="auto" w:fill="C6D9F1" w:themeFill="text2" w:themeFillTint="33"/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val="sr-Latn-BA"/>
              </w:rPr>
            </w:pPr>
          </w:p>
        </w:tc>
      </w:tr>
      <w:tr w:rsidR="0058722E" w:rsidRPr="00384E59" w:rsidTr="0058722E">
        <w:tc>
          <w:tcPr>
            <w:tcW w:w="985" w:type="dxa"/>
          </w:tcPr>
          <w:p w:rsidR="0058722E" w:rsidRPr="00384E59" w:rsidRDefault="0058722E" w:rsidP="0058722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pol</w:t>
            </w:r>
          </w:p>
          <w:p w:rsidR="0058722E" w:rsidRPr="00384E59" w:rsidRDefault="0058722E" w:rsidP="0058722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n (%)</w:t>
            </w:r>
          </w:p>
        </w:tc>
        <w:tc>
          <w:tcPr>
            <w:tcW w:w="1897" w:type="dxa"/>
          </w:tcPr>
          <w:p w:rsidR="0058722E" w:rsidRPr="00384E59" w:rsidRDefault="0058722E" w:rsidP="0058722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muškarci</w:t>
            </w:r>
          </w:p>
          <w:p w:rsidR="0058722E" w:rsidRPr="00384E59" w:rsidRDefault="0058722E" w:rsidP="0058722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žene</w:t>
            </w:r>
          </w:p>
        </w:tc>
        <w:tc>
          <w:tcPr>
            <w:tcW w:w="1479" w:type="dxa"/>
            <w:tcBorders>
              <w:right w:val="single" w:sz="4" w:space="0" w:color="auto"/>
            </w:tcBorders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10 (33,33)</w:t>
            </w:r>
          </w:p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20 (66,67)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9 (30)</w:t>
            </w:r>
          </w:p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21 (70)</w:t>
            </w:r>
          </w:p>
        </w:tc>
        <w:tc>
          <w:tcPr>
            <w:tcW w:w="1516" w:type="dxa"/>
            <w:tcBorders>
              <w:left w:val="single" w:sz="4" w:space="0" w:color="auto"/>
            </w:tcBorders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19 (31,67)</w:t>
            </w:r>
          </w:p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41 (68,33)</w:t>
            </w:r>
          </w:p>
        </w:tc>
        <w:tc>
          <w:tcPr>
            <w:tcW w:w="1116" w:type="dxa"/>
            <w:vAlign w:val="center"/>
          </w:tcPr>
          <w:p w:rsidR="0058722E" w:rsidRPr="00384E59" w:rsidRDefault="0058722E" w:rsidP="0058722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0,781*</w:t>
            </w:r>
          </w:p>
        </w:tc>
      </w:tr>
      <w:tr w:rsidR="0058722E" w:rsidRPr="00384E59" w:rsidTr="0058722E">
        <w:tc>
          <w:tcPr>
            <w:tcW w:w="2882" w:type="dxa"/>
            <w:gridSpan w:val="2"/>
          </w:tcPr>
          <w:p w:rsidR="0058722E" w:rsidRPr="00384E59" w:rsidRDefault="0058722E" w:rsidP="0058722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 xml:space="preserve">starosna dob </w:t>
            </w:r>
          </w:p>
          <w:p w:rsidR="0058722E" w:rsidRPr="00384E59" w:rsidRDefault="0058722E" w:rsidP="0058722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godine (SD)</w:t>
            </w:r>
          </w:p>
        </w:tc>
        <w:tc>
          <w:tcPr>
            <w:tcW w:w="1479" w:type="dxa"/>
            <w:tcBorders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62,63 (6,45)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62,23 (8,95)</w:t>
            </w:r>
          </w:p>
        </w:tc>
        <w:tc>
          <w:tcPr>
            <w:tcW w:w="151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62,43 (7,74)</w:t>
            </w:r>
          </w:p>
        </w:tc>
        <w:tc>
          <w:tcPr>
            <w:tcW w:w="1116" w:type="dxa"/>
            <w:tcBorders>
              <w:bottom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384E59"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0,843**</w:t>
            </w:r>
          </w:p>
        </w:tc>
      </w:tr>
      <w:tr w:rsidR="0058722E" w:rsidRPr="00384E59" w:rsidTr="0058722E">
        <w:tc>
          <w:tcPr>
            <w:tcW w:w="4361" w:type="dxa"/>
            <w:gridSpan w:val="3"/>
            <w:tcBorders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 w:rsidRPr="00800D93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sr-Latn-CS"/>
              </w:rPr>
              <w:t>Dijagnoza ispitanika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sr-Latn-CS"/>
              </w:rPr>
              <w:t xml:space="preserve"> c</w:t>
            </w:r>
            <w:r w:rsidRPr="00800D93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sr-Latn-CS"/>
              </w:rPr>
              <w:t>iljne grupe</w:t>
            </w:r>
          </w:p>
        </w:tc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</w:p>
        </w:tc>
      </w:tr>
      <w:tr w:rsidR="0058722E" w:rsidRPr="00384E59" w:rsidTr="0058722E">
        <w:tc>
          <w:tcPr>
            <w:tcW w:w="4361" w:type="dxa"/>
            <w:gridSpan w:val="3"/>
            <w:tcBorders>
              <w:right w:val="single" w:sz="4" w:space="0" w:color="auto"/>
            </w:tcBorders>
            <w:vAlign w:val="center"/>
          </w:tcPr>
          <w:p w:rsidR="0058722E" w:rsidRPr="00800D93" w:rsidRDefault="0058722E" w:rsidP="0058722E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</w:pPr>
            <w:r w:rsidRPr="00800D93"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  <w:t>POAG</w:t>
            </w:r>
          </w:p>
        </w:tc>
        <w:tc>
          <w:tcPr>
            <w:tcW w:w="15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21</w:t>
            </w: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</w:p>
        </w:tc>
      </w:tr>
      <w:tr w:rsidR="0058722E" w:rsidRPr="00384E59" w:rsidTr="0058722E">
        <w:tc>
          <w:tcPr>
            <w:tcW w:w="4361" w:type="dxa"/>
            <w:gridSpan w:val="3"/>
            <w:tcBorders>
              <w:right w:val="single" w:sz="4" w:space="0" w:color="auto"/>
            </w:tcBorders>
            <w:vAlign w:val="center"/>
          </w:tcPr>
          <w:p w:rsidR="0058722E" w:rsidRPr="00800D93" w:rsidRDefault="0058722E" w:rsidP="0058722E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</w:pPr>
            <w:r w:rsidRPr="00800D93"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  <w:t>NTG</w:t>
            </w:r>
          </w:p>
        </w:tc>
        <w:tc>
          <w:tcPr>
            <w:tcW w:w="15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3</w:t>
            </w: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</w:p>
        </w:tc>
      </w:tr>
      <w:tr w:rsidR="0058722E" w:rsidRPr="00384E59" w:rsidTr="0058722E">
        <w:trPr>
          <w:trHeight w:val="413"/>
        </w:trPr>
        <w:tc>
          <w:tcPr>
            <w:tcW w:w="4361" w:type="dxa"/>
            <w:gridSpan w:val="3"/>
            <w:tcBorders>
              <w:right w:val="single" w:sz="4" w:space="0" w:color="auto"/>
            </w:tcBorders>
            <w:vAlign w:val="center"/>
          </w:tcPr>
          <w:p w:rsidR="0058722E" w:rsidRPr="00800D93" w:rsidRDefault="0058722E" w:rsidP="0058722E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</w:pPr>
            <w:r w:rsidRPr="00800D93"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  <w:t>OH</w:t>
            </w:r>
          </w:p>
        </w:tc>
        <w:tc>
          <w:tcPr>
            <w:tcW w:w="1516" w:type="dxa"/>
            <w:tcBorders>
              <w:right w:val="single" w:sz="4" w:space="0" w:color="auto"/>
            </w:tcBorders>
            <w:vAlign w:val="center"/>
          </w:tcPr>
          <w:p w:rsidR="0058722E" w:rsidRPr="00384E59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  <w:t>4</w:t>
            </w:r>
          </w:p>
        </w:tc>
        <w:tc>
          <w:tcPr>
            <w:tcW w:w="2632" w:type="dxa"/>
            <w:gridSpan w:val="2"/>
            <w:tcBorders>
              <w:right w:val="single" w:sz="4" w:space="0" w:color="auto"/>
            </w:tcBorders>
          </w:tcPr>
          <w:p w:rsidR="0058722E" w:rsidRPr="00384E59" w:rsidRDefault="0058722E" w:rsidP="0058722E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sr-Latn-BA"/>
              </w:rPr>
            </w:pPr>
          </w:p>
        </w:tc>
      </w:tr>
      <w:tr w:rsidR="0058722E" w:rsidRPr="00384E59" w:rsidTr="0058722E">
        <w:trPr>
          <w:trHeight w:val="412"/>
        </w:trPr>
        <w:tc>
          <w:tcPr>
            <w:tcW w:w="4361" w:type="dxa"/>
            <w:gridSpan w:val="3"/>
            <w:tcBorders>
              <w:right w:val="single" w:sz="4" w:space="0" w:color="auto"/>
            </w:tcBorders>
            <w:vAlign w:val="center"/>
          </w:tcPr>
          <w:p w:rsidR="0058722E" w:rsidRPr="00800D93" w:rsidRDefault="0058722E" w:rsidP="0058722E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</w:pPr>
            <w:r w:rsidRPr="00D701D4"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  <w:t>Glaucoma suspecta</w:t>
            </w:r>
          </w:p>
        </w:tc>
        <w:tc>
          <w:tcPr>
            <w:tcW w:w="1516" w:type="dxa"/>
            <w:tcBorders>
              <w:right w:val="single" w:sz="4" w:space="0" w:color="auto"/>
            </w:tcBorders>
            <w:vAlign w:val="center"/>
          </w:tcPr>
          <w:p w:rsidR="0058722E" w:rsidRPr="00800D93" w:rsidRDefault="0058722E" w:rsidP="0058722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  <w:t>2</w:t>
            </w:r>
          </w:p>
        </w:tc>
        <w:tc>
          <w:tcPr>
            <w:tcW w:w="2632" w:type="dxa"/>
            <w:gridSpan w:val="2"/>
            <w:tcBorders>
              <w:right w:val="single" w:sz="4" w:space="0" w:color="auto"/>
            </w:tcBorders>
          </w:tcPr>
          <w:p w:rsidR="0058722E" w:rsidRPr="00800D93" w:rsidRDefault="0058722E" w:rsidP="0058722E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</w:tr>
    </w:tbl>
    <w:p w:rsidR="0058722E" w:rsidRPr="003B0091" w:rsidRDefault="0058722E" w:rsidP="0058722E">
      <w:pPr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  <w:lang w:val="hr-BA"/>
        </w:rPr>
      </w:pPr>
      <w:r w:rsidRPr="003B0091">
        <w:rPr>
          <w:rFonts w:ascii="Times New Roman" w:eastAsia="Times New Roman" w:hAnsi="Times New Roman" w:cs="Times New Roman"/>
          <w:noProof/>
          <w:sz w:val="20"/>
          <w:szCs w:val="20"/>
          <w:lang w:val="sr-Latn-BA"/>
        </w:rPr>
        <w:t>SD=standardna devijacija</w:t>
      </w:r>
      <w:r>
        <w:rPr>
          <w:rFonts w:ascii="Times New Roman" w:eastAsia="Times New Roman" w:hAnsi="Times New Roman" w:cs="Times New Roman"/>
          <w:noProof/>
          <w:sz w:val="20"/>
          <w:szCs w:val="20"/>
          <w:lang w:val="sr-Latn-BA"/>
        </w:rPr>
        <w:t xml:space="preserve">; </w:t>
      </w:r>
      <w:r w:rsidRPr="00D701D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* = </w:t>
      </w:r>
      <w:r w:rsidRPr="00D701D4">
        <w:rPr>
          <w:rFonts w:ascii="Times New Roman" w:eastAsia="Times New Roman" w:hAnsi="Times New Roman" w:cs="Times New Roman"/>
          <w:i/>
          <w:noProof/>
          <w:sz w:val="20"/>
          <w:szCs w:val="20"/>
          <w:lang w:val="sr-Latn-BA"/>
        </w:rPr>
        <w:sym w:font="Symbol" w:char="F063"/>
      </w:r>
      <w:r w:rsidRPr="00D701D4">
        <w:rPr>
          <w:rFonts w:ascii="Times New Roman" w:eastAsia="Times New Roman" w:hAnsi="Times New Roman" w:cs="Times New Roman"/>
          <w:i/>
          <w:noProof/>
          <w:sz w:val="20"/>
          <w:szCs w:val="20"/>
          <w:vertAlign w:val="superscript"/>
          <w:lang w:val="sr-Latn-BA"/>
        </w:rPr>
        <w:t>2</w:t>
      </w:r>
      <w:r w:rsidRPr="00D701D4">
        <w:rPr>
          <w:rFonts w:ascii="Times New Roman" w:eastAsia="Times New Roman" w:hAnsi="Times New Roman" w:cs="Times New Roman"/>
          <w:b/>
          <w:i/>
          <w:noProof/>
          <w:sz w:val="20"/>
          <w:szCs w:val="20"/>
          <w:vertAlign w:val="superscript"/>
          <w:lang w:val="sr-Latn-BA"/>
        </w:rPr>
        <w:t xml:space="preserve"> </w:t>
      </w:r>
      <w:r w:rsidRPr="00D701D4">
        <w:rPr>
          <w:rFonts w:ascii="Times New Roman" w:eastAsia="Times New Roman" w:hAnsi="Times New Roman" w:cs="Times New Roman"/>
          <w:i/>
          <w:noProof/>
          <w:sz w:val="20"/>
          <w:szCs w:val="20"/>
          <w:lang w:val="sr-Latn-BA"/>
        </w:rPr>
        <w:t>test</w:t>
      </w:r>
      <w:r w:rsidRPr="00D701D4">
        <w:rPr>
          <w:rFonts w:ascii="Times New Roman" w:eastAsia="Times New Roman" w:hAnsi="Times New Roman" w:cs="Times New Roman"/>
          <w:noProof/>
          <w:sz w:val="20"/>
          <w:szCs w:val="20"/>
          <w:lang w:val="sr-Latn-BA"/>
        </w:rPr>
        <w:t xml:space="preserve">; ** = </w:t>
      </w:r>
      <w:r w:rsidRPr="00D701D4">
        <w:rPr>
          <w:rFonts w:ascii="Times New Roman" w:eastAsia="Times New Roman" w:hAnsi="Times New Roman" w:cs="Times New Roman"/>
          <w:i/>
          <w:noProof/>
          <w:sz w:val="20"/>
          <w:szCs w:val="20"/>
          <w:lang w:val="sr-Latn-BA"/>
        </w:rPr>
        <w:t>Student t test</w:t>
      </w:r>
      <w:r w:rsidRPr="003B0091">
        <w:rPr>
          <w:rFonts w:ascii="Times New Roman" w:eastAsia="Times New Roman" w:hAnsi="Times New Roman" w:cs="Times New Roman"/>
          <w:noProof/>
          <w:sz w:val="20"/>
          <w:szCs w:val="20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0"/>
          <w:szCs w:val="20"/>
          <w:lang w:val="sr-Latn-CS"/>
        </w:rPr>
        <w:t xml:space="preserve">; </w:t>
      </w:r>
      <w:r w:rsidRPr="003B0091">
        <w:rPr>
          <w:rFonts w:ascii="Times New Roman" w:eastAsia="Times New Roman" w:hAnsi="Times New Roman" w:cs="Times New Roman"/>
          <w:noProof/>
          <w:sz w:val="20"/>
          <w:szCs w:val="20"/>
          <w:lang w:val="sr-Latn-CS"/>
        </w:rPr>
        <w:t>POAG-</w:t>
      </w:r>
      <w:r w:rsidRPr="003B0091">
        <w:rPr>
          <w:rFonts w:ascii="Times New Roman" w:eastAsia="Times New Roman" w:hAnsi="Times New Roman" w:cs="Times New Roman"/>
          <w:noProof/>
          <w:sz w:val="20"/>
          <w:szCs w:val="20"/>
          <w:lang w:val="hr-BA"/>
        </w:rPr>
        <w:t xml:space="preserve"> primarni glaukom otvorenog ugl</w:t>
      </w:r>
      <w:r>
        <w:rPr>
          <w:rFonts w:ascii="Times New Roman" w:eastAsia="Times New Roman" w:hAnsi="Times New Roman" w:cs="Times New Roman"/>
          <w:noProof/>
          <w:sz w:val="20"/>
          <w:szCs w:val="20"/>
          <w:lang w:val="hr-BA"/>
        </w:rPr>
        <w:t>a (Primary open-angle glaucoma);</w:t>
      </w:r>
      <w:r w:rsidRPr="003B0091">
        <w:rPr>
          <w:rFonts w:ascii="Times New Roman" w:eastAsia="Times New Roman" w:hAnsi="Times New Roman" w:cs="Times New Roman"/>
          <w:noProof/>
          <w:sz w:val="20"/>
          <w:szCs w:val="20"/>
          <w:lang w:val="hr-BA"/>
        </w:rPr>
        <w:t xml:space="preserve"> NTG- normotenzivni g</w:t>
      </w:r>
      <w:r>
        <w:rPr>
          <w:rFonts w:ascii="Times New Roman" w:eastAsia="Times New Roman" w:hAnsi="Times New Roman" w:cs="Times New Roman"/>
          <w:noProof/>
          <w:sz w:val="20"/>
          <w:szCs w:val="20"/>
          <w:lang w:val="hr-BA"/>
        </w:rPr>
        <w:t>laukom (Glaucoma normotensivum);</w:t>
      </w:r>
      <w:r w:rsidRPr="003B0091">
        <w:rPr>
          <w:rFonts w:ascii="Times New Roman" w:eastAsia="Times New Roman" w:hAnsi="Times New Roman" w:cs="Times New Roman"/>
          <w:noProof/>
          <w:sz w:val="20"/>
          <w:szCs w:val="20"/>
          <w:lang w:val="hr-BA"/>
        </w:rPr>
        <w:t xml:space="preserve"> OH-okularna hipertenzija (Ocular hypertension)</w:t>
      </w:r>
    </w:p>
    <w:p w:rsidR="0058722E" w:rsidRDefault="0058722E" w:rsidP="0058722E">
      <w:pPr>
        <w:spacing w:line="48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Pr="00100007" w:rsidRDefault="0058722E" w:rsidP="0058722E">
      <w:pPr>
        <w:spacing w:after="0"/>
        <w:rPr>
          <w:rFonts w:ascii="Times New Roman" w:eastAsia="Calibri" w:hAnsi="Times New Roman" w:cs="Times New Roman"/>
          <w:bCs/>
          <w:noProof/>
          <w:sz w:val="24"/>
          <w:szCs w:val="24"/>
        </w:rPr>
      </w:pPr>
      <w:r w:rsidRPr="00100007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Tabela </w:t>
      </w:r>
      <w:r>
        <w:rPr>
          <w:rFonts w:ascii="Times New Roman" w:eastAsia="Calibri" w:hAnsi="Times New Roman" w:cs="Times New Roman"/>
          <w:bCs/>
          <w:noProof/>
          <w:sz w:val="24"/>
          <w:szCs w:val="24"/>
        </w:rPr>
        <w:t>2</w:t>
      </w:r>
      <w:r w:rsidRPr="00100007">
        <w:rPr>
          <w:rFonts w:ascii="Times New Roman" w:eastAsia="Calibri" w:hAnsi="Times New Roman" w:cs="Times New Roman"/>
          <w:bCs/>
          <w:noProof/>
          <w:sz w:val="24"/>
          <w:szCs w:val="24"/>
        </w:rPr>
        <w:t>. Ocjena stres testa pijenja vode</w:t>
      </w:r>
    </w:p>
    <w:tbl>
      <w:tblPr>
        <w:tblW w:w="9340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580"/>
        <w:gridCol w:w="980"/>
        <w:gridCol w:w="980"/>
        <w:gridCol w:w="980"/>
        <w:gridCol w:w="980"/>
        <w:gridCol w:w="980"/>
        <w:gridCol w:w="980"/>
      </w:tblGrid>
      <w:tr w:rsidR="0058722E" w:rsidRPr="00100007" w:rsidTr="0058722E">
        <w:trPr>
          <w:trHeight w:val="315"/>
          <w:jc w:val="center"/>
        </w:trPr>
        <w:tc>
          <w:tcPr>
            <w:tcW w:w="34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Stres test pijenja vode</w:t>
            </w:r>
          </w:p>
        </w:tc>
        <w:tc>
          <w:tcPr>
            <w:tcW w:w="58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Ispitivana grupa</w:t>
            </w:r>
          </w:p>
        </w:tc>
      </w:tr>
      <w:tr w:rsidR="0058722E" w:rsidRPr="00100007" w:rsidTr="0058722E">
        <w:trPr>
          <w:trHeight w:val="315"/>
          <w:jc w:val="center"/>
        </w:trPr>
        <w:tc>
          <w:tcPr>
            <w:tcW w:w="34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Kontrolna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Ciljna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Ukupno</w:t>
            </w:r>
          </w:p>
        </w:tc>
      </w:tr>
      <w:tr w:rsidR="0058722E" w:rsidRPr="00100007" w:rsidTr="0058722E">
        <w:trPr>
          <w:trHeight w:val="315"/>
          <w:jc w:val="center"/>
        </w:trPr>
        <w:tc>
          <w:tcPr>
            <w:tcW w:w="34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  <w:t>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  <w:t>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Cs/>
                <w:i/>
                <w:iCs/>
                <w:noProof/>
                <w:sz w:val="24"/>
                <w:szCs w:val="24"/>
              </w:rPr>
              <w:t>%</w:t>
            </w:r>
          </w:p>
        </w:tc>
      </w:tr>
      <w:tr w:rsidR="0058722E" w:rsidRPr="00100007" w:rsidTr="0058722E">
        <w:trPr>
          <w:trHeight w:val="315"/>
          <w:jc w:val="center"/>
        </w:trPr>
        <w:tc>
          <w:tcPr>
            <w:tcW w:w="34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Negativan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  <w:t>86,67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  <w:t>63,33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Cs/>
                <w:i/>
                <w:iCs/>
                <w:noProof/>
                <w:sz w:val="24"/>
                <w:szCs w:val="24"/>
              </w:rPr>
              <w:t>75,00</w:t>
            </w:r>
          </w:p>
        </w:tc>
      </w:tr>
      <w:tr w:rsidR="0058722E" w:rsidRPr="00100007" w:rsidTr="0058722E">
        <w:trPr>
          <w:trHeight w:val="315"/>
          <w:jc w:val="center"/>
        </w:trPr>
        <w:tc>
          <w:tcPr>
            <w:tcW w:w="34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Pozitivan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  <w:t>13,33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  <w:t>36,67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Cs/>
                <w:i/>
                <w:iCs/>
                <w:noProof/>
                <w:sz w:val="24"/>
                <w:szCs w:val="24"/>
              </w:rPr>
              <w:t>25,00</w:t>
            </w:r>
          </w:p>
        </w:tc>
      </w:tr>
      <w:tr w:rsidR="0058722E" w:rsidRPr="00100007" w:rsidTr="0058722E">
        <w:trPr>
          <w:trHeight w:val="315"/>
          <w:jc w:val="center"/>
        </w:trPr>
        <w:tc>
          <w:tcPr>
            <w:tcW w:w="34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Ukupno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t>100,00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t>100,00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t>100,00</w:t>
            </w:r>
          </w:p>
        </w:tc>
      </w:tr>
      <w:tr w:rsidR="0058722E" w:rsidRPr="00100007" w:rsidTr="0058722E">
        <w:trPr>
          <w:gridAfter w:val="7"/>
          <w:wAfter w:w="6460" w:type="dxa"/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i/>
                <w:noProof/>
                <w:sz w:val="24"/>
                <w:szCs w:val="24"/>
                <w:lang w:val="sr-Latn-CS"/>
              </w:rPr>
              <w:sym w:font="Symbol" w:char="F063"/>
            </w:r>
            <w:r w:rsidRPr="00100007">
              <w:rPr>
                <w:rFonts w:ascii="Times New Roman" w:eastAsia="Calibri" w:hAnsi="Times New Roman" w:cs="Times New Roman"/>
                <w:b/>
                <w:i/>
                <w:noProof/>
                <w:sz w:val="24"/>
                <w:szCs w:val="24"/>
                <w:vertAlign w:val="superscript"/>
                <w:lang w:val="sr-Latn-CS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i/>
                <w:iCs/>
                <w:noProof/>
                <w:sz w:val="24"/>
                <w:szCs w:val="24"/>
              </w:rPr>
              <w:t>df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8722E" w:rsidRPr="00100007" w:rsidRDefault="002F4A90" w:rsidP="0058722E">
            <w:pPr>
              <w:spacing w:after="0"/>
              <w:rPr>
                <w:rFonts w:ascii="Times New Roman" w:eastAsia="Calibri" w:hAnsi="Times New Roman" w:cs="Times New Roman"/>
                <w:b/>
                <w:i/>
                <w:i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i/>
                <w:iCs/>
                <w:noProof/>
                <w:sz w:val="24"/>
                <w:szCs w:val="24"/>
              </w:rPr>
              <w:t>P</w:t>
            </w:r>
          </w:p>
        </w:tc>
      </w:tr>
      <w:tr w:rsidR="0058722E" w:rsidRPr="00100007" w:rsidTr="0058722E">
        <w:trPr>
          <w:gridAfter w:val="7"/>
          <w:wAfter w:w="6460" w:type="dxa"/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4,356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100007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100007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0,037</w:t>
            </w:r>
          </w:p>
        </w:tc>
      </w:tr>
    </w:tbl>
    <w:p w:rsidR="0058722E" w:rsidRDefault="0058722E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Pr="00A41CA1" w:rsidRDefault="0058722E" w:rsidP="0058722E">
      <w:pPr>
        <w:spacing w:after="0" w:line="360" w:lineRule="auto"/>
        <w:rPr>
          <w:rFonts w:ascii="Times New Roman" w:eastAsia="Calibri" w:hAnsi="Times New Roman" w:cs="Times New Roman"/>
          <w:noProof/>
          <w:sz w:val="24"/>
          <w:szCs w:val="24"/>
        </w:rPr>
      </w:pPr>
      <w:r w:rsidRPr="00A41CA1">
        <w:rPr>
          <w:rFonts w:ascii="Times New Roman" w:eastAsia="Calibri" w:hAnsi="Times New Roman" w:cs="Times New Roman"/>
          <w:noProof/>
          <w:sz w:val="24"/>
          <w:szCs w:val="24"/>
        </w:rPr>
        <w:t xml:space="preserve">Tabela </w:t>
      </w:r>
      <w:r>
        <w:rPr>
          <w:rFonts w:ascii="Times New Roman" w:eastAsia="Calibri" w:hAnsi="Times New Roman" w:cs="Times New Roman"/>
          <w:noProof/>
          <w:sz w:val="24"/>
          <w:szCs w:val="24"/>
        </w:rPr>
        <w:t>3</w:t>
      </w:r>
      <w:r w:rsidRPr="00A41CA1">
        <w:rPr>
          <w:rFonts w:ascii="Times New Roman" w:eastAsia="Calibri" w:hAnsi="Times New Roman" w:cs="Times New Roman"/>
          <w:noProof/>
          <w:sz w:val="24"/>
          <w:szCs w:val="24"/>
        </w:rPr>
        <w:t xml:space="preserve">. </w:t>
      </w:r>
      <w:r w:rsidRPr="00A41CA1">
        <w:rPr>
          <w:rFonts w:ascii="Times New Roman" w:eastAsia="Calibri" w:hAnsi="Times New Roman" w:cs="Times New Roman"/>
          <w:noProof/>
          <w:sz w:val="24"/>
          <w:szCs w:val="24"/>
          <w:lang w:val="sr-Latn-CS"/>
        </w:rPr>
        <w:t>Senzitivnost i specifičnost testa vodom</w:t>
      </w:r>
    </w:p>
    <w:tbl>
      <w:tblPr>
        <w:tblW w:w="904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280"/>
        <w:gridCol w:w="980"/>
        <w:gridCol w:w="980"/>
        <w:gridCol w:w="980"/>
        <w:gridCol w:w="980"/>
        <w:gridCol w:w="980"/>
        <w:gridCol w:w="980"/>
      </w:tblGrid>
      <w:tr w:rsidR="0058722E" w:rsidRPr="00A41CA1" w:rsidTr="0058722E">
        <w:trPr>
          <w:trHeight w:val="315"/>
        </w:trPr>
        <w:tc>
          <w:tcPr>
            <w:tcW w:w="3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Stres test pijenja vode</w:t>
            </w:r>
          </w:p>
        </w:tc>
        <w:tc>
          <w:tcPr>
            <w:tcW w:w="58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Glaukom</w:t>
            </w:r>
          </w:p>
        </w:tc>
      </w:tr>
      <w:tr w:rsidR="0058722E" w:rsidRPr="00A41CA1" w:rsidTr="0058722E">
        <w:trPr>
          <w:trHeight w:val="315"/>
        </w:trPr>
        <w:tc>
          <w:tcPr>
            <w:tcW w:w="3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Ne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Da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Ukupno</w:t>
            </w:r>
          </w:p>
        </w:tc>
      </w:tr>
      <w:tr w:rsidR="0058722E" w:rsidRPr="00A41CA1" w:rsidTr="0058722E">
        <w:trPr>
          <w:trHeight w:val="315"/>
        </w:trPr>
        <w:tc>
          <w:tcPr>
            <w:tcW w:w="3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%</w:t>
            </w:r>
          </w:p>
        </w:tc>
      </w:tr>
      <w:tr w:rsidR="0058722E" w:rsidRPr="00A41CA1" w:rsidTr="0058722E">
        <w:trPr>
          <w:trHeight w:val="315"/>
        </w:trPr>
        <w:tc>
          <w:tcPr>
            <w:tcW w:w="31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Negativan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86,67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64,29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75,86</w:t>
            </w:r>
          </w:p>
        </w:tc>
      </w:tr>
      <w:tr w:rsidR="0058722E" w:rsidRPr="00A41CA1" w:rsidTr="0058722E">
        <w:trPr>
          <w:trHeight w:val="315"/>
        </w:trPr>
        <w:tc>
          <w:tcPr>
            <w:tcW w:w="31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Pozitivan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13,33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35,71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24,14</w:t>
            </w:r>
          </w:p>
        </w:tc>
      </w:tr>
      <w:tr w:rsidR="0058722E" w:rsidRPr="00A41CA1" w:rsidTr="0058722E">
        <w:trPr>
          <w:trHeight w:val="315"/>
        </w:trPr>
        <w:tc>
          <w:tcPr>
            <w:tcW w:w="31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Ukupno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100,00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100,00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100,00</w:t>
            </w:r>
          </w:p>
        </w:tc>
      </w:tr>
      <w:tr w:rsidR="0058722E" w:rsidRPr="00A41CA1" w:rsidTr="0058722E">
        <w:trPr>
          <w:gridAfter w:val="7"/>
          <w:wAfter w:w="6160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Calibri" w:hAnsi="Times New Roman" w:cs="Times New Roman"/>
                <w:b/>
                <w:i/>
                <w:noProof/>
                <w:sz w:val="24"/>
                <w:szCs w:val="24"/>
                <w:lang w:val="sr-Latn-CS"/>
              </w:rPr>
              <w:sym w:font="Symbol" w:char="F063"/>
            </w:r>
            <w:r w:rsidRPr="00A41CA1">
              <w:rPr>
                <w:rFonts w:ascii="Times New Roman" w:eastAsia="Calibri" w:hAnsi="Times New Roman" w:cs="Times New Roman"/>
                <w:b/>
                <w:i/>
                <w:noProof/>
                <w:sz w:val="24"/>
                <w:szCs w:val="24"/>
                <w:vertAlign w:val="superscript"/>
                <w:lang w:val="sr-Latn-CS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df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i/>
                <w:iCs/>
                <w:noProof/>
                <w:color w:val="000000"/>
                <w:sz w:val="24"/>
                <w:szCs w:val="24"/>
                <w:lang w:val="sr-Latn-CS"/>
              </w:rPr>
              <w:t>p</w:t>
            </w:r>
          </w:p>
        </w:tc>
      </w:tr>
      <w:tr w:rsidR="0058722E" w:rsidRPr="00A41CA1" w:rsidTr="0058722E">
        <w:trPr>
          <w:gridAfter w:val="7"/>
          <w:wAfter w:w="6160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3,962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sr-Latn-CS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A41CA1" w:rsidRDefault="0058722E" w:rsidP="0058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</w:pPr>
            <w:r w:rsidRPr="00A41C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sr-Latn-CS"/>
              </w:rPr>
              <w:t>0,047</w:t>
            </w:r>
          </w:p>
        </w:tc>
      </w:tr>
    </w:tbl>
    <w:p w:rsidR="0058722E" w:rsidRDefault="0058722E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Default="0058722E" w:rsidP="0058722E">
      <w:pPr>
        <w:spacing w:after="0"/>
        <w:jc w:val="center"/>
        <w:rPr>
          <w:rFonts w:ascii="Times New Roman" w:eastAsia="Calibri" w:hAnsi="Times New Roman" w:cs="Times New Roman"/>
          <w:noProof/>
          <w:sz w:val="24"/>
          <w:szCs w:val="24"/>
          <w:lang w:val="sr-Latn-BA"/>
        </w:rPr>
      </w:pPr>
      <w:r w:rsidRPr="00551E2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BDD62D7" wp14:editId="2725BDE4">
            <wp:extent cx="3672000" cy="3816000"/>
            <wp:effectExtent l="0" t="0" r="24130" b="13335"/>
            <wp:docPr id="1" name="Chart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tbl>
      <w:tblPr>
        <w:tblW w:w="5560" w:type="dxa"/>
        <w:jc w:val="center"/>
        <w:tblLook w:val="04A0" w:firstRow="1" w:lastRow="0" w:firstColumn="1" w:lastColumn="0" w:noHBand="0" w:noVBand="1"/>
      </w:tblPr>
      <w:tblGrid>
        <w:gridCol w:w="1960"/>
        <w:gridCol w:w="1744"/>
        <w:gridCol w:w="1856"/>
      </w:tblGrid>
      <w:tr w:rsidR="0058722E" w:rsidRPr="009C306D" w:rsidTr="0058722E">
        <w:trPr>
          <w:trHeight w:val="315"/>
          <w:jc w:val="center"/>
        </w:trPr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722E" w:rsidRPr="009C306D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</w:pPr>
            <w:r w:rsidRPr="009C306D"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t>Površina</w:t>
            </w:r>
            <w:r w:rsidRPr="009C306D"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br/>
              <w:t>ispod ROC krive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noWrap/>
            <w:vAlign w:val="center"/>
            <w:hideMark/>
          </w:tcPr>
          <w:p w:rsidR="0058722E" w:rsidRPr="009C306D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</w:pPr>
            <w:r w:rsidRPr="009C306D"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t>95% interval povjerenja</w:t>
            </w:r>
          </w:p>
        </w:tc>
      </w:tr>
      <w:tr w:rsidR="0058722E" w:rsidRPr="009C306D" w:rsidTr="0058722E">
        <w:trPr>
          <w:trHeight w:val="315"/>
          <w:jc w:val="center"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722E" w:rsidRPr="009C306D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8722E" w:rsidRPr="009C306D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</w:pPr>
            <w:r w:rsidRPr="009C306D"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t>Donja granica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8722E" w:rsidRPr="009C306D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</w:pPr>
            <w:r w:rsidRPr="009C306D"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t>Gornja granica</w:t>
            </w:r>
          </w:p>
        </w:tc>
      </w:tr>
      <w:tr w:rsidR="0058722E" w:rsidRPr="009C306D" w:rsidTr="0058722E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9C306D" w:rsidRDefault="0058722E" w:rsidP="0058722E">
            <w:pPr>
              <w:spacing w:after="0"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9C306D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0,612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9C306D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9C306D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0,465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9C306D" w:rsidRDefault="0058722E" w:rsidP="0058722E">
            <w:pPr>
              <w:spacing w:after="0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9C306D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0,759</w:t>
            </w:r>
          </w:p>
        </w:tc>
      </w:tr>
    </w:tbl>
    <w:p w:rsidR="0058722E" w:rsidRDefault="0058722E" w:rsidP="0058722E">
      <w:pPr>
        <w:spacing w:after="0"/>
        <w:rPr>
          <w:rFonts w:ascii="Times New Roman" w:eastAsia="Calibri" w:hAnsi="Times New Roman" w:cs="Times New Roman"/>
          <w:noProof/>
          <w:sz w:val="24"/>
          <w:szCs w:val="24"/>
          <w:lang w:val="sr-Latn-BA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Latn-BA"/>
        </w:rPr>
        <w:t>Grafikon 1. ROC kriva za stres test vodom i dijagnozu glaukoma</w:t>
      </w:r>
    </w:p>
    <w:p w:rsidR="0058722E" w:rsidRDefault="0058722E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Pr="003A448E" w:rsidRDefault="0058722E" w:rsidP="0058722E">
      <w:pPr>
        <w:spacing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</w:rPr>
      </w:pPr>
      <w:r w:rsidRPr="003A448E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Tabela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t>4</w:t>
      </w:r>
      <w:r w:rsidRPr="003A448E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. </w:t>
      </w:r>
      <w:r w:rsidRPr="003A448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</w:rPr>
        <w:t>Spearman</w:t>
      </w:r>
      <w:r w:rsidRPr="003A448E">
        <w:rPr>
          <w:rFonts w:ascii="Times New Roman" w:eastAsia="Times New Roman" w:hAnsi="Times New Roman" w:cs="Times New Roman"/>
          <w:bCs/>
          <w:noProof/>
          <w:sz w:val="24"/>
          <w:szCs w:val="24"/>
        </w:rPr>
        <w:t>-ova korelacija stres testa vodom sa pokazateljima stepena funkcionalnog i strukturnog oštećenja</w:t>
      </w:r>
    </w:p>
    <w:tbl>
      <w:tblPr>
        <w:tblW w:w="8460" w:type="dxa"/>
        <w:tblLook w:val="04A0" w:firstRow="1" w:lastRow="0" w:firstColumn="1" w:lastColumn="0" w:noHBand="0" w:noVBand="1"/>
      </w:tblPr>
      <w:tblGrid>
        <w:gridCol w:w="5100"/>
        <w:gridCol w:w="1120"/>
        <w:gridCol w:w="1120"/>
        <w:gridCol w:w="1120"/>
      </w:tblGrid>
      <w:tr w:rsidR="0058722E" w:rsidRPr="003A448E" w:rsidTr="0058722E">
        <w:trPr>
          <w:trHeight w:val="630"/>
        </w:trPr>
        <w:tc>
          <w:tcPr>
            <w:tcW w:w="5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t>Spearman</w:t>
            </w:r>
            <w:r w:rsidRPr="003A448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-ova korelacija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22E" w:rsidRPr="003A448E" w:rsidRDefault="0058722E" w:rsidP="005872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Stres test vodom </w:t>
            </w:r>
          </w:p>
        </w:tc>
      </w:tr>
      <w:tr w:rsidR="0058722E" w:rsidRPr="003A448E" w:rsidTr="0058722E">
        <w:trPr>
          <w:trHeight w:val="315"/>
        </w:trPr>
        <w:tc>
          <w:tcPr>
            <w:tcW w:w="5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</w:rPr>
              <w:t>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</w:t>
            </w:r>
          </w:p>
        </w:tc>
      </w:tr>
      <w:tr w:rsidR="0058722E" w:rsidRPr="003A448E" w:rsidTr="0058722E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Indeks prosječnog gubitka </w:t>
            </w:r>
            <w:r w:rsidR="002F4A9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senzitivnosti </w:t>
            </w: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vidnog polja (MD)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0,366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24"/>
                <w:szCs w:val="24"/>
              </w:rPr>
              <w:t>0,004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60</w:t>
            </w:r>
          </w:p>
        </w:tc>
      </w:tr>
      <w:tr w:rsidR="0058722E" w:rsidRPr="003A448E" w:rsidTr="0058722E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Stereofotografija </w:t>
            </w: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PNO vertikalni C/D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0,264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24"/>
                <w:szCs w:val="24"/>
              </w:rPr>
              <w:t>0,042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60</w:t>
            </w:r>
          </w:p>
        </w:tc>
      </w:tr>
      <w:tr w:rsidR="0058722E" w:rsidRPr="003A448E" w:rsidTr="0058722E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HRT odnos ekskavacija/površina papile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0,164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0,212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60</w:t>
            </w:r>
          </w:p>
        </w:tc>
      </w:tr>
      <w:tr w:rsidR="0058722E" w:rsidRPr="003A448E" w:rsidTr="0058722E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HRT srednja debljina sloja nervnih vlakana retine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-0,001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0,996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60</w:t>
            </w:r>
          </w:p>
        </w:tc>
      </w:tr>
      <w:tr w:rsidR="0058722E" w:rsidRPr="003A448E" w:rsidTr="0058722E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HRT površina neuroretinalnog oboda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-0,077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0,558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2E" w:rsidRPr="003A448E" w:rsidRDefault="0058722E" w:rsidP="0058722E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A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60</w:t>
            </w:r>
          </w:p>
        </w:tc>
      </w:tr>
    </w:tbl>
    <w:p w:rsidR="0058722E" w:rsidRDefault="0058722E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Default="0058722E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Pr="00983623" w:rsidRDefault="0058722E" w:rsidP="0058722E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9836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1B4D905" wp14:editId="01F661EC">
            <wp:extent cx="4032000" cy="2916000"/>
            <wp:effectExtent l="0" t="0" r="6985" b="17780"/>
            <wp:docPr id="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8722E" w:rsidRPr="004F0379" w:rsidRDefault="0058722E" w:rsidP="0058722E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</w:rPr>
      </w:pPr>
      <w:r w:rsidRPr="004F0379">
        <w:rPr>
          <w:rFonts w:ascii="Times New Roman" w:hAnsi="Times New Roman" w:cs="Times New Roman"/>
          <w:bCs/>
          <w:noProof/>
          <w:sz w:val="24"/>
          <w:szCs w:val="24"/>
        </w:rPr>
        <w:t xml:space="preserve">Grafikon </w:t>
      </w:r>
      <w:r>
        <w:rPr>
          <w:rFonts w:ascii="Times New Roman" w:hAnsi="Times New Roman" w:cs="Times New Roman"/>
          <w:bCs/>
          <w:noProof/>
          <w:sz w:val="24"/>
          <w:szCs w:val="24"/>
        </w:rPr>
        <w:t xml:space="preserve">2. </w:t>
      </w:r>
      <w:r w:rsidRPr="004F0379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>Scatter-Plot dijagram za korelaciju</w:t>
      </w:r>
      <w: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 xml:space="preserve"> provokativnog testa vodom i indeksa prosječnog gubitka</w:t>
      </w:r>
      <w:r w:rsidR="00C544B1"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 xml:space="preserve"> senzitivnosti</w:t>
      </w:r>
      <w:r>
        <w:rPr>
          <w:rFonts w:ascii="Times New Roman" w:hAnsi="Times New Roman" w:cs="Times New Roman"/>
          <w:bCs/>
          <w:noProof/>
          <w:sz w:val="24"/>
          <w:szCs w:val="24"/>
          <w:lang w:val="sr-Latn-CS"/>
        </w:rPr>
        <w:t xml:space="preserve"> testa vidnog polja </w:t>
      </w:r>
    </w:p>
    <w:p w:rsidR="0058722E" w:rsidRDefault="0058722E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Pr="000E6C41" w:rsidRDefault="0058722E" w:rsidP="0058722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58722E" w:rsidRPr="006E2398" w:rsidRDefault="0058722E" w:rsidP="0058722E">
      <w:pPr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E239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EB10637" wp14:editId="58482A3F">
            <wp:extent cx="4032000" cy="2916000"/>
            <wp:effectExtent l="0" t="0" r="26035" b="17780"/>
            <wp:docPr id="4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8722E" w:rsidRPr="006E2398" w:rsidRDefault="0058722E" w:rsidP="0058722E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Grafikon </w:t>
      </w:r>
      <w:r w:rsidRPr="006E2398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3. </w:t>
      </w:r>
      <w:r w:rsidRPr="006E2398">
        <w:rPr>
          <w:rFonts w:ascii="Times New Roman" w:eastAsia="Times New Roman" w:hAnsi="Times New Roman" w:cs="Times New Roman"/>
          <w:bCs/>
          <w:noProof/>
          <w:sz w:val="24"/>
          <w:szCs w:val="24"/>
          <w:lang w:val="sr-Latn-CS"/>
        </w:rPr>
        <w:t>Scatter-Plot dijagram za korelaciju provokativnog testa vodom i vertikalnog C/D odnosa fotografije papile</w:t>
      </w:r>
    </w:p>
    <w:p w:rsidR="00A41CA1" w:rsidRPr="00A41CA1" w:rsidRDefault="00A41CA1" w:rsidP="00A41CA1">
      <w:pPr>
        <w:spacing w:after="0"/>
        <w:rPr>
          <w:rFonts w:ascii="Times New Roman" w:eastAsia="Calibri" w:hAnsi="Times New Roman" w:cs="Times New Roman"/>
          <w:noProof/>
          <w:sz w:val="24"/>
          <w:szCs w:val="24"/>
        </w:rPr>
      </w:pPr>
    </w:p>
    <w:sectPr w:rsidR="00A41CA1" w:rsidRPr="00A41C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45A45"/>
    <w:multiLevelType w:val="hybridMultilevel"/>
    <w:tmpl w:val="94DA1BDC"/>
    <w:lvl w:ilvl="0" w:tplc="22A6C1D6">
      <w:start w:val="1"/>
      <w:numFmt w:val="decimal"/>
      <w:lvlText w:val="%1."/>
      <w:lvlJc w:val="left"/>
      <w:pPr>
        <w:ind w:left="644" w:hanging="360"/>
      </w:pPr>
      <w:rPr>
        <w:b w:val="0"/>
        <w:color w:val="auto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273"/>
    <w:rsid w:val="00011FD3"/>
    <w:rsid w:val="00043E67"/>
    <w:rsid w:val="00055B06"/>
    <w:rsid w:val="000622D7"/>
    <w:rsid w:val="000626A9"/>
    <w:rsid w:val="00065F6A"/>
    <w:rsid w:val="00074980"/>
    <w:rsid w:val="00076E08"/>
    <w:rsid w:val="00097D9B"/>
    <w:rsid w:val="000A01A2"/>
    <w:rsid w:val="000F107C"/>
    <w:rsid w:val="00100007"/>
    <w:rsid w:val="00100260"/>
    <w:rsid w:val="0010173F"/>
    <w:rsid w:val="00107AC5"/>
    <w:rsid w:val="00124580"/>
    <w:rsid w:val="001346C4"/>
    <w:rsid w:val="0016330B"/>
    <w:rsid w:val="001749D3"/>
    <w:rsid w:val="00177793"/>
    <w:rsid w:val="001806AF"/>
    <w:rsid w:val="00217E11"/>
    <w:rsid w:val="00253442"/>
    <w:rsid w:val="0027044B"/>
    <w:rsid w:val="00277C3D"/>
    <w:rsid w:val="002803AD"/>
    <w:rsid w:val="002A3AFE"/>
    <w:rsid w:val="002E044C"/>
    <w:rsid w:val="002E532A"/>
    <w:rsid w:val="002F4A90"/>
    <w:rsid w:val="00302E57"/>
    <w:rsid w:val="003062F9"/>
    <w:rsid w:val="003118EC"/>
    <w:rsid w:val="0033378B"/>
    <w:rsid w:val="003477C8"/>
    <w:rsid w:val="00354BC7"/>
    <w:rsid w:val="00361027"/>
    <w:rsid w:val="00384E59"/>
    <w:rsid w:val="003863BA"/>
    <w:rsid w:val="003A37AA"/>
    <w:rsid w:val="003A448E"/>
    <w:rsid w:val="003B0091"/>
    <w:rsid w:val="003E24AC"/>
    <w:rsid w:val="003F032E"/>
    <w:rsid w:val="003F44B0"/>
    <w:rsid w:val="00400459"/>
    <w:rsid w:val="0042101C"/>
    <w:rsid w:val="004533E1"/>
    <w:rsid w:val="004565A4"/>
    <w:rsid w:val="004763FC"/>
    <w:rsid w:val="00480B7A"/>
    <w:rsid w:val="00487059"/>
    <w:rsid w:val="004C5F8E"/>
    <w:rsid w:val="004C7844"/>
    <w:rsid w:val="004D1A19"/>
    <w:rsid w:val="00501471"/>
    <w:rsid w:val="0050633E"/>
    <w:rsid w:val="005069F6"/>
    <w:rsid w:val="00533BC8"/>
    <w:rsid w:val="0057788E"/>
    <w:rsid w:val="00582A87"/>
    <w:rsid w:val="00586752"/>
    <w:rsid w:val="0058722E"/>
    <w:rsid w:val="005C6EF4"/>
    <w:rsid w:val="005E543F"/>
    <w:rsid w:val="006156FE"/>
    <w:rsid w:val="00616436"/>
    <w:rsid w:val="006250C4"/>
    <w:rsid w:val="006275E9"/>
    <w:rsid w:val="006532DF"/>
    <w:rsid w:val="00657D4A"/>
    <w:rsid w:val="00667DFC"/>
    <w:rsid w:val="0068222D"/>
    <w:rsid w:val="00694380"/>
    <w:rsid w:val="006B180B"/>
    <w:rsid w:val="006B367B"/>
    <w:rsid w:val="006B42DD"/>
    <w:rsid w:val="006C0EE4"/>
    <w:rsid w:val="006E2398"/>
    <w:rsid w:val="007026E4"/>
    <w:rsid w:val="00726106"/>
    <w:rsid w:val="0073057E"/>
    <w:rsid w:val="00732FEB"/>
    <w:rsid w:val="0075188D"/>
    <w:rsid w:val="00757DD4"/>
    <w:rsid w:val="00785181"/>
    <w:rsid w:val="007C2AAD"/>
    <w:rsid w:val="007C562D"/>
    <w:rsid w:val="007E25DC"/>
    <w:rsid w:val="008008A6"/>
    <w:rsid w:val="00800D93"/>
    <w:rsid w:val="00801ED0"/>
    <w:rsid w:val="00810B0E"/>
    <w:rsid w:val="008118F7"/>
    <w:rsid w:val="00832957"/>
    <w:rsid w:val="00843E89"/>
    <w:rsid w:val="008B6687"/>
    <w:rsid w:val="008C53F4"/>
    <w:rsid w:val="008C584A"/>
    <w:rsid w:val="008D26F3"/>
    <w:rsid w:val="008F23C3"/>
    <w:rsid w:val="0091233D"/>
    <w:rsid w:val="00952DD9"/>
    <w:rsid w:val="00971B97"/>
    <w:rsid w:val="009A59CB"/>
    <w:rsid w:val="009C4F66"/>
    <w:rsid w:val="009D2ED3"/>
    <w:rsid w:val="00A03FB3"/>
    <w:rsid w:val="00A04AB2"/>
    <w:rsid w:val="00A063FC"/>
    <w:rsid w:val="00A36BBE"/>
    <w:rsid w:val="00A41CA1"/>
    <w:rsid w:val="00A45B6A"/>
    <w:rsid w:val="00A60B34"/>
    <w:rsid w:val="00A67833"/>
    <w:rsid w:val="00A7459E"/>
    <w:rsid w:val="00A76C04"/>
    <w:rsid w:val="00A95580"/>
    <w:rsid w:val="00AB7103"/>
    <w:rsid w:val="00AC24E6"/>
    <w:rsid w:val="00AC45DB"/>
    <w:rsid w:val="00AE645F"/>
    <w:rsid w:val="00B23D79"/>
    <w:rsid w:val="00B26630"/>
    <w:rsid w:val="00B632AD"/>
    <w:rsid w:val="00B84CEC"/>
    <w:rsid w:val="00B93732"/>
    <w:rsid w:val="00B93E7C"/>
    <w:rsid w:val="00BC03B3"/>
    <w:rsid w:val="00BD153B"/>
    <w:rsid w:val="00BE007D"/>
    <w:rsid w:val="00C00F9A"/>
    <w:rsid w:val="00C16595"/>
    <w:rsid w:val="00C20459"/>
    <w:rsid w:val="00C21DB5"/>
    <w:rsid w:val="00C278FA"/>
    <w:rsid w:val="00C544B1"/>
    <w:rsid w:val="00C67201"/>
    <w:rsid w:val="00C723F1"/>
    <w:rsid w:val="00C739A9"/>
    <w:rsid w:val="00C75FF5"/>
    <w:rsid w:val="00CB16D5"/>
    <w:rsid w:val="00CC0BBF"/>
    <w:rsid w:val="00CC2273"/>
    <w:rsid w:val="00CE2949"/>
    <w:rsid w:val="00D070E4"/>
    <w:rsid w:val="00D11E48"/>
    <w:rsid w:val="00D701D4"/>
    <w:rsid w:val="00D71BF4"/>
    <w:rsid w:val="00D9662F"/>
    <w:rsid w:val="00D977C5"/>
    <w:rsid w:val="00DA029F"/>
    <w:rsid w:val="00DA76F0"/>
    <w:rsid w:val="00DC2B15"/>
    <w:rsid w:val="00E011BE"/>
    <w:rsid w:val="00E16B20"/>
    <w:rsid w:val="00E24E97"/>
    <w:rsid w:val="00E558F8"/>
    <w:rsid w:val="00E65299"/>
    <w:rsid w:val="00E919D7"/>
    <w:rsid w:val="00EC675B"/>
    <w:rsid w:val="00EF5B3E"/>
    <w:rsid w:val="00F13F90"/>
    <w:rsid w:val="00F2481C"/>
    <w:rsid w:val="00F34EC5"/>
    <w:rsid w:val="00F36571"/>
    <w:rsid w:val="00F40A5D"/>
    <w:rsid w:val="00F478FC"/>
    <w:rsid w:val="00F70518"/>
    <w:rsid w:val="00F7336A"/>
    <w:rsid w:val="00FB05C1"/>
    <w:rsid w:val="00FD232D"/>
    <w:rsid w:val="00FD33D6"/>
    <w:rsid w:val="00FE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62F4F8-557C-4E00-B8A5-C24E7E66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4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78518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85181"/>
  </w:style>
  <w:style w:type="character" w:styleId="Strong">
    <w:name w:val="Strong"/>
    <w:basedOn w:val="DefaultParagraphFont"/>
    <w:uiPriority w:val="22"/>
    <w:qFormat/>
    <w:rsid w:val="00785181"/>
    <w:rPr>
      <w:b/>
      <w:bCs/>
    </w:rPr>
  </w:style>
  <w:style w:type="character" w:customStyle="1" w:styleId="ref-journal">
    <w:name w:val="ref-journal"/>
    <w:basedOn w:val="DefaultParagraphFont"/>
    <w:rsid w:val="00785181"/>
  </w:style>
  <w:style w:type="character" w:customStyle="1" w:styleId="ref-vol">
    <w:name w:val="ref-vol"/>
    <w:basedOn w:val="DefaultParagraphFont"/>
    <w:rsid w:val="00785181"/>
  </w:style>
  <w:style w:type="paragraph" w:styleId="ListParagraph">
    <w:name w:val="List Paragraph"/>
    <w:basedOn w:val="Normal"/>
    <w:uiPriority w:val="34"/>
    <w:qFormat/>
    <w:rsid w:val="0078518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477C8"/>
    <w:rPr>
      <w:i/>
      <w:iCs/>
    </w:rPr>
  </w:style>
  <w:style w:type="table" w:styleId="TableGrid">
    <w:name w:val="Table Grid"/>
    <w:basedOn w:val="TableNormal"/>
    <w:uiPriority w:val="59"/>
    <w:rsid w:val="00384E5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5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hyperlink" Target="mailto:zbmarkic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0%20Statistika%20sa%20desktopa\Markic%20Bojana\Rezultati_MarkicBojana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0%20Statistika%20sa%20desktopa\Markic%20Bojana\Rezultati_MarkicBojana\MS%20Office%202007+\Rezultati_MarkicBojana_sa_dodatnim4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0%20Statistika%20sa%20desktopa\Markic%20Bojana\Rezultati_MarkicBojana\MS%20Office%202007+\Rezultati_MarkicBojana_sa_dodatnim4.xlsx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00"/>
            </a:pPr>
            <a:r>
              <a:rPr lang="sr-Latn-BA" sz="1100"/>
              <a:t>ROC kriva za stres test pijenja vode i glaukom</a:t>
            </a:r>
            <a:endParaRPr lang="en-US" sz="1100"/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G_T8kat2!$B$27</c:f>
              <c:strCache>
                <c:ptCount val="1"/>
                <c:pt idx="0">
                  <c:v>Sensitivity</c:v>
                </c:pt>
              </c:strCache>
            </c:strRef>
          </c:tx>
          <c:spPr>
            <a:ln w="50800">
              <a:solidFill>
                <a:schemeClr val="tx1"/>
              </a:solidFill>
            </a:ln>
          </c:spPr>
          <c:marker>
            <c:symbol val="none"/>
          </c:marker>
          <c:xVal>
            <c:numRef>
              <c:f>G_T8kat2!$A$28:$A$30</c:f>
              <c:numCache>
                <c:formatCode>0.000</c:formatCode>
                <c:ptCount val="3"/>
                <c:pt idx="0">
                  <c:v>1</c:v>
                </c:pt>
                <c:pt idx="1">
                  <c:v>0.13333333333333341</c:v>
                </c:pt>
                <c:pt idx="2">
                  <c:v>0</c:v>
                </c:pt>
              </c:numCache>
            </c:numRef>
          </c:xVal>
          <c:yVal>
            <c:numRef>
              <c:f>G_T8kat2!$B$28:$B$30</c:f>
              <c:numCache>
                <c:formatCode>0.000</c:formatCode>
                <c:ptCount val="3"/>
                <c:pt idx="0">
                  <c:v>1</c:v>
                </c:pt>
                <c:pt idx="1">
                  <c:v>0.35714285714285826</c:v>
                </c:pt>
                <c:pt idx="2">
                  <c:v>0</c:v>
                </c:pt>
              </c:numCache>
            </c:numRef>
          </c:yVal>
          <c:smooth val="0"/>
        </c:ser>
        <c:ser>
          <c:idx val="1"/>
          <c:order val="1"/>
          <c:tx>
            <c:strRef>
              <c:f>G_T8kat2!$C$27</c:f>
              <c:strCache>
                <c:ptCount val="1"/>
                <c:pt idx="0">
                  <c:v>Reference</c:v>
                </c:pt>
              </c:strCache>
            </c:strRef>
          </c:tx>
          <c:spPr>
            <a:ln w="25400">
              <a:solidFill>
                <a:schemeClr val="accent3"/>
              </a:solidFill>
            </a:ln>
          </c:spPr>
          <c:marker>
            <c:symbol val="none"/>
          </c:marker>
          <c:xVal>
            <c:numRef>
              <c:f>G_T8kat2!$A$28:$A$30</c:f>
              <c:numCache>
                <c:formatCode>0.000</c:formatCode>
                <c:ptCount val="3"/>
                <c:pt idx="0">
                  <c:v>1</c:v>
                </c:pt>
                <c:pt idx="1">
                  <c:v>0.13333333333333341</c:v>
                </c:pt>
                <c:pt idx="2">
                  <c:v>0</c:v>
                </c:pt>
              </c:numCache>
            </c:numRef>
          </c:xVal>
          <c:yVal>
            <c:numRef>
              <c:f>G_T8kat2!$C$28:$C$30</c:f>
              <c:numCache>
                <c:formatCode>0.000</c:formatCode>
                <c:ptCount val="3"/>
                <c:pt idx="0">
                  <c:v>1</c:v>
                </c:pt>
                <c:pt idx="1">
                  <c:v>0.13333333333333341</c:v>
                </c:pt>
                <c:pt idx="2">
                  <c:v>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852857904"/>
        <c:axId val="-852856272"/>
      </c:scatterChart>
      <c:valAx>
        <c:axId val="-852857904"/>
        <c:scaling>
          <c:orientation val="minMax"/>
          <c:max val="1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sr-Latn-BA"/>
                  <a:t>1 - Specifičnost</a:t>
                </a:r>
                <a:endParaRPr lang="en-US"/>
              </a:p>
            </c:rich>
          </c:tx>
          <c:overlay val="0"/>
        </c:title>
        <c:numFmt formatCode="#,##0.0" sourceLinked="0"/>
        <c:majorTickMark val="out"/>
        <c:minorTickMark val="none"/>
        <c:tickLblPos val="nextTo"/>
        <c:crossAx val="-852856272"/>
        <c:crosses val="autoZero"/>
        <c:crossBetween val="midCat"/>
        <c:majorUnit val="0.2"/>
      </c:valAx>
      <c:valAx>
        <c:axId val="-852856272"/>
        <c:scaling>
          <c:orientation val="minMax"/>
          <c:max val="1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sz="1100"/>
                </a:pPr>
                <a:r>
                  <a:rPr lang="sr-Latn-BA" sz="1100"/>
                  <a:t>Senzitivnost</a:t>
                </a:r>
                <a:endParaRPr lang="en-US" sz="1100"/>
              </a:p>
            </c:rich>
          </c:tx>
          <c:overlay val="0"/>
        </c:title>
        <c:numFmt formatCode="#,##0.0" sourceLinked="0"/>
        <c:majorTickMark val="out"/>
        <c:minorTickMark val="none"/>
        <c:tickLblPos val="nextTo"/>
        <c:crossAx val="-852857904"/>
        <c:crosses val="autoZero"/>
        <c:crossBetween val="midCat"/>
        <c:majorUnit val="0.2"/>
      </c:valAx>
      <c:spPr>
        <a:ln>
          <a:solidFill>
            <a:schemeClr val="bg1">
              <a:lumMod val="75000"/>
            </a:schemeClr>
          </a:solidFill>
        </a:ln>
      </c:spPr>
    </c:plotArea>
    <c:plotVisOnly val="1"/>
    <c:dispBlanksAs val="gap"/>
    <c:showDLblsOverMax val="0"/>
  </c:chart>
  <c:txPr>
    <a:bodyPr/>
    <a:lstStyle/>
    <a:p>
      <a:pPr>
        <a:defRPr sz="11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'Gn402'!$B$1</c:f>
              <c:strCache>
                <c:ptCount val="1"/>
                <c:pt idx="0">
                  <c:v>VP_MD</c:v>
                </c:pt>
              </c:strCache>
            </c:strRef>
          </c:tx>
          <c:spPr>
            <a:ln w="66675">
              <a:noFill/>
            </a:ln>
          </c:spPr>
          <c:marker>
            <c:symbol val="circle"/>
            <c:size val="5"/>
          </c:marker>
          <c:trendline>
            <c:spPr>
              <a:ln w="34925">
                <a:solidFill>
                  <a:schemeClr val="tx1"/>
                </a:solidFill>
              </a:ln>
            </c:spPr>
            <c:trendlineType val="linear"/>
            <c:dispRSqr val="0"/>
            <c:dispEq val="0"/>
          </c:trendline>
          <c:xVal>
            <c:numRef>
              <c:f>'Gn402'!$A$2:$A$61</c:f>
              <c:numCache>
                <c:formatCode>0.0</c:formatCode>
                <c:ptCount val="60"/>
                <c:pt idx="0">
                  <c:v>6</c:v>
                </c:pt>
                <c:pt idx="1">
                  <c:v>3</c:v>
                </c:pt>
                <c:pt idx="2">
                  <c:v>9</c:v>
                </c:pt>
                <c:pt idx="3">
                  <c:v>3</c:v>
                </c:pt>
                <c:pt idx="4">
                  <c:v>5</c:v>
                </c:pt>
                <c:pt idx="5">
                  <c:v>7</c:v>
                </c:pt>
                <c:pt idx="6">
                  <c:v>3</c:v>
                </c:pt>
                <c:pt idx="7">
                  <c:v>4</c:v>
                </c:pt>
                <c:pt idx="8">
                  <c:v>2</c:v>
                </c:pt>
                <c:pt idx="9">
                  <c:v>3</c:v>
                </c:pt>
                <c:pt idx="10">
                  <c:v>2</c:v>
                </c:pt>
                <c:pt idx="11">
                  <c:v>4</c:v>
                </c:pt>
                <c:pt idx="12">
                  <c:v>15</c:v>
                </c:pt>
                <c:pt idx="13">
                  <c:v>4</c:v>
                </c:pt>
                <c:pt idx="14">
                  <c:v>6</c:v>
                </c:pt>
                <c:pt idx="15">
                  <c:v>2</c:v>
                </c:pt>
                <c:pt idx="16">
                  <c:v>1</c:v>
                </c:pt>
                <c:pt idx="17">
                  <c:v>5</c:v>
                </c:pt>
                <c:pt idx="18">
                  <c:v>5</c:v>
                </c:pt>
                <c:pt idx="19">
                  <c:v>9</c:v>
                </c:pt>
                <c:pt idx="20">
                  <c:v>5</c:v>
                </c:pt>
                <c:pt idx="21">
                  <c:v>3</c:v>
                </c:pt>
                <c:pt idx="22">
                  <c:v>12</c:v>
                </c:pt>
                <c:pt idx="23">
                  <c:v>2</c:v>
                </c:pt>
                <c:pt idx="24">
                  <c:v>6</c:v>
                </c:pt>
                <c:pt idx="25">
                  <c:v>5</c:v>
                </c:pt>
                <c:pt idx="26">
                  <c:v>2</c:v>
                </c:pt>
                <c:pt idx="27">
                  <c:v>4</c:v>
                </c:pt>
                <c:pt idx="28">
                  <c:v>3</c:v>
                </c:pt>
                <c:pt idx="29">
                  <c:v>8</c:v>
                </c:pt>
                <c:pt idx="30">
                  <c:v>3</c:v>
                </c:pt>
                <c:pt idx="31">
                  <c:v>6</c:v>
                </c:pt>
                <c:pt idx="32">
                  <c:v>6</c:v>
                </c:pt>
                <c:pt idx="33">
                  <c:v>7</c:v>
                </c:pt>
                <c:pt idx="34">
                  <c:v>2</c:v>
                </c:pt>
                <c:pt idx="35">
                  <c:v>2</c:v>
                </c:pt>
                <c:pt idx="36">
                  <c:v>3</c:v>
                </c:pt>
                <c:pt idx="37">
                  <c:v>12</c:v>
                </c:pt>
                <c:pt idx="38">
                  <c:v>12</c:v>
                </c:pt>
                <c:pt idx="39">
                  <c:v>5</c:v>
                </c:pt>
                <c:pt idx="40">
                  <c:v>4</c:v>
                </c:pt>
                <c:pt idx="41">
                  <c:v>7</c:v>
                </c:pt>
                <c:pt idx="42">
                  <c:v>4</c:v>
                </c:pt>
                <c:pt idx="43">
                  <c:v>5</c:v>
                </c:pt>
                <c:pt idx="44">
                  <c:v>3</c:v>
                </c:pt>
                <c:pt idx="45">
                  <c:v>6</c:v>
                </c:pt>
                <c:pt idx="46">
                  <c:v>2</c:v>
                </c:pt>
                <c:pt idx="47">
                  <c:v>3</c:v>
                </c:pt>
                <c:pt idx="48">
                  <c:v>2</c:v>
                </c:pt>
                <c:pt idx="49">
                  <c:v>2</c:v>
                </c:pt>
                <c:pt idx="50">
                  <c:v>6</c:v>
                </c:pt>
                <c:pt idx="51">
                  <c:v>5</c:v>
                </c:pt>
                <c:pt idx="52">
                  <c:v>3</c:v>
                </c:pt>
                <c:pt idx="53">
                  <c:v>4</c:v>
                </c:pt>
                <c:pt idx="54">
                  <c:v>4</c:v>
                </c:pt>
                <c:pt idx="55">
                  <c:v>5</c:v>
                </c:pt>
                <c:pt idx="56">
                  <c:v>2</c:v>
                </c:pt>
                <c:pt idx="57">
                  <c:v>6</c:v>
                </c:pt>
                <c:pt idx="58">
                  <c:v>4</c:v>
                </c:pt>
                <c:pt idx="59">
                  <c:v>5</c:v>
                </c:pt>
              </c:numCache>
            </c:numRef>
          </c:xVal>
          <c:yVal>
            <c:numRef>
              <c:f>'Gn402'!$B$2:$B$61</c:f>
              <c:numCache>
                <c:formatCode>0.0</c:formatCode>
                <c:ptCount val="60"/>
                <c:pt idx="0">
                  <c:v>4.8</c:v>
                </c:pt>
                <c:pt idx="1">
                  <c:v>2.9</c:v>
                </c:pt>
                <c:pt idx="2">
                  <c:v>1.4</c:v>
                </c:pt>
                <c:pt idx="3">
                  <c:v>9.2000000000000011</c:v>
                </c:pt>
                <c:pt idx="4">
                  <c:v>1.4</c:v>
                </c:pt>
                <c:pt idx="5">
                  <c:v>6.8</c:v>
                </c:pt>
                <c:pt idx="6">
                  <c:v>0.8</c:v>
                </c:pt>
                <c:pt idx="7">
                  <c:v>8.2000000000000011</c:v>
                </c:pt>
                <c:pt idx="8">
                  <c:v>5.2</c:v>
                </c:pt>
                <c:pt idx="9">
                  <c:v>-0.60000000000000009</c:v>
                </c:pt>
                <c:pt idx="10">
                  <c:v>3.5</c:v>
                </c:pt>
                <c:pt idx="11">
                  <c:v>4.2</c:v>
                </c:pt>
                <c:pt idx="12">
                  <c:v>4.4000000000000004</c:v>
                </c:pt>
                <c:pt idx="13">
                  <c:v>0.30000000000000004</c:v>
                </c:pt>
                <c:pt idx="14">
                  <c:v>5.9</c:v>
                </c:pt>
                <c:pt idx="15">
                  <c:v>-0.5</c:v>
                </c:pt>
                <c:pt idx="16">
                  <c:v>1.6</c:v>
                </c:pt>
                <c:pt idx="17">
                  <c:v>2.1</c:v>
                </c:pt>
                <c:pt idx="18">
                  <c:v>1.1000000000000001</c:v>
                </c:pt>
                <c:pt idx="19">
                  <c:v>9.3000000000000007</c:v>
                </c:pt>
                <c:pt idx="20">
                  <c:v>5.9</c:v>
                </c:pt>
                <c:pt idx="21">
                  <c:v>3.2</c:v>
                </c:pt>
                <c:pt idx="22">
                  <c:v>3.8</c:v>
                </c:pt>
                <c:pt idx="23">
                  <c:v>1.4</c:v>
                </c:pt>
                <c:pt idx="24">
                  <c:v>1.8</c:v>
                </c:pt>
                <c:pt idx="25">
                  <c:v>2.2000000000000002</c:v>
                </c:pt>
                <c:pt idx="26">
                  <c:v>0.2</c:v>
                </c:pt>
                <c:pt idx="27">
                  <c:v>0.70000000000000007</c:v>
                </c:pt>
                <c:pt idx="28">
                  <c:v>3.7</c:v>
                </c:pt>
                <c:pt idx="29">
                  <c:v>3.8</c:v>
                </c:pt>
                <c:pt idx="30">
                  <c:v>0.60000000000000009</c:v>
                </c:pt>
                <c:pt idx="31">
                  <c:v>11.8</c:v>
                </c:pt>
                <c:pt idx="32">
                  <c:v>0.4</c:v>
                </c:pt>
                <c:pt idx="33">
                  <c:v>5</c:v>
                </c:pt>
                <c:pt idx="34">
                  <c:v>0.8</c:v>
                </c:pt>
                <c:pt idx="35">
                  <c:v>-0.1</c:v>
                </c:pt>
                <c:pt idx="36">
                  <c:v>6.7</c:v>
                </c:pt>
                <c:pt idx="37">
                  <c:v>3.1</c:v>
                </c:pt>
                <c:pt idx="38">
                  <c:v>6.7</c:v>
                </c:pt>
                <c:pt idx="39">
                  <c:v>3.7</c:v>
                </c:pt>
                <c:pt idx="40">
                  <c:v>1.4</c:v>
                </c:pt>
                <c:pt idx="41">
                  <c:v>7.6</c:v>
                </c:pt>
                <c:pt idx="42">
                  <c:v>1.1000000000000001</c:v>
                </c:pt>
                <c:pt idx="43">
                  <c:v>8.4</c:v>
                </c:pt>
                <c:pt idx="44">
                  <c:v>1.2</c:v>
                </c:pt>
                <c:pt idx="45">
                  <c:v>1.1000000000000001</c:v>
                </c:pt>
                <c:pt idx="46">
                  <c:v>1.4</c:v>
                </c:pt>
                <c:pt idx="47">
                  <c:v>4</c:v>
                </c:pt>
                <c:pt idx="48">
                  <c:v>1.8</c:v>
                </c:pt>
                <c:pt idx="49">
                  <c:v>2.2000000000000002</c:v>
                </c:pt>
                <c:pt idx="50">
                  <c:v>3.2</c:v>
                </c:pt>
                <c:pt idx="51">
                  <c:v>0.1</c:v>
                </c:pt>
                <c:pt idx="52">
                  <c:v>2.8</c:v>
                </c:pt>
                <c:pt idx="53">
                  <c:v>1.5</c:v>
                </c:pt>
                <c:pt idx="54">
                  <c:v>2.5</c:v>
                </c:pt>
                <c:pt idx="55">
                  <c:v>0.4</c:v>
                </c:pt>
                <c:pt idx="56">
                  <c:v>0.8</c:v>
                </c:pt>
                <c:pt idx="57">
                  <c:v>0.9</c:v>
                </c:pt>
                <c:pt idx="58">
                  <c:v>1.7</c:v>
                </c:pt>
                <c:pt idx="59">
                  <c:v>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875168960"/>
        <c:axId val="-875159712"/>
      </c:scatterChart>
      <c:valAx>
        <c:axId val="-875168960"/>
        <c:scaling>
          <c:orientation val="minMax"/>
          <c:max val="16"/>
          <c:min val="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sr-Latn-RS"/>
                  <a:t>Stres test vodom (mmHg)</a:t>
                </a:r>
                <a:endParaRPr lang="en-US"/>
              </a:p>
            </c:rich>
          </c:tx>
          <c:overlay val="0"/>
        </c:title>
        <c:numFmt formatCode="0.0" sourceLinked="1"/>
        <c:majorTickMark val="out"/>
        <c:minorTickMark val="none"/>
        <c:tickLblPos val="low"/>
        <c:spPr>
          <a:ln>
            <a:noFill/>
          </a:ln>
        </c:spPr>
        <c:crossAx val="-875159712"/>
        <c:crosses val="autoZero"/>
        <c:crossBetween val="midCat"/>
        <c:majorUnit val="2"/>
      </c:valAx>
      <c:valAx>
        <c:axId val="-875159712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Latn-RS"/>
                  <a:t>Indeks prosječnog gubitka senzitivnosti vidnog polja (MD)</a:t>
                </a:r>
                <a:endParaRPr lang="en-US"/>
              </a:p>
            </c:rich>
          </c:tx>
          <c:overlay val="0"/>
        </c:title>
        <c:numFmt formatCode="0.0" sourceLinked="1"/>
        <c:majorTickMark val="out"/>
        <c:minorTickMark val="none"/>
        <c:tickLblPos val="low"/>
        <c:spPr>
          <a:ln>
            <a:noFill/>
          </a:ln>
        </c:spPr>
        <c:crossAx val="-875168960"/>
        <c:crosses val="autoZero"/>
        <c:crossBetween val="midCat"/>
      </c:valAx>
    </c:plotArea>
    <c:plotVisOnly val="1"/>
    <c:dispBlanksAs val="gap"/>
    <c:showDLblsOverMax val="0"/>
  </c:chart>
  <c:spPr>
    <a:gradFill>
      <a:gsLst>
        <a:gs pos="0">
          <a:srgbClr val="8488C4"/>
        </a:gs>
        <a:gs pos="53000">
          <a:srgbClr val="D4DEFF"/>
        </a:gs>
        <a:gs pos="83000">
          <a:srgbClr val="D4DEFF"/>
        </a:gs>
        <a:gs pos="100000">
          <a:srgbClr val="96AB94"/>
        </a:gs>
      </a:gsLst>
      <a:lin ang="5400000" scaled="0"/>
    </a:gradFill>
  </c:spPr>
  <c:txPr>
    <a:bodyPr/>
    <a:lstStyle/>
    <a:p>
      <a:pPr>
        <a:defRPr sz="1100">
          <a:latin typeface="Times New Roman" pitchFamily="18" charset="0"/>
          <a:cs typeface="Times New Roman" pitchFamily="18" charset="0"/>
        </a:defRPr>
      </a:pPr>
      <a:endParaRPr lang="en-US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'Gn403'!$B$1</c:f>
              <c:strCache>
                <c:ptCount val="1"/>
                <c:pt idx="0">
                  <c:v>PNO cd</c:v>
                </c:pt>
              </c:strCache>
            </c:strRef>
          </c:tx>
          <c:spPr>
            <a:ln w="66675">
              <a:noFill/>
            </a:ln>
          </c:spPr>
          <c:marker>
            <c:symbol val="circle"/>
            <c:size val="5"/>
          </c:marker>
          <c:trendline>
            <c:spPr>
              <a:ln w="34925">
                <a:solidFill>
                  <a:schemeClr val="tx1"/>
                </a:solidFill>
              </a:ln>
            </c:spPr>
            <c:trendlineType val="linear"/>
            <c:dispRSqr val="0"/>
            <c:dispEq val="0"/>
          </c:trendline>
          <c:xVal>
            <c:numRef>
              <c:f>'Gn403'!$A$2:$A$61</c:f>
              <c:numCache>
                <c:formatCode>0.0</c:formatCode>
                <c:ptCount val="60"/>
                <c:pt idx="0">
                  <c:v>6</c:v>
                </c:pt>
                <c:pt idx="1">
                  <c:v>3</c:v>
                </c:pt>
                <c:pt idx="2">
                  <c:v>9</c:v>
                </c:pt>
                <c:pt idx="3">
                  <c:v>3</c:v>
                </c:pt>
                <c:pt idx="4">
                  <c:v>5</c:v>
                </c:pt>
                <c:pt idx="5">
                  <c:v>7</c:v>
                </c:pt>
                <c:pt idx="6">
                  <c:v>3</c:v>
                </c:pt>
                <c:pt idx="7">
                  <c:v>4</c:v>
                </c:pt>
                <c:pt idx="8">
                  <c:v>2</c:v>
                </c:pt>
                <c:pt idx="9">
                  <c:v>3</c:v>
                </c:pt>
                <c:pt idx="10">
                  <c:v>2</c:v>
                </c:pt>
                <c:pt idx="11">
                  <c:v>4</c:v>
                </c:pt>
                <c:pt idx="12">
                  <c:v>15</c:v>
                </c:pt>
                <c:pt idx="13">
                  <c:v>4</c:v>
                </c:pt>
                <c:pt idx="14">
                  <c:v>6</c:v>
                </c:pt>
                <c:pt idx="15">
                  <c:v>2</c:v>
                </c:pt>
                <c:pt idx="16">
                  <c:v>1</c:v>
                </c:pt>
                <c:pt idx="17">
                  <c:v>5</c:v>
                </c:pt>
                <c:pt idx="18">
                  <c:v>5</c:v>
                </c:pt>
                <c:pt idx="19">
                  <c:v>9</c:v>
                </c:pt>
                <c:pt idx="20">
                  <c:v>5</c:v>
                </c:pt>
                <c:pt idx="21">
                  <c:v>3</c:v>
                </c:pt>
                <c:pt idx="22">
                  <c:v>12</c:v>
                </c:pt>
                <c:pt idx="23">
                  <c:v>2</c:v>
                </c:pt>
                <c:pt idx="24">
                  <c:v>6</c:v>
                </c:pt>
                <c:pt idx="25">
                  <c:v>5</c:v>
                </c:pt>
                <c:pt idx="26">
                  <c:v>2</c:v>
                </c:pt>
                <c:pt idx="27">
                  <c:v>4</c:v>
                </c:pt>
                <c:pt idx="28">
                  <c:v>3</c:v>
                </c:pt>
                <c:pt idx="29">
                  <c:v>8</c:v>
                </c:pt>
                <c:pt idx="30">
                  <c:v>3</c:v>
                </c:pt>
                <c:pt idx="31">
                  <c:v>6</c:v>
                </c:pt>
                <c:pt idx="32">
                  <c:v>6</c:v>
                </c:pt>
                <c:pt idx="33">
                  <c:v>7</c:v>
                </c:pt>
                <c:pt idx="34">
                  <c:v>2</c:v>
                </c:pt>
                <c:pt idx="35">
                  <c:v>2</c:v>
                </c:pt>
                <c:pt idx="36">
                  <c:v>3</c:v>
                </c:pt>
                <c:pt idx="37">
                  <c:v>12</c:v>
                </c:pt>
                <c:pt idx="38">
                  <c:v>12</c:v>
                </c:pt>
                <c:pt idx="39">
                  <c:v>5</c:v>
                </c:pt>
                <c:pt idx="40">
                  <c:v>4</c:v>
                </c:pt>
                <c:pt idx="41">
                  <c:v>7</c:v>
                </c:pt>
                <c:pt idx="42">
                  <c:v>4</c:v>
                </c:pt>
                <c:pt idx="43">
                  <c:v>5</c:v>
                </c:pt>
                <c:pt idx="44">
                  <c:v>3</c:v>
                </c:pt>
                <c:pt idx="45">
                  <c:v>6</c:v>
                </c:pt>
                <c:pt idx="46">
                  <c:v>2</c:v>
                </c:pt>
                <c:pt idx="47">
                  <c:v>3</c:v>
                </c:pt>
                <c:pt idx="48">
                  <c:v>2</c:v>
                </c:pt>
                <c:pt idx="49">
                  <c:v>2</c:v>
                </c:pt>
                <c:pt idx="50">
                  <c:v>6</c:v>
                </c:pt>
                <c:pt idx="51">
                  <c:v>5</c:v>
                </c:pt>
                <c:pt idx="52">
                  <c:v>3</c:v>
                </c:pt>
                <c:pt idx="53">
                  <c:v>4</c:v>
                </c:pt>
                <c:pt idx="54">
                  <c:v>4</c:v>
                </c:pt>
                <c:pt idx="55">
                  <c:v>5</c:v>
                </c:pt>
                <c:pt idx="56">
                  <c:v>2</c:v>
                </c:pt>
                <c:pt idx="57">
                  <c:v>6</c:v>
                </c:pt>
                <c:pt idx="58">
                  <c:v>4</c:v>
                </c:pt>
                <c:pt idx="59">
                  <c:v>5</c:v>
                </c:pt>
              </c:numCache>
            </c:numRef>
          </c:xVal>
          <c:yVal>
            <c:numRef>
              <c:f>'Gn403'!$B$2:$B$61</c:f>
              <c:numCache>
                <c:formatCode>0.0</c:formatCode>
                <c:ptCount val="60"/>
                <c:pt idx="0">
                  <c:v>0.70000000000000007</c:v>
                </c:pt>
                <c:pt idx="1">
                  <c:v>0.5</c:v>
                </c:pt>
                <c:pt idx="2">
                  <c:v>0.60000000000000009</c:v>
                </c:pt>
                <c:pt idx="3">
                  <c:v>0.5</c:v>
                </c:pt>
                <c:pt idx="4">
                  <c:v>0.60000000000000009</c:v>
                </c:pt>
                <c:pt idx="5">
                  <c:v>0.30000000000000004</c:v>
                </c:pt>
                <c:pt idx="6">
                  <c:v>0.5</c:v>
                </c:pt>
                <c:pt idx="7">
                  <c:v>0.5</c:v>
                </c:pt>
                <c:pt idx="8">
                  <c:v>0.5</c:v>
                </c:pt>
                <c:pt idx="9">
                  <c:v>0.2</c:v>
                </c:pt>
                <c:pt idx="10">
                  <c:v>0.70000000000000007</c:v>
                </c:pt>
                <c:pt idx="11">
                  <c:v>0.4</c:v>
                </c:pt>
                <c:pt idx="12">
                  <c:v>0.30000000000000004</c:v>
                </c:pt>
                <c:pt idx="13">
                  <c:v>0.2</c:v>
                </c:pt>
                <c:pt idx="14">
                  <c:v>0.60000000000000009</c:v>
                </c:pt>
                <c:pt idx="15">
                  <c:v>0.30000000000000004</c:v>
                </c:pt>
                <c:pt idx="16">
                  <c:v>0.30000000000000004</c:v>
                </c:pt>
                <c:pt idx="17">
                  <c:v>0.2</c:v>
                </c:pt>
                <c:pt idx="18">
                  <c:v>0.30000000000000004</c:v>
                </c:pt>
                <c:pt idx="19">
                  <c:v>0.4</c:v>
                </c:pt>
                <c:pt idx="20">
                  <c:v>0.70000000000000007</c:v>
                </c:pt>
                <c:pt idx="21">
                  <c:v>0.60000000000000009</c:v>
                </c:pt>
                <c:pt idx="22">
                  <c:v>0.5</c:v>
                </c:pt>
                <c:pt idx="23">
                  <c:v>0.4</c:v>
                </c:pt>
                <c:pt idx="24">
                  <c:v>0.4</c:v>
                </c:pt>
                <c:pt idx="25">
                  <c:v>0.1</c:v>
                </c:pt>
                <c:pt idx="26">
                  <c:v>0.30000000000000004</c:v>
                </c:pt>
                <c:pt idx="27">
                  <c:v>0.30000000000000004</c:v>
                </c:pt>
                <c:pt idx="28">
                  <c:v>0.4</c:v>
                </c:pt>
                <c:pt idx="29">
                  <c:v>0.4</c:v>
                </c:pt>
                <c:pt idx="30">
                  <c:v>0.30000000000000004</c:v>
                </c:pt>
                <c:pt idx="31">
                  <c:v>0.8</c:v>
                </c:pt>
                <c:pt idx="32">
                  <c:v>0.30000000000000004</c:v>
                </c:pt>
                <c:pt idx="33">
                  <c:v>0.5</c:v>
                </c:pt>
                <c:pt idx="34">
                  <c:v>0.1</c:v>
                </c:pt>
                <c:pt idx="35">
                  <c:v>0.2</c:v>
                </c:pt>
                <c:pt idx="36">
                  <c:v>0.5</c:v>
                </c:pt>
                <c:pt idx="37">
                  <c:v>0.5</c:v>
                </c:pt>
                <c:pt idx="38">
                  <c:v>0.4</c:v>
                </c:pt>
                <c:pt idx="39">
                  <c:v>0.5</c:v>
                </c:pt>
                <c:pt idx="40">
                  <c:v>0.30000000000000004</c:v>
                </c:pt>
                <c:pt idx="41">
                  <c:v>0.5</c:v>
                </c:pt>
                <c:pt idx="42">
                  <c:v>0.30000000000000004</c:v>
                </c:pt>
                <c:pt idx="43">
                  <c:v>0.60000000000000009</c:v>
                </c:pt>
                <c:pt idx="44">
                  <c:v>0.30000000000000004</c:v>
                </c:pt>
                <c:pt idx="45">
                  <c:v>0.30000000000000004</c:v>
                </c:pt>
                <c:pt idx="46">
                  <c:v>0.30000000000000004</c:v>
                </c:pt>
                <c:pt idx="47">
                  <c:v>0.5</c:v>
                </c:pt>
                <c:pt idx="48">
                  <c:v>0.30000000000000004</c:v>
                </c:pt>
                <c:pt idx="49">
                  <c:v>0.2</c:v>
                </c:pt>
                <c:pt idx="50">
                  <c:v>0.70000000000000007</c:v>
                </c:pt>
                <c:pt idx="51">
                  <c:v>0.30000000000000004</c:v>
                </c:pt>
                <c:pt idx="52">
                  <c:v>0.2</c:v>
                </c:pt>
                <c:pt idx="53">
                  <c:v>0.2</c:v>
                </c:pt>
                <c:pt idx="54">
                  <c:v>0.4</c:v>
                </c:pt>
                <c:pt idx="55">
                  <c:v>0.2</c:v>
                </c:pt>
                <c:pt idx="56">
                  <c:v>0.30000000000000004</c:v>
                </c:pt>
                <c:pt idx="57">
                  <c:v>0.1</c:v>
                </c:pt>
                <c:pt idx="58">
                  <c:v>0.30000000000000004</c:v>
                </c:pt>
                <c:pt idx="59">
                  <c:v>0.4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875167328"/>
        <c:axId val="-875164064"/>
      </c:scatterChart>
      <c:valAx>
        <c:axId val="-875167328"/>
        <c:scaling>
          <c:orientation val="minMax"/>
          <c:max val="16"/>
          <c:min val="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sr-Latn-RS"/>
                  <a:t>Stres test vodom (mmHg)</a:t>
                </a:r>
                <a:endParaRPr lang="en-US"/>
              </a:p>
            </c:rich>
          </c:tx>
          <c:overlay val="0"/>
        </c:title>
        <c:numFmt formatCode="0.0" sourceLinked="1"/>
        <c:majorTickMark val="out"/>
        <c:minorTickMark val="none"/>
        <c:tickLblPos val="low"/>
        <c:spPr>
          <a:ln>
            <a:noFill/>
          </a:ln>
        </c:spPr>
        <c:crossAx val="-875164064"/>
        <c:crosses val="autoZero"/>
        <c:crossBetween val="midCat"/>
        <c:majorUnit val="2"/>
      </c:valAx>
      <c:valAx>
        <c:axId val="-87516406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Latn-RS"/>
                  <a:t> vertikalni C/D odnos</a:t>
                </a:r>
                <a:endParaRPr lang="en-US"/>
              </a:p>
            </c:rich>
          </c:tx>
          <c:overlay val="0"/>
        </c:title>
        <c:numFmt formatCode="0.0" sourceLinked="1"/>
        <c:majorTickMark val="out"/>
        <c:minorTickMark val="none"/>
        <c:tickLblPos val="low"/>
        <c:spPr>
          <a:ln>
            <a:noFill/>
          </a:ln>
        </c:spPr>
        <c:crossAx val="-875167328"/>
        <c:crosses val="autoZero"/>
        <c:crossBetween val="midCat"/>
      </c:valAx>
    </c:plotArea>
    <c:plotVisOnly val="1"/>
    <c:dispBlanksAs val="gap"/>
    <c:showDLblsOverMax val="0"/>
  </c:chart>
  <c:spPr>
    <a:gradFill>
      <a:gsLst>
        <a:gs pos="0">
          <a:srgbClr val="8488C4"/>
        </a:gs>
        <a:gs pos="53000">
          <a:srgbClr val="D4DEFF"/>
        </a:gs>
        <a:gs pos="83000">
          <a:srgbClr val="D4DEFF"/>
        </a:gs>
        <a:gs pos="100000">
          <a:srgbClr val="96AB94"/>
        </a:gs>
      </a:gsLst>
      <a:lin ang="5400000" scaled="0"/>
    </a:gradFill>
  </c:spPr>
  <c:txPr>
    <a:bodyPr/>
    <a:lstStyle/>
    <a:p>
      <a:pPr>
        <a:defRPr sz="1100">
          <a:latin typeface="Times New Roman" pitchFamily="18" charset="0"/>
          <a:cs typeface="Times New Roman" pitchFamily="18" charset="0"/>
        </a:defRPr>
      </a:pPr>
      <a:endParaRPr lang="en-U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 Classic">
    <a:majorFont>
      <a:latin typeface="Arial"/>
      <a:ea typeface=""/>
      <a:cs typeface=""/>
      <a:font script="Jpan" typeface="ＭＳ Ｐゴシック"/>
      <a:font script="Hang" typeface="돋움"/>
      <a:font script="Hans" typeface="黑体"/>
      <a:font script="Hant" typeface="微軟正黑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ajorFont>
    <a:minorFont>
      <a:latin typeface="Times New Roman"/>
      <a:ea typeface=""/>
      <a:cs typeface=""/>
      <a:font script="Jpan" typeface="ＭＳ Ｐ明朝"/>
      <a:font script="Hang" typeface="바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16</Pages>
  <Words>3117</Words>
  <Characters>17770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</dc:creator>
  <cp:keywords/>
  <dc:description/>
  <cp:lastModifiedBy>HP</cp:lastModifiedBy>
  <cp:revision>84</cp:revision>
  <dcterms:created xsi:type="dcterms:W3CDTF">2015-03-03T15:53:00Z</dcterms:created>
  <dcterms:modified xsi:type="dcterms:W3CDTF">2015-05-11T19:48:00Z</dcterms:modified>
</cp:coreProperties>
</file>