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902" w:rsidRPr="00FE7934" w:rsidRDefault="007B5902" w:rsidP="007B5902">
      <w:pPr>
        <w:pStyle w:val="Heading1"/>
      </w:pPr>
      <w:r>
        <w:t>Visoka aksijalna miopija i hirurgija</w:t>
      </w:r>
      <w:r w:rsidRPr="00FE7934">
        <w:t xml:space="preserve"> katarakte</w:t>
      </w:r>
      <w:r>
        <w:t>– predavanje po pozivu</w:t>
      </w:r>
    </w:p>
    <w:p w:rsidR="007B5902" w:rsidRPr="00FE7934" w:rsidRDefault="007B5902" w:rsidP="007B5902"/>
    <w:p w:rsidR="007B5902" w:rsidRDefault="007B5902" w:rsidP="007B5902">
      <w:pPr>
        <w:jc w:val="both"/>
        <w:rPr>
          <w:vertAlign w:val="superscript"/>
        </w:rPr>
      </w:pPr>
      <w:r>
        <w:t>Prof. dr B.M. Đurović</w:t>
      </w:r>
      <w:r>
        <w:rPr>
          <w:vertAlign w:val="superscript"/>
        </w:rPr>
        <w:t>1</w:t>
      </w:r>
      <w:r>
        <w:t>, dr V. Suvajac</w:t>
      </w:r>
      <w:r>
        <w:rPr>
          <w:vertAlign w:val="superscript"/>
        </w:rPr>
        <w:t>1</w:t>
      </w:r>
      <w:r>
        <w:t>, dr K. Savić</w:t>
      </w:r>
      <w:r>
        <w:rPr>
          <w:vertAlign w:val="superscript"/>
        </w:rPr>
        <w:t>1</w:t>
      </w:r>
      <w:r>
        <w:t>, prof. dr B.A.Đurović</w:t>
      </w:r>
      <w:r>
        <w:rPr>
          <w:vertAlign w:val="superscript"/>
        </w:rPr>
        <w:t>2</w:t>
      </w:r>
    </w:p>
    <w:p w:rsidR="007B5902" w:rsidRPr="004025B6" w:rsidRDefault="007B5902" w:rsidP="007B5902">
      <w:pPr>
        <w:jc w:val="both"/>
        <w:rPr>
          <w:szCs w:val="16"/>
        </w:rPr>
      </w:pPr>
      <w:r w:rsidRPr="004025B6">
        <w:rPr>
          <w:szCs w:val="16"/>
          <w:vertAlign w:val="superscript"/>
        </w:rPr>
        <w:t>1</w:t>
      </w:r>
      <w:r w:rsidRPr="004025B6">
        <w:rPr>
          <w:szCs w:val="16"/>
        </w:rPr>
        <w:t>Bolnica Profesional-dr Suvajac, Zemun, Srbija</w:t>
      </w:r>
    </w:p>
    <w:p w:rsidR="007B5902" w:rsidRPr="004025B6" w:rsidRDefault="007B5902" w:rsidP="007B5902">
      <w:pPr>
        <w:jc w:val="both"/>
        <w:rPr>
          <w:szCs w:val="16"/>
        </w:rPr>
      </w:pPr>
      <w:r w:rsidRPr="004025B6">
        <w:rPr>
          <w:szCs w:val="16"/>
          <w:vertAlign w:val="superscript"/>
        </w:rPr>
        <w:t>2</w:t>
      </w:r>
      <w:r w:rsidRPr="004025B6">
        <w:rPr>
          <w:szCs w:val="16"/>
        </w:rPr>
        <w:t>VMA, Institut za medicinu rada, Beograd</w:t>
      </w:r>
    </w:p>
    <w:p w:rsidR="007B5902" w:rsidRDefault="007B5902" w:rsidP="007B5902"/>
    <w:p w:rsidR="007B5902" w:rsidRPr="00106F35" w:rsidRDefault="007B5902" w:rsidP="007B5902">
      <w:pPr>
        <w:jc w:val="both"/>
        <w:rPr>
          <w:strike/>
          <w:lang w:val="sl-SI"/>
        </w:rPr>
      </w:pPr>
      <w:r w:rsidRPr="00FE7934">
        <w:rPr>
          <w:b/>
        </w:rPr>
        <w:t>Ključne riječi</w:t>
      </w:r>
      <w:r w:rsidRPr="00FE7934">
        <w:t>: aksijalna miopija, katarakta.</w:t>
      </w:r>
    </w:p>
    <w:p w:rsidR="007B5902" w:rsidRPr="00FE7934" w:rsidRDefault="007B5902" w:rsidP="007B5902"/>
    <w:p w:rsidR="007B5902" w:rsidRPr="00FE7934" w:rsidRDefault="007B5902" w:rsidP="007B5902">
      <w:pPr>
        <w:pStyle w:val="Heading2"/>
      </w:pPr>
    </w:p>
    <w:p w:rsidR="007B5902" w:rsidRPr="00FE7934" w:rsidRDefault="007B5902" w:rsidP="007B5902">
      <w:pPr>
        <w:ind w:firstLine="720"/>
        <w:jc w:val="both"/>
      </w:pPr>
      <w:r w:rsidRPr="00FE7934">
        <w:t>Aksijalna miopija je često i rano udružena sa kataraktom. Skoro uvek je prisutna i astigmatska komponenta, često glaukom a nekad i želja pacijenta da se ugradi multifokalno sočivo. Pošto se umanjenje vidne funcije pojavljuje već u pedesetim godinama života, značajno je umanjena i radna sposobnost ovih pacijenata, što medicinskom dodaje i socio-ekonomski značaj. Operativno lečenje ove patologije danas podrazumeva fakoemulzifikaciju sa obaveznom implantacijom intraokularnog sočiva. Zbog specifičnosti oka sa visokom aksijalnom osovinom potrebno je sprovesti proceduru pripreme, operacije i praćenja po posebnom protokolu u cilju postizanja dobrog funkcionalnog i refraktivnog efekta i redukcije učestalosti komplikacija. Iznete su modifikacije standardne pripreme za operaciju i fakoemulzifikacije koje se primenjuju u bolnici Profesional kod ove grupe pacijenata. Takođe se navode najčešći intraoperativni i postoperativni problemi sa posebnim naglaskom na refraktivnu grešku i pojedini ekstremni slučajevi.</w:t>
      </w:r>
    </w:p>
    <w:p w:rsidR="007B5902" w:rsidRDefault="007B5902" w:rsidP="007B5902">
      <w:pPr>
        <w:jc w:val="both"/>
        <w:rPr>
          <w:b/>
        </w:rPr>
      </w:pPr>
    </w:p>
    <w:p w:rsidR="007B5902" w:rsidRPr="00FE7934" w:rsidRDefault="007B5902" w:rsidP="007B5902">
      <w:pPr>
        <w:jc w:val="both"/>
      </w:pPr>
      <w:r w:rsidRPr="00FE7934">
        <w:t>Patološka ili degenerativna miopija se, sa hirurškog aspekta, definiše kao stanje u kome je aksijalna osovina veća od 26.5 Dpt, često sa refrakcijom većom od -8.0 Dpt.</w:t>
      </w:r>
      <w:r>
        <w:t>[1]</w:t>
      </w:r>
      <w:r w:rsidRPr="00FE7934">
        <w:t xml:space="preserve">  Visoka aksijalna miopija (VAM) nije samo refraktivni problem. Anatomske alteracije koje je prate utiču na redukciju vidnih funkcija i kod transparentnog sočiva. Formiranje zadnjeg stafiloma progresivno redukuje centralni vid, degeneracije periferne retine predisponiraju stvaranju ruptura i ablacije, kolikvacija vitreusa stvara skotome.</w:t>
      </w:r>
    </w:p>
    <w:p w:rsidR="007B5902" w:rsidRPr="00FE7934" w:rsidRDefault="007B5902" w:rsidP="007B5902">
      <w:pPr>
        <w:jc w:val="both"/>
      </w:pPr>
      <w:r w:rsidRPr="00FE7934">
        <w:t>Hirurški značajne alteracije obuhvataju:</w:t>
      </w:r>
    </w:p>
    <w:p w:rsidR="007B5902" w:rsidRPr="00FE7934" w:rsidRDefault="007B5902" w:rsidP="007B5902">
      <w:pPr>
        <w:jc w:val="both"/>
      </w:pPr>
      <w:r w:rsidRPr="00FE7934">
        <w:t>• promene na cilijarnom mišiću koji zbog manje stimulacije ima pretežno longitudinalna vlakna sa zonulama koje su proređene i istegnute. Zato često uočavamo fakodonezu ali i subluksaciju sočiva.</w:t>
      </w:r>
      <w:r>
        <w:t>[2]</w:t>
      </w:r>
    </w:p>
    <w:p w:rsidR="007B5902" w:rsidRPr="00FE7934" w:rsidRDefault="007B5902" w:rsidP="007B5902">
      <w:pPr>
        <w:jc w:val="both"/>
      </w:pPr>
      <w:r w:rsidRPr="00FE7934">
        <w:t>• Likvefakcija staklastog tela sa posledični retroponiranjem irido-lentalne dijafragme pod povišenim prednjekomornim pritiskom.</w:t>
      </w:r>
    </w:p>
    <w:p w:rsidR="007B5902" w:rsidRPr="00FE7934" w:rsidRDefault="007B5902" w:rsidP="007B5902">
      <w:pPr>
        <w:jc w:val="both"/>
      </w:pPr>
      <w:r w:rsidRPr="00FE7934">
        <w:t>Preoperativna ispitivanja i postavljanje indikacije</w:t>
      </w:r>
    </w:p>
    <w:p w:rsidR="007B5902" w:rsidRPr="00FE7934" w:rsidRDefault="007B5902" w:rsidP="007B5902">
      <w:pPr>
        <w:jc w:val="both"/>
      </w:pPr>
      <w:r w:rsidRPr="00FE7934">
        <w:t>Uobičajeni preoperativni oftalmološki pregled ima određene specifičnosti u slučajevima VAM:</w:t>
      </w:r>
    </w:p>
    <w:p w:rsidR="007B5902" w:rsidRPr="00FE7934" w:rsidRDefault="007B5902" w:rsidP="007B5902">
      <w:pPr>
        <w:jc w:val="both"/>
      </w:pPr>
      <w:r w:rsidRPr="00FE7934">
        <w:t xml:space="preserve">• Biometrija. Idealno je aksijalnu osovinu izmeriti optički (IOL Master, Lenstar i sl.) ali i imerzionim ultrazvukom uz komparaciju nalaza. Zbog postojanja stafiloma (dokumentovanog B-skenom), ultrazvučna biometrija daje dužu osovinu od realne izazivajući refraktivnu grešku. Takođe, fovea ne mora biti na vidnoj osovini i može postojati širok kappa ugao što dovodi do dodatnih grešaka. </w:t>
      </w:r>
      <w:r>
        <w:t>[3]</w:t>
      </w:r>
    </w:p>
    <w:p w:rsidR="007B5902" w:rsidRPr="00FE7934" w:rsidRDefault="007B5902" w:rsidP="007B5902">
      <w:pPr>
        <w:jc w:val="both"/>
      </w:pPr>
      <w:r w:rsidRPr="00FE7934">
        <w:t xml:space="preserve">• Formule za kalkulaciju. Generalno su neprecizne kod ekstremnih vrednosti aksijalne osovine. Kod VAM najbolje rezultate daju SRK-T i Holladay 2 formule. Nepoznata varijabla kod VAM je efektivna pozicija sočiva (ELP) koja zavisi od debljine prirodnog sočiva i stepena likvefakcije vitreusa. Nova, Olsenova formula sadrži C-konstantu koja uzima u obzir debljinu sočiva delimično kompenzuje ELP varijablu i za 40% smanjuje broj refraktivnih grešaka većih od 1 dpt. </w:t>
      </w:r>
      <w:r>
        <w:t>[4]</w:t>
      </w:r>
    </w:p>
    <w:p w:rsidR="007B5902" w:rsidRPr="00FE7934" w:rsidRDefault="007B5902" w:rsidP="007B5902">
      <w:pPr>
        <w:jc w:val="both"/>
      </w:pPr>
      <w:r w:rsidRPr="00FE7934">
        <w:lastRenderedPageBreak/>
        <w:t xml:space="preserve">• Ciljna refrakcija. Osnovno je ne uvesti ove pacijente u hipermetropiju. Odluka o poželjnoj refrakciji se donosi uzimajući u obzir način dosadašnje korekcije, prezbiopiju i funkciju drugog oka. Treba imati u vidu da ova kategorija pacijenata ima značajno psihološko opterećenje stepenom ametropije i da često postoji želja za emetropijom (koju je skoro nemoguće postići) ili što manjom miopijom. Generalno se smatra da je idealno postaviti za ciljnu refrakciju miopiju ranga -2.0 do -3.0.  </w:t>
      </w:r>
      <w:r>
        <w:t>[5]</w:t>
      </w:r>
    </w:p>
    <w:p w:rsidR="007B5902" w:rsidRPr="00FE7934" w:rsidRDefault="007B5902" w:rsidP="007B5902">
      <w:pPr>
        <w:jc w:val="both"/>
      </w:pPr>
      <w:r w:rsidRPr="00FE7934">
        <w:t>• Funkcija drugog oka. Ukoliko pacijent ima očuvanu funkciju drugog oka i nosi kontaktno sočivo, prihvatljivo je uraditi monokularnu operaciju.U svim drugim okolnostima treba planirati sukcesivno operativno lečenje oba oka u razmaku od 3-4 nedelje.</w:t>
      </w:r>
    </w:p>
    <w:p w:rsidR="007B5902" w:rsidRPr="00FE7934" w:rsidRDefault="007B5902" w:rsidP="007B5902">
      <w:pPr>
        <w:jc w:val="both"/>
      </w:pPr>
      <w:r w:rsidRPr="00FE7934">
        <w:t>• Test makularne funkcije. S obzirom da je nuklearna i zadnja subkapsularna katarakta najčešća kod VAM ponekad je teško proceniti funkcionalni efekat operacije katarakte zbog prateće makulopatije. Retinometrija ispod i u rangu postojeće korigovane vidne oštrine i/ili manji od 0.32, najčešće ishoduje nepromenjenom ili pogoršanom postoperativnom vidnom oštrinom.</w:t>
      </w:r>
    </w:p>
    <w:p w:rsidR="007B5902" w:rsidRPr="00FE7934" w:rsidRDefault="007B5902" w:rsidP="007B5902">
      <w:pPr>
        <w:jc w:val="both"/>
      </w:pPr>
      <w:r w:rsidRPr="00FE7934">
        <w:t>• OCT. Miopna makulopatija, epiretinalna membrana i slična stanja mogu uzrokovati postoperativno cistoidni edem i zahtevaju produženu preoperativnu i postoperativnu terapiju.</w:t>
      </w:r>
      <w:r>
        <w:t>[6]</w:t>
      </w:r>
    </w:p>
    <w:p w:rsidR="007B5902" w:rsidRPr="00FE7934" w:rsidRDefault="007B5902" w:rsidP="007B5902">
      <w:pPr>
        <w:jc w:val="both"/>
      </w:pPr>
      <w:r w:rsidRPr="00FE7934">
        <w:t>Elementi operativnog lečenja</w:t>
      </w:r>
    </w:p>
    <w:p w:rsidR="007B5902" w:rsidRPr="00FE7934" w:rsidRDefault="007B5902" w:rsidP="007B5902">
      <w:pPr>
        <w:jc w:val="both"/>
      </w:pPr>
      <w:r w:rsidRPr="00FE7934">
        <w:t>Tip katarakte kod VAM je najčešće centralna zadnja subkapsularna ili čisto nuklearna. U prvom slučaju to je izrazito meka a u drugom može biti ekstremno tvrda. Ono što operaciju čini vanstandardnom je zonularna slabost i dubina prednje komore (često ekstremno).</w:t>
      </w:r>
    </w:p>
    <w:p w:rsidR="007B5902" w:rsidRPr="00FE7934" w:rsidRDefault="007B5902" w:rsidP="007B5902">
      <w:pPr>
        <w:jc w:val="both"/>
      </w:pPr>
      <w:r w:rsidRPr="00FE7934">
        <w:t>• Anestezija. Ranije često primenjivana retro i peribulbarna anestezija predstavlja rizik perforacije očne jabučice zbog njene atipične konfiguracije. Čisto topikalna anestezija, sa druge strane, se može pokazati nedovoljnom kod značajnih pokreta iridolentalne dijafragme uzrokovanih visokim irigacionim pritiskom. Bol koji tada nastaje izaziva trzaj glave pacijenta i posledična oštećenja intraokularnih tkiva instrumentima koji se nalaze u prednjoj komori. Zato je optimalna intrakameralna ili subtenonska anestezija.</w:t>
      </w:r>
    </w:p>
    <w:p w:rsidR="007B5902" w:rsidRPr="00FE7934" w:rsidRDefault="007B5902" w:rsidP="007B5902">
      <w:pPr>
        <w:jc w:val="both"/>
      </w:pPr>
      <w:r w:rsidRPr="00FE7934">
        <w:t>• Incizije. Sada standardna clear corneal incision mora biti pravilne arhitekture i dovoljno dugačka da omogući potpunu nepropusnost. Visoko miopno oko je dobro eksporirano i van rubova orbite što olakšava pristup ali predstavlja rizik traume u postoperativnom periodu. Skleralni elasticitet i likfefakcija vitreusa mogu ometati formiranje bezbednog IOP na kraju operacije. Zbog svega navedenog treba razmotriti postavljanje sigurnosnog šava.</w:t>
      </w:r>
    </w:p>
    <w:p w:rsidR="007B5902" w:rsidRPr="00FE7934" w:rsidRDefault="007B5902" w:rsidP="007B5902">
      <w:pPr>
        <w:jc w:val="both"/>
      </w:pPr>
      <w:r w:rsidRPr="00FE7934">
        <w:t>• Kapsuloreksa. Pri formiranju kapsulorekse treba imati u vidu mogućnost potrebe inkarceracije optičkog dela intraokularnog sočiva (IOS) i kasniji uvid i tretman periferne retine. Zato je neophodno da bude centroponirana i prečnika nešto manjeg od planiranog IOS.</w:t>
      </w:r>
    </w:p>
    <w:p w:rsidR="007B5902" w:rsidRPr="00FE7934" w:rsidRDefault="007B5902" w:rsidP="007B5902">
      <w:pPr>
        <w:jc w:val="both"/>
      </w:pPr>
      <w:r w:rsidRPr="00FE7934">
        <w:t xml:space="preserve">• Podešavanja. Kod aparata za fakoemulzifikaciju koji intrakameralni pritisak regulišu visinom boce sa irigacionim rastvorom treba formirati poseban setting za VAM. Početna visina boce treba da bude 40-50 cm za sve faze operacije. Nakon uvođenja sonde u prenju komoru notirati stepen dislokacije iridolentalne dijafragme i korigovati visinu boce. Naravno, u skladu sa tim treba korigovati i flow i vakum kako bi se izbeglo pražnjenje komore (surge). </w:t>
      </w:r>
    </w:p>
    <w:p w:rsidR="007B5902" w:rsidRPr="00FE7934" w:rsidRDefault="007B5902" w:rsidP="007B5902">
      <w:pPr>
        <w:jc w:val="both"/>
      </w:pPr>
      <w:r w:rsidRPr="00FE7934">
        <w:t>• Emulzifikacija. Nuklearne katarakte se lome i emulzifikuju prema preferencama hirurga uz minimalnu tenziju zonula i sa ranom ekstrakcijom prvog fragmenta. Meke katarakte se zbog velike dubine prednje komore mogu bezbedno flipovati u celini i aspirirati iznad nivoa kapsulorekse.</w:t>
      </w:r>
    </w:p>
    <w:p w:rsidR="007B5902" w:rsidRPr="00FE7934" w:rsidRDefault="007B5902" w:rsidP="007B5902">
      <w:pPr>
        <w:jc w:val="both"/>
      </w:pPr>
      <w:r w:rsidRPr="00FE7934">
        <w:t xml:space="preserve">• Korteks i poliranje. Bimanuelna irigacija/aspiracija perifernog korteksa je poželjna zbog lakše manipulacije i pristupa celoj cirkumferenciji kapsularne vrećice. To se odnosi na kortikalne mase ali i na poliranje prednje kapsule radi sprečavanja formiranja fibroznog prstena koji će ometati uvid u perifernu retinu i kasnije tretmane na tom oku. Rizik nastanka cistoidnog edema makule i ablacije retine se umanjuje temeljnim poliranjem zadnje kapsule, </w:t>
      </w:r>
      <w:r w:rsidRPr="00FE7934">
        <w:lastRenderedPageBreak/>
        <w:t>prevencijom nastanka sekundarne katarakte i sledstvenom YAG kapsulotomijom koja ih može izazvati.</w:t>
      </w:r>
    </w:p>
    <w:p w:rsidR="007B5902" w:rsidRPr="00FE7934" w:rsidRDefault="007B5902" w:rsidP="007B5902">
      <w:pPr>
        <w:jc w:val="both"/>
      </w:pPr>
      <w:r w:rsidRPr="00FE7934">
        <w:t>• Implanti. Kod očiju sa VAM je neophodno ugraditi IOS radi očuvanja iridolentalne barijere i manjih ekskurzija razvodnjenog vitreusa. Time se smanjuje učestalost postoperativnih ablacija retine. Ukoliko se utvrdi da je zonularni oslonac solidan, IOS se ugrađuje u kapsularnu vrećicu na uobičajen način, bilo da je jednokomponentno ili trokomponentno. U slučaju značajne zonularne slabost</w:t>
      </w:r>
      <w:bookmarkStart w:id="0" w:name="_GoBack"/>
      <w:bookmarkEnd w:id="0"/>
      <w:r w:rsidRPr="00FE7934">
        <w:t>i dugoročno bezbednije je postavljanje trokomponentnog IOS u sulkus uz obaveznu inkarceraciju optičkog dela u otvor kapsulorekse. Implantacija u sulkus bez inkarceracije optičkog dela UVEK dovodi do manje ili veće dislokacije IOS zbog velikog prečnika sulkusa i retkih zonula.Implantacija kapsularnog tenzionog prstena (CTR), kao i kod ostalih stanja sa slabošću (a ne defektom) zonula, je kontraproduktivna.</w:t>
      </w:r>
    </w:p>
    <w:p w:rsidR="007B5902" w:rsidRPr="00FE7934" w:rsidRDefault="007B5902" w:rsidP="007B5902">
      <w:pPr>
        <w:jc w:val="both"/>
      </w:pPr>
      <w:r w:rsidRPr="00FE7934">
        <w:t>Postoperativno praćenje: Operisani pacijenti imaju uobičajen protokol praćenja uz obavezni pregled periferne retine 3-4 nedelje nakon operacije. Tada se donosi odluka o eventualnoj korekciji refraktivne greške i operaciji drugog oka. Pacijenti su na produženoj terapiji nesteroidnim antiinflamatornim rastvorima (do dva meseca) u cilju prevencije cistoidnog edema makule.</w:t>
      </w:r>
    </w:p>
    <w:p w:rsidR="007B5902" w:rsidRDefault="007B5902" w:rsidP="007B5902">
      <w:pPr>
        <w:pBdr>
          <w:bottom w:val="single" w:sz="12" w:space="1" w:color="auto"/>
        </w:pBdr>
        <w:jc w:val="both"/>
      </w:pPr>
      <w:r w:rsidRPr="00FE7934">
        <w:rPr>
          <w:b/>
        </w:rPr>
        <w:t xml:space="preserve">Zaključak: </w:t>
      </w:r>
      <w:r w:rsidRPr="00FE7934">
        <w:t>Operacija katarakte kod očiju sa VAM zahteva poseban protokol čijom primenom se postižu dobri funkcionalni efekti i redukcija učestalosti komplikacija.</w:t>
      </w:r>
    </w:p>
    <w:p w:rsidR="007B5902" w:rsidRPr="00A20406" w:rsidRDefault="007B5902" w:rsidP="007B5902">
      <w:pPr>
        <w:jc w:val="both"/>
        <w:rPr>
          <w:b/>
        </w:rPr>
      </w:pPr>
    </w:p>
    <w:p w:rsidR="007B5902" w:rsidRPr="00844B04" w:rsidRDefault="007B5902" w:rsidP="007B5902">
      <w:pPr>
        <w:jc w:val="both"/>
        <w:rPr>
          <w:b/>
          <w:i/>
        </w:rPr>
      </w:pPr>
      <w:r w:rsidRPr="00844B04">
        <w:rPr>
          <w:b/>
          <w:i/>
        </w:rPr>
        <w:t>Literatura:</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lang w:val="en-US"/>
        </w:rPr>
        <w:t>Curtin BJ, Karbin DB. Axial length measurements and fundus changes of the myopic eye. Am J Ophthalmol. 1971; 71:42.</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rPr>
        <w:t>Selley LF, Barraquer J. Surgery of the ectopic lens. Ann Ophthalmol. 1973; 5:1127.</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rPr>
        <w:t>Seward H, Packard R,  Allen D. Management of cataract surgery in a high myope. Br J Ophthalmol 2001;85:1372-1378</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rPr>
        <w:t>Olsen T, Hoffmann P. C constant: new concept for ray tracing-assisted intraocular lens power calculation. J Cataract Refract Surg. 2014 May;40(5):764-73.</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rPr>
        <w:t>Buratto L, Buratto L. Cataract surgery in axial myopia. Ghedini Editore. 1994.</w:t>
      </w:r>
    </w:p>
    <w:p w:rsidR="007B5902" w:rsidRPr="00844B04" w:rsidRDefault="007B5902" w:rsidP="007B5902">
      <w:pPr>
        <w:pStyle w:val="EndnoteText"/>
        <w:numPr>
          <w:ilvl w:val="0"/>
          <w:numId w:val="1"/>
        </w:numPr>
        <w:rPr>
          <w:rFonts w:ascii="Times New Roman" w:hAnsi="Times New Roman" w:cs="Times New Roman"/>
          <w:i/>
          <w:sz w:val="24"/>
          <w:szCs w:val="24"/>
        </w:rPr>
      </w:pPr>
      <w:r w:rsidRPr="00844B04">
        <w:rPr>
          <w:rFonts w:ascii="Times New Roman" w:hAnsi="Times New Roman" w:cs="Times New Roman"/>
          <w:i/>
          <w:sz w:val="24"/>
          <w:szCs w:val="24"/>
        </w:rPr>
        <w:t>Panozzo G, Mercanti A. Optical Coherence Tomography Findings in Myopic Traction Maculopathy. Arch Ophthalmol. 2004;122(10):1455-1460.</w:t>
      </w:r>
    </w:p>
    <w:p w:rsidR="00826078" w:rsidRDefault="00826078"/>
    <w:sectPr w:rsidR="008260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6756A"/>
    <w:multiLevelType w:val="hybridMultilevel"/>
    <w:tmpl w:val="4C84D664"/>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902"/>
    <w:rsid w:val="007B5902"/>
    <w:rsid w:val="0082607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902"/>
    <w:pPr>
      <w:spacing w:after="0" w:line="240" w:lineRule="auto"/>
    </w:pPr>
    <w:rPr>
      <w:rFonts w:ascii="Times New Roman" w:eastAsia="SimSun" w:hAnsi="Times New Roman" w:cs="Times New Roman"/>
      <w:sz w:val="24"/>
      <w:szCs w:val="24"/>
      <w:lang w:val="en-US" w:eastAsia="zh-CN"/>
    </w:rPr>
  </w:style>
  <w:style w:type="paragraph" w:styleId="Heading1">
    <w:name w:val="heading 1"/>
    <w:basedOn w:val="Normal"/>
    <w:next w:val="Normal"/>
    <w:link w:val="Heading1Char"/>
    <w:uiPriority w:val="9"/>
    <w:qFormat/>
    <w:rsid w:val="007B5902"/>
    <w:pPr>
      <w:pBdr>
        <w:bottom w:val="single" w:sz="12" w:space="2" w:color="auto"/>
      </w:pBdr>
      <w:jc w:val="both"/>
      <w:outlineLvl w:val="0"/>
    </w:pPr>
    <w:rPr>
      <w:b/>
      <w:caps/>
      <w:sz w:val="28"/>
      <w:szCs w:val="28"/>
    </w:rPr>
  </w:style>
  <w:style w:type="paragraph" w:styleId="Heading2">
    <w:name w:val="heading 2"/>
    <w:basedOn w:val="Normal"/>
    <w:next w:val="Normal"/>
    <w:link w:val="Heading2Char"/>
    <w:unhideWhenUsed/>
    <w:qFormat/>
    <w:rsid w:val="007B5902"/>
    <w:pPr>
      <w:jc w:val="both"/>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902"/>
    <w:rPr>
      <w:rFonts w:ascii="Times New Roman" w:eastAsia="SimSun" w:hAnsi="Times New Roman" w:cs="Times New Roman"/>
      <w:b/>
      <w:caps/>
      <w:sz w:val="28"/>
      <w:szCs w:val="28"/>
      <w:lang w:val="en-US" w:eastAsia="zh-CN"/>
    </w:rPr>
  </w:style>
  <w:style w:type="character" w:customStyle="1" w:styleId="Heading2Char">
    <w:name w:val="Heading 2 Char"/>
    <w:basedOn w:val="DefaultParagraphFont"/>
    <w:link w:val="Heading2"/>
    <w:rsid w:val="007B5902"/>
    <w:rPr>
      <w:rFonts w:ascii="Times New Roman" w:eastAsia="SimSun" w:hAnsi="Times New Roman" w:cs="Times New Roman"/>
      <w:b/>
      <w:sz w:val="26"/>
      <w:szCs w:val="26"/>
      <w:lang w:val="en-US" w:eastAsia="zh-CN"/>
    </w:rPr>
  </w:style>
  <w:style w:type="paragraph" w:styleId="EndnoteText">
    <w:name w:val="endnote text"/>
    <w:basedOn w:val="Normal"/>
    <w:link w:val="EndnoteTextChar"/>
    <w:uiPriority w:val="99"/>
    <w:semiHidden/>
    <w:unhideWhenUsed/>
    <w:rsid w:val="007B5902"/>
    <w:rPr>
      <w:rFonts w:asciiTheme="minorHAnsi" w:eastAsiaTheme="minorHAnsi" w:hAnsiTheme="minorHAnsi" w:cstheme="minorBidi"/>
      <w:sz w:val="20"/>
      <w:szCs w:val="20"/>
      <w:lang w:val="sr-Latn-BA" w:eastAsia="en-US"/>
    </w:rPr>
  </w:style>
  <w:style w:type="character" w:customStyle="1" w:styleId="EndnoteTextChar">
    <w:name w:val="Endnote Text Char"/>
    <w:basedOn w:val="DefaultParagraphFont"/>
    <w:link w:val="EndnoteText"/>
    <w:uiPriority w:val="99"/>
    <w:semiHidden/>
    <w:rsid w:val="007B5902"/>
    <w:rPr>
      <w:sz w:val="20"/>
      <w:szCs w:val="20"/>
      <w:lang w:val="sr-Latn-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902"/>
    <w:pPr>
      <w:spacing w:after="0" w:line="240" w:lineRule="auto"/>
    </w:pPr>
    <w:rPr>
      <w:rFonts w:ascii="Times New Roman" w:eastAsia="SimSun" w:hAnsi="Times New Roman" w:cs="Times New Roman"/>
      <w:sz w:val="24"/>
      <w:szCs w:val="24"/>
      <w:lang w:val="en-US" w:eastAsia="zh-CN"/>
    </w:rPr>
  </w:style>
  <w:style w:type="paragraph" w:styleId="Heading1">
    <w:name w:val="heading 1"/>
    <w:basedOn w:val="Normal"/>
    <w:next w:val="Normal"/>
    <w:link w:val="Heading1Char"/>
    <w:uiPriority w:val="9"/>
    <w:qFormat/>
    <w:rsid w:val="007B5902"/>
    <w:pPr>
      <w:pBdr>
        <w:bottom w:val="single" w:sz="12" w:space="2" w:color="auto"/>
      </w:pBdr>
      <w:jc w:val="both"/>
      <w:outlineLvl w:val="0"/>
    </w:pPr>
    <w:rPr>
      <w:b/>
      <w:caps/>
      <w:sz w:val="28"/>
      <w:szCs w:val="28"/>
    </w:rPr>
  </w:style>
  <w:style w:type="paragraph" w:styleId="Heading2">
    <w:name w:val="heading 2"/>
    <w:basedOn w:val="Normal"/>
    <w:next w:val="Normal"/>
    <w:link w:val="Heading2Char"/>
    <w:unhideWhenUsed/>
    <w:qFormat/>
    <w:rsid w:val="007B5902"/>
    <w:pPr>
      <w:jc w:val="both"/>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902"/>
    <w:rPr>
      <w:rFonts w:ascii="Times New Roman" w:eastAsia="SimSun" w:hAnsi="Times New Roman" w:cs="Times New Roman"/>
      <w:b/>
      <w:caps/>
      <w:sz w:val="28"/>
      <w:szCs w:val="28"/>
      <w:lang w:val="en-US" w:eastAsia="zh-CN"/>
    </w:rPr>
  </w:style>
  <w:style w:type="character" w:customStyle="1" w:styleId="Heading2Char">
    <w:name w:val="Heading 2 Char"/>
    <w:basedOn w:val="DefaultParagraphFont"/>
    <w:link w:val="Heading2"/>
    <w:rsid w:val="007B5902"/>
    <w:rPr>
      <w:rFonts w:ascii="Times New Roman" w:eastAsia="SimSun" w:hAnsi="Times New Roman" w:cs="Times New Roman"/>
      <w:b/>
      <w:sz w:val="26"/>
      <w:szCs w:val="26"/>
      <w:lang w:val="en-US" w:eastAsia="zh-CN"/>
    </w:rPr>
  </w:style>
  <w:style w:type="paragraph" w:styleId="EndnoteText">
    <w:name w:val="endnote text"/>
    <w:basedOn w:val="Normal"/>
    <w:link w:val="EndnoteTextChar"/>
    <w:uiPriority w:val="99"/>
    <w:semiHidden/>
    <w:unhideWhenUsed/>
    <w:rsid w:val="007B5902"/>
    <w:rPr>
      <w:rFonts w:asciiTheme="minorHAnsi" w:eastAsiaTheme="minorHAnsi" w:hAnsiTheme="minorHAnsi" w:cstheme="minorBidi"/>
      <w:sz w:val="20"/>
      <w:szCs w:val="20"/>
      <w:lang w:val="sr-Latn-BA" w:eastAsia="en-US"/>
    </w:rPr>
  </w:style>
  <w:style w:type="character" w:customStyle="1" w:styleId="EndnoteTextChar">
    <w:name w:val="Endnote Text Char"/>
    <w:basedOn w:val="DefaultParagraphFont"/>
    <w:link w:val="EndnoteText"/>
    <w:uiPriority w:val="99"/>
    <w:semiHidden/>
    <w:rsid w:val="007B5902"/>
    <w:rPr>
      <w:sz w:val="20"/>
      <w:szCs w:val="20"/>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Direktor</dc:creator>
  <cp:lastModifiedBy>Direktor</cp:lastModifiedBy>
  <cp:revision>1</cp:revision>
  <dcterms:created xsi:type="dcterms:W3CDTF">2015-05-18T10:16:00Z</dcterms:created>
  <dcterms:modified xsi:type="dcterms:W3CDTF">2015-05-18T10:16:00Z</dcterms:modified>
</cp:coreProperties>
</file>