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DC3" w:rsidRPr="009A5DC3" w:rsidRDefault="009A5DC3" w:rsidP="0002586F">
      <w:pPr>
        <w:spacing w:after="0" w:line="240" w:lineRule="auto"/>
        <w:ind w:right="1134"/>
        <w:jc w:val="both"/>
        <w:rPr>
          <w:rFonts w:ascii="Times New Roman" w:eastAsia="SimSun" w:hAnsi="Times New Roman" w:cs="Times New Roman"/>
          <w:sz w:val="20"/>
          <w:szCs w:val="20"/>
        </w:rPr>
      </w:pPr>
    </w:p>
    <w:p w:rsidR="009A5DC3" w:rsidRDefault="009A5DC3" w:rsidP="001F3804">
      <w:pPr>
        <w:jc w:val="center"/>
        <w:rPr>
          <w:rFonts w:ascii="Times New Roman" w:hAnsi="Times New Roman" w:cs="Times New Roman"/>
          <w:sz w:val="28"/>
          <w:szCs w:val="28"/>
          <w:lang w:val="sr-Cyrl-RS"/>
        </w:rPr>
      </w:pPr>
      <w:r>
        <w:rPr>
          <w:rFonts w:ascii="Times New Roman" w:hAnsi="Times New Roman" w:cs="Times New Roman"/>
          <w:sz w:val="28"/>
          <w:szCs w:val="28"/>
          <w:lang w:val="sr-Cyrl-RS"/>
        </w:rPr>
        <w:t>У</w:t>
      </w:r>
      <w:r w:rsidR="009E4978">
        <w:rPr>
          <w:rFonts w:ascii="Times New Roman" w:hAnsi="Times New Roman" w:cs="Times New Roman"/>
          <w:sz w:val="28"/>
          <w:szCs w:val="28"/>
          <w:lang w:val="sr-Cyrl-RS"/>
        </w:rPr>
        <w:t>ТИЦАЈ РАЗЛИЧИТИХ ТЕХНИКА ПОЛИМЕРИЗАЦИЈЕ НА КВАЛИТЕТ КОМПОЗИТНИХ ИСПУНА</w:t>
      </w:r>
    </w:p>
    <w:p w:rsidR="006C6F77" w:rsidRPr="00AD0DE8" w:rsidRDefault="006C6F77" w:rsidP="006C6F77">
      <w:pPr>
        <w:rPr>
          <w:rFonts w:ascii="Times New Roman" w:hAnsi="Times New Roman" w:cs="Times New Roman"/>
          <w:sz w:val="24"/>
          <w:szCs w:val="24"/>
          <w:vertAlign w:val="superscript"/>
          <w:lang w:val="sr-Latn-RS"/>
        </w:rPr>
      </w:pPr>
      <w:r>
        <w:rPr>
          <w:rFonts w:ascii="Times New Roman" w:hAnsi="Times New Roman" w:cs="Times New Roman"/>
          <w:sz w:val="24"/>
          <w:szCs w:val="24"/>
          <w:lang w:val="sr-Cyrl-RS"/>
        </w:rPr>
        <w:t>О.Јанковић</w:t>
      </w:r>
      <w:r w:rsidR="00AA1BD1" w:rsidRPr="00AA1BD1">
        <w:rPr>
          <w:rFonts w:ascii="Times New Roman" w:hAnsi="Times New Roman" w:cs="Times New Roman"/>
          <w:u w:val="single"/>
          <w:vertAlign w:val="superscript"/>
          <w:lang w:val="sr-Cyrl-RS"/>
        </w:rPr>
        <w:t>1</w:t>
      </w:r>
      <w:r>
        <w:rPr>
          <w:rFonts w:ascii="Times New Roman" w:hAnsi="Times New Roman" w:cs="Times New Roman"/>
          <w:sz w:val="24"/>
          <w:szCs w:val="24"/>
          <w:lang w:val="sr-Cyrl-RS"/>
        </w:rPr>
        <w:t>, Р. Јосиповић</w:t>
      </w:r>
      <w:r w:rsidR="00AA1BD1" w:rsidRPr="00AA1BD1">
        <w:rPr>
          <w:rFonts w:ascii="Times New Roman" w:hAnsi="Times New Roman" w:cs="Times New Roman"/>
          <w:u w:val="single"/>
          <w:vertAlign w:val="superscript"/>
          <w:lang w:val="sr-Cyrl-RS"/>
        </w:rPr>
        <w:t>1</w:t>
      </w:r>
      <w:r>
        <w:rPr>
          <w:rFonts w:ascii="Times New Roman" w:hAnsi="Times New Roman" w:cs="Times New Roman"/>
          <w:sz w:val="24"/>
          <w:szCs w:val="24"/>
          <w:lang w:val="sr-Cyrl-RS"/>
        </w:rPr>
        <w:t>,</w:t>
      </w:r>
      <w:r w:rsidR="0002586F" w:rsidRPr="0002586F">
        <w:rPr>
          <w:rFonts w:ascii="Times New Roman" w:hAnsi="Times New Roman" w:cs="Times New Roman"/>
          <w:sz w:val="24"/>
          <w:szCs w:val="24"/>
          <w:lang w:val="sr-Cyrl-RS"/>
        </w:rPr>
        <w:t xml:space="preserve"> </w:t>
      </w:r>
      <w:r w:rsidR="0002586F">
        <w:rPr>
          <w:rFonts w:ascii="Times New Roman" w:hAnsi="Times New Roman" w:cs="Times New Roman"/>
          <w:sz w:val="24"/>
          <w:szCs w:val="24"/>
          <w:lang w:val="sr-Cyrl-RS"/>
        </w:rPr>
        <w:t>Р.Арбутина</w:t>
      </w:r>
      <w:r w:rsidR="0002586F" w:rsidRPr="00AA1BD1">
        <w:rPr>
          <w:rFonts w:ascii="Times New Roman" w:hAnsi="Times New Roman" w:cs="Times New Roman"/>
          <w:u w:val="single"/>
          <w:vertAlign w:val="superscript"/>
          <w:lang w:val="sr-Cyrl-RS"/>
        </w:rPr>
        <w:t>1</w:t>
      </w:r>
      <w:r w:rsidR="0002586F">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И.Ђукић</w:t>
      </w:r>
      <w:r w:rsidR="0002586F">
        <w:rPr>
          <w:rFonts w:ascii="Times New Roman" w:hAnsi="Times New Roman" w:cs="Times New Roman"/>
          <w:sz w:val="24"/>
          <w:szCs w:val="24"/>
          <w:lang w:val="sr-Cyrl-RS"/>
        </w:rPr>
        <w:t>.</w:t>
      </w:r>
      <w:r w:rsidR="0002586F">
        <w:rPr>
          <w:rFonts w:ascii="Times New Roman" w:hAnsi="Times New Roman" w:cs="Times New Roman"/>
          <w:sz w:val="24"/>
          <w:szCs w:val="24"/>
          <w:vertAlign w:val="superscript"/>
          <w:lang w:val="sr-Cyrl-RS"/>
        </w:rPr>
        <w:t>1</w:t>
      </w:r>
      <w:r>
        <w:rPr>
          <w:rFonts w:ascii="Times New Roman" w:hAnsi="Times New Roman" w:cs="Times New Roman"/>
          <w:sz w:val="24"/>
          <w:szCs w:val="24"/>
          <w:lang w:val="sr-Cyrl-RS"/>
        </w:rPr>
        <w:t>, А Арбутина,</w:t>
      </w:r>
      <w:r w:rsidR="0002586F">
        <w:rPr>
          <w:rFonts w:ascii="Times New Roman" w:hAnsi="Times New Roman" w:cs="Times New Roman"/>
          <w:sz w:val="24"/>
          <w:szCs w:val="24"/>
          <w:vertAlign w:val="superscript"/>
          <w:lang w:val="sr-Cyrl-RS"/>
        </w:rPr>
        <w:t>1</w:t>
      </w:r>
      <w:r>
        <w:rPr>
          <w:rFonts w:ascii="Times New Roman" w:hAnsi="Times New Roman" w:cs="Times New Roman"/>
          <w:sz w:val="24"/>
          <w:szCs w:val="24"/>
          <w:lang w:val="sr-Cyrl-RS"/>
        </w:rPr>
        <w:t xml:space="preserve"> М. Умићевић Давидовић</w:t>
      </w:r>
      <w:r w:rsidR="00F3251B">
        <w:rPr>
          <w:rFonts w:ascii="Times New Roman" w:hAnsi="Times New Roman" w:cs="Times New Roman"/>
          <w:sz w:val="24"/>
          <w:szCs w:val="24"/>
          <w:vertAlign w:val="superscript"/>
          <w:lang w:val="sr-Cyrl-RS"/>
        </w:rPr>
        <w:t>1</w:t>
      </w:r>
      <w:r w:rsidR="00F3251B">
        <w:rPr>
          <w:rFonts w:ascii="Times New Roman" w:hAnsi="Times New Roman" w:cs="Times New Roman"/>
          <w:sz w:val="24"/>
          <w:szCs w:val="24"/>
          <w:lang w:val="sr-Latn-RS"/>
        </w:rPr>
        <w:t>, M.A</w:t>
      </w:r>
      <w:r w:rsidR="00F3251B">
        <w:rPr>
          <w:rFonts w:ascii="Times New Roman" w:hAnsi="Times New Roman" w:cs="Times New Roman"/>
          <w:sz w:val="24"/>
          <w:szCs w:val="24"/>
          <w:lang w:val="sr-Cyrl-RS"/>
        </w:rPr>
        <w:t>раповић Савић</w:t>
      </w:r>
      <w:r w:rsidR="0002586F">
        <w:rPr>
          <w:rFonts w:ascii="Times New Roman" w:hAnsi="Times New Roman" w:cs="Times New Roman"/>
          <w:sz w:val="24"/>
          <w:szCs w:val="24"/>
          <w:vertAlign w:val="superscript"/>
          <w:lang w:val="sr-Cyrl-RS"/>
        </w:rPr>
        <w:t>1</w:t>
      </w:r>
    </w:p>
    <w:p w:rsidR="00E05B4D" w:rsidRDefault="0002586F" w:rsidP="001936A2">
      <w:pPr>
        <w:spacing w:after="0" w:line="240" w:lineRule="auto"/>
        <w:jc w:val="center"/>
        <w:rPr>
          <w:rFonts w:ascii="Times New Roman" w:eastAsia="SimSun" w:hAnsi="Times New Roman" w:cs="Times New Roman"/>
          <w:sz w:val="24"/>
          <w:szCs w:val="24"/>
        </w:rPr>
      </w:pPr>
      <w:r w:rsidRPr="009A5DC3">
        <w:rPr>
          <w:rFonts w:ascii="Times New Roman" w:eastAsia="SimSun" w:hAnsi="Times New Roman" w:cs="Times New Roman"/>
          <w:sz w:val="24"/>
          <w:szCs w:val="24"/>
          <w:vertAlign w:val="superscript"/>
          <w:lang w:val="sr-Latn-CS"/>
        </w:rPr>
        <w:t>1</w:t>
      </w:r>
      <w:r w:rsidRPr="009A5DC3">
        <w:rPr>
          <w:rFonts w:ascii="Times New Roman" w:eastAsia="SimSun" w:hAnsi="Times New Roman" w:cs="Times New Roman"/>
          <w:sz w:val="24"/>
          <w:szCs w:val="24"/>
          <w:lang w:val="sr-Cyrl-CS"/>
        </w:rPr>
        <w:t xml:space="preserve">Универзитет у Бањој Луци, </w:t>
      </w:r>
      <w:r>
        <w:rPr>
          <w:rFonts w:ascii="Times New Roman" w:eastAsia="SimSun" w:hAnsi="Times New Roman" w:cs="Times New Roman"/>
          <w:sz w:val="24"/>
          <w:szCs w:val="24"/>
          <w:lang w:val="sr-Cyrl-CS"/>
        </w:rPr>
        <w:t>Медицински факултет,студијски програм стоматологија,Саве Мркаља 14,78000 Бањалука, мејл аутора  за коресподенцију:</w:t>
      </w:r>
      <w:r>
        <w:rPr>
          <w:rFonts w:ascii="Times New Roman" w:eastAsia="SimSun" w:hAnsi="Times New Roman" w:cs="Times New Roman"/>
          <w:sz w:val="24"/>
          <w:szCs w:val="24"/>
        </w:rPr>
        <w:t xml:space="preserve"> </w:t>
      </w:r>
      <w:hyperlink r:id="rId5" w:history="1">
        <w:r w:rsidR="00E05B4D" w:rsidRPr="00613577">
          <w:rPr>
            <w:rStyle w:val="Hyperlink"/>
            <w:rFonts w:ascii="Times New Roman" w:eastAsia="SimSun" w:hAnsi="Times New Roman" w:cs="Times New Roman"/>
            <w:sz w:val="24"/>
            <w:szCs w:val="24"/>
            <w:lang w:val="sr-Cyrl-CS"/>
          </w:rPr>
          <w:t>о</w:t>
        </w:r>
        <w:r w:rsidR="00E05B4D" w:rsidRPr="00613577">
          <w:rPr>
            <w:rStyle w:val="Hyperlink"/>
            <w:rFonts w:ascii="Times New Roman" w:eastAsia="SimSun" w:hAnsi="Times New Roman" w:cs="Times New Roman"/>
            <w:sz w:val="24"/>
            <w:szCs w:val="24"/>
            <w:lang w:val="sr-Latn-RS"/>
          </w:rPr>
          <w:t>gnjenka.olja</w:t>
        </w:r>
        <w:r w:rsidR="00E05B4D" w:rsidRPr="00613577">
          <w:rPr>
            <w:rStyle w:val="Hyperlink"/>
            <w:rFonts w:ascii="Times New Roman" w:eastAsia="SimSun" w:hAnsi="Times New Roman" w:cs="Times New Roman"/>
            <w:sz w:val="24"/>
            <w:szCs w:val="24"/>
          </w:rPr>
          <w:t>@gmail.com</w:t>
        </w:r>
      </w:hyperlink>
    </w:p>
    <w:p w:rsidR="00E05B4D" w:rsidRDefault="00E05B4D" w:rsidP="001936A2">
      <w:pPr>
        <w:spacing w:after="0" w:line="240" w:lineRule="auto"/>
        <w:jc w:val="center"/>
        <w:rPr>
          <w:rFonts w:ascii="Times New Roman" w:eastAsia="SimSun" w:hAnsi="Times New Roman" w:cs="Times New Roman"/>
          <w:sz w:val="24"/>
          <w:szCs w:val="24"/>
        </w:rPr>
      </w:pPr>
    </w:p>
    <w:p w:rsidR="00E05B4D" w:rsidRDefault="00E05B4D" w:rsidP="00E05B4D">
      <w:pPr>
        <w:spacing w:after="0" w:line="240" w:lineRule="auto"/>
        <w:rPr>
          <w:rFonts w:ascii="Times New Roman" w:eastAsia="SimSun" w:hAnsi="Times New Roman" w:cs="Times New Roman"/>
          <w:sz w:val="24"/>
          <w:szCs w:val="24"/>
        </w:rPr>
      </w:pPr>
    </w:p>
    <w:p w:rsidR="00E05B4D" w:rsidRPr="001D66A6" w:rsidRDefault="00E05B4D" w:rsidP="00E05B4D">
      <w:pPr>
        <w:spacing w:after="0" w:line="240" w:lineRule="auto"/>
        <w:rPr>
          <w:rFonts w:ascii="Times New Roman" w:eastAsia="SimSun" w:hAnsi="Times New Roman" w:cs="Times New Roman"/>
          <w:b/>
          <w:sz w:val="20"/>
          <w:szCs w:val="20"/>
        </w:rPr>
      </w:pPr>
      <w:r w:rsidRPr="001D66A6">
        <w:rPr>
          <w:rFonts w:ascii="Times New Roman" w:hAnsi="Times New Roman" w:cs="Times New Roman"/>
          <w:b/>
          <w:sz w:val="20"/>
          <w:szCs w:val="20"/>
        </w:rPr>
        <w:t>КРАТАК САДРЖАЈ</w:t>
      </w:r>
    </w:p>
    <w:p w:rsidR="00E05B4D" w:rsidRPr="001D66A6" w:rsidRDefault="00E05B4D" w:rsidP="001118E2">
      <w:pPr>
        <w:spacing w:line="240" w:lineRule="auto"/>
        <w:ind w:firstLine="720"/>
        <w:jc w:val="both"/>
        <w:rPr>
          <w:rFonts w:ascii="Times New Roman" w:hAnsi="Times New Roman" w:cs="Times New Roman"/>
          <w:sz w:val="20"/>
          <w:szCs w:val="20"/>
        </w:rPr>
      </w:pPr>
      <w:r w:rsidRPr="001D66A6">
        <w:rPr>
          <w:rFonts w:ascii="Times New Roman" w:hAnsi="Times New Roman" w:cs="Times New Roman"/>
          <w:sz w:val="20"/>
          <w:szCs w:val="20"/>
        </w:rPr>
        <w:t xml:space="preserve">Увод: Композитни материјали се контрахују током процеса полимеризације, што умањује њихову клиничку вриједност. </w:t>
      </w:r>
      <w:proofErr w:type="gramStart"/>
      <w:r w:rsidRPr="001D66A6">
        <w:rPr>
          <w:rFonts w:ascii="Times New Roman" w:hAnsi="Times New Roman" w:cs="Times New Roman"/>
          <w:sz w:val="20"/>
          <w:szCs w:val="20"/>
        </w:rPr>
        <w:t>Модификације у саставу композитних материјала и техника апликације композита су се показале недовољним за компензацију полимеризацијског скупљања, па се покушало са модификацијом полимеризацијских програма.</w:t>
      </w:r>
      <w:proofErr w:type="gramEnd"/>
      <w:r w:rsidRPr="001D66A6">
        <w:rPr>
          <w:rFonts w:ascii="Times New Roman" w:hAnsi="Times New Roman" w:cs="Times New Roman"/>
          <w:sz w:val="20"/>
          <w:szCs w:val="20"/>
        </w:rPr>
        <w:t xml:space="preserve"> </w:t>
      </w:r>
      <w:proofErr w:type="gramStart"/>
      <w:r w:rsidRPr="001D66A6">
        <w:rPr>
          <w:rFonts w:ascii="Times New Roman" w:hAnsi="Times New Roman" w:cs="Times New Roman"/>
          <w:sz w:val="20"/>
          <w:szCs w:val="20"/>
        </w:rPr>
        <w:t>У свакодневној стоматолошкој пракси данас се користе различите врсте свјетлосних извора за полимеризацију, али и различите технике полимеризације композитних материјала.</w:t>
      </w:r>
      <w:proofErr w:type="gramEnd"/>
    </w:p>
    <w:p w:rsidR="00E05B4D" w:rsidRPr="001D66A6" w:rsidRDefault="00E05B4D" w:rsidP="001936A2">
      <w:pPr>
        <w:spacing w:line="240" w:lineRule="auto"/>
        <w:jc w:val="both"/>
        <w:rPr>
          <w:rFonts w:ascii="Times New Roman" w:hAnsi="Times New Roman" w:cs="Times New Roman"/>
          <w:sz w:val="20"/>
          <w:szCs w:val="20"/>
        </w:rPr>
      </w:pPr>
      <w:r w:rsidRPr="001D66A6">
        <w:rPr>
          <w:rFonts w:ascii="Times New Roman" w:hAnsi="Times New Roman" w:cs="Times New Roman"/>
          <w:sz w:val="20"/>
          <w:szCs w:val="20"/>
        </w:rPr>
        <w:t xml:space="preserve">Циљ: Циљ овог рада је био да се </w:t>
      </w:r>
      <w:proofErr w:type="gramStart"/>
      <w:r w:rsidRPr="001D66A6">
        <w:rPr>
          <w:rFonts w:ascii="Times New Roman" w:hAnsi="Times New Roman" w:cs="Times New Roman"/>
          <w:sz w:val="20"/>
          <w:szCs w:val="20"/>
        </w:rPr>
        <w:t>у ,</w:t>
      </w:r>
      <w:proofErr w:type="gramEnd"/>
      <w:r w:rsidRPr="001D66A6">
        <w:rPr>
          <w:rFonts w:ascii="Times New Roman" w:hAnsi="Times New Roman" w:cs="Times New Roman"/>
          <w:sz w:val="20"/>
          <w:szCs w:val="20"/>
        </w:rPr>
        <w:t xml:space="preserve"> ин витро условима, семиквантитативно, провјери утицај различитих техника полимеризације на полимеризацијско скупљање, односно квалитет ивичног заптивања композитних испуна код малих кавитета </w:t>
      </w:r>
      <w:r w:rsidRPr="001D66A6">
        <w:rPr>
          <w:rFonts w:ascii="Times New Roman" w:hAnsi="Times New Roman" w:cs="Times New Roman"/>
          <w:sz w:val="20"/>
          <w:szCs w:val="20"/>
          <w:lang w:val="sr-Latn-RS"/>
        </w:rPr>
        <w:t>V</w:t>
      </w:r>
      <w:r w:rsidRPr="001D66A6">
        <w:rPr>
          <w:rFonts w:ascii="Times New Roman" w:hAnsi="Times New Roman" w:cs="Times New Roman"/>
          <w:sz w:val="20"/>
          <w:szCs w:val="20"/>
        </w:rPr>
        <w:t xml:space="preserve"> класе.</w:t>
      </w:r>
    </w:p>
    <w:p w:rsidR="00E05B4D" w:rsidRPr="001D66A6" w:rsidRDefault="00E05B4D" w:rsidP="001936A2">
      <w:pPr>
        <w:spacing w:line="240" w:lineRule="auto"/>
        <w:jc w:val="both"/>
        <w:rPr>
          <w:rFonts w:ascii="Times New Roman" w:hAnsi="Times New Roman" w:cs="Times New Roman"/>
          <w:sz w:val="20"/>
          <w:szCs w:val="20"/>
        </w:rPr>
      </w:pPr>
      <w:r w:rsidRPr="001D66A6">
        <w:rPr>
          <w:rFonts w:ascii="Times New Roman" w:hAnsi="Times New Roman" w:cs="Times New Roman"/>
          <w:sz w:val="20"/>
          <w:szCs w:val="20"/>
        </w:rPr>
        <w:t xml:space="preserve">Материјал и методе: У испитивању је кориштено 30 хуманих екстрахованих преткутњака, екстрахованих из ортодонтских разлога, подијељених у три групе. На свим зубима су са вестибуларне и оралне стране испрепарисани кавитети V класе, који су вестибуларно рестаурисани самонагризајућом течном композитном смолом </w:t>
      </w:r>
      <w:r w:rsidR="008E0477" w:rsidRPr="008E0477">
        <w:rPr>
          <w:rFonts w:ascii="Times New Roman" w:hAnsi="Times New Roman" w:cs="Times New Roman"/>
          <w:sz w:val="20"/>
          <w:szCs w:val="20"/>
        </w:rPr>
        <w:t>Vertise flow (Kerr Corporation, Orange, CA, USA</w:t>
      </w:r>
      <w:r w:rsidRPr="001D66A6">
        <w:rPr>
          <w:rFonts w:ascii="Times New Roman" w:hAnsi="Times New Roman" w:cs="Times New Roman"/>
          <w:sz w:val="20"/>
          <w:szCs w:val="20"/>
        </w:rPr>
        <w:t xml:space="preserve">) , а орално течном смолом </w:t>
      </w:r>
      <w:r w:rsidR="008E0477" w:rsidRPr="008E0477">
        <w:rPr>
          <w:rFonts w:ascii="Times New Roman" w:hAnsi="Times New Roman" w:cs="Times New Roman"/>
          <w:sz w:val="20"/>
          <w:szCs w:val="20"/>
        </w:rPr>
        <w:t>Filtek Flow (3M Dental Products, St. Paul, MN)</w:t>
      </w:r>
      <w:r w:rsidRPr="001D66A6">
        <w:rPr>
          <w:rFonts w:ascii="Times New Roman" w:hAnsi="Times New Roman" w:cs="Times New Roman"/>
          <w:sz w:val="20"/>
          <w:szCs w:val="20"/>
        </w:rPr>
        <w:t xml:space="preserve">. За полимеризацију је кориштена Лед лампа </w:t>
      </w:r>
      <w:r w:rsidR="008E0477" w:rsidRPr="008E0477">
        <w:rPr>
          <w:rFonts w:ascii="Times New Roman" w:hAnsi="Times New Roman" w:cs="Times New Roman"/>
          <w:sz w:val="20"/>
          <w:szCs w:val="20"/>
        </w:rPr>
        <w:t xml:space="preserve">Bluephase </w:t>
      </w:r>
      <w:proofErr w:type="gramStart"/>
      <w:r w:rsidR="008E0477" w:rsidRPr="008E0477">
        <w:rPr>
          <w:rFonts w:ascii="Times New Roman" w:hAnsi="Times New Roman" w:cs="Times New Roman"/>
          <w:sz w:val="20"/>
          <w:szCs w:val="20"/>
        </w:rPr>
        <w:t>C8(</w:t>
      </w:r>
      <w:proofErr w:type="gramEnd"/>
      <w:r w:rsidR="008E0477" w:rsidRPr="008E0477">
        <w:rPr>
          <w:rFonts w:ascii="Times New Roman" w:hAnsi="Times New Roman" w:cs="Times New Roman"/>
          <w:sz w:val="20"/>
          <w:szCs w:val="20"/>
        </w:rPr>
        <w:t xml:space="preserve"> Ivoclar Vivadent Schaan, Lichtenstein</w:t>
      </w:r>
      <w:r w:rsidRPr="001D66A6">
        <w:rPr>
          <w:rFonts w:ascii="Times New Roman" w:hAnsi="Times New Roman" w:cs="Times New Roman"/>
          <w:sz w:val="20"/>
          <w:szCs w:val="20"/>
        </w:rPr>
        <w:t xml:space="preserve">, која подржава три програма свјетлосне полимеризације: </w:t>
      </w:r>
      <w:r w:rsidR="008E0477" w:rsidRPr="008E0477">
        <w:rPr>
          <w:rFonts w:ascii="Times New Roman" w:hAnsi="Times New Roman" w:cs="Times New Roman"/>
          <w:sz w:val="20"/>
          <w:szCs w:val="20"/>
        </w:rPr>
        <w:t>High Power</w:t>
      </w:r>
      <w:r w:rsidRPr="001D66A6">
        <w:rPr>
          <w:rFonts w:ascii="Times New Roman" w:hAnsi="Times New Roman" w:cs="Times New Roman"/>
          <w:sz w:val="20"/>
          <w:szCs w:val="20"/>
        </w:rPr>
        <w:t xml:space="preserve">, </w:t>
      </w:r>
      <w:r w:rsidR="008E0477" w:rsidRPr="008E0477">
        <w:rPr>
          <w:rFonts w:ascii="Times New Roman" w:hAnsi="Times New Roman" w:cs="Times New Roman"/>
          <w:sz w:val="20"/>
          <w:szCs w:val="20"/>
        </w:rPr>
        <w:t xml:space="preserve">Low Power </w:t>
      </w:r>
      <w:r w:rsidRPr="001D66A6">
        <w:rPr>
          <w:rFonts w:ascii="Times New Roman" w:hAnsi="Times New Roman" w:cs="Times New Roman"/>
          <w:sz w:val="20"/>
          <w:szCs w:val="20"/>
        </w:rPr>
        <w:t xml:space="preserve">и </w:t>
      </w:r>
      <w:r w:rsidR="008E0477" w:rsidRPr="008E0477">
        <w:rPr>
          <w:rFonts w:ascii="Times New Roman" w:hAnsi="Times New Roman" w:cs="Times New Roman"/>
          <w:sz w:val="20"/>
          <w:szCs w:val="20"/>
        </w:rPr>
        <w:t>Soft smart</w:t>
      </w:r>
      <w:r w:rsidRPr="001D66A6">
        <w:rPr>
          <w:rFonts w:ascii="Times New Roman" w:hAnsi="Times New Roman" w:cs="Times New Roman"/>
          <w:sz w:val="20"/>
          <w:szCs w:val="20"/>
        </w:rPr>
        <w:t xml:space="preserve">. </w:t>
      </w:r>
      <w:proofErr w:type="gramStart"/>
      <w:r w:rsidRPr="001D66A6">
        <w:rPr>
          <w:rFonts w:ascii="Times New Roman" w:hAnsi="Times New Roman" w:cs="Times New Roman"/>
          <w:sz w:val="20"/>
          <w:szCs w:val="20"/>
        </w:rPr>
        <w:t>Узорци су потом потапани у 50 % раствор сребро нитрата, а затим у 10 % раствор фото развијача.</w:t>
      </w:r>
      <w:proofErr w:type="gramEnd"/>
      <w:r w:rsidRPr="001D66A6">
        <w:rPr>
          <w:rFonts w:ascii="Times New Roman" w:hAnsi="Times New Roman" w:cs="Times New Roman"/>
          <w:sz w:val="20"/>
          <w:szCs w:val="20"/>
        </w:rPr>
        <w:t xml:space="preserve"> </w:t>
      </w:r>
      <w:proofErr w:type="gramStart"/>
      <w:r w:rsidRPr="001D66A6">
        <w:rPr>
          <w:rFonts w:ascii="Times New Roman" w:hAnsi="Times New Roman" w:cs="Times New Roman"/>
          <w:sz w:val="20"/>
          <w:szCs w:val="20"/>
        </w:rPr>
        <w:t>Линеарни продор боје, оклузално и гингивално, оцјењиван је уз помоћ бинокуларне лупе са микрометарским размјерником и увећањем 25 пута.</w:t>
      </w:r>
      <w:proofErr w:type="gramEnd"/>
    </w:p>
    <w:p w:rsidR="00E05B4D" w:rsidRPr="001D66A6" w:rsidRDefault="00E05B4D" w:rsidP="001936A2">
      <w:pPr>
        <w:spacing w:line="240" w:lineRule="auto"/>
        <w:jc w:val="both"/>
        <w:rPr>
          <w:rFonts w:ascii="Times New Roman" w:hAnsi="Times New Roman" w:cs="Times New Roman"/>
          <w:sz w:val="20"/>
          <w:szCs w:val="20"/>
        </w:rPr>
      </w:pPr>
      <w:r w:rsidRPr="001D66A6">
        <w:rPr>
          <w:rFonts w:ascii="Times New Roman" w:hAnsi="Times New Roman" w:cs="Times New Roman"/>
          <w:sz w:val="20"/>
          <w:szCs w:val="20"/>
        </w:rPr>
        <w:t>Резултати: Добијени резултати су показали да је укупан линеарни продор боје код свих зуба полимеризованих класичном техником полимеризације (4</w:t>
      </w:r>
      <w:proofErr w:type="gramStart"/>
      <w:r w:rsidRPr="001D66A6">
        <w:rPr>
          <w:rFonts w:ascii="Times New Roman" w:hAnsi="Times New Roman" w:cs="Times New Roman"/>
          <w:sz w:val="20"/>
          <w:szCs w:val="20"/>
        </w:rPr>
        <w:t>,46</w:t>
      </w:r>
      <w:proofErr w:type="gramEnd"/>
      <w:r w:rsidRPr="001D66A6">
        <w:rPr>
          <w:rFonts w:ascii="Times New Roman" w:hAnsi="Times New Roman" w:cs="Times New Roman"/>
          <w:sz w:val="20"/>
          <w:szCs w:val="20"/>
        </w:rPr>
        <w:t xml:space="preserve"> µm) био нешто већи у односу на продор боје код испуна полимеризованих софт старт техником полимеризације(4,27 µm) и нешто мањи у односу на продор боје код испуна полимеризованих пулсном техником полимеризације (5,54 µm). Статистичка анализа није указала на значајне разлике у линеарном продору боје у зависности од технике полимеризације</w:t>
      </w:r>
      <w:r w:rsidR="0087744F">
        <w:rPr>
          <w:rFonts w:ascii="Times New Roman" w:hAnsi="Times New Roman" w:cs="Times New Roman"/>
          <w:sz w:val="20"/>
          <w:szCs w:val="20"/>
        </w:rPr>
        <w:t xml:space="preserve"> </w:t>
      </w:r>
      <w:r w:rsidRPr="001D66A6">
        <w:rPr>
          <w:rFonts w:ascii="Times New Roman" w:hAnsi="Times New Roman" w:cs="Times New Roman"/>
          <w:sz w:val="20"/>
          <w:szCs w:val="20"/>
        </w:rPr>
        <w:t>(p=0,057), иако су вриједности линеарног продора боје софт старт технике нешто ниже него код пулсне и класичне технике.</w:t>
      </w:r>
    </w:p>
    <w:p w:rsidR="00E05B4D" w:rsidRPr="001D66A6" w:rsidRDefault="00E05B4D" w:rsidP="001936A2">
      <w:pPr>
        <w:spacing w:line="240" w:lineRule="auto"/>
        <w:jc w:val="both"/>
        <w:rPr>
          <w:rFonts w:ascii="Times New Roman" w:hAnsi="Times New Roman" w:cs="Times New Roman"/>
          <w:sz w:val="20"/>
          <w:szCs w:val="20"/>
        </w:rPr>
      </w:pPr>
      <w:r w:rsidRPr="001D66A6">
        <w:rPr>
          <w:rFonts w:ascii="Times New Roman" w:hAnsi="Times New Roman" w:cs="Times New Roman"/>
          <w:sz w:val="20"/>
          <w:szCs w:val="20"/>
        </w:rPr>
        <w:t xml:space="preserve">Закључак: Нешто бољи резултати приликом примјене софт старт технике полимеризације објашњавају се тиме што је то двофазна техника, која у почетном периоду полимеризационог циклуса ангажује ирадијансе мањих вриједности, за којим сллиједи полимеризација пуног интензитета. </w:t>
      </w:r>
      <w:proofErr w:type="gramStart"/>
      <w:r w:rsidRPr="001D66A6">
        <w:rPr>
          <w:rFonts w:ascii="Times New Roman" w:hAnsi="Times New Roman" w:cs="Times New Roman"/>
          <w:sz w:val="20"/>
          <w:szCs w:val="20"/>
        </w:rPr>
        <w:t>Смањивање, почетног интензитета свјетлосне енергије значајно се побољшава маргинални интегритет испуна, јер се спорије развија контракциони стрес, који се сматра узрочником микропукотине.</w:t>
      </w:r>
      <w:proofErr w:type="gramEnd"/>
      <w:r w:rsidRPr="001D66A6">
        <w:rPr>
          <w:rFonts w:ascii="Times New Roman" w:hAnsi="Times New Roman" w:cs="Times New Roman"/>
          <w:sz w:val="20"/>
          <w:szCs w:val="20"/>
        </w:rPr>
        <w:t xml:space="preserve"> </w:t>
      </w:r>
    </w:p>
    <w:p w:rsidR="00E05B4D" w:rsidRPr="001D66A6" w:rsidRDefault="00E05B4D" w:rsidP="001936A2">
      <w:pPr>
        <w:spacing w:line="240" w:lineRule="auto"/>
        <w:jc w:val="both"/>
        <w:rPr>
          <w:rFonts w:ascii="Times New Roman" w:hAnsi="Times New Roman" w:cs="Times New Roman"/>
          <w:sz w:val="20"/>
          <w:szCs w:val="20"/>
        </w:rPr>
      </w:pPr>
      <w:r w:rsidRPr="001D66A6">
        <w:rPr>
          <w:rFonts w:ascii="Times New Roman" w:hAnsi="Times New Roman" w:cs="Times New Roman"/>
          <w:sz w:val="20"/>
          <w:szCs w:val="20"/>
        </w:rPr>
        <w:t>Кључне ријечи: полимеризацијско скупљање</w:t>
      </w:r>
      <w:proofErr w:type="gramStart"/>
      <w:r w:rsidRPr="001D66A6">
        <w:rPr>
          <w:rFonts w:ascii="Times New Roman" w:hAnsi="Times New Roman" w:cs="Times New Roman"/>
          <w:sz w:val="20"/>
          <w:szCs w:val="20"/>
        </w:rPr>
        <w:t>,технике</w:t>
      </w:r>
      <w:proofErr w:type="gramEnd"/>
      <w:r w:rsidRPr="001D66A6">
        <w:rPr>
          <w:rFonts w:ascii="Times New Roman" w:hAnsi="Times New Roman" w:cs="Times New Roman"/>
          <w:sz w:val="20"/>
          <w:szCs w:val="20"/>
        </w:rPr>
        <w:t xml:space="preserve"> полимеризације, композитни материјали</w:t>
      </w:r>
    </w:p>
    <w:p w:rsidR="00C81A14" w:rsidRPr="00C81A14" w:rsidRDefault="001D66A6" w:rsidP="00945FF3">
      <w:pPr>
        <w:jc w:val="both"/>
        <w:rPr>
          <w:rFonts w:ascii="Times New Roman" w:eastAsia="Times New Roman" w:hAnsi="Times New Roman" w:cs="Times New Roman"/>
          <w:color w:val="000000"/>
          <w:sz w:val="20"/>
          <w:szCs w:val="20"/>
        </w:rPr>
      </w:pPr>
      <w:r>
        <w:rPr>
          <w:rFonts w:ascii="Times New Roman" w:hAnsi="Times New Roman" w:cs="Times New Roman"/>
          <w:b/>
          <w:sz w:val="20"/>
          <w:szCs w:val="20"/>
        </w:rPr>
        <w:t>SUMMARY</w:t>
      </w:r>
      <w:r w:rsidR="001118E2">
        <w:rPr>
          <w:rFonts w:ascii="Times New Roman" w:hAnsi="Times New Roman" w:cs="Times New Roman"/>
          <w:b/>
          <w:sz w:val="20"/>
          <w:szCs w:val="20"/>
          <w:lang w:val="sr-Cyrl-RS"/>
        </w:rPr>
        <w:tab/>
      </w:r>
      <w:r w:rsidR="00C81A14" w:rsidRPr="00C81A14">
        <w:rPr>
          <w:rFonts w:ascii="Times New Roman" w:hAnsi="Times New Roman" w:cs="Times New Roman"/>
          <w:b/>
          <w:sz w:val="20"/>
          <w:szCs w:val="20"/>
        </w:rPr>
        <w:t>I</w:t>
      </w:r>
      <w:r w:rsidR="00C81A14" w:rsidRPr="00C81A14">
        <w:rPr>
          <w:rFonts w:ascii="Times New Roman" w:eastAsia="Times New Roman" w:hAnsi="Times New Roman" w:cs="Times New Roman"/>
          <w:color w:val="000000"/>
          <w:sz w:val="20"/>
          <w:szCs w:val="20"/>
        </w:rPr>
        <w:t xml:space="preserve">ntroduction: Composite materials to contract during the polymerization process which lessens their clinical value. Modifications in the composition of the composite material and application technique proved to be insufficient to compensate for the polymerization shrinkage, and tried a modification of polymerization modes. </w:t>
      </w:r>
      <w:proofErr w:type="gramStart"/>
      <w:r w:rsidR="00C81A14" w:rsidRPr="00C81A14">
        <w:rPr>
          <w:rFonts w:ascii="Times New Roman" w:eastAsia="Times New Roman" w:hAnsi="Times New Roman" w:cs="Times New Roman"/>
          <w:color w:val="000000"/>
          <w:sz w:val="20"/>
          <w:szCs w:val="20"/>
        </w:rPr>
        <w:t>In everyday dental practice to use different kinds of light sources for curing, and various polymerization techniques of composite materials.</w:t>
      </w:r>
      <w:proofErr w:type="gramEnd"/>
    </w:p>
    <w:p w:rsidR="00C81A14" w:rsidRPr="00C81A14" w:rsidRDefault="00C81A14" w:rsidP="00945FF3">
      <w:pPr>
        <w:spacing w:after="0" w:line="240" w:lineRule="auto"/>
        <w:jc w:val="both"/>
        <w:rPr>
          <w:rFonts w:ascii="Times New Roman" w:eastAsia="Times New Roman" w:hAnsi="Times New Roman" w:cs="Times New Roman"/>
          <w:color w:val="000000"/>
          <w:sz w:val="20"/>
          <w:szCs w:val="20"/>
        </w:rPr>
      </w:pPr>
      <w:r w:rsidRPr="00C81A14">
        <w:rPr>
          <w:rFonts w:ascii="Times New Roman" w:eastAsia="Times New Roman" w:hAnsi="Times New Roman" w:cs="Times New Roman"/>
          <w:color w:val="000000"/>
          <w:sz w:val="20"/>
          <w:szCs w:val="20"/>
        </w:rPr>
        <w:lastRenderedPageBreak/>
        <w:t>Objective: The objective of this work was to be in, in vitro, semiquantitative, check the influence of different polymerization techniques to polymerization shrinkage, and</w:t>
      </w:r>
      <w:proofErr w:type="gramStart"/>
      <w:r w:rsidRPr="00C81A14">
        <w:rPr>
          <w:rFonts w:ascii="Times New Roman" w:eastAsia="Times New Roman" w:hAnsi="Times New Roman" w:cs="Times New Roman"/>
          <w:color w:val="000000"/>
          <w:sz w:val="20"/>
          <w:szCs w:val="20"/>
        </w:rPr>
        <w:t>  the</w:t>
      </w:r>
      <w:proofErr w:type="gramEnd"/>
      <w:r w:rsidRPr="00C81A14">
        <w:rPr>
          <w:rFonts w:ascii="Times New Roman" w:eastAsia="Times New Roman" w:hAnsi="Times New Roman" w:cs="Times New Roman"/>
          <w:color w:val="000000"/>
          <w:sz w:val="20"/>
          <w:szCs w:val="20"/>
        </w:rPr>
        <w:t xml:space="preserve"> quality of marginal seal of composite restorations of small class V cavities.</w:t>
      </w:r>
    </w:p>
    <w:p w:rsidR="00C81A14" w:rsidRPr="00C81A14" w:rsidRDefault="00C81A14" w:rsidP="00945FF3">
      <w:pPr>
        <w:spacing w:after="0" w:line="240" w:lineRule="auto"/>
        <w:jc w:val="both"/>
        <w:rPr>
          <w:rFonts w:ascii="Times New Roman" w:eastAsia="Times New Roman" w:hAnsi="Times New Roman" w:cs="Times New Roman"/>
          <w:color w:val="000000"/>
          <w:sz w:val="20"/>
          <w:szCs w:val="20"/>
        </w:rPr>
      </w:pPr>
      <w:r w:rsidRPr="00C81A14">
        <w:rPr>
          <w:rFonts w:ascii="Times New Roman" w:eastAsia="Times New Roman" w:hAnsi="Times New Roman" w:cs="Times New Roman"/>
          <w:color w:val="000000"/>
          <w:sz w:val="20"/>
          <w:szCs w:val="20"/>
        </w:rPr>
        <w:t>Materials and Methods: </w:t>
      </w:r>
      <w:r w:rsidRPr="00C81A14">
        <w:rPr>
          <w:rFonts w:ascii="Times New Roman" w:eastAsia="Times New Roman" w:hAnsi="Times New Roman" w:cs="Times New Roman"/>
          <w:color w:val="000000"/>
          <w:sz w:val="20"/>
          <w:szCs w:val="20"/>
          <w:lang w:val="sr-Latn-BA"/>
        </w:rPr>
        <w:t>The 30 extracted human premolars with two Class-V-cavities were used in the present study. Vestibular cavities were restored with Vertise Flow, and oral cavities with Filtek Flow.</w:t>
      </w:r>
      <w:r w:rsidRPr="00C81A14">
        <w:rPr>
          <w:rFonts w:ascii="Times New Roman" w:eastAsia="Times New Roman" w:hAnsi="Times New Roman" w:cs="Times New Roman"/>
          <w:color w:val="000000"/>
          <w:sz w:val="20"/>
          <w:szCs w:val="20"/>
        </w:rPr>
        <w:t xml:space="preserve"> For polymerization is used Led lamp Bluephase C8 (Ivoclar Vivadent Schaan, Liechtenstein)), which supports three programs of light curing: High Power, Low Power and Soft smart polymerization while reducing stress. The samples were then immersed in 50% silver nitrate solution, </w:t>
      </w:r>
      <w:proofErr w:type="gramStart"/>
      <w:r w:rsidRPr="00C81A14">
        <w:rPr>
          <w:rFonts w:ascii="Times New Roman" w:eastAsia="Times New Roman" w:hAnsi="Times New Roman" w:cs="Times New Roman"/>
          <w:color w:val="000000"/>
          <w:sz w:val="20"/>
          <w:szCs w:val="20"/>
        </w:rPr>
        <w:t>then</w:t>
      </w:r>
      <w:proofErr w:type="gramEnd"/>
      <w:r w:rsidRPr="00C81A14">
        <w:rPr>
          <w:rFonts w:ascii="Times New Roman" w:eastAsia="Times New Roman" w:hAnsi="Times New Roman" w:cs="Times New Roman"/>
          <w:color w:val="000000"/>
          <w:sz w:val="20"/>
          <w:szCs w:val="20"/>
        </w:rPr>
        <w:t xml:space="preserve"> immersed in a 10% solution of photo developer. Dye penetration, occlusal and gingival, assessed using a binocular magnifier with a micrometer scale at 25 times magnification.</w:t>
      </w:r>
    </w:p>
    <w:p w:rsidR="00C81A14" w:rsidRPr="00C81A14" w:rsidRDefault="00C81A14" w:rsidP="00945FF3">
      <w:pPr>
        <w:spacing w:after="0" w:line="240" w:lineRule="auto"/>
        <w:jc w:val="both"/>
        <w:rPr>
          <w:rFonts w:ascii="Times New Roman" w:eastAsia="Times New Roman" w:hAnsi="Times New Roman" w:cs="Times New Roman"/>
          <w:color w:val="000000"/>
          <w:sz w:val="20"/>
          <w:szCs w:val="20"/>
        </w:rPr>
      </w:pPr>
      <w:r w:rsidRPr="00C81A14">
        <w:rPr>
          <w:rFonts w:ascii="Times New Roman" w:eastAsia="Times New Roman" w:hAnsi="Times New Roman" w:cs="Times New Roman"/>
          <w:color w:val="000000"/>
          <w:sz w:val="20"/>
          <w:szCs w:val="20"/>
        </w:rPr>
        <w:t>Results: The results showed that the total dye penetration in all teeth cured by conventional curing technique (4.46 µm) was slightly higher compared to the dye penetration restorations polymerized soft start curing technique (4.27 µm) and slightly lower compared to dye penetration restorations polymerized pulse curing technique (5.54 µm). Statistical analysis revealed no significant difference in dye penetration depending on the polymerization techniques (p = 0.057), although the values ​​of dye penetration soft start techniques are somewhat lower than for pulsed and classical techniques.</w:t>
      </w:r>
    </w:p>
    <w:p w:rsidR="00C81A14" w:rsidRPr="00C81A14" w:rsidRDefault="00C81A14" w:rsidP="00945FF3">
      <w:pPr>
        <w:spacing w:after="0" w:line="240" w:lineRule="auto"/>
        <w:jc w:val="both"/>
        <w:rPr>
          <w:rFonts w:ascii="Times New Roman" w:eastAsia="Times New Roman" w:hAnsi="Times New Roman" w:cs="Times New Roman"/>
          <w:color w:val="000000"/>
          <w:sz w:val="20"/>
          <w:szCs w:val="20"/>
        </w:rPr>
      </w:pPr>
      <w:r w:rsidRPr="00C81A14">
        <w:rPr>
          <w:rFonts w:ascii="Times New Roman" w:eastAsia="Times New Roman" w:hAnsi="Times New Roman" w:cs="Times New Roman"/>
          <w:color w:val="000000"/>
          <w:sz w:val="20"/>
          <w:szCs w:val="20"/>
        </w:rPr>
        <w:t>Conclusion: Slightly better results in the application of soft start polymerization techniques explained that it is a two-phase technique, which in the initial stage polymerization cycle hire irradiance smaller values, for which the polymerization full intensity. Reduce, initial intensity of the light energy is significantly better marginal integrity of the restoration as it slowly develops contraction stress, which can be a cause microcracks.</w:t>
      </w:r>
    </w:p>
    <w:p w:rsidR="00C81A14" w:rsidRPr="00C81A14" w:rsidRDefault="00C81A14" w:rsidP="00945FF3">
      <w:pPr>
        <w:spacing w:after="0" w:line="240" w:lineRule="auto"/>
        <w:jc w:val="both"/>
        <w:rPr>
          <w:rFonts w:ascii="Times New Roman" w:eastAsia="Times New Roman" w:hAnsi="Times New Roman" w:cs="Times New Roman"/>
          <w:color w:val="000000"/>
          <w:sz w:val="20"/>
          <w:szCs w:val="20"/>
        </w:rPr>
      </w:pPr>
      <w:r w:rsidRPr="00C81A14">
        <w:rPr>
          <w:rFonts w:ascii="Times New Roman" w:eastAsia="Times New Roman" w:hAnsi="Times New Roman" w:cs="Times New Roman"/>
          <w:color w:val="000000"/>
          <w:sz w:val="20"/>
          <w:szCs w:val="20"/>
        </w:rPr>
        <w:t>Keywords: polymerization shrinkage, polymerization technology, composite materials</w:t>
      </w:r>
    </w:p>
    <w:p w:rsidR="00C81A14" w:rsidRPr="00945FF3" w:rsidRDefault="00C81A14" w:rsidP="00945FF3">
      <w:pPr>
        <w:spacing w:after="0" w:line="240" w:lineRule="auto"/>
        <w:jc w:val="both"/>
        <w:rPr>
          <w:rFonts w:ascii="Times New Roman" w:eastAsia="Times New Roman" w:hAnsi="Times New Roman" w:cs="Times New Roman"/>
          <w:color w:val="000000"/>
          <w:sz w:val="20"/>
          <w:szCs w:val="20"/>
          <w:lang w:val="sr-Cyrl-RS"/>
        </w:rPr>
      </w:pPr>
      <w:r w:rsidRPr="00C81A14">
        <w:rPr>
          <w:rFonts w:ascii="Times New Roman" w:eastAsia="Times New Roman" w:hAnsi="Times New Roman" w:cs="Times New Roman"/>
          <w:color w:val="000000"/>
          <w:sz w:val="20"/>
          <w:szCs w:val="20"/>
        </w:rPr>
        <w:t> </w:t>
      </w:r>
    </w:p>
    <w:p w:rsidR="00D3626E" w:rsidRPr="005D05B7" w:rsidRDefault="00D3626E" w:rsidP="00945FF3">
      <w:pPr>
        <w:spacing w:line="240" w:lineRule="auto"/>
        <w:jc w:val="both"/>
        <w:rPr>
          <w:rFonts w:ascii="Times New Roman" w:hAnsi="Times New Roman" w:cs="Times New Roman"/>
          <w:b/>
          <w:lang w:val="sr-Cyrl-RS"/>
        </w:rPr>
      </w:pPr>
      <w:r w:rsidRPr="005D05B7">
        <w:rPr>
          <w:rFonts w:ascii="Times New Roman" w:hAnsi="Times New Roman" w:cs="Times New Roman"/>
          <w:b/>
          <w:lang w:val="sr-Cyrl-RS"/>
        </w:rPr>
        <w:t>УВОД</w:t>
      </w:r>
    </w:p>
    <w:p w:rsidR="002443E5" w:rsidRPr="005D05B7" w:rsidRDefault="000C3D57" w:rsidP="000C3D57">
      <w:pPr>
        <w:spacing w:line="240" w:lineRule="auto"/>
        <w:ind w:firstLine="720"/>
        <w:jc w:val="both"/>
        <w:rPr>
          <w:rFonts w:ascii="Times New Roman" w:hAnsi="Times New Roman" w:cs="Times New Roman"/>
          <w:b/>
        </w:rPr>
      </w:pPr>
      <w:r w:rsidRPr="005D05B7">
        <w:rPr>
          <w:rFonts w:ascii="Times New Roman" w:hAnsi="Times New Roman" w:cs="Times New Roman"/>
          <w:lang w:val="sr-Cyrl-RS"/>
        </w:rPr>
        <w:t>Примјена свјетлосне полимеризације у стоматологији датира са краја 60-тих година двадесетог вијека. У почетку је примјењивана код заливача јамица и фисура, да би са развојем и увођењем у свакодневну клиничку праксу бројних фотополимеризирајућих полимерних денталних материјала у разним областима стоматологије, првенствено у рестауративној стоматологији, постала незамјењива у стоматолошкој пракси.</w:t>
      </w:r>
      <w:r w:rsidR="000721C2" w:rsidRPr="000721C2">
        <w:rPr>
          <w:rFonts w:ascii="Times New Roman" w:hAnsi="Times New Roman"/>
          <w:lang w:val="sr-Cyrl-CS"/>
        </w:rPr>
        <w:t xml:space="preserve"> </w:t>
      </w:r>
      <w:r w:rsidR="000721C2" w:rsidRPr="002F4072">
        <w:rPr>
          <w:rFonts w:ascii="Times New Roman" w:hAnsi="Times New Roman"/>
          <w:lang w:val="sr-Cyrl-CS"/>
        </w:rPr>
        <w:t>[1</w:t>
      </w:r>
      <w:r w:rsidR="000721C2">
        <w:rPr>
          <w:rFonts w:ascii="Times New Roman" w:hAnsi="Times New Roman"/>
          <w:lang w:val="sr-Cyrl-CS"/>
        </w:rPr>
        <w:t>-3</w:t>
      </w:r>
      <w:r w:rsidR="000721C2" w:rsidRPr="002F4072">
        <w:rPr>
          <w:rFonts w:ascii="Times New Roman" w:hAnsi="Times New Roman"/>
          <w:lang w:val="sr-Cyrl-CS"/>
        </w:rPr>
        <w:t>]</w:t>
      </w:r>
    </w:p>
    <w:p w:rsidR="001D66A6" w:rsidRPr="005D05B7" w:rsidRDefault="001D66A6" w:rsidP="000C3D57">
      <w:pPr>
        <w:spacing w:line="240" w:lineRule="auto"/>
        <w:ind w:firstLine="720"/>
        <w:jc w:val="both"/>
        <w:rPr>
          <w:rFonts w:ascii="Times New Roman" w:hAnsi="Times New Roman" w:cs="Times New Roman"/>
          <w:lang w:val="sr-Latn-RS"/>
        </w:rPr>
      </w:pPr>
      <w:r w:rsidRPr="005D05B7">
        <w:rPr>
          <w:rFonts w:ascii="Times New Roman" w:hAnsi="Times New Roman" w:cs="Times New Roman"/>
          <w:lang w:val="sr-Cyrl-RS"/>
        </w:rPr>
        <w:t>Полимеризација композитних материјала се сматра изузетно важним фактором дуготрајности композитног испуна.</w:t>
      </w:r>
      <w:r w:rsidR="002443E5" w:rsidRPr="005D05B7">
        <w:rPr>
          <w:rFonts w:ascii="Times New Roman" w:hAnsi="Times New Roman" w:cs="Times New Roman"/>
          <w:lang w:val="sr-Cyrl-RS"/>
        </w:rPr>
        <w:t xml:space="preserve"> </w:t>
      </w:r>
      <w:r w:rsidRPr="005D05B7">
        <w:rPr>
          <w:rFonts w:ascii="Times New Roman" w:hAnsi="Times New Roman" w:cs="Times New Roman"/>
          <w:lang w:val="sr-Cyrl-RS"/>
        </w:rPr>
        <w:t>Упркос свакодневном усавршавању композитних материјала и извора свјетла, полимеризацијско скупљање још увијек је значајан проблем који ограничава њихов</w:t>
      </w:r>
      <w:r w:rsidR="000721C2">
        <w:rPr>
          <w:rFonts w:ascii="Times New Roman" w:hAnsi="Times New Roman" w:cs="Times New Roman"/>
          <w:lang w:val="sr-Cyrl-RS"/>
        </w:rPr>
        <w:t xml:space="preserve">у потпуну клиничку употребу. </w:t>
      </w:r>
      <w:r w:rsidRPr="005D05B7">
        <w:rPr>
          <w:rFonts w:ascii="Times New Roman" w:hAnsi="Times New Roman" w:cs="Times New Roman"/>
          <w:lang w:val="sr-Cyrl-RS"/>
        </w:rPr>
        <w:t>Полимеризациона контракција је хемијска реакција својствена смолама. То ј</w:t>
      </w:r>
      <w:r w:rsidR="00B97888" w:rsidRPr="005D05B7">
        <w:rPr>
          <w:rFonts w:ascii="Times New Roman" w:hAnsi="Times New Roman" w:cs="Times New Roman"/>
          <w:lang w:val="sr-Cyrl-RS"/>
        </w:rPr>
        <w:t>е димензиона нестабилност компо</w:t>
      </w:r>
      <w:r w:rsidRPr="005D05B7">
        <w:rPr>
          <w:rFonts w:ascii="Times New Roman" w:hAnsi="Times New Roman" w:cs="Times New Roman"/>
          <w:lang w:val="sr-Cyrl-RS"/>
        </w:rPr>
        <w:t>зитних материјала условљена полимеризацијом органске матрице.</w:t>
      </w:r>
      <w:r w:rsidR="00B97888" w:rsidRPr="005D05B7">
        <w:rPr>
          <w:rFonts w:ascii="Times New Roman" w:hAnsi="Times New Roman" w:cs="Times New Roman"/>
          <w:lang w:val="sr-Cyrl-RS"/>
        </w:rPr>
        <w:t xml:space="preserve"> Композитни материјали с</w:t>
      </w:r>
      <w:r w:rsidR="00B82EC2">
        <w:rPr>
          <w:rFonts w:ascii="Times New Roman" w:hAnsi="Times New Roman" w:cs="Times New Roman"/>
          <w:lang w:val="sr-Cyrl-RS"/>
        </w:rPr>
        <w:t>е у просјеку контрахују 1-5%</w:t>
      </w:r>
      <w:r w:rsidR="00B97888" w:rsidRPr="005D05B7">
        <w:rPr>
          <w:rFonts w:ascii="Times New Roman" w:hAnsi="Times New Roman" w:cs="Times New Roman"/>
          <w:lang w:val="sr-Cyrl-RS"/>
        </w:rPr>
        <w:t xml:space="preserve">, односно укупна величина скупљања за непуњене смоле износи 7,9%, а за пуњене 2,5-5 % према </w:t>
      </w:r>
      <w:r w:rsidR="00B82EC2">
        <w:rPr>
          <w:rFonts w:ascii="Times New Roman" w:hAnsi="Times New Roman" w:cs="Times New Roman"/>
          <w:lang w:val="sr-Latn-RS"/>
        </w:rPr>
        <w:t>Feilzeru</w:t>
      </w:r>
      <w:r w:rsidR="00B97888" w:rsidRPr="005D05B7">
        <w:rPr>
          <w:rFonts w:ascii="Times New Roman" w:hAnsi="Times New Roman" w:cs="Times New Roman"/>
          <w:lang w:val="sr-Latn-RS"/>
        </w:rPr>
        <w:t>,</w:t>
      </w:r>
      <w:r w:rsidR="00B97888" w:rsidRPr="005D05B7">
        <w:rPr>
          <w:rFonts w:ascii="Times New Roman" w:hAnsi="Times New Roman" w:cs="Times New Roman"/>
          <w:lang w:val="sr-Cyrl-RS"/>
        </w:rPr>
        <w:t xml:space="preserve"> односно 1,67-5,65% према </w:t>
      </w:r>
      <w:r w:rsidR="00B82EC2">
        <w:rPr>
          <w:rFonts w:ascii="Times New Roman" w:hAnsi="Times New Roman" w:cs="Times New Roman"/>
          <w:lang w:val="sr-Latn-RS"/>
        </w:rPr>
        <w:t>Segueri</w:t>
      </w:r>
      <w:r w:rsidR="00B97888" w:rsidRPr="005D05B7">
        <w:rPr>
          <w:rFonts w:ascii="Times New Roman" w:hAnsi="Times New Roman" w:cs="Times New Roman"/>
          <w:lang w:val="sr-Latn-RS"/>
        </w:rPr>
        <w:t>.</w:t>
      </w:r>
      <w:r w:rsidR="000721C2" w:rsidRPr="000721C2">
        <w:rPr>
          <w:rFonts w:ascii="Times New Roman" w:hAnsi="Times New Roman"/>
          <w:lang w:val="sr-Cyrl-CS"/>
        </w:rPr>
        <w:t xml:space="preserve"> </w:t>
      </w:r>
      <w:r w:rsidR="000721C2">
        <w:rPr>
          <w:rFonts w:ascii="Times New Roman" w:hAnsi="Times New Roman"/>
          <w:lang w:val="sr-Cyrl-CS"/>
        </w:rPr>
        <w:t>[4,5</w:t>
      </w:r>
      <w:r w:rsidR="000721C2" w:rsidRPr="002F4072">
        <w:rPr>
          <w:rFonts w:ascii="Times New Roman" w:hAnsi="Times New Roman"/>
          <w:lang w:val="sr-Cyrl-CS"/>
        </w:rPr>
        <w:t>]</w:t>
      </w:r>
    </w:p>
    <w:p w:rsidR="00915CC0" w:rsidRPr="005D05B7" w:rsidRDefault="00915CC0" w:rsidP="000C3D57">
      <w:pPr>
        <w:spacing w:line="240" w:lineRule="auto"/>
        <w:ind w:firstLine="720"/>
        <w:jc w:val="both"/>
        <w:rPr>
          <w:rFonts w:ascii="Times New Roman" w:hAnsi="Times New Roman" w:cs="Times New Roman"/>
          <w:lang w:val="sr-Cyrl-RS"/>
        </w:rPr>
      </w:pPr>
      <w:r w:rsidRPr="005D05B7">
        <w:rPr>
          <w:rFonts w:ascii="Times New Roman" w:hAnsi="Times New Roman" w:cs="Times New Roman"/>
          <w:lang w:val="sr-Cyrl-RS"/>
        </w:rPr>
        <w:t>Полимеризационо скупљање утиче на каквоћу и дуготрајност композитног испуна:                физичко-хемијска својства, стабилност боје, волуметријске промјене рестаурације, те на биокомпатибилност самог материјала.</w:t>
      </w:r>
      <w:r w:rsidR="002443E5" w:rsidRPr="005D05B7">
        <w:rPr>
          <w:rFonts w:ascii="Times New Roman" w:hAnsi="Times New Roman" w:cs="Times New Roman"/>
          <w:lang w:val="sr-Cyrl-RS"/>
        </w:rPr>
        <w:t xml:space="preserve"> Укупно скупљање се може подијелити на пријегелацијску и послијегелацијску фазу. Током пријегелацијске фазе композитни материјал још није у потпуно стврднут па мономери имају могућност прерасподјеле унутар формирајуће полимерне мреже. У послијегелацијској фази мономери губе ту могућност па настаје стрес на околним зидовима зуба и на самој вези зуба са композитним материјалом. Као посљедица стреса може настати дефект у вези између зуба и композитног материјала, посљедично се јављају микропукотине, а то даље узрокује пострестауртивну осјетљивост и секундарни каријес.</w:t>
      </w:r>
      <w:r w:rsidR="000721C2" w:rsidRPr="000721C2">
        <w:rPr>
          <w:rFonts w:ascii="Times New Roman" w:hAnsi="Times New Roman"/>
          <w:lang w:val="sr-Cyrl-CS"/>
        </w:rPr>
        <w:t xml:space="preserve"> </w:t>
      </w:r>
      <w:r w:rsidR="000721C2">
        <w:rPr>
          <w:rFonts w:ascii="Times New Roman" w:hAnsi="Times New Roman"/>
          <w:lang w:val="sr-Cyrl-CS"/>
        </w:rPr>
        <w:t>[6-9</w:t>
      </w:r>
      <w:r w:rsidR="000721C2" w:rsidRPr="002F4072">
        <w:rPr>
          <w:rFonts w:ascii="Times New Roman" w:hAnsi="Times New Roman"/>
          <w:lang w:val="sr-Cyrl-CS"/>
        </w:rPr>
        <w:t>]</w:t>
      </w:r>
    </w:p>
    <w:p w:rsidR="000C3D57" w:rsidRPr="005D05B7" w:rsidRDefault="000C3D57" w:rsidP="000C3D57">
      <w:pPr>
        <w:spacing w:line="240" w:lineRule="auto"/>
        <w:ind w:firstLine="720"/>
        <w:jc w:val="both"/>
        <w:rPr>
          <w:rFonts w:ascii="Times New Roman" w:hAnsi="Times New Roman" w:cs="Times New Roman"/>
          <w:lang w:val="sr-Cyrl-RS"/>
        </w:rPr>
      </w:pPr>
      <w:r w:rsidRPr="005D05B7">
        <w:rPr>
          <w:rFonts w:ascii="Times New Roman" w:hAnsi="Times New Roman" w:cs="Times New Roman"/>
          <w:lang w:val="sr-Cyrl-RS"/>
        </w:rPr>
        <w:t xml:space="preserve">Посљедице полимеризационе контракције покушавају се компензовати на неколико начина укључујући постављање лајнера/ заштитне подлоге, употребом дентинских адхезива и хибридизацијом дентина, слојевитим постављањем композитног материјала у кавитет, модификацијом састава композитног материјала, те избором оптималног извора свјетла за </w:t>
      </w:r>
      <w:r w:rsidRPr="005D05B7">
        <w:rPr>
          <w:rFonts w:ascii="Times New Roman" w:hAnsi="Times New Roman" w:cs="Times New Roman"/>
          <w:lang w:val="sr-Cyrl-RS"/>
        </w:rPr>
        <w:lastRenderedPageBreak/>
        <w:t>полимеризацију, а данас све чешће избором техника полимеризације нижега почетног интензитета.</w:t>
      </w:r>
    </w:p>
    <w:p w:rsidR="000C3D57" w:rsidRPr="005D05B7" w:rsidRDefault="000C3D57" w:rsidP="000C3D57">
      <w:pPr>
        <w:spacing w:line="240" w:lineRule="auto"/>
        <w:ind w:firstLine="720"/>
        <w:jc w:val="both"/>
        <w:rPr>
          <w:rFonts w:ascii="Times New Roman" w:hAnsi="Times New Roman" w:cs="Times New Roman"/>
          <w:lang w:val="sr-Cyrl-RS"/>
        </w:rPr>
      </w:pPr>
      <w:r w:rsidRPr="005D05B7">
        <w:rPr>
          <w:rFonts w:ascii="Times New Roman" w:hAnsi="Times New Roman" w:cs="Times New Roman"/>
          <w:lang w:val="sr-Cyrl-RS"/>
        </w:rPr>
        <w:t xml:space="preserve">Стоматолози практичари су данас суочени са широким избором свјетлосно-активирајућих материјала и полимеризационих свјетлосних извора, и често су пред одлуком </w:t>
      </w:r>
      <w:r w:rsidR="00665190" w:rsidRPr="005D05B7">
        <w:rPr>
          <w:rFonts w:ascii="Times New Roman" w:hAnsi="Times New Roman" w:cs="Times New Roman"/>
          <w:lang w:val="sr-Cyrl-RS"/>
        </w:rPr>
        <w:t>о избору најбољег свјетлосног извора, односно најбоље технике полимеризације за потребе клиничке праксе.</w:t>
      </w:r>
      <w:r w:rsidR="000721C2" w:rsidRPr="000721C2">
        <w:rPr>
          <w:rFonts w:ascii="Times New Roman" w:hAnsi="Times New Roman"/>
          <w:lang w:val="sr-Cyrl-CS"/>
        </w:rPr>
        <w:t xml:space="preserve"> </w:t>
      </w:r>
      <w:r w:rsidR="000721C2">
        <w:rPr>
          <w:rFonts w:ascii="Times New Roman" w:hAnsi="Times New Roman"/>
          <w:lang w:val="sr-Cyrl-CS"/>
        </w:rPr>
        <w:t>[10-13</w:t>
      </w:r>
      <w:r w:rsidR="000721C2" w:rsidRPr="002F4072">
        <w:rPr>
          <w:rFonts w:ascii="Times New Roman" w:hAnsi="Times New Roman"/>
          <w:lang w:val="sr-Cyrl-CS"/>
        </w:rPr>
        <w:t>]</w:t>
      </w:r>
    </w:p>
    <w:p w:rsidR="004B025B" w:rsidRPr="005D05B7" w:rsidRDefault="004B025B" w:rsidP="000C3D57">
      <w:pPr>
        <w:spacing w:line="240" w:lineRule="auto"/>
        <w:ind w:firstLine="720"/>
        <w:jc w:val="both"/>
        <w:rPr>
          <w:rFonts w:ascii="Times New Roman" w:hAnsi="Times New Roman" w:cs="Times New Roman"/>
          <w:lang w:val="sr-Cyrl-RS"/>
        </w:rPr>
      </w:pPr>
    </w:p>
    <w:p w:rsidR="004B025B" w:rsidRPr="005D05B7" w:rsidRDefault="004B025B" w:rsidP="004B025B">
      <w:pPr>
        <w:spacing w:line="240" w:lineRule="auto"/>
        <w:ind w:firstLine="720"/>
        <w:rPr>
          <w:rFonts w:ascii="Times New Roman" w:hAnsi="Times New Roman" w:cs="Times New Roman"/>
          <w:b/>
        </w:rPr>
      </w:pPr>
      <w:r w:rsidRPr="005D05B7">
        <w:rPr>
          <w:rFonts w:ascii="Times New Roman" w:hAnsi="Times New Roman" w:cs="Times New Roman"/>
          <w:b/>
          <w:lang w:val="sr-Cyrl-RS"/>
        </w:rPr>
        <w:t>МАТЕРИЈАЛ И МЕТОДЕ</w:t>
      </w:r>
    </w:p>
    <w:p w:rsidR="00071D3D" w:rsidRPr="005D05B7" w:rsidRDefault="0087744F" w:rsidP="001118E2">
      <w:pPr>
        <w:spacing w:line="240" w:lineRule="auto"/>
        <w:ind w:firstLine="720"/>
        <w:jc w:val="both"/>
        <w:rPr>
          <w:rFonts w:ascii="Times New Roman" w:hAnsi="Times New Roman" w:cs="Times New Roman"/>
          <w:lang w:val="sr-Cyrl-RS"/>
        </w:rPr>
      </w:pPr>
      <w:proofErr w:type="gramStart"/>
      <w:r w:rsidRPr="005D05B7">
        <w:rPr>
          <w:rFonts w:ascii="Times New Roman" w:hAnsi="Times New Roman" w:cs="Times New Roman"/>
        </w:rPr>
        <w:t xml:space="preserve">У испитивању је </w:t>
      </w:r>
      <w:r w:rsidRPr="005D05B7">
        <w:rPr>
          <w:rFonts w:ascii="Times New Roman" w:hAnsi="Times New Roman" w:cs="Times New Roman"/>
          <w:lang w:val="sr-Cyrl-RS"/>
        </w:rPr>
        <w:t>учествовало</w:t>
      </w:r>
      <w:r w:rsidRPr="005D05B7">
        <w:rPr>
          <w:rFonts w:ascii="Times New Roman" w:hAnsi="Times New Roman" w:cs="Times New Roman"/>
        </w:rPr>
        <w:t xml:space="preserve"> 30 хуманих екстрахованих преткутњака, екстрахованих из ортодонтских разлога</w:t>
      </w:r>
      <w:r w:rsidRPr="005D05B7">
        <w:rPr>
          <w:rFonts w:ascii="Times New Roman" w:hAnsi="Times New Roman" w:cs="Times New Roman"/>
          <w:lang w:val="sr-Cyrl-RS"/>
        </w:rPr>
        <w:t>.</w:t>
      </w:r>
      <w:proofErr w:type="gramEnd"/>
      <w:r w:rsidRPr="005D05B7">
        <w:rPr>
          <w:rFonts w:ascii="Times New Roman" w:hAnsi="Times New Roman" w:cs="Times New Roman"/>
          <w:lang w:val="sr-Cyrl-RS"/>
        </w:rPr>
        <w:t xml:space="preserve"> Зуби су </w:t>
      </w:r>
      <w:r w:rsidRPr="005D05B7">
        <w:rPr>
          <w:rFonts w:ascii="Times New Roman" w:hAnsi="Times New Roman" w:cs="Times New Roman"/>
        </w:rPr>
        <w:t>подијељених у три груп</w:t>
      </w:r>
      <w:r w:rsidRPr="005D05B7">
        <w:rPr>
          <w:rFonts w:ascii="Times New Roman" w:hAnsi="Times New Roman" w:cs="Times New Roman"/>
          <w:lang w:val="sr-Cyrl-RS"/>
        </w:rPr>
        <w:t>е по 10 зуба.</w:t>
      </w:r>
      <w:r w:rsidR="00B812BF" w:rsidRPr="005D05B7">
        <w:rPr>
          <w:rFonts w:ascii="Times New Roman" w:hAnsi="Times New Roman" w:cs="Times New Roman"/>
          <w:lang w:val="sr-Cyrl-RS"/>
        </w:rPr>
        <w:t xml:space="preserve"> Сви зуби су очиш</w:t>
      </w:r>
      <w:r w:rsidR="00071D3D" w:rsidRPr="005D05B7">
        <w:rPr>
          <w:rFonts w:ascii="Times New Roman" w:hAnsi="Times New Roman" w:cs="Times New Roman"/>
          <w:lang w:val="sr-Cyrl-RS"/>
        </w:rPr>
        <w:t>ћени од зубног каменца</w:t>
      </w:r>
      <w:r w:rsidR="00997790" w:rsidRPr="005D05B7">
        <w:rPr>
          <w:rFonts w:ascii="Times New Roman" w:hAnsi="Times New Roman" w:cs="Times New Roman"/>
        </w:rPr>
        <w:t xml:space="preserve"> </w:t>
      </w:r>
      <w:r w:rsidR="00997790" w:rsidRPr="005D05B7">
        <w:rPr>
          <w:rFonts w:ascii="Times New Roman" w:hAnsi="Times New Roman" w:cs="Times New Roman"/>
          <w:lang w:val="sr-Cyrl-RS"/>
        </w:rPr>
        <w:t>помоћу ултразвука (</w:t>
      </w:r>
      <w:r w:rsidR="00997790" w:rsidRPr="005D05B7">
        <w:rPr>
          <w:rFonts w:ascii="Times New Roman" w:hAnsi="Times New Roman" w:cs="Times New Roman"/>
          <w:lang w:val="sr-Latn-RS"/>
        </w:rPr>
        <w:t>Cavitron</w:t>
      </w:r>
      <w:r w:rsidR="00997790" w:rsidRPr="005D05B7">
        <w:rPr>
          <w:rFonts w:ascii="Times New Roman" w:hAnsi="Times New Roman" w:cs="Times New Roman"/>
          <w:lang w:val="sr-Cyrl-RS"/>
        </w:rPr>
        <w:t>)</w:t>
      </w:r>
      <w:r w:rsidR="00071D3D" w:rsidRPr="005D05B7">
        <w:rPr>
          <w:rFonts w:ascii="Times New Roman" w:hAnsi="Times New Roman" w:cs="Times New Roman"/>
          <w:lang w:val="sr-Cyrl-RS"/>
        </w:rPr>
        <w:t xml:space="preserve"> и меких наслага</w:t>
      </w:r>
      <w:r w:rsidR="00997790" w:rsidRPr="005D05B7">
        <w:rPr>
          <w:rFonts w:ascii="Times New Roman" w:hAnsi="Times New Roman" w:cs="Times New Roman"/>
        </w:rPr>
        <w:t xml:space="preserve"> </w:t>
      </w:r>
      <w:r w:rsidR="00997790" w:rsidRPr="005D05B7">
        <w:rPr>
          <w:rFonts w:ascii="Times New Roman" w:hAnsi="Times New Roman" w:cs="Times New Roman"/>
          <w:lang w:val="sr-Cyrl-RS"/>
        </w:rPr>
        <w:t>уз помоћ гумица и четкица за уклањање меких наслага и одговарајуће абразивне пасте</w:t>
      </w:r>
      <w:r w:rsidR="00071D3D" w:rsidRPr="005D05B7">
        <w:rPr>
          <w:rFonts w:ascii="Times New Roman" w:hAnsi="Times New Roman" w:cs="Times New Roman"/>
          <w:lang w:val="sr-Cyrl-RS"/>
        </w:rPr>
        <w:t xml:space="preserve"> и до почетка експеримента чувани у вјештачкој пљувачци</w:t>
      </w:r>
      <w:r w:rsidRPr="005D05B7">
        <w:rPr>
          <w:rFonts w:ascii="Times New Roman" w:hAnsi="Times New Roman" w:cs="Times New Roman"/>
        </w:rPr>
        <w:t xml:space="preserve"> </w:t>
      </w:r>
    </w:p>
    <w:p w:rsidR="00071D3D" w:rsidRPr="005D05B7" w:rsidRDefault="0087744F" w:rsidP="0087744F">
      <w:pPr>
        <w:spacing w:line="240" w:lineRule="auto"/>
        <w:ind w:firstLine="720"/>
        <w:jc w:val="both"/>
        <w:rPr>
          <w:rFonts w:ascii="Times New Roman" w:hAnsi="Times New Roman" w:cs="Times New Roman"/>
          <w:lang w:val="sr-Cyrl-RS"/>
        </w:rPr>
      </w:pPr>
      <w:r w:rsidRPr="005D05B7">
        <w:rPr>
          <w:rFonts w:ascii="Times New Roman" w:hAnsi="Times New Roman" w:cs="Times New Roman"/>
        </w:rPr>
        <w:t>На свим зубима су са вестибуларне и оралне стране испрепарисани кавитети V класе, који су вестибуларно рестаурисани самонагризајућом течном композитном смолом Vertise flow (Kerr Corporation, Orange, CA, USA) , а орално течном смолом Filtek Flow (3M Dental Products, St. Paul, MN)</w:t>
      </w:r>
      <w:r w:rsidR="00071D3D" w:rsidRPr="005D05B7">
        <w:rPr>
          <w:rFonts w:ascii="Times New Roman" w:hAnsi="Times New Roman" w:cs="Times New Roman"/>
          <w:lang w:val="sr-Cyrl-RS"/>
        </w:rPr>
        <w:t>,</w:t>
      </w:r>
      <w:r w:rsidRPr="005D05B7">
        <w:rPr>
          <w:rFonts w:ascii="Times New Roman" w:hAnsi="Times New Roman" w:cs="Times New Roman"/>
          <w:lang w:val="sr-Cyrl-RS"/>
        </w:rPr>
        <w:t xml:space="preserve"> према упутству произвођача.</w:t>
      </w:r>
      <w:r w:rsidR="00957C89" w:rsidRPr="005D05B7">
        <w:rPr>
          <w:rFonts w:ascii="Times New Roman" w:hAnsi="Times New Roman" w:cs="Times New Roman"/>
        </w:rPr>
        <w:t xml:space="preserve"> </w:t>
      </w:r>
      <w:r w:rsidR="00957C89" w:rsidRPr="005D05B7">
        <w:rPr>
          <w:rFonts w:ascii="Times New Roman" w:hAnsi="Times New Roman" w:cs="Times New Roman"/>
          <w:lang w:val="sr-Cyrl-RS"/>
        </w:rPr>
        <w:t>Препарација у глеђи је урађена турбинским колењаком и округлим дијамантским борером, а препарација у дентину је  извршена  микромотором и  челичним и карбидним борерима. Дно препарисаног кавитета било је у дентину, а ивице препарације у глеђи на оклузалном дијелу кавитета, односно на глеђно-цементној граници на гингивалном зиду.</w:t>
      </w:r>
      <w:r w:rsidRPr="005D05B7">
        <w:rPr>
          <w:rFonts w:ascii="Times New Roman" w:hAnsi="Times New Roman" w:cs="Times New Roman"/>
          <w:lang w:val="sr-Cyrl-RS"/>
        </w:rPr>
        <w:t xml:space="preserve"> </w:t>
      </w:r>
    </w:p>
    <w:p w:rsidR="005F3F47" w:rsidRPr="005D05B7" w:rsidRDefault="0087744F" w:rsidP="0087744F">
      <w:pPr>
        <w:spacing w:line="240" w:lineRule="auto"/>
        <w:ind w:firstLine="720"/>
        <w:jc w:val="both"/>
        <w:rPr>
          <w:rFonts w:ascii="Times New Roman" w:hAnsi="Times New Roman" w:cs="Times New Roman"/>
          <w:lang w:val="sr-Latn-RS"/>
        </w:rPr>
      </w:pPr>
      <w:r w:rsidRPr="005D05B7">
        <w:rPr>
          <w:rFonts w:ascii="Times New Roman" w:hAnsi="Times New Roman" w:cs="Times New Roman"/>
        </w:rPr>
        <w:t xml:space="preserve">За полимеризацију је кориштена Лед лампа Bluephase </w:t>
      </w:r>
      <w:proofErr w:type="gramStart"/>
      <w:r w:rsidRPr="005D05B7">
        <w:rPr>
          <w:rFonts w:ascii="Times New Roman" w:hAnsi="Times New Roman" w:cs="Times New Roman"/>
        </w:rPr>
        <w:t>C8(</w:t>
      </w:r>
      <w:proofErr w:type="gramEnd"/>
      <w:r w:rsidRPr="005D05B7">
        <w:rPr>
          <w:rFonts w:ascii="Times New Roman" w:hAnsi="Times New Roman" w:cs="Times New Roman"/>
        </w:rPr>
        <w:t xml:space="preserve"> Ivoclar Vivadent Schaan, Lichtenstein, која подржава три програма свјетлосне полимеризације: High Power, Low Power и Soft smart</w:t>
      </w:r>
      <w:r w:rsidR="00071D3D" w:rsidRPr="005D05B7">
        <w:rPr>
          <w:rFonts w:ascii="Times New Roman" w:hAnsi="Times New Roman" w:cs="Times New Roman"/>
          <w:lang w:val="sr-Cyrl-RS"/>
        </w:rPr>
        <w:t xml:space="preserve"> за полимеризацију уз смањење стреса.У складу са тим прва група зуба (10 зуба) је полимеризована са</w:t>
      </w:r>
      <w:r w:rsidR="00071D3D" w:rsidRPr="005D05B7">
        <w:rPr>
          <w:rFonts w:ascii="Times New Roman" w:hAnsi="Times New Roman" w:cs="Times New Roman"/>
        </w:rPr>
        <w:t xml:space="preserve"> High Power</w:t>
      </w:r>
      <w:r w:rsidR="00071D3D" w:rsidRPr="005D05B7">
        <w:rPr>
          <w:rFonts w:ascii="Times New Roman" w:hAnsi="Times New Roman" w:cs="Times New Roman"/>
          <w:lang w:val="sr-Cyrl-RS"/>
        </w:rPr>
        <w:t xml:space="preserve"> техником полимеризације, друга група зуба (10 зуба) са</w:t>
      </w:r>
      <w:r w:rsidR="00071D3D" w:rsidRPr="005D05B7">
        <w:rPr>
          <w:rFonts w:ascii="Times New Roman" w:hAnsi="Times New Roman" w:cs="Times New Roman"/>
        </w:rPr>
        <w:t xml:space="preserve"> Low Power</w:t>
      </w:r>
      <w:r w:rsidR="00071D3D" w:rsidRPr="005D05B7">
        <w:rPr>
          <w:rFonts w:ascii="Times New Roman" w:hAnsi="Times New Roman" w:cs="Times New Roman"/>
          <w:lang w:val="sr-Cyrl-RS"/>
        </w:rPr>
        <w:t xml:space="preserve"> техником полимеризације, а трећа група зуба (10 зуба) </w:t>
      </w:r>
      <w:r w:rsidR="00071D3D" w:rsidRPr="005D05B7">
        <w:rPr>
          <w:rFonts w:ascii="Times New Roman" w:hAnsi="Times New Roman" w:cs="Times New Roman"/>
        </w:rPr>
        <w:t>Soft smart</w:t>
      </w:r>
      <w:r w:rsidR="00071D3D" w:rsidRPr="005D05B7">
        <w:rPr>
          <w:rFonts w:ascii="Times New Roman" w:hAnsi="Times New Roman" w:cs="Times New Roman"/>
          <w:lang w:val="sr-Cyrl-RS"/>
        </w:rPr>
        <w:t xml:space="preserve"> техником полимеризације.</w:t>
      </w:r>
    </w:p>
    <w:p w:rsidR="00071D3D" w:rsidRPr="005D05B7" w:rsidRDefault="00071D3D" w:rsidP="0087744F">
      <w:pPr>
        <w:spacing w:line="240" w:lineRule="auto"/>
        <w:ind w:firstLine="720"/>
        <w:jc w:val="both"/>
        <w:rPr>
          <w:rFonts w:ascii="Times New Roman" w:hAnsi="Times New Roman" w:cs="Times New Roman"/>
          <w:lang w:val="sr-Latn-RS"/>
        </w:rPr>
      </w:pPr>
      <w:r w:rsidRPr="005D05B7">
        <w:rPr>
          <w:rFonts w:ascii="Times New Roman" w:hAnsi="Times New Roman" w:cs="Times New Roman"/>
          <w:lang w:val="sr-Cyrl-RS"/>
        </w:rPr>
        <w:t xml:space="preserve"> </w:t>
      </w:r>
      <w:r w:rsidR="005F3F47" w:rsidRPr="005D05B7">
        <w:rPr>
          <w:rFonts w:ascii="Times New Roman" w:hAnsi="Times New Roman" w:cs="Times New Roman"/>
          <w:lang w:val="sr-Cyrl-RS"/>
        </w:rPr>
        <w:t>Програм са високим интензитетом свјетла (</w:t>
      </w:r>
      <w:r w:rsidR="005F3F47" w:rsidRPr="005D05B7">
        <w:rPr>
          <w:rFonts w:ascii="Times New Roman" w:hAnsi="Times New Roman" w:cs="Times New Roman"/>
          <w:lang w:val="sr-Latn-RS"/>
        </w:rPr>
        <w:t xml:space="preserve">High Powere </w:t>
      </w:r>
      <w:r w:rsidR="005F3F47" w:rsidRPr="005D05B7">
        <w:rPr>
          <w:rFonts w:ascii="Times New Roman" w:hAnsi="Times New Roman" w:cs="Times New Roman"/>
          <w:lang w:val="sr-Cyrl-RS"/>
        </w:rPr>
        <w:t xml:space="preserve">програм) је примијењен као класична техника полимеризације. Овај програм користи константно висок интензитет свјетлости за полимеризацију од 800 </w:t>
      </w:r>
      <w:r w:rsidR="005F3F47" w:rsidRPr="005D05B7">
        <w:rPr>
          <w:rFonts w:ascii="Times New Roman" w:hAnsi="Times New Roman" w:cs="Times New Roman"/>
          <w:lang w:val="sr-Latn-RS"/>
        </w:rPr>
        <w:t>m</w:t>
      </w:r>
      <w:r w:rsidR="005F3F47" w:rsidRPr="005D05B7">
        <w:rPr>
          <w:rFonts w:ascii="Times New Roman" w:hAnsi="Times New Roman" w:cs="Times New Roman"/>
          <w:lang w:val="sr-Cyrl-RS"/>
        </w:rPr>
        <w:t>W/</w:t>
      </w:r>
      <w:r w:rsidR="005F3F47" w:rsidRPr="005D05B7">
        <w:rPr>
          <w:rFonts w:ascii="Times New Roman" w:hAnsi="Times New Roman" w:cs="Times New Roman"/>
          <w:lang w:val="sr-Latn-RS"/>
        </w:rPr>
        <w:t>cm</w:t>
      </w:r>
      <w:r w:rsidR="005F3F47" w:rsidRPr="005D05B7">
        <w:rPr>
          <w:rFonts w:ascii="Times New Roman" w:hAnsi="Times New Roman" w:cs="Times New Roman"/>
          <w:lang w:val="sr-Cyrl-RS"/>
        </w:rPr>
        <w:t>2</w:t>
      </w:r>
      <w:r w:rsidR="002C1E79" w:rsidRPr="005D05B7">
        <w:rPr>
          <w:rFonts w:ascii="Times New Roman" w:hAnsi="Times New Roman" w:cs="Times New Roman"/>
          <w:lang w:val="sr-Latn-RS"/>
        </w:rPr>
        <w:t>.</w:t>
      </w:r>
      <w:r w:rsidRPr="005D05B7">
        <w:rPr>
          <w:rFonts w:ascii="Times New Roman" w:hAnsi="Times New Roman" w:cs="Times New Roman"/>
          <w:lang w:val="sr-Cyrl-RS"/>
        </w:rPr>
        <w:t xml:space="preserve"> </w:t>
      </w:r>
      <w:r w:rsidR="002C1E79" w:rsidRPr="005D05B7">
        <w:rPr>
          <w:rFonts w:ascii="Times New Roman" w:hAnsi="Times New Roman" w:cs="Times New Roman"/>
          <w:lang w:val="sr-Cyrl-RS"/>
        </w:rPr>
        <w:t>Програм са ниским интензитетом свјетла (</w:t>
      </w:r>
      <w:r w:rsidR="002C1E79" w:rsidRPr="005D05B7">
        <w:rPr>
          <w:rFonts w:ascii="Times New Roman" w:hAnsi="Times New Roman" w:cs="Times New Roman"/>
          <w:lang w:val="sr-Latn-RS"/>
        </w:rPr>
        <w:t>L</w:t>
      </w:r>
      <w:r w:rsidR="002C1E79" w:rsidRPr="005D05B7">
        <w:rPr>
          <w:rFonts w:ascii="Times New Roman" w:hAnsi="Times New Roman" w:cs="Times New Roman"/>
          <w:lang w:val="sr-Cyrl-RS"/>
        </w:rPr>
        <w:t xml:space="preserve">оw </w:t>
      </w:r>
      <w:r w:rsidR="002C1E79" w:rsidRPr="005D05B7">
        <w:rPr>
          <w:rFonts w:ascii="Times New Roman" w:hAnsi="Times New Roman" w:cs="Times New Roman"/>
          <w:lang w:val="sr-Latn-RS"/>
        </w:rPr>
        <w:t>P</w:t>
      </w:r>
      <w:r w:rsidR="002C1E79" w:rsidRPr="005D05B7">
        <w:rPr>
          <w:rFonts w:ascii="Times New Roman" w:hAnsi="Times New Roman" w:cs="Times New Roman"/>
          <w:lang w:val="sr-Cyrl-RS"/>
        </w:rPr>
        <w:t>оwе</w:t>
      </w:r>
      <w:r w:rsidR="002C1E79" w:rsidRPr="005D05B7">
        <w:rPr>
          <w:rFonts w:ascii="Times New Roman" w:hAnsi="Times New Roman" w:cs="Times New Roman"/>
          <w:lang w:val="sr-Latn-RS"/>
        </w:rPr>
        <w:t>r</w:t>
      </w:r>
      <w:r w:rsidR="002C1E79" w:rsidRPr="005D05B7">
        <w:rPr>
          <w:rFonts w:ascii="Times New Roman" w:hAnsi="Times New Roman" w:cs="Times New Roman"/>
          <w:lang w:val="sr-Cyrl-RS"/>
        </w:rPr>
        <w:t xml:space="preserve"> програм) је примијењен као пулсна техника полимеризације. Овај програм користи интензитет свјетла од 650 </w:t>
      </w:r>
      <w:r w:rsidR="002C1E79" w:rsidRPr="005D05B7">
        <w:rPr>
          <w:rFonts w:ascii="Times New Roman" w:hAnsi="Times New Roman" w:cs="Times New Roman"/>
          <w:lang w:val="sr-Latn-RS"/>
        </w:rPr>
        <w:t>m</w:t>
      </w:r>
      <w:r w:rsidR="002C1E79" w:rsidRPr="005D05B7">
        <w:rPr>
          <w:rFonts w:ascii="Times New Roman" w:hAnsi="Times New Roman" w:cs="Times New Roman"/>
          <w:lang w:val="sr-Cyrl-RS"/>
        </w:rPr>
        <w:t>W/</w:t>
      </w:r>
      <w:r w:rsidR="002C1E79" w:rsidRPr="005D05B7">
        <w:rPr>
          <w:rFonts w:ascii="Times New Roman" w:hAnsi="Times New Roman" w:cs="Times New Roman"/>
          <w:lang w:val="sr-Latn-RS"/>
        </w:rPr>
        <w:t>cm</w:t>
      </w:r>
      <w:r w:rsidR="002C1E79" w:rsidRPr="005D05B7">
        <w:rPr>
          <w:rFonts w:ascii="Times New Roman" w:hAnsi="Times New Roman" w:cs="Times New Roman"/>
          <w:lang w:val="sr-Cyrl-RS"/>
        </w:rPr>
        <w:t>2</w:t>
      </w:r>
      <w:r w:rsidR="00CE7B9A" w:rsidRPr="005D05B7">
        <w:rPr>
          <w:rFonts w:ascii="Times New Roman" w:hAnsi="Times New Roman" w:cs="Times New Roman"/>
          <w:lang w:val="sr-Latn-RS"/>
        </w:rPr>
        <w:t>.</w:t>
      </w:r>
      <w:r w:rsidR="00CE7B9A" w:rsidRPr="005D05B7">
        <w:rPr>
          <w:rFonts w:ascii="Times New Roman" w:hAnsi="Times New Roman" w:cs="Times New Roman"/>
        </w:rPr>
        <w:t xml:space="preserve"> </w:t>
      </w:r>
      <w:r w:rsidR="00CE7B9A" w:rsidRPr="005D05B7">
        <w:rPr>
          <w:rFonts w:ascii="Times New Roman" w:hAnsi="Times New Roman" w:cs="Times New Roman"/>
          <w:lang w:val="sr-Latn-RS"/>
        </w:rPr>
        <w:t>Soft start програм представља двофазну технику полимеризације, која примјењује постепени раст интензитета свјетла. У почетном периоду полимеризационог циклуса (5-10 секунди) ангажује ирадијансе мањих вриједности (до 650 mW/cm2) са постепеним порастом до пуног интензитета (до 800mW/cm2) и укупним трајањем од 20 секунди за сваки слој материјала.</w:t>
      </w:r>
    </w:p>
    <w:p w:rsidR="00AD0DE8" w:rsidRPr="005D05B7" w:rsidRDefault="00AD0DE8" w:rsidP="00AD0DE8">
      <w:pPr>
        <w:spacing w:line="240" w:lineRule="auto"/>
        <w:ind w:firstLine="720"/>
        <w:jc w:val="both"/>
        <w:rPr>
          <w:rFonts w:ascii="Times New Roman" w:hAnsi="Times New Roman" w:cs="Times New Roman"/>
          <w:lang w:val="sr-Latn-RS"/>
        </w:rPr>
      </w:pPr>
      <w:r w:rsidRPr="005D05B7">
        <w:rPr>
          <w:rFonts w:ascii="Times New Roman" w:hAnsi="Times New Roman" w:cs="Times New Roman"/>
          <w:lang w:val="sr-Latn-RS"/>
        </w:rPr>
        <w:t xml:space="preserve">Након постављања испуна сви зуби су  чувани у термостату на темпаратури од 37 степени Целзијуса, у условима релативне влажности (зуби су били умотани у влажну вату) у трајању од седам дана. </w:t>
      </w:r>
    </w:p>
    <w:p w:rsidR="00AD0DE8" w:rsidRPr="005D05B7" w:rsidRDefault="00AD0DE8" w:rsidP="00AD0DE8">
      <w:pPr>
        <w:spacing w:line="240" w:lineRule="auto"/>
        <w:ind w:firstLine="720"/>
        <w:jc w:val="both"/>
        <w:rPr>
          <w:rFonts w:ascii="Times New Roman" w:hAnsi="Times New Roman" w:cs="Times New Roman"/>
          <w:lang w:val="sr-Latn-RS"/>
        </w:rPr>
      </w:pPr>
      <w:r w:rsidRPr="005D05B7">
        <w:rPr>
          <w:rFonts w:ascii="Times New Roman" w:hAnsi="Times New Roman" w:cs="Times New Roman"/>
          <w:lang w:val="sr-Latn-RS"/>
        </w:rPr>
        <w:t>Послије тог периода свака површина зуба премазана је са два слоја лака за нокте, изузев испуна и непосре</w:t>
      </w:r>
      <w:r w:rsidR="009F3AE2" w:rsidRPr="005D05B7">
        <w:rPr>
          <w:rFonts w:ascii="Times New Roman" w:hAnsi="Times New Roman" w:cs="Times New Roman"/>
          <w:lang w:val="sr-Cyrl-RS"/>
        </w:rPr>
        <w:t>дног појаса око њега ширине 1</w:t>
      </w:r>
      <w:r w:rsidR="009F3AE2" w:rsidRPr="005D05B7">
        <w:rPr>
          <w:rFonts w:ascii="Times New Roman" w:hAnsi="Times New Roman" w:cs="Times New Roman"/>
          <w:lang w:val="sr-Latn-RS"/>
        </w:rPr>
        <w:t>mm.</w:t>
      </w:r>
      <w:r w:rsidRPr="005D05B7">
        <w:rPr>
          <w:rFonts w:ascii="Times New Roman" w:hAnsi="Times New Roman" w:cs="Times New Roman"/>
        </w:rPr>
        <w:t xml:space="preserve"> </w:t>
      </w:r>
      <w:r w:rsidRPr="005D05B7">
        <w:rPr>
          <w:rFonts w:ascii="Times New Roman" w:hAnsi="Times New Roman" w:cs="Times New Roman"/>
          <w:lang w:val="sr-Latn-RS"/>
        </w:rPr>
        <w:t>Испитивање микропропустљивости обављено је семиквантитативно, методом бојених раствора и то примјеном сребро-нитрата. Зуби су били  уроњени у 50% раствор сребро-нитрата, у трајању од шест сати. Након тога зуби су испрани под млазом воде у трајању од 60 секунди, а затим уроњени у фоторазвијач током 2 сата, како би се фиксирале честице сребро-нитрата продрле</w:t>
      </w:r>
      <w:r w:rsidR="0084601A">
        <w:rPr>
          <w:rFonts w:ascii="Times New Roman" w:hAnsi="Times New Roman" w:cs="Times New Roman"/>
          <w:lang w:val="sr-Latn-RS"/>
        </w:rPr>
        <w:t xml:space="preserve"> </w:t>
      </w:r>
      <w:r w:rsidRPr="005D05B7">
        <w:rPr>
          <w:rFonts w:ascii="Times New Roman" w:hAnsi="Times New Roman" w:cs="Times New Roman"/>
          <w:lang w:val="sr-Latn-RS"/>
        </w:rPr>
        <w:t xml:space="preserve"> између споја композита и ивице кавитета, односно у  микропукотину.</w:t>
      </w:r>
    </w:p>
    <w:p w:rsidR="00AD0DE8" w:rsidRPr="005D05B7" w:rsidRDefault="00AD0DE8" w:rsidP="00AD0DE8">
      <w:pPr>
        <w:spacing w:line="240" w:lineRule="auto"/>
        <w:ind w:firstLine="720"/>
        <w:jc w:val="both"/>
        <w:rPr>
          <w:rFonts w:ascii="Times New Roman" w:hAnsi="Times New Roman" w:cs="Times New Roman"/>
          <w:lang w:val="sr-Latn-RS"/>
        </w:rPr>
      </w:pPr>
      <w:r w:rsidRPr="005D05B7">
        <w:rPr>
          <w:rFonts w:ascii="Times New Roman" w:hAnsi="Times New Roman" w:cs="Times New Roman"/>
          <w:lang w:val="sr-Latn-RS"/>
        </w:rPr>
        <w:lastRenderedPageBreak/>
        <w:tab/>
        <w:t>Након уклањања лака оштрим инструментом, зуби су  пресјечени у вестибуло-оралној равни,  кроз средину испуна. Пресјеци зуба су урађени д</w:t>
      </w:r>
      <w:r w:rsidR="009F3AE2" w:rsidRPr="005D05B7">
        <w:rPr>
          <w:rFonts w:ascii="Times New Roman" w:hAnsi="Times New Roman" w:cs="Times New Roman"/>
          <w:lang w:val="sr-Latn-RS"/>
        </w:rPr>
        <w:t>ијамантским диском пречника 6mm</w:t>
      </w:r>
      <w:r w:rsidRPr="005D05B7">
        <w:rPr>
          <w:rFonts w:ascii="Times New Roman" w:hAnsi="Times New Roman" w:cs="Times New Roman"/>
          <w:lang w:val="sr-Latn-RS"/>
        </w:rPr>
        <w:t>, монтираним на технички микромотор.</w:t>
      </w:r>
    </w:p>
    <w:p w:rsidR="00A0273A" w:rsidRPr="005D05B7" w:rsidRDefault="0087744F" w:rsidP="000462A4">
      <w:pPr>
        <w:spacing w:line="240" w:lineRule="auto"/>
        <w:ind w:firstLine="720"/>
        <w:jc w:val="both"/>
        <w:rPr>
          <w:rFonts w:ascii="Times New Roman" w:hAnsi="Times New Roman" w:cs="Times New Roman"/>
        </w:rPr>
      </w:pPr>
      <w:r w:rsidRPr="005D05B7">
        <w:rPr>
          <w:rFonts w:ascii="Times New Roman" w:hAnsi="Times New Roman" w:cs="Times New Roman"/>
        </w:rPr>
        <w:t xml:space="preserve"> </w:t>
      </w:r>
      <w:proofErr w:type="gramStart"/>
      <w:r w:rsidRPr="005D05B7">
        <w:rPr>
          <w:rFonts w:ascii="Times New Roman" w:hAnsi="Times New Roman" w:cs="Times New Roman"/>
        </w:rPr>
        <w:t>Линеарни продор боје, оклузално и гингивално, оцјењиван је уз помоћ бинокуларне лупе са микрометарским размјерником и увећањем 25 пута.</w:t>
      </w:r>
      <w:proofErr w:type="gramEnd"/>
      <w:r w:rsidR="00A0273A" w:rsidRPr="005D05B7">
        <w:rPr>
          <w:rFonts w:ascii="Times New Roman" w:hAnsi="Times New Roman" w:cs="Times New Roman"/>
        </w:rPr>
        <w:t xml:space="preserve"> </w:t>
      </w:r>
    </w:p>
    <w:p w:rsidR="00A0273A" w:rsidRPr="005D05B7" w:rsidRDefault="00A0273A" w:rsidP="00A0273A">
      <w:pPr>
        <w:spacing w:line="240" w:lineRule="auto"/>
        <w:ind w:firstLine="720"/>
        <w:jc w:val="both"/>
        <w:rPr>
          <w:rFonts w:ascii="Times New Roman" w:hAnsi="Times New Roman" w:cs="Times New Roman"/>
        </w:rPr>
      </w:pPr>
      <w:proofErr w:type="gramStart"/>
      <w:r w:rsidRPr="005D05B7">
        <w:rPr>
          <w:rFonts w:ascii="Times New Roman" w:hAnsi="Times New Roman" w:cs="Times New Roman"/>
        </w:rPr>
        <w:t>Најприје је урађено баждарење окулармикрометра, односно израчунавање коефицијента или F фактора, помоћу објективмикрометра.</w:t>
      </w:r>
      <w:proofErr w:type="gramEnd"/>
      <w:r w:rsidRPr="005D05B7">
        <w:rPr>
          <w:rFonts w:ascii="Times New Roman" w:hAnsi="Times New Roman" w:cs="Times New Roman"/>
        </w:rPr>
        <w:t xml:space="preserve"> </w:t>
      </w:r>
      <w:proofErr w:type="gramStart"/>
      <w:r w:rsidRPr="005D05B7">
        <w:rPr>
          <w:rFonts w:ascii="Times New Roman" w:hAnsi="Times New Roman" w:cs="Times New Roman"/>
        </w:rPr>
        <w:t>Објективмикрометар је стаклена плочица, налик на предметно стакло, са скалом на којој је 1 mm подијељен на 100 дијелова.</w:t>
      </w:r>
      <w:proofErr w:type="gramEnd"/>
      <w:r w:rsidRPr="005D05B7">
        <w:rPr>
          <w:rFonts w:ascii="Times New Roman" w:hAnsi="Times New Roman" w:cs="Times New Roman"/>
        </w:rPr>
        <w:t xml:space="preserve"> Вриједност сваког подиока је 0</w:t>
      </w:r>
      <w:proofErr w:type="gramStart"/>
      <w:r w:rsidRPr="005D05B7">
        <w:rPr>
          <w:rFonts w:ascii="Times New Roman" w:hAnsi="Times New Roman" w:cs="Times New Roman"/>
        </w:rPr>
        <w:t>,01</w:t>
      </w:r>
      <w:proofErr w:type="gramEnd"/>
      <w:r w:rsidRPr="005D05B7">
        <w:rPr>
          <w:rFonts w:ascii="Times New Roman" w:hAnsi="Times New Roman" w:cs="Times New Roman"/>
        </w:rPr>
        <w:t xml:space="preserve"> mm или 10 микрометара. Поступак израчунавања фактора F и мјерење извршено је сљедећим редослиједом:</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1.</w:t>
      </w:r>
      <w:r w:rsidRPr="005D05B7">
        <w:rPr>
          <w:rFonts w:ascii="Times New Roman" w:hAnsi="Times New Roman" w:cs="Times New Roman"/>
        </w:rPr>
        <w:tab/>
        <w:t>Објективмикрометар је постављен на сточић и посматран као препарат;</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2.</w:t>
      </w:r>
      <w:r w:rsidRPr="005D05B7">
        <w:rPr>
          <w:rFonts w:ascii="Times New Roman" w:hAnsi="Times New Roman" w:cs="Times New Roman"/>
        </w:rPr>
        <w:tab/>
        <w:t>Окулармикрометар је стављен у окулар са подиоцима окренутим према доле;</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3.</w:t>
      </w:r>
      <w:r w:rsidRPr="005D05B7">
        <w:rPr>
          <w:rFonts w:ascii="Times New Roman" w:hAnsi="Times New Roman" w:cs="Times New Roman"/>
        </w:rPr>
        <w:tab/>
        <w:t>У видном пољу је нађен лик скале објективмикрометра и добро изоштрен;</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4.</w:t>
      </w:r>
      <w:r w:rsidRPr="005D05B7">
        <w:rPr>
          <w:rFonts w:ascii="Times New Roman" w:hAnsi="Times New Roman" w:cs="Times New Roman"/>
        </w:rPr>
        <w:tab/>
        <w:t>Помјерањем објективмикрометра и окулармикрометра њихове скале су доведене у паралелан положај и максимално приближене једна другој;</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5.</w:t>
      </w:r>
      <w:r w:rsidRPr="005D05B7">
        <w:rPr>
          <w:rFonts w:ascii="Times New Roman" w:hAnsi="Times New Roman" w:cs="Times New Roman"/>
        </w:rPr>
        <w:tab/>
        <w:t>Пронађено је мјесто на почетном дијелу (полазећи са лијеве стране), гдје се црта скале објективмикрометра поклопила тачно са цртом скале окулармикрометра;</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6.</w:t>
      </w:r>
      <w:r w:rsidRPr="005D05B7">
        <w:rPr>
          <w:rFonts w:ascii="Times New Roman" w:hAnsi="Times New Roman" w:cs="Times New Roman"/>
        </w:rPr>
        <w:tab/>
        <w:t>Избројени су подиоци на скали објективмикрометра између поклопљених црта и њихов број (а) је забиљежен. На исти начин избројени су под</w:t>
      </w:r>
      <w:r w:rsidR="00945FF3">
        <w:rPr>
          <w:rFonts w:ascii="Times New Roman" w:hAnsi="Times New Roman" w:cs="Times New Roman"/>
        </w:rPr>
        <w:t xml:space="preserve">иоци на скали окулармикрометра </w:t>
      </w:r>
      <w:r w:rsidR="00945FF3">
        <w:rPr>
          <w:rFonts w:ascii="Times New Roman" w:hAnsi="Times New Roman" w:cs="Times New Roman"/>
          <w:lang w:val="sr-Cyrl-RS"/>
        </w:rPr>
        <w:t>и</w:t>
      </w:r>
      <w:r w:rsidRPr="005D05B7">
        <w:rPr>
          <w:rFonts w:ascii="Times New Roman" w:hAnsi="Times New Roman" w:cs="Times New Roman"/>
        </w:rPr>
        <w:t xml:space="preserve"> њихов број (b) такође је забиљежен;</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7.</w:t>
      </w:r>
      <w:r w:rsidRPr="005D05B7">
        <w:rPr>
          <w:rFonts w:ascii="Times New Roman" w:hAnsi="Times New Roman" w:cs="Times New Roman"/>
        </w:rPr>
        <w:tab/>
        <w:t xml:space="preserve">Приступљено је израчунавању вриједности коефицијента или фактора F према формули: </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F = (а x10) / b микрометара;</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8.</w:t>
      </w:r>
      <w:r w:rsidRPr="005D05B7">
        <w:rPr>
          <w:rFonts w:ascii="Times New Roman" w:hAnsi="Times New Roman" w:cs="Times New Roman"/>
        </w:rPr>
        <w:tab/>
        <w:t>Након израчунавања F фактора, објективмикрометар је замијењен зубима на којима су вршена мјерења;</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9.</w:t>
      </w:r>
      <w:r w:rsidRPr="005D05B7">
        <w:rPr>
          <w:rFonts w:ascii="Times New Roman" w:hAnsi="Times New Roman" w:cs="Times New Roman"/>
        </w:rPr>
        <w:tab/>
        <w:t>Мјерење је вршено тако што је зуб постављен тачно испод скале окулармикрометра, након чега је избројен број подиока на скали.</w:t>
      </w:r>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10.</w:t>
      </w:r>
      <w:r w:rsidRPr="005D05B7">
        <w:rPr>
          <w:rFonts w:ascii="Times New Roman" w:hAnsi="Times New Roman" w:cs="Times New Roman"/>
        </w:rPr>
        <w:tab/>
        <w:t xml:space="preserve">Добивени број подиока (C) је помножен са F фактором. </w:t>
      </w:r>
      <w:proofErr w:type="gramStart"/>
      <w:r w:rsidRPr="005D05B7">
        <w:rPr>
          <w:rFonts w:ascii="Times New Roman" w:hAnsi="Times New Roman" w:cs="Times New Roman"/>
        </w:rPr>
        <w:t>Вриједност која је добијена (V) је величина продора боје на зубу изражена у микрометрима.</w:t>
      </w:r>
      <w:proofErr w:type="gramEnd"/>
    </w:p>
    <w:p w:rsidR="00A0273A" w:rsidRPr="005D05B7" w:rsidRDefault="00A0273A" w:rsidP="00A0273A">
      <w:pPr>
        <w:spacing w:line="240" w:lineRule="auto"/>
        <w:ind w:firstLine="720"/>
        <w:jc w:val="both"/>
        <w:rPr>
          <w:rFonts w:ascii="Times New Roman" w:hAnsi="Times New Roman" w:cs="Times New Roman"/>
        </w:rPr>
      </w:pPr>
      <w:r w:rsidRPr="005D05B7">
        <w:rPr>
          <w:rFonts w:ascii="Times New Roman" w:hAnsi="Times New Roman" w:cs="Times New Roman"/>
        </w:rPr>
        <w:t>V = C X F.</w:t>
      </w:r>
    </w:p>
    <w:p w:rsidR="00A708D6" w:rsidRDefault="00A708D6" w:rsidP="00A0273A">
      <w:pPr>
        <w:spacing w:line="240" w:lineRule="auto"/>
        <w:ind w:firstLine="720"/>
        <w:jc w:val="both"/>
        <w:rPr>
          <w:rFonts w:ascii="Times New Roman" w:hAnsi="Times New Roman" w:cs="Times New Roman"/>
          <w:lang w:val="sr-Cyrl-RS"/>
        </w:rPr>
      </w:pPr>
    </w:p>
    <w:p w:rsidR="00B224DD" w:rsidRDefault="00B224DD" w:rsidP="00A0273A">
      <w:pPr>
        <w:spacing w:line="240" w:lineRule="auto"/>
        <w:ind w:firstLine="720"/>
        <w:jc w:val="both"/>
        <w:rPr>
          <w:rFonts w:ascii="Times New Roman" w:hAnsi="Times New Roman" w:cs="Times New Roman"/>
          <w:lang w:val="sr-Cyrl-RS"/>
        </w:rPr>
      </w:pPr>
    </w:p>
    <w:p w:rsidR="00B224DD" w:rsidRDefault="00B224DD" w:rsidP="00A0273A">
      <w:pPr>
        <w:spacing w:line="240" w:lineRule="auto"/>
        <w:ind w:firstLine="720"/>
        <w:jc w:val="both"/>
        <w:rPr>
          <w:rFonts w:ascii="Times New Roman" w:hAnsi="Times New Roman" w:cs="Times New Roman"/>
        </w:rPr>
      </w:pPr>
    </w:p>
    <w:p w:rsidR="0005148A" w:rsidRDefault="0005148A" w:rsidP="00A0273A">
      <w:pPr>
        <w:spacing w:line="240" w:lineRule="auto"/>
        <w:ind w:firstLine="720"/>
        <w:jc w:val="both"/>
        <w:rPr>
          <w:rFonts w:ascii="Times New Roman" w:hAnsi="Times New Roman" w:cs="Times New Roman"/>
        </w:rPr>
      </w:pPr>
    </w:p>
    <w:p w:rsidR="0005148A" w:rsidRPr="0005148A" w:rsidRDefault="0005148A" w:rsidP="00A0273A">
      <w:pPr>
        <w:spacing w:line="240" w:lineRule="auto"/>
        <w:ind w:firstLine="720"/>
        <w:jc w:val="both"/>
        <w:rPr>
          <w:rFonts w:ascii="Times New Roman" w:hAnsi="Times New Roman" w:cs="Times New Roman"/>
        </w:rPr>
      </w:pPr>
    </w:p>
    <w:p w:rsidR="00B224DD" w:rsidRDefault="00A708D6" w:rsidP="00B224DD">
      <w:pPr>
        <w:spacing w:line="240" w:lineRule="auto"/>
        <w:ind w:firstLine="720"/>
        <w:jc w:val="both"/>
        <w:rPr>
          <w:rFonts w:ascii="Times New Roman" w:hAnsi="Times New Roman" w:cs="Times New Roman"/>
          <w:b/>
          <w:lang w:val="sr-Cyrl-RS"/>
        </w:rPr>
      </w:pPr>
      <w:r w:rsidRPr="005D05B7">
        <w:rPr>
          <w:rFonts w:ascii="Times New Roman" w:hAnsi="Times New Roman" w:cs="Times New Roman"/>
          <w:b/>
          <w:lang w:val="sr-Cyrl-RS"/>
        </w:rPr>
        <w:lastRenderedPageBreak/>
        <w:t>РЕЗУЛТАТИ</w:t>
      </w:r>
    </w:p>
    <w:p w:rsidR="0087744F" w:rsidRPr="00B224DD" w:rsidRDefault="004E1B7C" w:rsidP="00B224DD">
      <w:pPr>
        <w:spacing w:line="240" w:lineRule="auto"/>
        <w:ind w:firstLine="720"/>
        <w:jc w:val="both"/>
        <w:rPr>
          <w:rFonts w:ascii="Times New Roman" w:hAnsi="Times New Roman" w:cs="Times New Roman"/>
          <w:b/>
          <w:lang w:val="sr-Cyrl-RS"/>
        </w:rPr>
      </w:pPr>
      <w:proofErr w:type="gramStart"/>
      <w:r w:rsidRPr="005D05B7">
        <w:rPr>
          <w:rFonts w:ascii="Times New Roman" w:hAnsi="Times New Roman" w:cs="Times New Roman"/>
        </w:rPr>
        <w:t>Добијени резу</w:t>
      </w:r>
      <w:r w:rsidR="00030923" w:rsidRPr="005D05B7">
        <w:rPr>
          <w:rFonts w:ascii="Times New Roman" w:hAnsi="Times New Roman" w:cs="Times New Roman"/>
        </w:rPr>
        <w:t>лтати приказани су табелама 1-</w:t>
      </w:r>
      <w:r w:rsidR="00030923" w:rsidRPr="005D05B7">
        <w:rPr>
          <w:rFonts w:ascii="Times New Roman" w:hAnsi="Times New Roman" w:cs="Times New Roman"/>
          <w:lang w:val="sr-Cyrl-RS"/>
        </w:rPr>
        <w:t>3 и</w:t>
      </w:r>
      <w:r w:rsidR="00030923" w:rsidRPr="005D05B7">
        <w:rPr>
          <w:rFonts w:ascii="Times New Roman" w:hAnsi="Times New Roman" w:cs="Times New Roman"/>
        </w:rPr>
        <w:t xml:space="preserve"> графиконима 1-</w:t>
      </w:r>
      <w:r w:rsidR="00030923" w:rsidRPr="005D05B7">
        <w:rPr>
          <w:rFonts w:ascii="Times New Roman" w:hAnsi="Times New Roman" w:cs="Times New Roman"/>
          <w:lang w:val="sr-Cyrl-RS"/>
        </w:rPr>
        <w:t>3.</w:t>
      </w:r>
      <w:proofErr w:type="gramEnd"/>
      <w:r w:rsidR="00D015C6" w:rsidRPr="005D05B7">
        <w:rPr>
          <w:rFonts w:ascii="Times New Roman" w:hAnsi="Times New Roman" w:cs="Times New Roman"/>
        </w:rPr>
        <w:t xml:space="preserve"> </w:t>
      </w:r>
      <w:r w:rsidR="00D015C6" w:rsidRPr="005D05B7">
        <w:rPr>
          <w:rFonts w:ascii="Times New Roman" w:hAnsi="Times New Roman" w:cs="Times New Roman"/>
          <w:lang w:val="sr-Cyrl-RS"/>
        </w:rPr>
        <w:t>У оквиру приказаних резултата осврнули смо се и на продор боје у односу на материјал те упоредили продор боје оклузално и гингивално.</w:t>
      </w:r>
    </w:p>
    <w:p w:rsidR="004E1B7C" w:rsidRPr="005D05B7" w:rsidRDefault="004E1B7C" w:rsidP="004E1B7C">
      <w:pPr>
        <w:spacing w:after="0" w:line="360" w:lineRule="auto"/>
        <w:jc w:val="both"/>
        <w:rPr>
          <w:rFonts w:ascii="Times New Roman" w:eastAsia="Times New Roman" w:hAnsi="Times New Roman" w:cs="Times New Roman"/>
          <w:color w:val="000000"/>
          <w:lang w:val="it-IT"/>
        </w:rPr>
      </w:pPr>
    </w:p>
    <w:p w:rsidR="004E1B7C" w:rsidRPr="00517A86" w:rsidRDefault="00B812BF" w:rsidP="004E1B7C">
      <w:pPr>
        <w:spacing w:after="0" w:line="240" w:lineRule="auto"/>
        <w:rPr>
          <w:rFonts w:ascii="Times New Roman" w:eastAsia="Times New Roman" w:hAnsi="Times New Roman" w:cs="Times New Roman"/>
          <w:i/>
          <w:sz w:val="20"/>
          <w:szCs w:val="20"/>
          <w:lang w:val="it-IT"/>
        </w:rPr>
      </w:pPr>
      <w:r w:rsidRPr="00517A86">
        <w:rPr>
          <w:rFonts w:ascii="Times New Roman" w:eastAsia="Times New Roman" w:hAnsi="Times New Roman" w:cs="Times New Roman"/>
          <w:i/>
          <w:color w:val="000000"/>
          <w:sz w:val="20"/>
          <w:szCs w:val="20"/>
          <w:lang w:val="it-IT"/>
        </w:rPr>
        <w:t>Табела 1.</w:t>
      </w:r>
      <w:r w:rsidR="003912F9" w:rsidRPr="00517A86">
        <w:rPr>
          <w:rFonts w:ascii="Times New Roman" w:eastAsia="Times New Roman" w:hAnsi="Times New Roman" w:cs="Times New Roman"/>
          <w:i/>
          <w:color w:val="000000"/>
          <w:sz w:val="20"/>
          <w:szCs w:val="20"/>
          <w:lang w:val="it-IT"/>
        </w:rPr>
        <w:t xml:space="preserve"> Укупан линеарни продор боје (µ</w:t>
      </w:r>
      <w:r w:rsidR="003912F9" w:rsidRPr="00517A86">
        <w:rPr>
          <w:rFonts w:ascii="Times New Roman" w:eastAsia="Times New Roman" w:hAnsi="Times New Roman" w:cs="Times New Roman"/>
          <w:i/>
          <w:color w:val="000000"/>
          <w:sz w:val="20"/>
          <w:szCs w:val="20"/>
          <w:lang w:val="sr-Latn-RS"/>
        </w:rPr>
        <w:t>m</w:t>
      </w:r>
      <w:r w:rsidRPr="00517A86">
        <w:rPr>
          <w:rFonts w:ascii="Times New Roman" w:eastAsia="Times New Roman" w:hAnsi="Times New Roman" w:cs="Times New Roman"/>
          <w:i/>
          <w:color w:val="000000"/>
          <w:sz w:val="20"/>
          <w:szCs w:val="20"/>
          <w:lang w:val="it-IT"/>
        </w:rPr>
        <w:t>) у односу на технику полимеризације</w:t>
      </w:r>
      <w:r w:rsidR="004E1B7C" w:rsidRPr="00517A86">
        <w:rPr>
          <w:rFonts w:ascii="Times New Roman" w:eastAsia="Times New Roman" w:hAnsi="Times New Roman" w:cs="Times New Roman"/>
          <w:i/>
          <w:color w:val="000000"/>
          <w:sz w:val="20"/>
          <w:szCs w:val="20"/>
          <w:lang w:val="it-IT"/>
        </w:rPr>
        <w:t xml:space="preserve"> </w:t>
      </w:r>
    </w:p>
    <w:p w:rsidR="004E1B7C" w:rsidRPr="00517A86" w:rsidRDefault="004E1B7C" w:rsidP="004E1B7C">
      <w:pPr>
        <w:spacing w:after="0" w:line="240" w:lineRule="auto"/>
        <w:rPr>
          <w:rFonts w:ascii="Times New Roman" w:eastAsia="Times New Roman" w:hAnsi="Times New Roman" w:cs="Times New Roman"/>
          <w:i/>
          <w:sz w:val="20"/>
          <w:szCs w:val="20"/>
          <w:lang w:val="sr-Latn-CS"/>
        </w:rPr>
      </w:pPr>
    </w:p>
    <w:tbl>
      <w:tblPr>
        <w:tblW w:w="5760" w:type="dxa"/>
        <w:tblInd w:w="9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93" w:type="dxa"/>
          <w:right w:w="93" w:type="dxa"/>
        </w:tblCellMar>
        <w:tblLook w:val="0000" w:firstRow="0" w:lastRow="0" w:firstColumn="0" w:lastColumn="0" w:noHBand="0" w:noVBand="0"/>
      </w:tblPr>
      <w:tblGrid>
        <w:gridCol w:w="1350"/>
        <w:gridCol w:w="735"/>
        <w:gridCol w:w="735"/>
        <w:gridCol w:w="735"/>
        <w:gridCol w:w="735"/>
        <w:gridCol w:w="735"/>
        <w:gridCol w:w="735"/>
      </w:tblGrid>
      <w:tr w:rsidR="004E1B7C" w:rsidRPr="005D05B7" w:rsidTr="006467F0">
        <w:trPr>
          <w:trHeight w:val="273"/>
        </w:trPr>
        <w:tc>
          <w:tcPr>
            <w:tcW w:w="1350"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rPr>
              <w:t>Te</w:t>
            </w:r>
            <w:r w:rsidRPr="005D05B7">
              <w:rPr>
                <w:rFonts w:ascii="Times New Roman" w:eastAsia="Times New Roman" w:hAnsi="Times New Roman" w:cs="Times New Roman"/>
                <w:b/>
                <w:color w:val="000000"/>
                <w:lang w:val="sr-Cyrl-RS"/>
              </w:rPr>
              <w:t>хника</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N</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position w:val="-6"/>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7.55pt" o:ole="">
                  <v:imagedata r:id="rId6" o:title=""/>
                </v:shape>
                <o:OLEObject Type="Embed" ProgID="Equation.3" ShapeID="_x0000_i1025" DrawAspect="Content" ObjectID="_1523168555" r:id="rId7"/>
              </w:objec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SD</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Med</w:t>
            </w:r>
          </w:p>
        </w:tc>
        <w:tc>
          <w:tcPr>
            <w:tcW w:w="735"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w:t>
            </w:r>
            <w:r w:rsidRPr="005D05B7">
              <w:rPr>
                <w:rFonts w:ascii="Times New Roman" w:eastAsia="Times New Roman" w:hAnsi="Times New Roman" w:cs="Times New Roman"/>
                <w:color w:val="000000"/>
                <w:lang w:val="sr-Cyrl-RS"/>
              </w:rPr>
              <w:t>ин</w:t>
            </w:r>
          </w:p>
        </w:tc>
        <w:tc>
          <w:tcPr>
            <w:tcW w:w="735"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Mak</w:t>
            </w:r>
            <w:r w:rsidRPr="005D05B7">
              <w:rPr>
                <w:rFonts w:ascii="Times New Roman" w:eastAsia="Times New Roman" w:hAnsi="Times New Roman" w:cs="Times New Roman"/>
                <w:color w:val="000000"/>
                <w:lang w:val="sr-Cyrl-RS"/>
              </w:rPr>
              <w:t>с</w:t>
            </w:r>
          </w:p>
        </w:tc>
      </w:tr>
      <w:tr w:rsidR="004E1B7C" w:rsidRPr="005D05B7" w:rsidTr="006467F0">
        <w:trPr>
          <w:trHeight w:val="273"/>
        </w:trPr>
        <w:tc>
          <w:tcPr>
            <w:tcW w:w="1350"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rPr>
              <w:t>K</w:t>
            </w:r>
            <w:r w:rsidRPr="005D05B7">
              <w:rPr>
                <w:rFonts w:ascii="Times New Roman" w:eastAsia="Times New Roman" w:hAnsi="Times New Roman" w:cs="Times New Roman"/>
                <w:b/>
                <w:color w:val="000000"/>
                <w:lang w:val="sr-Cyrl-RS"/>
              </w:rPr>
              <w:t>ласична</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148</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4.46</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5.05</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3.45</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23.00</w:t>
            </w:r>
          </w:p>
        </w:tc>
      </w:tr>
      <w:tr w:rsidR="004E1B7C" w:rsidRPr="005D05B7" w:rsidTr="006467F0">
        <w:trPr>
          <w:trHeight w:val="273"/>
        </w:trPr>
        <w:tc>
          <w:tcPr>
            <w:tcW w:w="1350"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t>Софт стар</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160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4.27</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5.44</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23.00</w:t>
            </w:r>
          </w:p>
        </w:tc>
      </w:tr>
      <w:tr w:rsidR="004E1B7C" w:rsidRPr="005D05B7" w:rsidTr="006467F0">
        <w:trPr>
          <w:trHeight w:val="273"/>
        </w:trPr>
        <w:tc>
          <w:tcPr>
            <w:tcW w:w="1350"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t>Пулсна</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160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5.54</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6.19</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3.45</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r w:rsidR="004E1B7C" w:rsidRPr="005D05B7" w:rsidTr="006467F0">
        <w:trPr>
          <w:trHeight w:val="273"/>
        </w:trPr>
        <w:tc>
          <w:tcPr>
            <w:tcW w:w="1350" w:type="dxa"/>
            <w:shd w:val="clear" w:color="000000" w:fill="FFFFFF"/>
            <w:vAlign w:val="center"/>
          </w:tcPr>
          <w:p w:rsidR="004E1B7C" w:rsidRPr="005D05B7" w:rsidRDefault="00B812BF"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Cyrl-RS"/>
              </w:rPr>
              <w:t>Укупно</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468</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4.76</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5.61</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3.22</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bl>
    <w:p w:rsidR="004E1B7C" w:rsidRPr="005D05B7" w:rsidRDefault="004E1B7C" w:rsidP="004E1B7C">
      <w:pPr>
        <w:autoSpaceDE w:val="0"/>
        <w:autoSpaceDN w:val="0"/>
        <w:adjustRightInd w:val="0"/>
        <w:spacing w:after="0" w:line="240" w:lineRule="auto"/>
        <w:rPr>
          <w:rFonts w:ascii="Times New Roman" w:eastAsia="Times New Roman" w:hAnsi="Times New Roman" w:cs="Times New Roman"/>
          <w:color w:val="000000"/>
        </w:rPr>
      </w:pPr>
    </w:p>
    <w:p w:rsidR="004E1B7C" w:rsidRPr="005D05B7" w:rsidRDefault="004E1B7C" w:rsidP="004E1B7C">
      <w:pPr>
        <w:autoSpaceDE w:val="0"/>
        <w:autoSpaceDN w:val="0"/>
        <w:adjustRightInd w:val="0"/>
        <w:spacing w:after="0" w:line="240" w:lineRule="auto"/>
        <w:rPr>
          <w:rFonts w:ascii="Times New Roman" w:eastAsia="Times New Roman" w:hAnsi="Times New Roman" w:cs="Times New Roman"/>
          <w:color w:val="000000"/>
        </w:rPr>
      </w:pPr>
    </w:p>
    <w:p w:rsidR="004E1B7C" w:rsidRPr="00517A86" w:rsidRDefault="004E1B7C" w:rsidP="004E1B7C">
      <w:pPr>
        <w:autoSpaceDE w:val="0"/>
        <w:autoSpaceDN w:val="0"/>
        <w:adjustRightInd w:val="0"/>
        <w:spacing w:after="0" w:line="240" w:lineRule="auto"/>
        <w:rPr>
          <w:rFonts w:ascii="Times New Roman" w:eastAsia="Times New Roman" w:hAnsi="Times New Roman" w:cs="Times New Roman"/>
          <w:color w:val="000000"/>
          <w:lang w:val="sr-Cyrl-RS"/>
        </w:rPr>
      </w:pPr>
    </w:p>
    <w:p w:rsidR="004E1B7C" w:rsidRPr="005D05B7" w:rsidRDefault="004E1B7C" w:rsidP="004E1B7C">
      <w:pPr>
        <w:autoSpaceDE w:val="0"/>
        <w:autoSpaceDN w:val="0"/>
        <w:adjustRightInd w:val="0"/>
        <w:spacing w:after="0" w:line="240" w:lineRule="auto"/>
        <w:rPr>
          <w:rFonts w:ascii="Times New Roman" w:eastAsia="Times New Roman" w:hAnsi="Times New Roman" w:cs="Times New Roman"/>
          <w:color w:val="000000"/>
        </w:rPr>
      </w:pPr>
      <w:r w:rsidRPr="005D05B7">
        <w:rPr>
          <w:rFonts w:ascii="Times New Roman" w:eastAsia="Times New Roman" w:hAnsi="Times New Roman" w:cs="Times New Roman"/>
          <w:noProof/>
        </w:rPr>
        <w:drawing>
          <wp:inline distT="0" distB="0" distL="0" distR="0" wp14:anchorId="4CF959E3" wp14:editId="14FA3CD3">
            <wp:extent cx="4881880" cy="3522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b="23518"/>
                    <a:stretch>
                      <a:fillRect/>
                    </a:stretch>
                  </pic:blipFill>
                  <pic:spPr bwMode="auto">
                    <a:xfrm>
                      <a:off x="0" y="0"/>
                      <a:ext cx="4881880" cy="3522345"/>
                    </a:xfrm>
                    <a:prstGeom prst="rect">
                      <a:avLst/>
                    </a:prstGeom>
                    <a:noFill/>
                    <a:ln>
                      <a:noFill/>
                    </a:ln>
                  </pic:spPr>
                </pic:pic>
              </a:graphicData>
            </a:graphic>
          </wp:inline>
        </w:drawing>
      </w:r>
    </w:p>
    <w:p w:rsidR="00517A86" w:rsidRPr="00517A86" w:rsidRDefault="00517A86" w:rsidP="00517A86">
      <w:pPr>
        <w:spacing w:after="0" w:line="240" w:lineRule="auto"/>
        <w:jc w:val="center"/>
        <w:rPr>
          <w:rFonts w:ascii="Times New Roman" w:eastAsia="Times New Roman" w:hAnsi="Times New Roman" w:cs="Times New Roman"/>
          <w:i/>
          <w:sz w:val="20"/>
          <w:szCs w:val="20"/>
        </w:rPr>
      </w:pPr>
      <w:proofErr w:type="gramStart"/>
      <w:r w:rsidRPr="00517A86">
        <w:rPr>
          <w:rFonts w:ascii="Times New Roman" w:eastAsia="Times New Roman" w:hAnsi="Times New Roman" w:cs="Times New Roman"/>
          <w:i/>
          <w:color w:val="000000"/>
          <w:sz w:val="20"/>
          <w:szCs w:val="20"/>
        </w:rPr>
        <w:t>Графикон 1.</w:t>
      </w:r>
      <w:proofErr w:type="gramEnd"/>
      <w:r w:rsidRPr="00517A86">
        <w:rPr>
          <w:rFonts w:ascii="Times New Roman" w:eastAsia="Times New Roman" w:hAnsi="Times New Roman" w:cs="Times New Roman"/>
          <w:i/>
          <w:color w:val="000000"/>
          <w:sz w:val="20"/>
          <w:szCs w:val="20"/>
        </w:rPr>
        <w:t xml:space="preserve">  Графички приказ линеарног </w:t>
      </w:r>
      <w:proofErr w:type="gramStart"/>
      <w:r w:rsidRPr="00517A86">
        <w:rPr>
          <w:rFonts w:ascii="Times New Roman" w:eastAsia="Times New Roman" w:hAnsi="Times New Roman" w:cs="Times New Roman"/>
          <w:i/>
          <w:color w:val="000000"/>
          <w:sz w:val="20"/>
          <w:szCs w:val="20"/>
        </w:rPr>
        <w:t>продора  боје</w:t>
      </w:r>
      <w:proofErr w:type="gramEnd"/>
      <w:r w:rsidRPr="00517A86">
        <w:rPr>
          <w:rFonts w:ascii="Times New Roman" w:eastAsia="Times New Roman" w:hAnsi="Times New Roman" w:cs="Times New Roman"/>
          <w:i/>
          <w:color w:val="000000"/>
          <w:sz w:val="20"/>
          <w:szCs w:val="20"/>
        </w:rPr>
        <w:t xml:space="preserve"> (µm) у односу на технику полимеризације</w:t>
      </w:r>
    </w:p>
    <w:p w:rsidR="004E1B7C" w:rsidRPr="00B224DD" w:rsidRDefault="004E1B7C" w:rsidP="00517A86">
      <w:pPr>
        <w:autoSpaceDE w:val="0"/>
        <w:autoSpaceDN w:val="0"/>
        <w:adjustRightInd w:val="0"/>
        <w:spacing w:after="0" w:line="240" w:lineRule="auto"/>
        <w:jc w:val="center"/>
        <w:rPr>
          <w:rFonts w:ascii="Times New Roman" w:eastAsia="Times New Roman" w:hAnsi="Times New Roman" w:cs="Times New Roman"/>
          <w:color w:val="000000"/>
          <w:lang w:val="sr-Cyrl-RS"/>
        </w:rPr>
      </w:pPr>
    </w:p>
    <w:p w:rsidR="005221C5" w:rsidRDefault="004E1B7C" w:rsidP="00B224DD">
      <w:pPr>
        <w:autoSpaceDE w:val="0"/>
        <w:autoSpaceDN w:val="0"/>
        <w:adjustRightInd w:val="0"/>
        <w:spacing w:after="0" w:line="240" w:lineRule="auto"/>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ab/>
      </w:r>
      <w:r w:rsidR="00F51B77" w:rsidRPr="005D05B7">
        <w:rPr>
          <w:rFonts w:ascii="Times New Roman" w:eastAsia="Times New Roman" w:hAnsi="Times New Roman" w:cs="Times New Roman"/>
          <w:color w:val="000000"/>
        </w:rPr>
        <w:t xml:space="preserve">Укупан линеарни продор боје код </w:t>
      </w:r>
      <w:r w:rsidR="00F51B77" w:rsidRPr="005D05B7">
        <w:rPr>
          <w:rFonts w:ascii="Times New Roman" w:eastAsia="Times New Roman" w:hAnsi="Times New Roman" w:cs="Times New Roman"/>
          <w:color w:val="000000"/>
          <w:lang w:val="sr-Cyrl-RS"/>
        </w:rPr>
        <w:t xml:space="preserve">свих зуба укључених у истраживање </w:t>
      </w:r>
      <w:proofErr w:type="gramStart"/>
      <w:r w:rsidR="00F51B77" w:rsidRPr="005D05B7">
        <w:rPr>
          <w:rFonts w:ascii="Times New Roman" w:eastAsia="Times New Roman" w:hAnsi="Times New Roman" w:cs="Times New Roman"/>
          <w:color w:val="000000"/>
        </w:rPr>
        <w:t>полимеризованих  класичном</w:t>
      </w:r>
      <w:proofErr w:type="gramEnd"/>
      <w:r w:rsidR="00F51B77" w:rsidRPr="005D05B7">
        <w:rPr>
          <w:rFonts w:ascii="Times New Roman" w:eastAsia="Times New Roman" w:hAnsi="Times New Roman" w:cs="Times New Roman"/>
          <w:color w:val="000000"/>
        </w:rPr>
        <w:t xml:space="preserve">  техником  полимеризације (4,46 µm)  био је нешто већи у односу на продор боје код испуна полимеризованих софт старт техником полимеризације (4,27 µm) и нешто мањи у односу на продор боје код испуна полимеризованих  пулсном техником полимеризације (5,54 µm). Статистичка анализа није указала на значајне разлике у линеарном продору боје у зависности од технике полимеризације (p=0,057), иако су вриједности линеарног продора боје код софт старт технике биле нешто ниже него код пулсне и класичне технике полимеризације. (</w:t>
      </w:r>
      <w:proofErr w:type="gramStart"/>
      <w:r w:rsidR="00F51B77" w:rsidRPr="005D05B7">
        <w:rPr>
          <w:rFonts w:ascii="Times New Roman" w:eastAsia="Times New Roman" w:hAnsi="Times New Roman" w:cs="Times New Roman"/>
          <w:color w:val="000000"/>
        </w:rPr>
        <w:t>табела</w:t>
      </w:r>
      <w:proofErr w:type="gramEnd"/>
      <w:r w:rsidR="00F51B77" w:rsidRPr="005D05B7">
        <w:rPr>
          <w:rFonts w:ascii="Times New Roman" w:eastAsia="Times New Roman" w:hAnsi="Times New Roman" w:cs="Times New Roman"/>
          <w:color w:val="000000"/>
        </w:rPr>
        <w:t xml:space="preserve"> 1, графикон 1)</w:t>
      </w:r>
    </w:p>
    <w:p w:rsidR="00517A86" w:rsidRPr="00517A86" w:rsidRDefault="00517A86" w:rsidP="00B224DD">
      <w:pPr>
        <w:autoSpaceDE w:val="0"/>
        <w:autoSpaceDN w:val="0"/>
        <w:adjustRightInd w:val="0"/>
        <w:spacing w:after="0" w:line="240" w:lineRule="auto"/>
        <w:jc w:val="both"/>
        <w:rPr>
          <w:rFonts w:ascii="Times New Roman" w:eastAsia="Times New Roman" w:hAnsi="Times New Roman" w:cs="Times New Roman"/>
          <w:color w:val="000000"/>
          <w:lang w:val="sr-Cyrl-RS"/>
        </w:rPr>
      </w:pPr>
    </w:p>
    <w:p w:rsidR="004E1B7C" w:rsidRPr="00517A86" w:rsidRDefault="00A50DE9" w:rsidP="004E1B7C">
      <w:pPr>
        <w:spacing w:after="0" w:line="240" w:lineRule="auto"/>
        <w:rPr>
          <w:rFonts w:ascii="Times New Roman" w:eastAsia="Times New Roman" w:hAnsi="Times New Roman" w:cs="Times New Roman"/>
          <w:i/>
          <w:color w:val="000000"/>
          <w:sz w:val="20"/>
          <w:szCs w:val="20"/>
          <w:lang w:val="it-IT"/>
        </w:rPr>
      </w:pPr>
      <w:r w:rsidRPr="00517A86">
        <w:rPr>
          <w:rFonts w:ascii="Times New Roman" w:eastAsia="Times New Roman" w:hAnsi="Times New Roman" w:cs="Times New Roman"/>
          <w:i/>
          <w:color w:val="000000"/>
          <w:sz w:val="20"/>
          <w:szCs w:val="20"/>
          <w:lang w:val="it-IT"/>
        </w:rPr>
        <w:lastRenderedPageBreak/>
        <w:t xml:space="preserve">Табела 2. Укупан линеарни продор боје (µm) у односу на материјал  </w:t>
      </w:r>
    </w:p>
    <w:p w:rsidR="00A50DE9" w:rsidRPr="005D05B7" w:rsidRDefault="00A50DE9" w:rsidP="004E1B7C">
      <w:pPr>
        <w:spacing w:after="0" w:line="240" w:lineRule="auto"/>
        <w:rPr>
          <w:rFonts w:ascii="Times New Roman" w:eastAsia="Times New Roman" w:hAnsi="Times New Roman" w:cs="Times New Roman"/>
          <w:color w:val="000000"/>
          <w:lang w:val="it-IT"/>
        </w:rPr>
      </w:pPr>
    </w:p>
    <w:p w:rsidR="00A50DE9" w:rsidRPr="005D05B7" w:rsidRDefault="00A50DE9" w:rsidP="004E1B7C">
      <w:pPr>
        <w:spacing w:after="0" w:line="240" w:lineRule="auto"/>
        <w:rPr>
          <w:rFonts w:ascii="Times New Roman" w:eastAsia="Times New Roman" w:hAnsi="Times New Roman" w:cs="Times New Roman"/>
          <w:lang w:val="sr-Cyrl-RS"/>
        </w:rPr>
      </w:pPr>
    </w:p>
    <w:tbl>
      <w:tblPr>
        <w:tblW w:w="5760" w:type="dxa"/>
        <w:tblInd w:w="9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93" w:type="dxa"/>
          <w:right w:w="93" w:type="dxa"/>
        </w:tblCellMar>
        <w:tblLook w:val="0000" w:firstRow="0" w:lastRow="0" w:firstColumn="0" w:lastColumn="0" w:noHBand="0" w:noVBand="0"/>
      </w:tblPr>
      <w:tblGrid>
        <w:gridCol w:w="1350"/>
        <w:gridCol w:w="735"/>
        <w:gridCol w:w="735"/>
        <w:gridCol w:w="735"/>
        <w:gridCol w:w="735"/>
        <w:gridCol w:w="735"/>
        <w:gridCol w:w="735"/>
      </w:tblGrid>
      <w:tr w:rsidR="004E1B7C" w:rsidRPr="005D05B7" w:rsidTr="006467F0">
        <w:trPr>
          <w:trHeight w:val="273"/>
        </w:trPr>
        <w:tc>
          <w:tcPr>
            <w:tcW w:w="1296"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rPr>
              <w:t>Ma</w:t>
            </w:r>
            <w:r w:rsidRPr="005D05B7">
              <w:rPr>
                <w:rFonts w:ascii="Times New Roman" w:eastAsia="Times New Roman" w:hAnsi="Times New Roman" w:cs="Times New Roman"/>
                <w:b/>
                <w:color w:val="000000"/>
                <w:lang w:val="sr-Cyrl-RS"/>
              </w:rPr>
              <w:t>теријал</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N</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position w:val="-6"/>
              </w:rPr>
              <w:object w:dxaOrig="200" w:dyaOrig="340">
                <v:shape id="_x0000_i1026" type="#_x0000_t75" style="width:10pt;height:17.55pt" o:ole="">
                  <v:imagedata r:id="rId6" o:title=""/>
                </v:shape>
                <o:OLEObject Type="Embed" ProgID="Equation.3" ShapeID="_x0000_i1026" DrawAspect="Content" ObjectID="_1523168556" r:id="rId9"/>
              </w:objec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SD</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Med</w:t>
            </w:r>
          </w:p>
        </w:tc>
        <w:tc>
          <w:tcPr>
            <w:tcW w:w="705"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w:t>
            </w:r>
            <w:r w:rsidRPr="005D05B7">
              <w:rPr>
                <w:rFonts w:ascii="Times New Roman" w:eastAsia="Times New Roman" w:hAnsi="Times New Roman" w:cs="Times New Roman"/>
                <w:color w:val="000000"/>
                <w:lang w:val="sr-Cyrl-RS"/>
              </w:rPr>
              <w:t>ин</w:t>
            </w:r>
          </w:p>
        </w:tc>
        <w:tc>
          <w:tcPr>
            <w:tcW w:w="705"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Mak</w:t>
            </w:r>
            <w:r w:rsidRPr="005D05B7">
              <w:rPr>
                <w:rFonts w:ascii="Times New Roman" w:eastAsia="Times New Roman" w:hAnsi="Times New Roman" w:cs="Times New Roman"/>
                <w:color w:val="000000"/>
                <w:lang w:val="sr-Cyrl-RS"/>
              </w:rPr>
              <w:t>с</w:t>
            </w:r>
          </w:p>
        </w:tc>
      </w:tr>
      <w:tr w:rsidR="004E1B7C" w:rsidRPr="005D05B7" w:rsidTr="006467F0">
        <w:trPr>
          <w:trHeight w:val="273"/>
        </w:trPr>
        <w:tc>
          <w:tcPr>
            <w:tcW w:w="1296"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b/>
                <w:color w:val="000000"/>
              </w:rPr>
            </w:pPr>
            <w:r w:rsidRPr="005D05B7">
              <w:rPr>
                <w:rFonts w:ascii="Times New Roman" w:eastAsia="Times New Roman" w:hAnsi="Times New Roman" w:cs="Times New Roman"/>
                <w:b/>
                <w:color w:val="000000"/>
              </w:rPr>
              <w:t>Vertise flow</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234</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2.96</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3.88</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1.84</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18.40</w:t>
            </w:r>
          </w:p>
        </w:tc>
      </w:tr>
      <w:tr w:rsidR="004E1B7C" w:rsidRPr="005D05B7" w:rsidTr="006467F0">
        <w:trPr>
          <w:trHeight w:val="273"/>
        </w:trPr>
        <w:tc>
          <w:tcPr>
            <w:tcW w:w="1296"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rPr>
              <w:t xml:space="preserve">Filtek Flow </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234</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6.56</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6.44</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4.60</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r w:rsidR="004E1B7C" w:rsidRPr="005D05B7" w:rsidTr="006467F0">
        <w:trPr>
          <w:trHeight w:val="273"/>
        </w:trPr>
        <w:tc>
          <w:tcPr>
            <w:tcW w:w="1296"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Cyrl-RS"/>
              </w:rPr>
              <w:t>Укупно</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468</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4.76</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5.61</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3.22</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0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bl>
    <w:p w:rsidR="004E1B7C" w:rsidRPr="005D05B7" w:rsidRDefault="004E1B7C" w:rsidP="004E1B7C">
      <w:pPr>
        <w:spacing w:after="0" w:line="240" w:lineRule="auto"/>
        <w:rPr>
          <w:rFonts w:ascii="Times New Roman" w:eastAsia="Times New Roman" w:hAnsi="Times New Roman" w:cs="Times New Roman"/>
          <w:color w:val="000000"/>
        </w:rPr>
      </w:pPr>
    </w:p>
    <w:p w:rsidR="005221C5" w:rsidRPr="005D05B7" w:rsidRDefault="005221C5" w:rsidP="004E1B7C">
      <w:pPr>
        <w:spacing w:after="0" w:line="240" w:lineRule="auto"/>
        <w:rPr>
          <w:rFonts w:ascii="Times New Roman" w:eastAsia="Times New Roman" w:hAnsi="Times New Roman" w:cs="Times New Roman"/>
          <w:color w:val="000000"/>
        </w:rPr>
      </w:pPr>
    </w:p>
    <w:p w:rsidR="007A02CC" w:rsidRPr="005D05B7" w:rsidRDefault="007A02CC" w:rsidP="004E1B7C">
      <w:pPr>
        <w:spacing w:after="0" w:line="240" w:lineRule="auto"/>
        <w:rPr>
          <w:rFonts w:ascii="Times New Roman" w:eastAsia="Times New Roman" w:hAnsi="Times New Roman" w:cs="Times New Roman"/>
          <w:color w:val="000000"/>
          <w:lang w:val="sr-Cyrl-RS"/>
        </w:rPr>
      </w:pPr>
    </w:p>
    <w:p w:rsidR="004E1B7C" w:rsidRPr="005D05B7" w:rsidRDefault="005A3E7E" w:rsidP="004E1B7C">
      <w:pPr>
        <w:spacing w:after="0" w:line="240" w:lineRule="auto"/>
        <w:rPr>
          <w:rFonts w:ascii="Times New Roman" w:eastAsia="Times New Roman" w:hAnsi="Times New Roman" w:cs="Times New Roman"/>
        </w:rPr>
      </w:pPr>
      <w:r w:rsidRPr="005A3E7E">
        <w:rPr>
          <w:rFonts w:ascii="Times New Roman" w:eastAsia="Times New Roman" w:hAnsi="Times New Roman" w:cs="Times New Roman"/>
          <w:noProof/>
        </w:rPr>
        <mc:AlternateContent>
          <mc:Choice Requires="wps">
            <w:drawing>
              <wp:anchor distT="0" distB="0" distL="114300" distR="114300" simplePos="0" relativeHeight="251661312" behindDoc="0" locked="0" layoutInCell="1" allowOverlap="1" wp14:anchorId="5EBCBB1C" wp14:editId="0962F8EB">
                <wp:simplePos x="0" y="0"/>
                <wp:positionH relativeFrom="column">
                  <wp:posOffset>1397442</wp:posOffset>
                </wp:positionH>
                <wp:positionV relativeFrom="paragraph">
                  <wp:posOffset>3171825</wp:posOffset>
                </wp:positionV>
                <wp:extent cx="834390" cy="206375"/>
                <wp:effectExtent l="0" t="0" r="381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206375"/>
                        </a:xfrm>
                        <a:prstGeom prst="rect">
                          <a:avLst/>
                        </a:prstGeom>
                        <a:solidFill>
                          <a:srgbClr val="FFFFFF"/>
                        </a:solidFill>
                        <a:ln w="9525">
                          <a:noFill/>
                          <a:miter lim="800000"/>
                          <a:headEnd/>
                          <a:tailEnd/>
                        </a:ln>
                      </wps:spPr>
                      <wps:txbx>
                        <w:txbxContent>
                          <w:p w:rsidR="005A3E7E" w:rsidRPr="005A3E7E" w:rsidRDefault="005A3E7E" w:rsidP="005A3E7E">
                            <w:pPr>
                              <w:rPr>
                                <w:rFonts w:ascii="Articulate" w:hAnsi="Articulate"/>
                                <w:sz w:val="12"/>
                              </w:rPr>
                            </w:pPr>
                            <w:r>
                              <w:rPr>
                                <w:rFonts w:ascii="Articulate" w:hAnsi="Articulate"/>
                                <w:sz w:val="12"/>
                              </w:rPr>
                              <w:t>Vertise</w:t>
                            </w:r>
                            <w:r w:rsidRPr="005A3E7E">
                              <w:rPr>
                                <w:rFonts w:ascii="Articulate" w:hAnsi="Articulate"/>
                                <w:sz w:val="12"/>
                              </w:rPr>
                              <w:t xml:space="preserve"> flow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0.05pt;margin-top:249.75pt;width:65.7pt;height:1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4LUHQIAABoEAAAOAAAAZHJzL2Uyb0RvYy54bWysU9tu2zAMfR+wfxD0vthxkrYx4hRdugwD&#10;ugvQ7gNoWY6FyaImKbG7rx+lpGmwvQ3TgyCK5NHhIbW6HXvNDtJ5habi00nOmTQCG2V2Ff/+tH13&#10;w5kPYBrQaGTFn6Xnt+u3b1aDLWWBHepGOkYgxpeDrXgXgi2zzItO9uAnaKUhZ4uuh0Cm22WNg4HQ&#10;e50VeX6VDega61BI7+n2/ujk64TftlKEr23rZWC64sQtpN2lvY57tl5BuXNgOyVONOAfWPSgDD16&#10;hrqHAGzv1F9QvRIOPbZhIrDPsG2VkKkGqmaa/1HNYwdWplpIHG/PMvn/Byu+HL45phrqHWcGemrR&#10;kxwDe48jK6I6g/UlBT1aCgsjXcfIWKm3Dyh+eGZw04HZyTvncOgkNMRuGjOzi9Qjjo8g9fAZG3oG&#10;9gET0Ni6PgKSGIzQqUvP585EKoIub2bz2ZI8glxFfjW7XqQXoHxJts6HjxJ7Fg8Vd9T4BA6HBx8i&#10;GShfQhJ51KrZKq2T4Xb1Rjt2ABqSbVondH8Zpg0bKr5cFIuEbDDmp/npVaAh1qononlcMR3KKMYH&#10;06RzAKWPZ2KizUmdKMhRmjDWIwVGyWpsnkknh8dhpc9Fhw7dL84GGtSK+597cJIz/cmQ1svpfB4n&#10;OxnzxXVBhrv01JceMIKgKh44Ox43If2GyNfgHfWkVUmvVyYnrjSAScbTZ4kTfmmnqNcvvf4NAAD/&#10;/wMAUEsDBBQABgAIAAAAIQDzPBgr4AAAAAsBAAAPAAAAZHJzL2Rvd25yZXYueG1sTI/BToNAEIbv&#10;Jr7DZky8GLtAS1soQ6MmGq+tfYCFnQKRnSXsttC3dz3pbSbz5Z/vL/az6cWVRtdZRogXEQji2uqO&#10;G4TT1/vzFoTzirXqLRPCjRzsy/u7QuXaTnyg69E3IoSwyxVC6/2QS+nqloxyCzsQh9vZjkb5sI6N&#10;1KOaQrjpZRJFa2lUx+FDqwZ6a6n+Pl4Mwvlzekqzqfrwp81htX5V3aayN8THh/llB8LT7P9g+NUP&#10;6lAGp8peWDvRIyRJFAcUYZVlKYhALNM4DBVCukwikGUh/3cofwAAAP//AwBQSwECLQAUAAYACAAA&#10;ACEAtoM4kv4AAADhAQAAEwAAAAAAAAAAAAAAAAAAAAAAW0NvbnRlbnRfVHlwZXNdLnhtbFBLAQIt&#10;ABQABgAIAAAAIQA4/SH/1gAAAJQBAAALAAAAAAAAAAAAAAAAAC8BAABfcmVscy8ucmVsc1BLAQIt&#10;ABQABgAIAAAAIQBEb4LUHQIAABoEAAAOAAAAAAAAAAAAAAAAAC4CAABkcnMvZTJvRG9jLnhtbFBL&#10;AQItABQABgAIAAAAIQDzPBgr4AAAAAsBAAAPAAAAAAAAAAAAAAAAAHcEAABkcnMvZG93bnJldi54&#10;bWxQSwUGAAAAAAQABADzAAAAhAUAAAAA&#10;" stroked="f">
                <v:textbox>
                  <w:txbxContent>
                    <w:p w:rsidR="005A3E7E" w:rsidRPr="005A3E7E" w:rsidRDefault="005A3E7E" w:rsidP="005A3E7E">
                      <w:pPr>
                        <w:rPr>
                          <w:rFonts w:ascii="Articulate" w:hAnsi="Articulate"/>
                          <w:sz w:val="12"/>
                        </w:rPr>
                      </w:pPr>
                      <w:r>
                        <w:rPr>
                          <w:rFonts w:ascii="Articulate" w:hAnsi="Articulate"/>
                          <w:sz w:val="12"/>
                        </w:rPr>
                        <w:t>Vertise</w:t>
                      </w:r>
                      <w:r w:rsidRPr="005A3E7E">
                        <w:rPr>
                          <w:rFonts w:ascii="Articulate" w:hAnsi="Articulate"/>
                          <w:sz w:val="12"/>
                        </w:rPr>
                        <w:t xml:space="preserve"> flow</w:t>
                      </w:r>
                    </w:p>
                  </w:txbxContent>
                </v:textbox>
              </v:shape>
            </w:pict>
          </mc:Fallback>
        </mc:AlternateContent>
      </w:r>
      <w:r w:rsidRPr="005A3E7E">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4AE5DAF3" wp14:editId="6F0D8241">
                <wp:simplePos x="0" y="0"/>
                <wp:positionH relativeFrom="column">
                  <wp:posOffset>3392391</wp:posOffset>
                </wp:positionH>
                <wp:positionV relativeFrom="paragraph">
                  <wp:posOffset>3163570</wp:posOffset>
                </wp:positionV>
                <wp:extent cx="834887" cy="206734"/>
                <wp:effectExtent l="0" t="0" r="381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887" cy="206734"/>
                        </a:xfrm>
                        <a:prstGeom prst="rect">
                          <a:avLst/>
                        </a:prstGeom>
                        <a:solidFill>
                          <a:srgbClr val="FFFFFF"/>
                        </a:solidFill>
                        <a:ln w="9525">
                          <a:noFill/>
                          <a:miter lim="800000"/>
                          <a:headEnd/>
                          <a:tailEnd/>
                        </a:ln>
                      </wps:spPr>
                      <wps:txbx>
                        <w:txbxContent>
                          <w:p w:rsidR="005A3E7E" w:rsidRPr="005A3E7E" w:rsidRDefault="005A3E7E">
                            <w:pPr>
                              <w:rPr>
                                <w:rFonts w:ascii="Articulate" w:hAnsi="Articulate"/>
                                <w:sz w:val="12"/>
                              </w:rPr>
                            </w:pPr>
                            <w:r w:rsidRPr="005A3E7E">
                              <w:rPr>
                                <w:rFonts w:ascii="Articulate" w:hAnsi="Articulate"/>
                                <w:sz w:val="12"/>
                              </w:rPr>
                              <w:t>Filtek flow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67.1pt;margin-top:249.1pt;width:65.75pt;height:1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rR1IwIAACM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YVneXXlBim&#10;sUlPYgjkPQykiPr01pcY9mgxMAx4jX1OtXr7APyHJwY2HTM7cecc9J1gDfKbxszsInXE8RGk7j9D&#10;g8+wfYAENLROR/FQDoLo2KfjuTeRCsfL5Wy+XCJDjq4iv7qezdMLrHxJts6HjwI0iYeKOmx9AmeH&#10;Bx8iGVa+hMS3PCjZbKVSyXC7eqMcOTAck21aJ/TfwpQhfUVvFsUiIRuI+WmCtAw4xkpqJJrHFdNZ&#10;GcX4YJp0Dkyq8YxMlDmpEwUZpQlDPaRGJOmicjU0R5TLwTi1+Mvw0IH7RUmPE1tR/3PPnKBEfTIo&#10;+c10Po8jnoz54rpAw1166ksPMxyhKhooGY+bkL5FpG3gDlvTyiTbK5MTZZzEpObp18RRv7RT1Ovf&#10;Xj8DAAD//wMAUEsDBBQABgAIAAAAIQDmnwWt3wAAAAsBAAAPAAAAZHJzL2Rvd25yZXYueG1sTI/L&#10;TsMwEEX3SPyDNUhsEHUoeTXEqQAJxLalH+DE0yQiHkex26R/z3QFuxndoztnyu1iB3HGyfeOFDyt&#10;IhBIjTM9tQoO3x+POQgfNBk9OEIFF/SwrW5vSl0YN9MOz/vQCi4hX2gFXQhjIaVvOrTar9yIxNnR&#10;TVYHXqdWmknPXG4HuY6iVFrdE1/o9IjvHTY/+5NVcPyaH5LNXH+GQ7aL0zfdZ7W7KHV/t7y+gAi4&#10;hD8YrvqsDhU71e5ExotBQfIcrxlVEG9yHphI0yQDUV+jKAdZlfL/D9UvAAAA//8DAFBLAQItABQA&#10;BgAIAAAAIQC2gziS/gAAAOEBAAATAAAAAAAAAAAAAAAAAAAAAABbQ29udGVudF9UeXBlc10ueG1s&#10;UEsBAi0AFAAGAAgAAAAhADj9If/WAAAAlAEAAAsAAAAAAAAAAAAAAAAALwEAAF9yZWxzLy5yZWxz&#10;UEsBAi0AFAAGAAgAAAAhAMzutHUjAgAAIwQAAA4AAAAAAAAAAAAAAAAALgIAAGRycy9lMm9Eb2Mu&#10;eG1sUEsBAi0AFAAGAAgAAAAhAOafBa3fAAAACwEAAA8AAAAAAAAAAAAAAAAAfQQAAGRycy9kb3du&#10;cmV2LnhtbFBLBQYAAAAABAAEAPMAAACJBQAAAAA=&#10;" stroked="f">
                <v:textbox>
                  <w:txbxContent>
                    <w:p w:rsidR="005A3E7E" w:rsidRPr="005A3E7E" w:rsidRDefault="005A3E7E">
                      <w:pPr>
                        <w:rPr>
                          <w:rFonts w:ascii="Articulate" w:hAnsi="Articulate"/>
                          <w:sz w:val="12"/>
                        </w:rPr>
                      </w:pPr>
                      <w:r w:rsidRPr="005A3E7E">
                        <w:rPr>
                          <w:rFonts w:ascii="Articulate" w:hAnsi="Articulate"/>
                          <w:sz w:val="12"/>
                        </w:rPr>
                        <w:t>Filtek flow</w:t>
                      </w:r>
                    </w:p>
                  </w:txbxContent>
                </v:textbox>
              </v:shape>
            </w:pict>
          </mc:Fallback>
        </mc:AlternateContent>
      </w:r>
      <w:r w:rsidR="002B2EF0" w:rsidRPr="005D05B7">
        <w:rPr>
          <w:rFonts w:ascii="Times New Roman" w:eastAsia="Times New Roman" w:hAnsi="Times New Roman" w:cs="Times New Roman"/>
          <w:noProof/>
        </w:rPr>
        <w:drawing>
          <wp:inline distT="0" distB="0" distL="0" distR="0" wp14:anchorId="744AD99E" wp14:editId="768B72B7">
            <wp:extent cx="4929505" cy="349059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25545"/>
                    <a:stretch>
                      <a:fillRect/>
                    </a:stretch>
                  </pic:blipFill>
                  <pic:spPr bwMode="auto">
                    <a:xfrm>
                      <a:off x="0" y="0"/>
                      <a:ext cx="4929505" cy="3490595"/>
                    </a:xfrm>
                    <a:prstGeom prst="rect">
                      <a:avLst/>
                    </a:prstGeom>
                    <a:noFill/>
                    <a:ln>
                      <a:noFill/>
                    </a:ln>
                  </pic:spPr>
                </pic:pic>
              </a:graphicData>
            </a:graphic>
          </wp:inline>
        </w:drawing>
      </w:r>
    </w:p>
    <w:p w:rsidR="00030923" w:rsidRPr="005D05B7" w:rsidRDefault="00030923" w:rsidP="004E1B7C">
      <w:pPr>
        <w:spacing w:after="0" w:line="360" w:lineRule="auto"/>
        <w:jc w:val="both"/>
        <w:rPr>
          <w:rFonts w:ascii="Times New Roman" w:eastAsia="Times New Roman" w:hAnsi="Times New Roman" w:cs="Times New Roman"/>
          <w:lang w:val="sr-Cyrl-RS"/>
        </w:rPr>
      </w:pPr>
    </w:p>
    <w:p w:rsidR="00517A86" w:rsidRPr="00517A86" w:rsidRDefault="00517A86" w:rsidP="00517A86">
      <w:pPr>
        <w:spacing w:after="0" w:line="240" w:lineRule="auto"/>
        <w:jc w:val="center"/>
        <w:rPr>
          <w:rFonts w:ascii="Times New Roman" w:eastAsia="Times New Roman" w:hAnsi="Times New Roman" w:cs="Times New Roman"/>
          <w:i/>
          <w:sz w:val="20"/>
          <w:szCs w:val="20"/>
          <w:lang w:val="sr-Latn-CS"/>
        </w:rPr>
      </w:pPr>
      <w:r w:rsidRPr="00517A86">
        <w:rPr>
          <w:rFonts w:ascii="Times New Roman" w:eastAsia="Times New Roman" w:hAnsi="Times New Roman" w:cs="Times New Roman"/>
          <w:i/>
          <w:color w:val="000000"/>
          <w:sz w:val="20"/>
          <w:szCs w:val="20"/>
          <w:lang w:val="it-IT"/>
        </w:rPr>
        <w:t>Графикон 2. Графички приказ  линеарног продора  боје (µ</w:t>
      </w:r>
      <w:r w:rsidRPr="00517A86">
        <w:rPr>
          <w:rFonts w:ascii="Times New Roman" w:eastAsia="Times New Roman" w:hAnsi="Times New Roman" w:cs="Times New Roman"/>
          <w:i/>
          <w:color w:val="000000"/>
          <w:sz w:val="20"/>
          <w:szCs w:val="20"/>
          <w:lang w:val="sr-Latn-RS"/>
        </w:rPr>
        <w:t>m</w:t>
      </w:r>
      <w:r w:rsidRPr="00517A86">
        <w:rPr>
          <w:rFonts w:ascii="Times New Roman" w:eastAsia="Times New Roman" w:hAnsi="Times New Roman" w:cs="Times New Roman"/>
          <w:i/>
          <w:color w:val="000000"/>
          <w:sz w:val="20"/>
          <w:szCs w:val="20"/>
          <w:lang w:val="it-IT"/>
        </w:rPr>
        <w:t>) у односу на материјал</w:t>
      </w:r>
    </w:p>
    <w:p w:rsidR="00A50DE9" w:rsidRPr="005D05B7" w:rsidRDefault="00A50DE9" w:rsidP="004E1B7C">
      <w:pPr>
        <w:spacing w:after="0" w:line="360" w:lineRule="auto"/>
        <w:jc w:val="both"/>
        <w:rPr>
          <w:rFonts w:ascii="Times New Roman" w:eastAsia="Times New Roman" w:hAnsi="Times New Roman" w:cs="Times New Roman"/>
          <w:lang w:val="sr-Latn-CS"/>
        </w:rPr>
      </w:pPr>
    </w:p>
    <w:p w:rsidR="00A50DE9" w:rsidRPr="005D05B7" w:rsidRDefault="00A50DE9" w:rsidP="004E1B7C">
      <w:pPr>
        <w:spacing w:after="0" w:line="240" w:lineRule="auto"/>
        <w:rPr>
          <w:rFonts w:ascii="Times New Roman" w:eastAsia="Times New Roman" w:hAnsi="Times New Roman" w:cs="Times New Roman"/>
          <w:lang w:val="sr-Cyrl-RS"/>
        </w:rPr>
      </w:pPr>
      <w:r w:rsidRPr="005D05B7">
        <w:rPr>
          <w:rFonts w:ascii="Times New Roman" w:eastAsia="Times New Roman" w:hAnsi="Times New Roman" w:cs="Times New Roman"/>
          <w:lang w:val="sr-Latn-CS"/>
        </w:rPr>
        <w:t>Укупан просјечан линеарни продор боје зуба за Vertise flow</w:t>
      </w:r>
      <w:r w:rsidR="002B2EF0" w:rsidRPr="005D05B7">
        <w:rPr>
          <w:rFonts w:ascii="Times New Roman" w:eastAsia="Times New Roman" w:hAnsi="Times New Roman" w:cs="Times New Roman"/>
          <w:lang w:val="sr-Latn-CS"/>
        </w:rPr>
        <w:t xml:space="preserve"> </w:t>
      </w:r>
      <w:r w:rsidRPr="005D05B7">
        <w:rPr>
          <w:rFonts w:ascii="Times New Roman" w:eastAsia="Times New Roman" w:hAnsi="Times New Roman" w:cs="Times New Roman"/>
          <w:lang w:val="sr-Latn-CS"/>
        </w:rPr>
        <w:t>је био нешто мањи (2,96 µm), него за композитни материјал  Filtek flow (6,56 µm). Разлика у добијеним вриједностима између ова два материјала је била високо статистички значајна. (p&lt;0,001). (табела 2, графикон 2)</w:t>
      </w:r>
    </w:p>
    <w:p w:rsidR="00A50DE9" w:rsidRPr="005D05B7" w:rsidRDefault="00A50DE9" w:rsidP="004E1B7C">
      <w:pPr>
        <w:spacing w:after="0" w:line="240" w:lineRule="auto"/>
        <w:rPr>
          <w:rFonts w:ascii="Times New Roman" w:eastAsia="Times New Roman" w:hAnsi="Times New Roman" w:cs="Times New Roman"/>
          <w:lang w:val="sr-Cyrl-RS"/>
        </w:rPr>
      </w:pPr>
    </w:p>
    <w:p w:rsidR="00030923" w:rsidRPr="005D05B7" w:rsidRDefault="00030923" w:rsidP="004E1B7C">
      <w:pPr>
        <w:spacing w:after="0" w:line="240" w:lineRule="auto"/>
        <w:rPr>
          <w:rFonts w:ascii="Times New Roman" w:eastAsia="Times New Roman" w:hAnsi="Times New Roman" w:cs="Times New Roman"/>
          <w:lang w:val="sr-Cyrl-RS"/>
        </w:rPr>
      </w:pPr>
    </w:p>
    <w:p w:rsidR="004E1B7C" w:rsidRPr="00517A86" w:rsidRDefault="00A50DE9" w:rsidP="004E1B7C">
      <w:pPr>
        <w:spacing w:after="0" w:line="240" w:lineRule="auto"/>
        <w:rPr>
          <w:rFonts w:ascii="Times New Roman" w:eastAsia="Times New Roman" w:hAnsi="Times New Roman" w:cs="Times New Roman"/>
          <w:i/>
          <w:color w:val="000000"/>
          <w:sz w:val="20"/>
          <w:szCs w:val="20"/>
          <w:lang w:val="it-IT"/>
        </w:rPr>
      </w:pPr>
      <w:r w:rsidRPr="00517A86">
        <w:rPr>
          <w:rFonts w:ascii="Times New Roman" w:eastAsia="Times New Roman" w:hAnsi="Times New Roman" w:cs="Times New Roman"/>
          <w:i/>
          <w:color w:val="000000"/>
          <w:sz w:val="20"/>
          <w:szCs w:val="20"/>
          <w:lang w:val="it-IT"/>
        </w:rPr>
        <w:t xml:space="preserve">Табела 3. Укупан линеарни продор боје (µm) оклузално и гингивално  </w:t>
      </w:r>
    </w:p>
    <w:p w:rsidR="00A50DE9" w:rsidRPr="005D05B7" w:rsidRDefault="00A50DE9" w:rsidP="004E1B7C">
      <w:pPr>
        <w:spacing w:after="0" w:line="240" w:lineRule="auto"/>
        <w:rPr>
          <w:rFonts w:ascii="Times New Roman" w:eastAsia="Times New Roman" w:hAnsi="Times New Roman" w:cs="Times New Roman"/>
          <w:lang w:val="sr-Latn-CS"/>
        </w:rPr>
      </w:pPr>
    </w:p>
    <w:tbl>
      <w:tblPr>
        <w:tblW w:w="5760" w:type="dxa"/>
        <w:tblInd w:w="9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93" w:type="dxa"/>
          <w:right w:w="93" w:type="dxa"/>
        </w:tblCellMar>
        <w:tblLook w:val="0000" w:firstRow="0" w:lastRow="0" w:firstColumn="0" w:lastColumn="0" w:noHBand="0" w:noVBand="0"/>
      </w:tblPr>
      <w:tblGrid>
        <w:gridCol w:w="1350"/>
        <w:gridCol w:w="735"/>
        <w:gridCol w:w="735"/>
        <w:gridCol w:w="735"/>
        <w:gridCol w:w="735"/>
        <w:gridCol w:w="735"/>
        <w:gridCol w:w="735"/>
      </w:tblGrid>
      <w:tr w:rsidR="004E1B7C" w:rsidRPr="005D05B7" w:rsidTr="006467F0">
        <w:trPr>
          <w:trHeight w:val="273"/>
        </w:trPr>
        <w:tc>
          <w:tcPr>
            <w:tcW w:w="1350"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t>Продор боје</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N</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position w:val="-6"/>
              </w:rPr>
              <w:object w:dxaOrig="200" w:dyaOrig="340">
                <v:shape id="_x0000_i1027" type="#_x0000_t75" style="width:10pt;height:17.55pt" o:ole="">
                  <v:imagedata r:id="rId6" o:title=""/>
                </v:shape>
                <o:OLEObject Type="Embed" ProgID="Equation.3" ShapeID="_x0000_i1027" DrawAspect="Content" ObjectID="_1523168557" r:id="rId11"/>
              </w:objec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SD</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Med</w:t>
            </w:r>
          </w:p>
        </w:tc>
        <w:tc>
          <w:tcPr>
            <w:tcW w:w="735"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w:t>
            </w:r>
            <w:r w:rsidRPr="005D05B7">
              <w:rPr>
                <w:rFonts w:ascii="Times New Roman" w:eastAsia="Times New Roman" w:hAnsi="Times New Roman" w:cs="Times New Roman"/>
                <w:color w:val="000000"/>
                <w:lang w:val="sr-Cyrl-RS"/>
              </w:rPr>
              <w:t>ин</w:t>
            </w:r>
          </w:p>
        </w:tc>
        <w:tc>
          <w:tcPr>
            <w:tcW w:w="735"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rPr>
              <w:t>Ma</w:t>
            </w:r>
            <w:r w:rsidRPr="005D05B7">
              <w:rPr>
                <w:rFonts w:ascii="Times New Roman" w:eastAsia="Times New Roman" w:hAnsi="Times New Roman" w:cs="Times New Roman"/>
                <w:color w:val="000000"/>
                <w:lang w:val="sr-Cyrl-RS"/>
              </w:rPr>
              <w:t>кс</w:t>
            </w:r>
          </w:p>
        </w:tc>
      </w:tr>
      <w:tr w:rsidR="004E1B7C" w:rsidRPr="005D05B7" w:rsidTr="006467F0">
        <w:trPr>
          <w:trHeight w:val="273"/>
        </w:trPr>
        <w:tc>
          <w:tcPr>
            <w:tcW w:w="1350"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rPr>
              <w:t>Ok</w:t>
            </w:r>
            <w:r w:rsidRPr="005D05B7">
              <w:rPr>
                <w:rFonts w:ascii="Times New Roman" w:eastAsia="Times New Roman" w:hAnsi="Times New Roman" w:cs="Times New Roman"/>
                <w:b/>
                <w:color w:val="000000"/>
                <w:lang w:val="sr-Cyrl-RS"/>
              </w:rPr>
              <w:t>лузално</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234</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2.94</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14.95</w:t>
            </w:r>
          </w:p>
        </w:tc>
      </w:tr>
      <w:tr w:rsidR="004E1B7C" w:rsidRPr="005D05B7" w:rsidTr="006467F0">
        <w:trPr>
          <w:trHeight w:val="273"/>
        </w:trPr>
        <w:tc>
          <w:tcPr>
            <w:tcW w:w="1350"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t>гингивално</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234</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6.77</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6.80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4.60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r w:rsidR="004E1B7C" w:rsidRPr="005D05B7" w:rsidTr="006467F0">
        <w:trPr>
          <w:trHeight w:val="273"/>
        </w:trPr>
        <w:tc>
          <w:tcPr>
            <w:tcW w:w="1350" w:type="dxa"/>
            <w:shd w:val="clear" w:color="000000" w:fill="FFFFFF"/>
            <w:vAlign w:val="center"/>
          </w:tcPr>
          <w:p w:rsidR="004E1B7C" w:rsidRPr="005D05B7" w:rsidRDefault="00A50DE9" w:rsidP="004E1B7C">
            <w:pPr>
              <w:widowControl w:val="0"/>
              <w:autoSpaceDE w:val="0"/>
              <w:autoSpaceDN w:val="0"/>
              <w:adjustRightInd w:val="0"/>
              <w:spacing w:after="0" w:line="240" w:lineRule="auto"/>
              <w:jc w:val="center"/>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t>Укупно</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468</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4.76</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5.61</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3.22</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.00</w:t>
            </w:r>
          </w:p>
        </w:tc>
        <w:tc>
          <w:tcPr>
            <w:tcW w:w="735" w:type="dxa"/>
            <w:shd w:val="clear" w:color="000000" w:fill="FFFFFF"/>
            <w:vAlign w:val="center"/>
          </w:tcPr>
          <w:p w:rsidR="004E1B7C" w:rsidRPr="005D05B7" w:rsidRDefault="004E1B7C" w:rsidP="004E1B7C">
            <w:pPr>
              <w:widowControl w:val="0"/>
              <w:autoSpaceDE w:val="0"/>
              <w:autoSpaceDN w:val="0"/>
              <w:adjustRightInd w:val="0"/>
              <w:spacing w:after="0" w:line="240" w:lineRule="auto"/>
              <w:jc w:val="center"/>
              <w:rPr>
                <w:rFonts w:ascii="Times New Roman" w:eastAsia="Times New Roman" w:hAnsi="Times New Roman" w:cs="Times New Roman"/>
                <w:color w:val="000000"/>
              </w:rPr>
            </w:pPr>
            <w:r w:rsidRPr="005D05B7">
              <w:rPr>
                <w:rFonts w:ascii="Times New Roman" w:eastAsia="Times New Roman" w:hAnsi="Times New Roman" w:cs="Times New Roman"/>
                <w:color w:val="000000"/>
              </w:rPr>
              <w:t>27.60</w:t>
            </w:r>
          </w:p>
        </w:tc>
      </w:tr>
    </w:tbl>
    <w:p w:rsidR="007A02CC" w:rsidRPr="00B224DD" w:rsidRDefault="007A02CC" w:rsidP="004E1B7C">
      <w:pPr>
        <w:tabs>
          <w:tab w:val="center" w:pos="1872"/>
        </w:tabs>
        <w:autoSpaceDE w:val="0"/>
        <w:autoSpaceDN w:val="0"/>
        <w:adjustRightInd w:val="0"/>
        <w:spacing w:after="0" w:line="240" w:lineRule="auto"/>
        <w:rPr>
          <w:rFonts w:ascii="Times New Roman" w:eastAsia="Times New Roman" w:hAnsi="Times New Roman" w:cs="Times New Roman"/>
          <w:bCs/>
          <w:color w:val="000000"/>
          <w:lang w:val="sr-Cyrl-RS"/>
        </w:rPr>
      </w:pPr>
    </w:p>
    <w:p w:rsidR="00A50DE9" w:rsidRPr="005D05B7" w:rsidRDefault="00A50DE9" w:rsidP="004E1B7C">
      <w:pPr>
        <w:spacing w:after="0" w:line="240" w:lineRule="auto"/>
        <w:rPr>
          <w:rFonts w:ascii="Times New Roman" w:eastAsia="Times New Roman" w:hAnsi="Times New Roman" w:cs="Times New Roman"/>
          <w:noProof/>
          <w:lang w:val="sr-Cyrl-RS"/>
        </w:rPr>
      </w:pPr>
    </w:p>
    <w:p w:rsidR="004E1B7C" w:rsidRPr="005D05B7" w:rsidRDefault="00A50DE9" w:rsidP="004E1B7C">
      <w:pPr>
        <w:spacing w:after="0" w:line="240" w:lineRule="auto"/>
        <w:rPr>
          <w:rFonts w:ascii="Times New Roman" w:eastAsia="Times New Roman" w:hAnsi="Times New Roman" w:cs="Times New Roman"/>
          <w:lang w:val="sr-Cyrl-RS"/>
        </w:rPr>
      </w:pPr>
      <w:r w:rsidRPr="005D05B7">
        <w:rPr>
          <w:rFonts w:ascii="Times New Roman" w:eastAsia="Times New Roman" w:hAnsi="Times New Roman" w:cs="Times New Roman"/>
          <w:noProof/>
        </w:rPr>
        <w:drawing>
          <wp:inline distT="0" distB="0" distL="0" distR="0" wp14:anchorId="4B4AF5E0" wp14:editId="15C76B3E">
            <wp:extent cx="4881880" cy="35223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b="25243"/>
                    <a:stretch>
                      <a:fillRect/>
                    </a:stretch>
                  </pic:blipFill>
                  <pic:spPr bwMode="auto">
                    <a:xfrm>
                      <a:off x="0" y="0"/>
                      <a:ext cx="4881880" cy="3522345"/>
                    </a:xfrm>
                    <a:prstGeom prst="rect">
                      <a:avLst/>
                    </a:prstGeom>
                    <a:noFill/>
                    <a:ln>
                      <a:noFill/>
                    </a:ln>
                  </pic:spPr>
                </pic:pic>
              </a:graphicData>
            </a:graphic>
          </wp:inline>
        </w:drawing>
      </w:r>
    </w:p>
    <w:p w:rsidR="00517A86" w:rsidRPr="00517A86" w:rsidRDefault="00517A86" w:rsidP="00517A86">
      <w:pPr>
        <w:tabs>
          <w:tab w:val="center" w:pos="1872"/>
        </w:tabs>
        <w:autoSpaceDE w:val="0"/>
        <w:autoSpaceDN w:val="0"/>
        <w:adjustRightInd w:val="0"/>
        <w:spacing w:after="0" w:line="240" w:lineRule="auto"/>
        <w:jc w:val="center"/>
        <w:rPr>
          <w:rFonts w:ascii="Times New Roman" w:eastAsia="Times New Roman" w:hAnsi="Times New Roman" w:cs="Times New Roman"/>
          <w:bCs/>
          <w:i/>
          <w:color w:val="000000"/>
          <w:sz w:val="20"/>
          <w:szCs w:val="20"/>
          <w:lang w:val="sr-Latn-CS"/>
        </w:rPr>
      </w:pPr>
      <w:r w:rsidRPr="00517A86">
        <w:rPr>
          <w:rFonts w:ascii="Times New Roman" w:eastAsia="Times New Roman" w:hAnsi="Times New Roman" w:cs="Times New Roman"/>
          <w:i/>
          <w:color w:val="000000"/>
          <w:sz w:val="20"/>
          <w:szCs w:val="20"/>
          <w:lang w:val="it-IT"/>
        </w:rPr>
        <w:t>Графикон 3. Графички приказ  линеарног  продора боје (µ</w:t>
      </w:r>
      <w:r w:rsidRPr="00517A86">
        <w:rPr>
          <w:rFonts w:ascii="Times New Roman" w:eastAsia="Times New Roman" w:hAnsi="Times New Roman" w:cs="Times New Roman"/>
          <w:i/>
          <w:color w:val="000000"/>
          <w:sz w:val="20"/>
          <w:szCs w:val="20"/>
          <w:lang w:val="sr-Latn-RS"/>
        </w:rPr>
        <w:t>m</w:t>
      </w:r>
      <w:r w:rsidRPr="00517A86">
        <w:rPr>
          <w:rFonts w:ascii="Times New Roman" w:eastAsia="Times New Roman" w:hAnsi="Times New Roman" w:cs="Times New Roman"/>
          <w:i/>
          <w:color w:val="000000"/>
          <w:sz w:val="20"/>
          <w:szCs w:val="20"/>
          <w:lang w:val="it-IT"/>
        </w:rPr>
        <w:t>) оклузално и гингивално</w:t>
      </w:r>
    </w:p>
    <w:p w:rsidR="004E1B7C" w:rsidRPr="00B224DD" w:rsidRDefault="004E1B7C" w:rsidP="004E1B7C">
      <w:pPr>
        <w:spacing w:after="0" w:line="360" w:lineRule="auto"/>
        <w:jc w:val="both"/>
        <w:rPr>
          <w:rFonts w:ascii="Times New Roman" w:eastAsia="Times New Roman" w:hAnsi="Times New Roman" w:cs="Times New Roman"/>
          <w:lang w:val="sr-Cyrl-RS"/>
        </w:rPr>
      </w:pPr>
    </w:p>
    <w:p w:rsidR="00E3708E" w:rsidRPr="005D05B7" w:rsidRDefault="004E1B7C" w:rsidP="007A02CC">
      <w:pPr>
        <w:spacing w:after="0" w:line="240" w:lineRule="auto"/>
        <w:jc w:val="both"/>
        <w:rPr>
          <w:rFonts w:ascii="Times New Roman" w:eastAsia="Times New Roman" w:hAnsi="Times New Roman" w:cs="Times New Roman"/>
          <w:lang w:val="sr-Cyrl-RS"/>
        </w:rPr>
      </w:pPr>
      <w:r w:rsidRPr="005D05B7">
        <w:rPr>
          <w:rFonts w:ascii="Times New Roman" w:eastAsia="Times New Roman" w:hAnsi="Times New Roman" w:cs="Times New Roman"/>
          <w:lang w:val="sr-Latn-CS"/>
        </w:rPr>
        <w:tab/>
      </w:r>
      <w:r w:rsidR="00030923" w:rsidRPr="005D05B7">
        <w:rPr>
          <w:rFonts w:ascii="Times New Roman" w:eastAsia="Times New Roman" w:hAnsi="Times New Roman" w:cs="Times New Roman"/>
          <w:lang w:val="sr-Latn-CS"/>
        </w:rPr>
        <w:t xml:space="preserve">Укупна анализа просјечног линеарног продора боје код </w:t>
      </w:r>
      <w:r w:rsidR="00030923" w:rsidRPr="005D05B7">
        <w:rPr>
          <w:rFonts w:ascii="Times New Roman" w:eastAsia="Times New Roman" w:hAnsi="Times New Roman" w:cs="Times New Roman"/>
          <w:lang w:val="sr-Cyrl-RS"/>
        </w:rPr>
        <w:t xml:space="preserve">испитиваних </w:t>
      </w:r>
      <w:r w:rsidR="00030923" w:rsidRPr="005D05B7">
        <w:rPr>
          <w:rFonts w:ascii="Times New Roman" w:eastAsia="Times New Roman" w:hAnsi="Times New Roman" w:cs="Times New Roman"/>
          <w:lang w:val="sr-Latn-CS"/>
        </w:rPr>
        <w:t>зуба је показала да је на оклузалном зиду (2,76 µm) продор боје био мањи него на гингивалном зиду (6,77µm). Уочена разлика је била високо статистички значајна. (p&lt;0,001). (табела 3, графикон 3)</w:t>
      </w:r>
    </w:p>
    <w:p w:rsidR="00D66F28" w:rsidRPr="005D05B7" w:rsidRDefault="00D66F28" w:rsidP="00030923">
      <w:pPr>
        <w:spacing w:after="0" w:line="360" w:lineRule="auto"/>
        <w:jc w:val="both"/>
        <w:rPr>
          <w:rFonts w:ascii="Times New Roman" w:eastAsia="Times New Roman" w:hAnsi="Times New Roman" w:cs="Times New Roman"/>
          <w:lang w:val="sr-Cyrl-RS"/>
        </w:rPr>
      </w:pPr>
    </w:p>
    <w:p w:rsidR="00D66F28" w:rsidRPr="005D05B7" w:rsidRDefault="00D66F28" w:rsidP="00030923">
      <w:pPr>
        <w:spacing w:after="0" w:line="360" w:lineRule="auto"/>
        <w:jc w:val="both"/>
        <w:rPr>
          <w:rFonts w:ascii="Times New Roman" w:eastAsia="Times New Roman" w:hAnsi="Times New Roman" w:cs="Times New Roman"/>
          <w:b/>
        </w:rPr>
      </w:pPr>
      <w:r w:rsidRPr="005D05B7">
        <w:rPr>
          <w:rFonts w:ascii="Times New Roman" w:eastAsia="Times New Roman" w:hAnsi="Times New Roman" w:cs="Times New Roman"/>
          <w:b/>
          <w:lang w:val="sr-Cyrl-RS"/>
        </w:rPr>
        <w:t>ДИСКУСИЈА</w:t>
      </w:r>
    </w:p>
    <w:p w:rsidR="005221C5" w:rsidRPr="005D05B7" w:rsidRDefault="005221C5" w:rsidP="007A02CC">
      <w:pPr>
        <w:spacing w:after="0" w:line="240" w:lineRule="auto"/>
        <w:ind w:firstLine="720"/>
        <w:jc w:val="both"/>
        <w:rPr>
          <w:rFonts w:ascii="Times New Roman" w:eastAsia="Times New Roman" w:hAnsi="Times New Roman" w:cs="Times New Roman"/>
          <w:lang w:val="sr-Cyrl-RS"/>
        </w:rPr>
      </w:pPr>
      <w:r w:rsidRPr="005D05B7">
        <w:rPr>
          <w:rFonts w:ascii="Times New Roman" w:eastAsia="Times New Roman" w:hAnsi="Times New Roman" w:cs="Times New Roman"/>
          <w:lang w:val="sr-Cyrl-RS"/>
        </w:rPr>
        <w:t>Полимеризација композитних материјала неминовно је повезана са контракцијом, због настанка кратких ковалентних веза између мономера. До данас се проблем контракције покушао компензовати на више начина, а у томе важно мјесто има почетна полимеризација, нижим интензитетом свјетла за полимеризацију.</w:t>
      </w:r>
    </w:p>
    <w:p w:rsidR="00A86260" w:rsidRPr="005D05B7" w:rsidRDefault="00A86260"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Cyrl-RS"/>
        </w:rPr>
        <w:t>Према резултатима нашег истраживања у</w:t>
      </w:r>
      <w:r w:rsidRPr="005D05B7">
        <w:rPr>
          <w:rFonts w:ascii="Times New Roman" w:eastAsia="Times New Roman" w:hAnsi="Times New Roman" w:cs="Times New Roman"/>
          <w:color w:val="000000"/>
        </w:rPr>
        <w:t xml:space="preserve">купан линеарни продор боје код </w:t>
      </w:r>
      <w:r w:rsidRPr="005D05B7">
        <w:rPr>
          <w:rFonts w:ascii="Times New Roman" w:eastAsia="Times New Roman" w:hAnsi="Times New Roman" w:cs="Times New Roman"/>
          <w:color w:val="000000"/>
          <w:lang w:val="sr-Cyrl-RS"/>
        </w:rPr>
        <w:t xml:space="preserve">свих зуба укључених у истраживање </w:t>
      </w:r>
      <w:r w:rsidRPr="005D05B7">
        <w:rPr>
          <w:rFonts w:ascii="Times New Roman" w:eastAsia="Times New Roman" w:hAnsi="Times New Roman" w:cs="Times New Roman"/>
          <w:color w:val="000000"/>
        </w:rPr>
        <w:t>полимеризованих  класичном  техником  полимеризације (4,46 µm)  био је нешто већи у односу на продор боје код испуна полимеризованих софт старт техником полимеризације (4,27 µm) и нешто мањи у односу на продор боје код испуна полимеризованих  пулсном техником полимеризације (5,54 µm). Статистичка анализа није указала на значајне разлике у линеарном продору боје у зависности од технике полимеризације (p=0,057), иако су вриједности линеарног продора боје код софт старт технике биле нешто ниже него код пулсне и класичне технике полимеризације. (</w:t>
      </w:r>
      <w:proofErr w:type="gramStart"/>
      <w:r w:rsidRPr="005D05B7">
        <w:rPr>
          <w:rFonts w:ascii="Times New Roman" w:eastAsia="Times New Roman" w:hAnsi="Times New Roman" w:cs="Times New Roman"/>
          <w:color w:val="000000"/>
        </w:rPr>
        <w:t>табела</w:t>
      </w:r>
      <w:proofErr w:type="gramEnd"/>
      <w:r w:rsidRPr="005D05B7">
        <w:rPr>
          <w:rFonts w:ascii="Times New Roman" w:eastAsia="Times New Roman" w:hAnsi="Times New Roman" w:cs="Times New Roman"/>
          <w:color w:val="000000"/>
        </w:rPr>
        <w:t xml:space="preserve"> 1, графикон 1)</w:t>
      </w:r>
      <w:r w:rsidRPr="005D05B7">
        <w:rPr>
          <w:rFonts w:ascii="Times New Roman" w:eastAsia="Times New Roman" w:hAnsi="Times New Roman" w:cs="Times New Roman"/>
          <w:color w:val="000000"/>
          <w:lang w:val="it-IT"/>
        </w:rPr>
        <w:t xml:space="preserve"> </w:t>
      </w:r>
    </w:p>
    <w:p w:rsidR="00B224DD" w:rsidRDefault="00C75C04" w:rsidP="00B224DD">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Cyrl-RS"/>
        </w:rPr>
        <w:t>Ови резултати су у складу са резултатима Алене</w:t>
      </w:r>
      <w:r w:rsidR="007C4F26" w:rsidRPr="005D05B7">
        <w:rPr>
          <w:rFonts w:ascii="Times New Roman" w:eastAsia="Times New Roman" w:hAnsi="Times New Roman" w:cs="Times New Roman"/>
          <w:color w:val="000000"/>
          <w:lang w:val="sr-Cyrl-RS"/>
        </w:rPr>
        <w:t xml:space="preserve"> Кне</w:t>
      </w:r>
      <w:r w:rsidRPr="005D05B7">
        <w:rPr>
          <w:rFonts w:ascii="Times New Roman" w:eastAsia="Times New Roman" w:hAnsi="Times New Roman" w:cs="Times New Roman"/>
          <w:color w:val="000000"/>
          <w:lang w:val="sr-Cyrl-RS"/>
        </w:rPr>
        <w:t>жевић и сарадника</w:t>
      </w:r>
      <w:r w:rsidR="007C4F26" w:rsidRPr="005D05B7">
        <w:rPr>
          <w:rFonts w:ascii="Times New Roman" w:eastAsia="Times New Roman" w:hAnsi="Times New Roman" w:cs="Times New Roman"/>
          <w:color w:val="000000"/>
          <w:lang w:val="sr-Cyrl-RS"/>
        </w:rPr>
        <w:t xml:space="preserve"> (2005)</w:t>
      </w:r>
      <w:r w:rsidRPr="005D05B7">
        <w:rPr>
          <w:rFonts w:ascii="Times New Roman" w:eastAsia="Times New Roman" w:hAnsi="Times New Roman" w:cs="Times New Roman"/>
          <w:color w:val="000000"/>
          <w:lang w:val="sr-Cyrl-RS"/>
        </w:rPr>
        <w:t xml:space="preserve">, који </w:t>
      </w:r>
      <w:r w:rsidR="007C4F26" w:rsidRPr="005D05B7">
        <w:rPr>
          <w:rFonts w:ascii="Times New Roman" w:eastAsia="Times New Roman" w:hAnsi="Times New Roman" w:cs="Times New Roman"/>
          <w:color w:val="000000"/>
          <w:lang w:val="sr-Cyrl-RS"/>
        </w:rPr>
        <w:t>су испитивали утицај интензитета свјетла за полимеризацију на полимеризацијско скупљање композитних мате</w:t>
      </w:r>
      <w:r w:rsidRPr="005D05B7">
        <w:rPr>
          <w:rFonts w:ascii="Times New Roman" w:eastAsia="Times New Roman" w:hAnsi="Times New Roman" w:cs="Times New Roman"/>
          <w:color w:val="000000"/>
          <w:lang w:val="sr-Cyrl-RS"/>
        </w:rPr>
        <w:t xml:space="preserve">ријала </w:t>
      </w:r>
      <w:r w:rsidR="003001A6" w:rsidRPr="005D05B7">
        <w:rPr>
          <w:rFonts w:ascii="Times New Roman" w:eastAsia="Times New Roman" w:hAnsi="Times New Roman" w:cs="Times New Roman"/>
          <w:color w:val="000000"/>
          <w:lang w:val="sr-Cyrl-RS"/>
        </w:rPr>
        <w:t>Tetric Ceram (Vivadent Shaan Liechtenstein)</w:t>
      </w:r>
      <w:r w:rsidR="00CA49E9" w:rsidRPr="005D05B7">
        <w:rPr>
          <w:rFonts w:ascii="Times New Roman" w:eastAsia="Times New Roman" w:hAnsi="Times New Roman" w:cs="Times New Roman"/>
          <w:color w:val="000000"/>
          <w:lang w:val="sr-Cyrl-RS"/>
        </w:rPr>
        <w:t xml:space="preserve"> </w:t>
      </w:r>
      <w:r w:rsidR="007C4F26" w:rsidRPr="005D05B7">
        <w:rPr>
          <w:rFonts w:ascii="Times New Roman" w:eastAsia="Times New Roman" w:hAnsi="Times New Roman" w:cs="Times New Roman"/>
          <w:color w:val="000000"/>
          <w:lang w:val="sr-Cyrl-RS"/>
        </w:rPr>
        <w:t xml:space="preserve">и </w:t>
      </w:r>
      <w:r w:rsidR="00CA49E9" w:rsidRPr="005D05B7">
        <w:rPr>
          <w:rFonts w:ascii="Times New Roman" w:eastAsia="Times New Roman" w:hAnsi="Times New Roman" w:cs="Times New Roman"/>
          <w:color w:val="000000"/>
          <w:lang w:val="sr-Cyrl-RS"/>
        </w:rPr>
        <w:t>Filtek Z 250 (3M Dental products, St. Paul, MN)</w:t>
      </w:r>
      <w:r w:rsidR="007C4F26" w:rsidRPr="005D05B7">
        <w:rPr>
          <w:rFonts w:ascii="Times New Roman" w:eastAsia="Times New Roman" w:hAnsi="Times New Roman" w:cs="Times New Roman"/>
          <w:color w:val="000000"/>
          <w:lang w:val="sr-Cyrl-RS"/>
        </w:rPr>
        <w:t xml:space="preserve"> поступком дигиталне холографске интерферометрије. Највише вриједности полимеризацијског скупљања забиљежене су код полимеризацијског програма с</w:t>
      </w:r>
      <w:r w:rsidR="00B224DD">
        <w:rPr>
          <w:rFonts w:ascii="Times New Roman" w:eastAsia="Times New Roman" w:hAnsi="Times New Roman" w:cs="Times New Roman"/>
          <w:color w:val="000000"/>
          <w:lang w:val="sr-Cyrl-RS"/>
        </w:rPr>
        <w:t>а најјачим интензитетом свјетла</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4</w:t>
      </w:r>
      <w:r w:rsidR="000721C2" w:rsidRPr="002F4072">
        <w:rPr>
          <w:rFonts w:ascii="Times New Roman" w:hAnsi="Times New Roman"/>
          <w:lang w:val="sr-Cyrl-CS"/>
        </w:rPr>
        <w:t>]</w:t>
      </w:r>
    </w:p>
    <w:p w:rsidR="009B6B6E" w:rsidRPr="000721C2" w:rsidRDefault="009B6B6E" w:rsidP="00B224DD">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Latn-RS"/>
        </w:rPr>
        <w:lastRenderedPageBreak/>
        <w:t>Ин витро студија Yазициа и сарадника се бавила испитивањем утицаја различитих техника и извора свјетлосне полимеризације на микропропустљивост течних композитних материјала. У студију је укључено 40 интактних екстрахованих хуманих премолара, са цервикалним зидом смјештеним у дентину и оклузалним зидом у глеђи, на чијим вестибуларним и оралним површинам</w:t>
      </w:r>
      <w:r w:rsidR="002B2EF0" w:rsidRPr="005D05B7">
        <w:rPr>
          <w:rFonts w:ascii="Times New Roman" w:eastAsia="Times New Roman" w:hAnsi="Times New Roman" w:cs="Times New Roman"/>
          <w:color w:val="000000"/>
          <w:lang w:val="sr-Latn-RS"/>
        </w:rPr>
        <w:t>а је испрепарисано 80 кавитета V</w:t>
      </w:r>
      <w:r w:rsidRPr="005D05B7">
        <w:rPr>
          <w:rFonts w:ascii="Times New Roman" w:eastAsia="Times New Roman" w:hAnsi="Times New Roman" w:cs="Times New Roman"/>
          <w:color w:val="000000"/>
          <w:lang w:val="sr-Latn-RS"/>
        </w:rPr>
        <w:t xml:space="preserve"> класе (по 2 на сваком зубу). Ови зуби су методом случајног узорка подијељени у двије групе и рестаурисани са различ</w:t>
      </w:r>
      <w:r w:rsidR="002B2EF0" w:rsidRPr="005D05B7">
        <w:rPr>
          <w:rFonts w:ascii="Times New Roman" w:eastAsia="Times New Roman" w:hAnsi="Times New Roman" w:cs="Times New Roman"/>
          <w:color w:val="000000"/>
          <w:lang w:val="sr-Latn-RS"/>
        </w:rPr>
        <w:t>итим течним композитима; Група I: Еsthet-X Flow, Група II: Grandio Flow</w:t>
      </w:r>
      <w:r w:rsidRPr="005D05B7">
        <w:rPr>
          <w:rFonts w:ascii="Times New Roman" w:eastAsia="Times New Roman" w:hAnsi="Times New Roman" w:cs="Times New Roman"/>
          <w:color w:val="000000"/>
          <w:lang w:val="sr-Latn-RS"/>
        </w:rPr>
        <w:t>. Свака група је случајним избором подијељена на четири подгрупе; док су узорци прве подгрупе полимеризовани са халогеном свјетлошћу, остатак  је полимеризован са различитим техникама полимеризације свјетлосно-емитујућом ЛЕД диодом. Друга подгрупа је полимеризована са брзом полимеризацијом, трећа подгрупа са пулсном полимеризацијом и  они из четврте подгрупе са постепеном полимеризацијом свјетлосно-емитујућом диодом. Узорци су термоциклирани, уроњени у боју и лонгитудинално пресјечени. У овој студији ниједна од рестаурација није показала микропукотину на рубовима глеђи. Уочене су микро</w:t>
      </w:r>
      <w:r w:rsidR="00933619" w:rsidRPr="005D05B7">
        <w:rPr>
          <w:rFonts w:ascii="Times New Roman" w:eastAsia="Times New Roman" w:hAnsi="Times New Roman" w:cs="Times New Roman"/>
          <w:color w:val="000000"/>
          <w:lang w:val="sr-Latn-RS"/>
        </w:rPr>
        <w:t xml:space="preserve">пукотине гингивално </w:t>
      </w:r>
      <w:r w:rsidRPr="005D05B7">
        <w:rPr>
          <w:rFonts w:ascii="Times New Roman" w:eastAsia="Times New Roman" w:hAnsi="Times New Roman" w:cs="Times New Roman"/>
          <w:color w:val="000000"/>
          <w:lang w:val="sr-Latn-RS"/>
        </w:rPr>
        <w:t>(на рубовима дентина), али нису примијећене значајне разлике између течних композита полимер</w:t>
      </w:r>
      <w:r w:rsidR="002B2EF0" w:rsidRPr="005D05B7">
        <w:rPr>
          <w:rFonts w:ascii="Times New Roman" w:eastAsia="Times New Roman" w:hAnsi="Times New Roman" w:cs="Times New Roman"/>
          <w:color w:val="000000"/>
          <w:lang w:val="sr-Latn-RS"/>
        </w:rPr>
        <w:t>изованих халогеном свјетлошћу.(p &gt;0,5). За Еsthet-X-Flow</w:t>
      </w:r>
      <w:r w:rsidRPr="005D05B7">
        <w:rPr>
          <w:rFonts w:ascii="Times New Roman" w:eastAsia="Times New Roman" w:hAnsi="Times New Roman" w:cs="Times New Roman"/>
          <w:color w:val="000000"/>
          <w:lang w:val="sr-Latn-RS"/>
        </w:rPr>
        <w:t xml:space="preserve"> узорке. није било никаквих статистички значајних разлика између и</w:t>
      </w:r>
      <w:r w:rsidR="002B2EF0" w:rsidRPr="005D05B7">
        <w:rPr>
          <w:rFonts w:ascii="Times New Roman" w:eastAsia="Times New Roman" w:hAnsi="Times New Roman" w:cs="Times New Roman"/>
          <w:color w:val="000000"/>
          <w:lang w:val="sr-Latn-RS"/>
        </w:rPr>
        <w:t>звора полимеризације. За Grandio Flow</w:t>
      </w:r>
      <w:r w:rsidRPr="005D05B7">
        <w:rPr>
          <w:rFonts w:ascii="Times New Roman" w:eastAsia="Times New Roman" w:hAnsi="Times New Roman" w:cs="Times New Roman"/>
          <w:color w:val="000000"/>
          <w:lang w:val="sr-Latn-RS"/>
        </w:rPr>
        <w:t xml:space="preserve"> узорке, само је постепени начин полимеризације са ЛЕД проузроковао статистички боље резултате  него халогени или други начини просвјетљавања</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5</w:t>
      </w:r>
      <w:r w:rsidR="000721C2" w:rsidRPr="002F4072">
        <w:rPr>
          <w:rFonts w:ascii="Times New Roman" w:hAnsi="Times New Roman"/>
          <w:lang w:val="sr-Cyrl-CS"/>
        </w:rPr>
        <w:t>]</w:t>
      </w:r>
      <w:r w:rsidR="000721C2">
        <w:rPr>
          <w:rFonts w:ascii="Times New Roman" w:eastAsia="Times New Roman" w:hAnsi="Times New Roman" w:cs="Times New Roman"/>
          <w:color w:val="000000"/>
          <w:lang w:val="sr-Cyrl-RS"/>
        </w:rPr>
        <w:t>.</w:t>
      </w:r>
    </w:p>
    <w:p w:rsidR="00311290" w:rsidRPr="000721C2" w:rsidRDefault="002B2EF0"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Latn-RS"/>
        </w:rPr>
        <w:t>Еrnst</w:t>
      </w:r>
      <w:r w:rsidR="00311290" w:rsidRPr="005D05B7">
        <w:rPr>
          <w:rFonts w:ascii="Times New Roman" w:eastAsia="Times New Roman" w:hAnsi="Times New Roman" w:cs="Times New Roman"/>
          <w:color w:val="000000"/>
          <w:lang w:val="sr-Latn-RS"/>
        </w:rPr>
        <w:t xml:space="preserve"> и сарадници су проучавали утицај софт старт технике полимеризације на полимеризациону контракцију и рубно затварање</w:t>
      </w:r>
      <w:r w:rsidRPr="005D05B7">
        <w:rPr>
          <w:rFonts w:ascii="Times New Roman" w:eastAsia="Times New Roman" w:hAnsi="Times New Roman" w:cs="Times New Roman"/>
          <w:color w:val="000000"/>
          <w:lang w:val="sr-Latn-RS"/>
        </w:rPr>
        <w:t>. Двије стандардне препарације V</w:t>
      </w:r>
      <w:r w:rsidR="00311290" w:rsidRPr="005D05B7">
        <w:rPr>
          <w:rFonts w:ascii="Times New Roman" w:eastAsia="Times New Roman" w:hAnsi="Times New Roman" w:cs="Times New Roman"/>
          <w:color w:val="000000"/>
          <w:lang w:val="sr-Latn-RS"/>
        </w:rPr>
        <w:t xml:space="preserve"> класе су урађене на вестибуларној и оралној површини 80 екстрахованих људских молара и премолара. За рестаурацију је употријебљено 6 хибрид</w:t>
      </w:r>
      <w:r w:rsidR="00621053" w:rsidRPr="005D05B7">
        <w:rPr>
          <w:rFonts w:ascii="Times New Roman" w:eastAsia="Times New Roman" w:hAnsi="Times New Roman" w:cs="Times New Roman"/>
          <w:color w:val="000000"/>
          <w:lang w:val="sr-Latn-RS"/>
        </w:rPr>
        <w:t>них композита (Pertac II, Тetric Ceram, Definite, Surefil, Solitaire, Visio-Моlar</w:t>
      </w:r>
      <w:r w:rsidR="00311290" w:rsidRPr="005D05B7">
        <w:rPr>
          <w:rFonts w:ascii="Times New Roman" w:eastAsia="Times New Roman" w:hAnsi="Times New Roman" w:cs="Times New Roman"/>
          <w:color w:val="000000"/>
          <w:lang w:val="sr-Latn-RS"/>
        </w:rPr>
        <w:t xml:space="preserve">). Полимеризација је урађена стандардном техником полимеризације (800 </w:t>
      </w:r>
      <w:r w:rsidR="00E26938" w:rsidRPr="005D05B7">
        <w:rPr>
          <w:rFonts w:ascii="Times New Roman" w:eastAsia="Times New Roman" w:hAnsi="Times New Roman" w:cs="Times New Roman"/>
          <w:color w:val="000000"/>
          <w:lang w:val="sr-Latn-RS"/>
        </w:rPr>
        <w:t>mN</w:t>
      </w:r>
      <w:r w:rsidR="00621053" w:rsidRPr="005D05B7">
        <w:rPr>
          <w:rFonts w:ascii="Times New Roman" w:eastAsia="Times New Roman" w:hAnsi="Times New Roman" w:cs="Times New Roman"/>
          <w:color w:val="000000"/>
          <w:lang w:val="sr-Latn-RS"/>
        </w:rPr>
        <w:t>/cm</w:t>
      </w:r>
      <w:r w:rsidR="00311290" w:rsidRPr="005D05B7">
        <w:rPr>
          <w:rFonts w:ascii="Times New Roman" w:eastAsia="Times New Roman" w:hAnsi="Times New Roman" w:cs="Times New Roman"/>
          <w:color w:val="000000"/>
          <w:vertAlign w:val="superscript"/>
          <w:lang w:val="sr-Latn-RS"/>
        </w:rPr>
        <w:t>2</w:t>
      </w:r>
      <w:r w:rsidR="00311290" w:rsidRPr="005D05B7">
        <w:rPr>
          <w:rFonts w:ascii="Times New Roman" w:eastAsia="Times New Roman" w:hAnsi="Times New Roman" w:cs="Times New Roman"/>
          <w:color w:val="000000"/>
          <w:lang w:val="sr-Latn-RS"/>
        </w:rPr>
        <w:t>, вријеме излагања 40 секунди (</w:t>
      </w:r>
      <w:r w:rsidR="00E26938" w:rsidRPr="005D05B7">
        <w:rPr>
          <w:rFonts w:ascii="Times New Roman" w:eastAsia="Times New Roman" w:hAnsi="Times New Roman" w:cs="Times New Roman"/>
          <w:color w:val="000000"/>
          <w:lang w:val="sr-Latn-RS"/>
        </w:rPr>
        <w:t>Elipar TriLight, 3M ESPE</w:t>
      </w:r>
      <w:r w:rsidR="00311290" w:rsidRPr="005D05B7">
        <w:rPr>
          <w:rFonts w:ascii="Times New Roman" w:eastAsia="Times New Roman" w:hAnsi="Times New Roman" w:cs="Times New Roman"/>
          <w:color w:val="000000"/>
          <w:lang w:val="sr-Latn-RS"/>
        </w:rPr>
        <w:t xml:space="preserve"> ) или софт старт техником ис</w:t>
      </w:r>
      <w:r w:rsidR="00933619" w:rsidRPr="005D05B7">
        <w:rPr>
          <w:rFonts w:ascii="Times New Roman" w:eastAsia="Times New Roman" w:hAnsi="Times New Roman" w:cs="Times New Roman"/>
          <w:color w:val="000000"/>
          <w:lang w:val="sr-Latn-RS"/>
        </w:rPr>
        <w:t xml:space="preserve">том лампом </w:t>
      </w:r>
      <w:r w:rsidR="00E26938" w:rsidRPr="005D05B7">
        <w:rPr>
          <w:rFonts w:ascii="Times New Roman" w:eastAsia="Times New Roman" w:hAnsi="Times New Roman" w:cs="Times New Roman"/>
          <w:color w:val="000000"/>
          <w:lang w:val="sr-Latn-RS"/>
        </w:rPr>
        <w:t xml:space="preserve"> (150 mN/cm</w:t>
      </w:r>
      <w:r w:rsidR="00311290" w:rsidRPr="005D05B7">
        <w:rPr>
          <w:rFonts w:ascii="Times New Roman" w:eastAsia="Times New Roman" w:hAnsi="Times New Roman" w:cs="Times New Roman"/>
          <w:color w:val="000000"/>
          <w:vertAlign w:val="superscript"/>
          <w:lang w:val="sr-Latn-RS"/>
        </w:rPr>
        <w:t>2</w:t>
      </w:r>
      <w:r w:rsidR="00E26938" w:rsidRPr="005D05B7">
        <w:rPr>
          <w:rFonts w:ascii="Times New Roman" w:eastAsia="Times New Roman" w:hAnsi="Times New Roman" w:cs="Times New Roman"/>
          <w:color w:val="000000"/>
          <w:lang w:val="sr-Latn-RS"/>
        </w:rPr>
        <w:t>- 800 mN/cm</w:t>
      </w:r>
      <w:r w:rsidR="00311290" w:rsidRPr="005D05B7">
        <w:rPr>
          <w:rFonts w:ascii="Times New Roman" w:eastAsia="Times New Roman" w:hAnsi="Times New Roman" w:cs="Times New Roman"/>
          <w:color w:val="000000"/>
          <w:lang w:val="sr-Latn-RS"/>
        </w:rPr>
        <w:t xml:space="preserve"> </w:t>
      </w:r>
      <w:r w:rsidR="00311290" w:rsidRPr="005D05B7">
        <w:rPr>
          <w:rFonts w:ascii="Times New Roman" w:eastAsia="Times New Roman" w:hAnsi="Times New Roman" w:cs="Times New Roman"/>
          <w:color w:val="000000"/>
          <w:vertAlign w:val="superscript"/>
          <w:lang w:val="sr-Latn-RS"/>
        </w:rPr>
        <w:t>2</w:t>
      </w:r>
      <w:r w:rsidR="00311290" w:rsidRPr="005D05B7">
        <w:rPr>
          <w:rFonts w:ascii="Times New Roman" w:eastAsia="Times New Roman" w:hAnsi="Times New Roman" w:cs="Times New Roman"/>
          <w:color w:val="000000"/>
          <w:lang w:val="sr-Latn-RS"/>
        </w:rPr>
        <w:t xml:space="preserve"> првих 15 секунди а потом пуни интензитет свјетла до 40 секунди). Полимеризациони стрес је израчунат послије 5 минута, 1 сат, и 24 сата након излагања на основу изохромих кривуља добијених из фотоеластичних слика (</w:t>
      </w:r>
      <w:r w:rsidR="00805F67">
        <w:rPr>
          <w:rFonts w:ascii="Times New Roman" w:eastAsia="Times New Roman" w:hAnsi="Times New Roman" w:cs="Times New Roman"/>
          <w:color w:val="000000"/>
          <w:lang w:val="sr-Latn-RS"/>
        </w:rPr>
        <w:t>Matrox</w:t>
      </w:r>
      <w:bookmarkStart w:id="0" w:name="_GoBack"/>
      <w:bookmarkEnd w:id="0"/>
      <w:r w:rsidR="00E26938" w:rsidRPr="005D05B7">
        <w:rPr>
          <w:rFonts w:ascii="Times New Roman" w:eastAsia="Times New Roman" w:hAnsi="Times New Roman" w:cs="Times New Roman"/>
          <w:color w:val="000000"/>
          <w:lang w:val="sr-Latn-RS"/>
        </w:rPr>
        <w:t xml:space="preserve"> – Inspector</w:t>
      </w:r>
      <w:r w:rsidR="00311290" w:rsidRPr="005D05B7">
        <w:rPr>
          <w:rFonts w:ascii="Times New Roman" w:eastAsia="Times New Roman" w:hAnsi="Times New Roman" w:cs="Times New Roman"/>
          <w:color w:val="000000"/>
          <w:lang w:val="sr-Latn-RS"/>
        </w:rPr>
        <w:t>). Рестауративни системи (</w:t>
      </w:r>
      <w:r w:rsidR="00E26938" w:rsidRPr="005D05B7">
        <w:rPr>
          <w:rFonts w:ascii="Times New Roman" w:eastAsia="Times New Roman" w:hAnsi="Times New Roman" w:cs="Times New Roman"/>
          <w:color w:val="000000"/>
          <w:lang w:val="sr-Latn-RS"/>
        </w:rPr>
        <w:t>Pertac II/EBS Multi, Tetric Ceram/Syntac, Definite/Etch&amp;amp;Prime 3.0, and Surefil/Prime &amp;amp; Bond 2.1)</w:t>
      </w:r>
      <w:r w:rsidR="00311290" w:rsidRPr="005D05B7">
        <w:rPr>
          <w:rFonts w:ascii="Times New Roman" w:eastAsia="Times New Roman" w:hAnsi="Times New Roman" w:cs="Times New Roman"/>
          <w:color w:val="000000"/>
          <w:lang w:val="sr-Latn-RS"/>
        </w:rPr>
        <w:t xml:space="preserve"> су полимеризовани употребом обе технике просвјетљавања. Након термоциклирања је кориштена методологија продора боје, у овом случају 2% метиленско-плавог. Значајно смањење полимеризационог стреса 7.1% за </w:t>
      </w:r>
      <w:r w:rsidR="00E26938" w:rsidRPr="005D05B7">
        <w:rPr>
          <w:rFonts w:ascii="Times New Roman" w:eastAsia="Times New Roman" w:hAnsi="Times New Roman" w:cs="Times New Roman"/>
          <w:color w:val="000000"/>
          <w:lang w:val="sr-Latn-RS"/>
        </w:rPr>
        <w:t>Pertac II</w:t>
      </w:r>
      <w:r w:rsidR="00311290" w:rsidRPr="005D05B7">
        <w:rPr>
          <w:rFonts w:ascii="Times New Roman" w:eastAsia="Times New Roman" w:hAnsi="Times New Roman" w:cs="Times New Roman"/>
          <w:color w:val="000000"/>
          <w:lang w:val="sr-Latn-RS"/>
        </w:rPr>
        <w:t xml:space="preserve">, 4.1% за </w:t>
      </w:r>
      <w:r w:rsidR="00E26938" w:rsidRPr="005D05B7">
        <w:rPr>
          <w:rFonts w:ascii="Times New Roman" w:eastAsia="Times New Roman" w:hAnsi="Times New Roman" w:cs="Times New Roman"/>
          <w:color w:val="000000"/>
          <w:lang w:val="sr-Latn-RS"/>
        </w:rPr>
        <w:t>Tetric Ceram</w:t>
      </w:r>
      <w:r w:rsidR="00311290" w:rsidRPr="005D05B7">
        <w:rPr>
          <w:rFonts w:ascii="Times New Roman" w:eastAsia="Times New Roman" w:hAnsi="Times New Roman" w:cs="Times New Roman"/>
          <w:color w:val="000000"/>
          <w:lang w:val="sr-Latn-RS"/>
        </w:rPr>
        <w:t xml:space="preserve">, 3.6% за </w:t>
      </w:r>
      <w:r w:rsidR="00E26938" w:rsidRPr="005D05B7">
        <w:rPr>
          <w:rFonts w:ascii="Times New Roman" w:eastAsia="Times New Roman" w:hAnsi="Times New Roman" w:cs="Times New Roman"/>
          <w:color w:val="000000"/>
          <w:lang w:val="sr-Latn-RS"/>
        </w:rPr>
        <w:t>Definite</w:t>
      </w:r>
      <w:r w:rsidR="00311290" w:rsidRPr="005D05B7">
        <w:rPr>
          <w:rFonts w:ascii="Times New Roman" w:eastAsia="Times New Roman" w:hAnsi="Times New Roman" w:cs="Times New Roman"/>
          <w:color w:val="000000"/>
          <w:lang w:val="sr-Latn-RS"/>
        </w:rPr>
        <w:t>, 3.7% за</w:t>
      </w:r>
      <w:r w:rsidR="00E26938" w:rsidRPr="005D05B7">
        <w:rPr>
          <w:rFonts w:ascii="Times New Roman" w:eastAsia="Times New Roman" w:hAnsi="Times New Roman" w:cs="Times New Roman"/>
          <w:color w:val="000000"/>
          <w:lang w:val="sr-Latn-RS"/>
        </w:rPr>
        <w:t xml:space="preserve"> Surefil и 6.2% за Solitaire</w:t>
      </w:r>
      <w:r w:rsidR="00311290" w:rsidRPr="005D05B7">
        <w:rPr>
          <w:rFonts w:ascii="Times New Roman" w:eastAsia="Times New Roman" w:hAnsi="Times New Roman" w:cs="Times New Roman"/>
          <w:color w:val="000000"/>
          <w:lang w:val="sr-Latn-RS"/>
        </w:rPr>
        <w:t xml:space="preserve"> је примијећено када је кориштена софт</w:t>
      </w:r>
      <w:r w:rsidR="00621053" w:rsidRPr="005D05B7">
        <w:rPr>
          <w:rFonts w:ascii="Times New Roman" w:eastAsia="Times New Roman" w:hAnsi="Times New Roman" w:cs="Times New Roman"/>
          <w:color w:val="000000"/>
          <w:lang w:val="sr-Latn-RS"/>
        </w:rPr>
        <w:t xml:space="preserve"> старт техника полимеризације</w:t>
      </w:r>
      <w:r w:rsidR="000721C2">
        <w:rPr>
          <w:rFonts w:ascii="Times New Roman" w:eastAsia="Times New Roman" w:hAnsi="Times New Roman" w:cs="Times New Roman"/>
          <w:color w:val="000000"/>
          <w:lang w:val="sr-Cyrl-RS"/>
        </w:rPr>
        <w:t xml:space="preserve"> </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6</w:t>
      </w:r>
      <w:r w:rsidR="000721C2" w:rsidRPr="002F4072">
        <w:rPr>
          <w:rFonts w:ascii="Times New Roman" w:hAnsi="Times New Roman"/>
          <w:lang w:val="sr-Cyrl-CS"/>
        </w:rPr>
        <w:t>]</w:t>
      </w:r>
      <w:r w:rsidR="00621053" w:rsidRPr="005D05B7">
        <w:rPr>
          <w:rFonts w:ascii="Times New Roman" w:eastAsia="Times New Roman" w:hAnsi="Times New Roman" w:cs="Times New Roman"/>
          <w:color w:val="000000"/>
          <w:lang w:val="sr-Latn-RS"/>
        </w:rPr>
        <w:t>.</w:t>
      </w:r>
      <w:r w:rsidR="000721C2">
        <w:rPr>
          <w:rFonts w:ascii="Times New Roman" w:eastAsia="Times New Roman" w:hAnsi="Times New Roman" w:cs="Times New Roman"/>
          <w:color w:val="000000"/>
          <w:lang w:val="sr-Cyrl-RS"/>
        </w:rPr>
        <w:t xml:space="preserve"> </w:t>
      </w:r>
    </w:p>
    <w:p w:rsidR="008A2E96" w:rsidRPr="005D05B7" w:rsidRDefault="008A2E96"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Latn-RS"/>
        </w:rPr>
      </w:pPr>
      <w:r w:rsidRPr="005D05B7">
        <w:rPr>
          <w:rFonts w:ascii="Times New Roman" w:eastAsia="Times New Roman" w:hAnsi="Times New Roman" w:cs="Times New Roman"/>
          <w:color w:val="000000"/>
          <w:lang w:val="sr-Latn-RS"/>
        </w:rPr>
        <w:t xml:space="preserve">Утицај софт-старт начина полимеризације на </w:t>
      </w:r>
      <w:r w:rsidR="006B5615" w:rsidRPr="005D05B7">
        <w:rPr>
          <w:rFonts w:ascii="Times New Roman" w:eastAsia="Times New Roman" w:hAnsi="Times New Roman" w:cs="Times New Roman"/>
          <w:color w:val="000000"/>
          <w:lang w:val="sr-Latn-RS"/>
        </w:rPr>
        <w:t>микропропустљивост препарација V класе проучавали су и Santos</w:t>
      </w:r>
      <w:r w:rsidRPr="005D05B7">
        <w:rPr>
          <w:rFonts w:ascii="Times New Roman" w:eastAsia="Times New Roman" w:hAnsi="Times New Roman" w:cs="Times New Roman"/>
          <w:color w:val="000000"/>
          <w:lang w:val="sr-Latn-RS"/>
        </w:rPr>
        <w:t xml:space="preserve"> и </w:t>
      </w:r>
      <w:r w:rsidR="006B5615" w:rsidRPr="005D05B7">
        <w:rPr>
          <w:rFonts w:ascii="Times New Roman" w:eastAsia="Times New Roman" w:hAnsi="Times New Roman" w:cs="Times New Roman"/>
          <w:color w:val="000000"/>
          <w:lang w:val="sr-Latn-RS"/>
        </w:rPr>
        <w:t>сарадници. Стандардни кавитети V</w:t>
      </w:r>
      <w:r w:rsidRPr="005D05B7">
        <w:rPr>
          <w:rFonts w:ascii="Times New Roman" w:eastAsia="Times New Roman" w:hAnsi="Times New Roman" w:cs="Times New Roman"/>
          <w:color w:val="000000"/>
          <w:lang w:val="sr-Latn-RS"/>
        </w:rPr>
        <w:t xml:space="preserve"> класе су испрепарисани на букалној површини интактних свјеже извађених говеђих сјекутића. Четрдесет препарација је испуњено рестауративним системом (</w:t>
      </w:r>
      <w:r w:rsidR="006B5615" w:rsidRPr="005D05B7">
        <w:rPr>
          <w:rFonts w:ascii="Times New Roman" w:eastAsia="Times New Roman" w:hAnsi="Times New Roman" w:cs="Times New Roman"/>
          <w:color w:val="000000"/>
          <w:lang w:val="sr-Latn-RS"/>
        </w:rPr>
        <w:t>Single Bond and Filtek Z250, 3M ESPE, St. Paul, MN, USA</w:t>
      </w:r>
      <w:r w:rsidRPr="005D05B7">
        <w:rPr>
          <w:rFonts w:ascii="Times New Roman" w:eastAsia="Times New Roman" w:hAnsi="Times New Roman" w:cs="Times New Roman"/>
          <w:color w:val="000000"/>
          <w:lang w:val="sr-Latn-RS"/>
        </w:rPr>
        <w:t xml:space="preserve">).  По десет рестаурација сваке групе је полимеризовано </w:t>
      </w:r>
      <w:r w:rsidR="006B5615" w:rsidRPr="005D05B7">
        <w:rPr>
          <w:rFonts w:ascii="Times New Roman" w:eastAsia="Times New Roman" w:hAnsi="Times New Roman" w:cs="Times New Roman"/>
          <w:color w:val="000000"/>
          <w:lang w:val="sr-Latn-RS"/>
        </w:rPr>
        <w:t>конвенционалном техником (600 mN/cm</w:t>
      </w:r>
      <w:r w:rsidRPr="005D05B7">
        <w:rPr>
          <w:rFonts w:ascii="Times New Roman" w:eastAsia="Times New Roman" w:hAnsi="Times New Roman" w:cs="Times New Roman"/>
          <w:color w:val="000000"/>
          <w:vertAlign w:val="superscript"/>
          <w:lang w:val="sr-Latn-RS"/>
        </w:rPr>
        <w:t>2</w:t>
      </w:r>
      <w:r w:rsidR="006B5615" w:rsidRPr="005D05B7">
        <w:rPr>
          <w:rFonts w:ascii="Times New Roman" w:eastAsia="Times New Roman" w:hAnsi="Times New Roman" w:cs="Times New Roman"/>
          <w:color w:val="000000"/>
          <w:lang w:val="sr-Latn-RS"/>
        </w:rPr>
        <w:t>/40 sek</w:t>
      </w:r>
      <w:r w:rsidRPr="005D05B7">
        <w:rPr>
          <w:rFonts w:ascii="Times New Roman" w:eastAsia="Times New Roman" w:hAnsi="Times New Roman" w:cs="Times New Roman"/>
          <w:color w:val="000000"/>
          <w:lang w:val="sr-Latn-RS"/>
        </w:rPr>
        <w:t>) ил</w:t>
      </w:r>
      <w:r w:rsidR="006B5615" w:rsidRPr="005D05B7">
        <w:rPr>
          <w:rFonts w:ascii="Times New Roman" w:eastAsia="Times New Roman" w:hAnsi="Times New Roman" w:cs="Times New Roman"/>
          <w:color w:val="000000"/>
          <w:lang w:val="sr-Latn-RS"/>
        </w:rPr>
        <w:t>и са софт-старт техником (150 mN/cm</w:t>
      </w:r>
      <w:r w:rsidRPr="005D05B7">
        <w:rPr>
          <w:rFonts w:ascii="Times New Roman" w:eastAsia="Times New Roman" w:hAnsi="Times New Roman" w:cs="Times New Roman"/>
          <w:color w:val="000000"/>
          <w:vertAlign w:val="superscript"/>
          <w:lang w:val="sr-Latn-RS"/>
        </w:rPr>
        <w:t>2</w:t>
      </w:r>
      <w:r w:rsidR="006B5615" w:rsidRPr="005D05B7">
        <w:rPr>
          <w:rFonts w:ascii="Times New Roman" w:eastAsia="Times New Roman" w:hAnsi="Times New Roman" w:cs="Times New Roman"/>
          <w:color w:val="000000"/>
          <w:lang w:val="sr-Latn-RS"/>
        </w:rPr>
        <w:t>/10 sek + 600 mN/cm</w:t>
      </w:r>
      <w:r w:rsidRPr="005D05B7">
        <w:rPr>
          <w:rFonts w:ascii="Times New Roman" w:eastAsia="Times New Roman" w:hAnsi="Times New Roman" w:cs="Times New Roman"/>
          <w:color w:val="000000"/>
          <w:vertAlign w:val="superscript"/>
          <w:lang w:val="sr-Latn-RS"/>
        </w:rPr>
        <w:t>2</w:t>
      </w:r>
      <w:r w:rsidR="006B5615" w:rsidRPr="005D05B7">
        <w:rPr>
          <w:rFonts w:ascii="Times New Roman" w:eastAsia="Times New Roman" w:hAnsi="Times New Roman" w:cs="Times New Roman"/>
          <w:color w:val="000000"/>
          <w:lang w:val="sr-Latn-RS"/>
        </w:rPr>
        <w:t>/30 sek</w:t>
      </w:r>
      <w:r w:rsidRPr="005D05B7">
        <w:rPr>
          <w:rFonts w:ascii="Times New Roman" w:eastAsia="Times New Roman" w:hAnsi="Times New Roman" w:cs="Times New Roman"/>
          <w:color w:val="000000"/>
          <w:lang w:val="sr-Latn-RS"/>
        </w:rPr>
        <w:t>). Сви узорци су термоциклирани  на 3000 температурних циклуса а затим уроњени у 2% раствор метиленског плавог  у трајању од 12 сати. Узорак микропропуштања је био кванитативно одређен у спектрофотометру. Софт-старт техника је довела до статистички значајно мање микропропустљивости за сваки супстрат. Узорци полимеризовани конвенционалном техником полимеризације су показали (6.1 (дентин) до 15.4</w:t>
      </w:r>
      <w:r w:rsidR="0084601A">
        <w:rPr>
          <w:rFonts w:ascii="Times New Roman" w:eastAsia="Times New Roman" w:hAnsi="Times New Roman" w:cs="Times New Roman"/>
          <w:color w:val="000000"/>
          <w:lang w:val="sr-Latn-RS"/>
        </w:rPr>
        <w:t xml:space="preserve">% (глеђ) </w:t>
      </w:r>
      <w:r w:rsidRPr="005D05B7">
        <w:rPr>
          <w:rFonts w:ascii="Times New Roman" w:eastAsia="Times New Roman" w:hAnsi="Times New Roman" w:cs="Times New Roman"/>
          <w:color w:val="000000"/>
          <w:lang w:val="sr-Latn-RS"/>
        </w:rPr>
        <w:t>већу пукотину у поређењу са групама зуба са софт-старт полимеризацијом. На рубовима дентина је уочена већа микропропустљивост: од 15.5% већа са конвенционалном техником полимеризације до 25.6% већа са софт-старт техником полимеризације</w:t>
      </w:r>
      <w:r w:rsidR="0084601A">
        <w:rPr>
          <w:rFonts w:ascii="Times New Roman" w:eastAsia="Times New Roman" w:hAnsi="Times New Roman" w:cs="Times New Roman"/>
          <w:color w:val="000000"/>
          <w:lang w:val="sr-Latn-RS"/>
        </w:rPr>
        <w:t xml:space="preserve"> </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7</w:t>
      </w:r>
      <w:r w:rsidR="000721C2" w:rsidRPr="002F4072">
        <w:rPr>
          <w:rFonts w:ascii="Times New Roman" w:hAnsi="Times New Roman"/>
          <w:lang w:val="sr-Cyrl-CS"/>
        </w:rPr>
        <w:t>]</w:t>
      </w:r>
    </w:p>
    <w:p w:rsidR="008A1F6E" w:rsidRPr="005D05B7" w:rsidRDefault="006E01FB"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r w:rsidRPr="005D05B7">
        <w:rPr>
          <w:rFonts w:ascii="Times New Roman" w:eastAsia="Times New Roman" w:hAnsi="Times New Roman" w:cs="Times New Roman"/>
          <w:color w:val="000000"/>
          <w:lang w:val="sr-Cyrl-RS"/>
        </w:rPr>
        <w:t xml:space="preserve">Manhart, Chen, Mehl </w:t>
      </w:r>
      <w:r w:rsidR="008A1F6E" w:rsidRPr="005D05B7">
        <w:rPr>
          <w:rFonts w:ascii="Times New Roman" w:eastAsia="Times New Roman" w:hAnsi="Times New Roman" w:cs="Times New Roman"/>
          <w:color w:val="000000"/>
          <w:lang w:val="sr-Cyrl-RS"/>
        </w:rPr>
        <w:t>и сарадници су испитивали квалитет рубног заптивања код адхезивних кавитета пете класе, користећи методу продора боје метилен-плавог. Испрепарисани кавитети рестаурисани су са девет различитих композитних материјала, а као извор свјетлости кориштена је халогена лампа са софт-старт техником полимеризације (</w:t>
      </w:r>
      <w:r w:rsidRPr="005D05B7">
        <w:rPr>
          <w:rFonts w:ascii="Times New Roman" w:eastAsia="Times New Roman" w:hAnsi="Times New Roman" w:cs="Times New Roman"/>
          <w:color w:val="000000"/>
          <w:lang w:val="sr-Cyrl-RS"/>
        </w:rPr>
        <w:t>Elipar Trilight</w:t>
      </w:r>
      <w:r w:rsidR="008A1F6E" w:rsidRPr="005D05B7">
        <w:rPr>
          <w:rFonts w:ascii="Times New Roman" w:eastAsia="Times New Roman" w:hAnsi="Times New Roman" w:cs="Times New Roman"/>
          <w:color w:val="000000"/>
          <w:lang w:val="sr-Cyrl-RS"/>
        </w:rPr>
        <w:t xml:space="preserve">). Анализом података утврђена је статистички значајна разлика у дубини продора боје између дентинских и </w:t>
      </w:r>
      <w:r w:rsidR="008A1F6E" w:rsidRPr="005D05B7">
        <w:rPr>
          <w:rFonts w:ascii="Times New Roman" w:eastAsia="Times New Roman" w:hAnsi="Times New Roman" w:cs="Times New Roman"/>
          <w:color w:val="000000"/>
          <w:lang w:val="sr-Cyrl-RS"/>
        </w:rPr>
        <w:lastRenderedPageBreak/>
        <w:t>глеђних зидова препарације. Потврђено је да ни један од тестираних композитних материјала нема адекватно рубно затварање. Квалитет везе адхезивног система за дентин је, и даље, инфериорнији у поређењу са глеђним ивицама кавитета, што се објашњава бољом микромеханичком везом нагрижене глеђи и композитног материјала.</w:t>
      </w:r>
      <w:r w:rsidR="000721C2" w:rsidRPr="000721C2">
        <w:rPr>
          <w:rFonts w:ascii="Times New Roman" w:hAnsi="Times New Roman"/>
          <w:lang w:val="sr-Cyrl-CS"/>
        </w:rPr>
        <w:t xml:space="preserve"> </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8</w:t>
      </w:r>
      <w:r w:rsidR="000721C2" w:rsidRPr="002F4072">
        <w:rPr>
          <w:rFonts w:ascii="Times New Roman" w:hAnsi="Times New Roman"/>
          <w:lang w:val="sr-Cyrl-CS"/>
        </w:rPr>
        <w:t>]</w:t>
      </w:r>
    </w:p>
    <w:p w:rsidR="00632E84" w:rsidRPr="005D05B7" w:rsidRDefault="00012A0F"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Latn-RS"/>
        </w:rPr>
      </w:pPr>
      <w:r w:rsidRPr="005D05B7">
        <w:rPr>
          <w:rFonts w:ascii="Times New Roman" w:eastAsia="Times New Roman" w:hAnsi="Times New Roman" w:cs="Times New Roman"/>
          <w:color w:val="000000"/>
          <w:lang w:val="sr-Cyrl-RS"/>
        </w:rPr>
        <w:t xml:space="preserve">Nalcaci i Ulusoy </w:t>
      </w:r>
      <w:r w:rsidR="00632E84" w:rsidRPr="005D05B7">
        <w:rPr>
          <w:rFonts w:ascii="Times New Roman" w:eastAsia="Times New Roman" w:hAnsi="Times New Roman" w:cs="Times New Roman"/>
          <w:color w:val="000000"/>
          <w:lang w:val="sr-Cyrl-RS"/>
        </w:rPr>
        <w:t xml:space="preserve">су се у својој студији бавили изучавањем ефекта термоциклирања </w:t>
      </w:r>
      <w:r w:rsidRPr="005D05B7">
        <w:rPr>
          <w:rFonts w:ascii="Times New Roman" w:eastAsia="Times New Roman" w:hAnsi="Times New Roman" w:cs="Times New Roman"/>
          <w:color w:val="000000"/>
          <w:lang w:val="sr-Cyrl-RS"/>
        </w:rPr>
        <w:t xml:space="preserve">на микропропустљивост кавитета </w:t>
      </w:r>
      <w:r w:rsidRPr="005D05B7">
        <w:rPr>
          <w:rFonts w:ascii="Times New Roman" w:eastAsia="Times New Roman" w:hAnsi="Times New Roman" w:cs="Times New Roman"/>
          <w:color w:val="000000"/>
          <w:lang w:val="sr-Latn-RS"/>
        </w:rPr>
        <w:t>V</w:t>
      </w:r>
      <w:r w:rsidR="00632E84" w:rsidRPr="005D05B7">
        <w:rPr>
          <w:rFonts w:ascii="Times New Roman" w:eastAsia="Times New Roman" w:hAnsi="Times New Roman" w:cs="Times New Roman"/>
          <w:color w:val="000000"/>
          <w:lang w:val="sr-Cyrl-RS"/>
        </w:rPr>
        <w:t xml:space="preserve"> класе рестаурисаних хибридним и течним смолним композитима и   полимеризованим са три различите технике полимеризације са св</w:t>
      </w:r>
      <w:r w:rsidRPr="005D05B7">
        <w:rPr>
          <w:rFonts w:ascii="Times New Roman" w:eastAsia="Times New Roman" w:hAnsi="Times New Roman" w:cs="Times New Roman"/>
          <w:color w:val="000000"/>
          <w:lang w:val="sr-Cyrl-RS"/>
        </w:rPr>
        <w:t>јетлосно-емитујућим диодама (</w:t>
      </w:r>
      <w:r w:rsidRPr="005D05B7">
        <w:rPr>
          <w:rFonts w:ascii="Times New Roman" w:eastAsia="Times New Roman" w:hAnsi="Times New Roman" w:cs="Times New Roman"/>
          <w:color w:val="000000"/>
          <w:lang w:val="sr-Latn-RS"/>
        </w:rPr>
        <w:t>LED</w:t>
      </w:r>
      <w:r w:rsidR="00632E84" w:rsidRPr="005D05B7">
        <w:rPr>
          <w:rFonts w:ascii="Times New Roman" w:eastAsia="Times New Roman" w:hAnsi="Times New Roman" w:cs="Times New Roman"/>
          <w:color w:val="000000"/>
          <w:lang w:val="sr-Cyrl-RS"/>
        </w:rPr>
        <w:t>). Студија је спроведена на 120 људских молара, на чијим су букалним површинама испрепарисани клинасти цервикални кавитети. Урађене препарације су потом испуњене са хибридним</w:t>
      </w:r>
      <w:r w:rsidRPr="005D05B7">
        <w:rPr>
          <w:rFonts w:ascii="Times New Roman" w:eastAsia="Times New Roman" w:hAnsi="Times New Roman" w:cs="Times New Roman"/>
          <w:color w:val="000000"/>
          <w:lang w:val="sr-Cyrl-RS"/>
        </w:rPr>
        <w:t xml:space="preserve"> смолним композитом (З250, 3М Е</w:t>
      </w:r>
      <w:r w:rsidRPr="005D05B7">
        <w:rPr>
          <w:rFonts w:ascii="Times New Roman" w:eastAsia="Times New Roman" w:hAnsi="Times New Roman" w:cs="Times New Roman"/>
          <w:color w:val="000000"/>
          <w:lang w:val="sr-Latn-RS"/>
        </w:rPr>
        <w:t>SP</w:t>
      </w:r>
      <w:r w:rsidR="00632E84" w:rsidRPr="005D05B7">
        <w:rPr>
          <w:rFonts w:ascii="Times New Roman" w:eastAsia="Times New Roman" w:hAnsi="Times New Roman" w:cs="Times New Roman"/>
          <w:color w:val="000000"/>
          <w:lang w:val="sr-Cyrl-RS"/>
        </w:rPr>
        <w:t>Е) или са течн</w:t>
      </w:r>
      <w:r w:rsidRPr="005D05B7">
        <w:rPr>
          <w:rFonts w:ascii="Times New Roman" w:eastAsia="Times New Roman" w:hAnsi="Times New Roman" w:cs="Times New Roman"/>
          <w:color w:val="000000"/>
          <w:lang w:val="sr-Cyrl-RS"/>
        </w:rPr>
        <w:t>им композитом (</w:t>
      </w:r>
      <w:r w:rsidRPr="005D05B7">
        <w:rPr>
          <w:rFonts w:ascii="Times New Roman" w:eastAsia="Times New Roman" w:hAnsi="Times New Roman" w:cs="Times New Roman"/>
          <w:color w:val="000000"/>
          <w:lang w:val="sr-Latn-RS"/>
        </w:rPr>
        <w:t>Filtec Flow</w:t>
      </w:r>
      <w:r w:rsidRPr="005D05B7">
        <w:rPr>
          <w:rFonts w:ascii="Times New Roman" w:eastAsia="Times New Roman" w:hAnsi="Times New Roman" w:cs="Times New Roman"/>
          <w:color w:val="000000"/>
          <w:lang w:val="sr-Cyrl-RS"/>
        </w:rPr>
        <w:t>, 3М Е</w:t>
      </w:r>
      <w:r w:rsidRPr="005D05B7">
        <w:rPr>
          <w:rFonts w:ascii="Times New Roman" w:eastAsia="Times New Roman" w:hAnsi="Times New Roman" w:cs="Times New Roman"/>
          <w:color w:val="000000"/>
          <w:lang w:val="sr-Latn-RS"/>
        </w:rPr>
        <w:t>SP</w:t>
      </w:r>
      <w:r w:rsidR="00632E84" w:rsidRPr="005D05B7">
        <w:rPr>
          <w:rFonts w:ascii="Times New Roman" w:eastAsia="Times New Roman" w:hAnsi="Times New Roman" w:cs="Times New Roman"/>
          <w:color w:val="000000"/>
          <w:lang w:val="sr-Cyrl-RS"/>
        </w:rPr>
        <w:t xml:space="preserve">Е), и полимеризовани или </w:t>
      </w:r>
      <w:r w:rsidRPr="005D05B7">
        <w:rPr>
          <w:rFonts w:ascii="Times New Roman" w:eastAsia="Times New Roman" w:hAnsi="Times New Roman" w:cs="Times New Roman"/>
          <w:color w:val="000000"/>
          <w:lang w:val="sr-Latn-RS"/>
        </w:rPr>
        <w:t>LED</w:t>
      </w:r>
      <w:r w:rsidRPr="005D05B7">
        <w:rPr>
          <w:rFonts w:ascii="Times New Roman" w:eastAsia="Times New Roman" w:hAnsi="Times New Roman" w:cs="Times New Roman"/>
          <w:color w:val="000000"/>
          <w:lang w:val="sr-Cyrl-RS"/>
        </w:rPr>
        <w:t xml:space="preserve"> </w:t>
      </w:r>
      <w:r w:rsidR="00632E84" w:rsidRPr="005D05B7">
        <w:rPr>
          <w:rFonts w:ascii="Times New Roman" w:eastAsia="Times New Roman" w:hAnsi="Times New Roman" w:cs="Times New Roman"/>
          <w:color w:val="000000"/>
          <w:lang w:val="sr-Cyrl-RS"/>
        </w:rPr>
        <w:t xml:space="preserve">стандардном свјетлошћу, </w:t>
      </w:r>
      <w:r w:rsidRPr="005D05B7">
        <w:rPr>
          <w:rFonts w:ascii="Times New Roman" w:eastAsia="Times New Roman" w:hAnsi="Times New Roman" w:cs="Times New Roman"/>
          <w:color w:val="000000"/>
          <w:lang w:val="sr-Latn-RS"/>
        </w:rPr>
        <w:t>LED</w:t>
      </w:r>
      <w:r w:rsidRPr="005D05B7">
        <w:rPr>
          <w:rFonts w:ascii="Times New Roman" w:eastAsia="Times New Roman" w:hAnsi="Times New Roman" w:cs="Times New Roman"/>
          <w:color w:val="000000"/>
          <w:lang w:val="sr-Cyrl-RS"/>
        </w:rPr>
        <w:t xml:space="preserve"> </w:t>
      </w:r>
      <w:r w:rsidR="00632E84" w:rsidRPr="005D05B7">
        <w:rPr>
          <w:rFonts w:ascii="Times New Roman" w:eastAsia="Times New Roman" w:hAnsi="Times New Roman" w:cs="Times New Roman"/>
          <w:color w:val="000000"/>
          <w:lang w:val="sr-Cyrl-RS"/>
        </w:rPr>
        <w:t xml:space="preserve">свјетлошћу високог интензитета или експоненцијалним </w:t>
      </w:r>
      <w:r w:rsidRPr="005D05B7">
        <w:rPr>
          <w:rFonts w:ascii="Times New Roman" w:eastAsia="Times New Roman" w:hAnsi="Times New Roman" w:cs="Times New Roman"/>
          <w:color w:val="000000"/>
          <w:lang w:val="sr-Latn-RS"/>
        </w:rPr>
        <w:t>LED</w:t>
      </w:r>
      <w:r w:rsidRPr="005D05B7">
        <w:rPr>
          <w:rFonts w:ascii="Times New Roman" w:eastAsia="Times New Roman" w:hAnsi="Times New Roman" w:cs="Times New Roman"/>
          <w:color w:val="000000"/>
          <w:lang w:val="sr-Cyrl-RS"/>
        </w:rPr>
        <w:t xml:space="preserve"> </w:t>
      </w:r>
      <w:r w:rsidR="00632E84" w:rsidRPr="005D05B7">
        <w:rPr>
          <w:rFonts w:ascii="Times New Roman" w:eastAsia="Times New Roman" w:hAnsi="Times New Roman" w:cs="Times New Roman"/>
          <w:color w:val="000000"/>
          <w:lang w:val="sr-Cyrl-RS"/>
        </w:rPr>
        <w:t xml:space="preserve">свјетлом који је врста софт-старт методе полимеризације. Зуби из сваке групе су методом случајног узорка подијељени у 2 подгрупе. У првој групи је урађено термоциклирање са 1000 температурних циклуса </w:t>
      </w:r>
      <w:r w:rsidRPr="005D05B7">
        <w:rPr>
          <w:rFonts w:ascii="Times New Roman" w:eastAsia="Times New Roman" w:hAnsi="Times New Roman" w:cs="Times New Roman"/>
          <w:color w:val="000000"/>
          <w:lang w:val="sr-Cyrl-RS"/>
        </w:rPr>
        <w:t>и температурним разликама од 5°</w:t>
      </w:r>
      <w:r w:rsidRPr="005D05B7">
        <w:rPr>
          <w:rFonts w:ascii="Times New Roman" w:eastAsia="Times New Roman" w:hAnsi="Times New Roman" w:cs="Times New Roman"/>
          <w:color w:val="000000"/>
          <w:lang w:val="sr-Latn-RS"/>
        </w:rPr>
        <w:t>C</w:t>
      </w:r>
      <w:r w:rsidR="00632E84" w:rsidRPr="005D05B7">
        <w:rPr>
          <w:rFonts w:ascii="Times New Roman" w:eastAsia="Times New Roman" w:hAnsi="Times New Roman" w:cs="Times New Roman"/>
          <w:color w:val="000000"/>
          <w:lang w:val="sr-Cyrl-RS"/>
        </w:rPr>
        <w:t xml:space="preserve"> и 55°са временом раздвајања од 60 секунди, а у другој је био третман без термоциклирања. Сви зуби су уроњени у 0.5%  раствор базног фуксина у трајању од 24 сата, а затим су лонгитудинално пресјечени. Статистичка анализа резултата показала је значајне статистичке разлике у микропропустљивости између нетермоциклираних и термоциклираних узорака, са већом пропустљивошћу код термоциклираних узорака. Изузетак представљају узорци који су полимеризовани са лаганом софт старт полимеризацијом, па су аут</w:t>
      </w:r>
      <w:r w:rsidRPr="005D05B7">
        <w:rPr>
          <w:rFonts w:ascii="Times New Roman" w:eastAsia="Times New Roman" w:hAnsi="Times New Roman" w:cs="Times New Roman"/>
          <w:color w:val="000000"/>
          <w:lang w:val="sr-Cyrl-RS"/>
        </w:rPr>
        <w:t xml:space="preserve">ори закључили да на технику </w:t>
      </w:r>
      <w:r w:rsidR="00632E84" w:rsidRPr="005D05B7">
        <w:rPr>
          <w:rFonts w:ascii="Times New Roman" w:eastAsia="Times New Roman" w:hAnsi="Times New Roman" w:cs="Times New Roman"/>
          <w:color w:val="000000"/>
          <w:lang w:val="sr-Cyrl-RS"/>
        </w:rPr>
        <w:t xml:space="preserve">софт-старт полимеризације са  </w:t>
      </w:r>
      <w:r w:rsidRPr="005D05B7">
        <w:rPr>
          <w:rFonts w:ascii="Times New Roman" w:eastAsia="Times New Roman" w:hAnsi="Times New Roman" w:cs="Times New Roman"/>
          <w:color w:val="000000"/>
          <w:lang w:val="sr-Latn-RS"/>
        </w:rPr>
        <w:t>LED</w:t>
      </w:r>
      <w:r w:rsidRPr="005D05B7">
        <w:rPr>
          <w:rFonts w:ascii="Times New Roman" w:eastAsia="Times New Roman" w:hAnsi="Times New Roman" w:cs="Times New Roman"/>
          <w:color w:val="000000"/>
          <w:lang w:val="sr-Cyrl-RS"/>
        </w:rPr>
        <w:t xml:space="preserve"> </w:t>
      </w:r>
      <w:r w:rsidR="00632E84" w:rsidRPr="005D05B7">
        <w:rPr>
          <w:rFonts w:ascii="Times New Roman" w:eastAsia="Times New Roman" w:hAnsi="Times New Roman" w:cs="Times New Roman"/>
          <w:color w:val="000000"/>
          <w:lang w:val="sr-Cyrl-RS"/>
        </w:rPr>
        <w:t>свјетлошћу није утицао режим термоциклирања.</w:t>
      </w:r>
      <w:r w:rsidR="000721C2" w:rsidRPr="000721C2">
        <w:rPr>
          <w:rFonts w:ascii="Times New Roman" w:hAnsi="Times New Roman"/>
          <w:lang w:val="sr-Cyrl-CS"/>
        </w:rPr>
        <w:t xml:space="preserve"> </w:t>
      </w:r>
      <w:r w:rsidR="000721C2">
        <w:rPr>
          <w:rFonts w:ascii="Times New Roman" w:hAnsi="Times New Roman"/>
          <w:lang w:val="sr-Cyrl-CS"/>
        </w:rPr>
        <w:t>[</w:t>
      </w:r>
      <w:r w:rsidR="00401D1F">
        <w:rPr>
          <w:rFonts w:ascii="Times New Roman" w:hAnsi="Times New Roman"/>
          <w:lang w:val="sr-Cyrl-CS"/>
        </w:rPr>
        <w:t>1</w:t>
      </w:r>
      <w:r w:rsidR="000721C2">
        <w:rPr>
          <w:rFonts w:ascii="Times New Roman" w:hAnsi="Times New Roman"/>
          <w:lang w:val="sr-Cyrl-CS"/>
        </w:rPr>
        <w:t>9</w:t>
      </w:r>
      <w:r w:rsidR="000721C2" w:rsidRPr="002F4072">
        <w:rPr>
          <w:rFonts w:ascii="Times New Roman" w:hAnsi="Times New Roman"/>
          <w:lang w:val="sr-Cyrl-CS"/>
        </w:rPr>
        <w:t>]</w:t>
      </w:r>
    </w:p>
    <w:p w:rsidR="008066F4" w:rsidRPr="005D05B7" w:rsidRDefault="008066F4"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Latn-RS"/>
        </w:rPr>
      </w:pPr>
      <w:r w:rsidRPr="005D05B7">
        <w:rPr>
          <w:rFonts w:ascii="Times New Roman" w:eastAsia="Times New Roman" w:hAnsi="Times New Roman" w:cs="Times New Roman"/>
          <w:color w:val="000000"/>
          <w:lang w:val="sr-Latn-RS"/>
        </w:rPr>
        <w:t xml:space="preserve">Утицај различитих извора полимеризације </w:t>
      </w:r>
      <w:r w:rsidR="00261A1F" w:rsidRPr="005D05B7">
        <w:rPr>
          <w:rFonts w:ascii="Times New Roman" w:eastAsia="Times New Roman" w:hAnsi="Times New Roman" w:cs="Times New Roman"/>
          <w:color w:val="000000"/>
          <w:lang w:val="sr-Latn-RS"/>
        </w:rPr>
        <w:t>на микропропустљивост кавитета V</w:t>
      </w:r>
      <w:r w:rsidRPr="005D05B7">
        <w:rPr>
          <w:rFonts w:ascii="Times New Roman" w:eastAsia="Times New Roman" w:hAnsi="Times New Roman" w:cs="Times New Roman"/>
          <w:color w:val="000000"/>
          <w:lang w:val="sr-Latn-RS"/>
        </w:rPr>
        <w:t xml:space="preserve"> класе тематика</w:t>
      </w:r>
      <w:r w:rsidR="00EA4AD8" w:rsidRPr="005D05B7">
        <w:rPr>
          <w:rFonts w:ascii="Times New Roman" w:eastAsia="Times New Roman" w:hAnsi="Times New Roman" w:cs="Times New Roman"/>
          <w:color w:val="000000"/>
          <w:lang w:val="sr-Latn-RS"/>
        </w:rPr>
        <w:t xml:space="preserve"> је којом су се бавили и Pradell</w:t>
      </w:r>
      <w:r w:rsidRPr="005D05B7">
        <w:rPr>
          <w:rFonts w:ascii="Times New Roman" w:eastAsia="Times New Roman" w:hAnsi="Times New Roman" w:cs="Times New Roman"/>
          <w:color w:val="000000"/>
          <w:lang w:val="sr-Latn-RS"/>
        </w:rPr>
        <w:t>е и сарадници. Ст</w:t>
      </w:r>
      <w:r w:rsidR="00EA4AD8" w:rsidRPr="005D05B7">
        <w:rPr>
          <w:rFonts w:ascii="Times New Roman" w:eastAsia="Times New Roman" w:hAnsi="Times New Roman" w:cs="Times New Roman"/>
          <w:color w:val="000000"/>
          <w:lang w:val="sr-Latn-RS"/>
        </w:rPr>
        <w:t>андардни кавитети V</w:t>
      </w:r>
      <w:r w:rsidRPr="005D05B7">
        <w:rPr>
          <w:rFonts w:ascii="Times New Roman" w:eastAsia="Times New Roman" w:hAnsi="Times New Roman" w:cs="Times New Roman"/>
          <w:color w:val="000000"/>
          <w:lang w:val="sr-Latn-RS"/>
        </w:rPr>
        <w:t xml:space="preserve"> класе бубрежастог облика, су препарисани на букалној и лингуално</w:t>
      </w:r>
      <w:r w:rsidR="00EA4AD8" w:rsidRPr="005D05B7">
        <w:rPr>
          <w:rFonts w:ascii="Times New Roman" w:eastAsia="Times New Roman" w:hAnsi="Times New Roman" w:cs="Times New Roman"/>
          <w:color w:val="000000"/>
          <w:lang w:val="sr-Latn-RS"/>
        </w:rPr>
        <w:t>ј површини зуба на приблизно 1mm</w:t>
      </w:r>
      <w:r w:rsidRPr="005D05B7">
        <w:rPr>
          <w:rFonts w:ascii="Times New Roman" w:eastAsia="Times New Roman" w:hAnsi="Times New Roman" w:cs="Times New Roman"/>
          <w:color w:val="000000"/>
          <w:lang w:val="sr-Latn-RS"/>
        </w:rPr>
        <w:t xml:space="preserve"> исп</w:t>
      </w:r>
      <w:r w:rsidR="00EA4AD8" w:rsidRPr="005D05B7">
        <w:rPr>
          <w:rFonts w:ascii="Times New Roman" w:eastAsia="Times New Roman" w:hAnsi="Times New Roman" w:cs="Times New Roman"/>
          <w:color w:val="000000"/>
          <w:lang w:val="sr-Latn-RS"/>
        </w:rPr>
        <w:t>од цементно-глеђне границе (2 mm дубине, 6-7 mm ширине и 2 mm</w:t>
      </w:r>
      <w:r w:rsidRPr="005D05B7">
        <w:rPr>
          <w:rFonts w:ascii="Times New Roman" w:eastAsia="Times New Roman" w:hAnsi="Times New Roman" w:cs="Times New Roman"/>
          <w:color w:val="000000"/>
          <w:lang w:val="sr-Latn-RS"/>
        </w:rPr>
        <w:t xml:space="preserve"> висине). Тестира</w:t>
      </w:r>
      <w:r w:rsidR="00EA4AD8" w:rsidRPr="005D05B7">
        <w:rPr>
          <w:rFonts w:ascii="Times New Roman" w:eastAsia="Times New Roman" w:hAnsi="Times New Roman" w:cs="Times New Roman"/>
          <w:color w:val="000000"/>
          <w:lang w:val="sr-Latn-RS"/>
        </w:rPr>
        <w:t>на су два адхезивна система (DBS</w:t>
      </w:r>
      <w:r w:rsidRPr="005D05B7">
        <w:rPr>
          <w:rFonts w:ascii="Times New Roman" w:eastAsia="Times New Roman" w:hAnsi="Times New Roman" w:cs="Times New Roman"/>
          <w:color w:val="000000"/>
          <w:lang w:val="sr-Latn-RS"/>
        </w:rPr>
        <w:t xml:space="preserve">), </w:t>
      </w:r>
      <w:r w:rsidR="00EA4AD8" w:rsidRPr="005D05B7">
        <w:rPr>
          <w:rFonts w:ascii="Times New Roman" w:eastAsia="Times New Roman" w:hAnsi="Times New Roman" w:cs="Times New Roman"/>
          <w:color w:val="000000"/>
          <w:lang w:val="sr-Latn-RS"/>
        </w:rPr>
        <w:t>Single Bond (SB), Optibond Solo Plus (OS+),</w:t>
      </w:r>
      <w:r w:rsidRPr="005D05B7">
        <w:rPr>
          <w:rFonts w:ascii="Times New Roman" w:eastAsia="Times New Roman" w:hAnsi="Times New Roman" w:cs="Times New Roman"/>
          <w:color w:val="000000"/>
          <w:lang w:val="sr-Latn-RS"/>
        </w:rPr>
        <w:t xml:space="preserve"> и четири извора свјетлосне полимеризације </w:t>
      </w:r>
      <w:r w:rsidR="00EA4AD8" w:rsidRPr="005D05B7">
        <w:rPr>
          <w:rFonts w:ascii="Times New Roman" w:eastAsia="Times New Roman" w:hAnsi="Times New Roman" w:cs="Times New Roman"/>
          <w:color w:val="000000"/>
          <w:lang w:val="sr-Latn-RS"/>
        </w:rPr>
        <w:t xml:space="preserve">(LCU): Astralis 7 (mode HIP 40 </w:t>
      </w:r>
      <w:r w:rsidR="00EA4AD8" w:rsidRPr="005D05B7">
        <w:rPr>
          <w:rFonts w:ascii="Times New Roman" w:eastAsia="Times New Roman" w:hAnsi="Times New Roman" w:cs="Times New Roman"/>
          <w:color w:val="000000"/>
          <w:lang w:val="sr-Cyrl-RS"/>
        </w:rPr>
        <w:t>секунди</w:t>
      </w:r>
      <w:r w:rsidR="00EA4AD8" w:rsidRPr="005D05B7">
        <w:rPr>
          <w:rFonts w:ascii="Times New Roman" w:eastAsia="Times New Roman" w:hAnsi="Times New Roman" w:cs="Times New Roman"/>
          <w:color w:val="000000"/>
          <w:lang w:val="sr-Latn-RS"/>
        </w:rPr>
        <w:t>), Elipar Highlight</w:t>
      </w:r>
      <w:r w:rsidRPr="005D05B7">
        <w:rPr>
          <w:rFonts w:ascii="Times New Roman" w:eastAsia="Times New Roman" w:hAnsi="Times New Roman" w:cs="Times New Roman"/>
          <w:color w:val="000000"/>
          <w:lang w:val="sr-Latn-RS"/>
        </w:rPr>
        <w:t xml:space="preserve"> (софт старт</w:t>
      </w:r>
      <w:r w:rsidR="00EA4AD8" w:rsidRPr="005D05B7">
        <w:rPr>
          <w:rFonts w:ascii="Times New Roman" w:eastAsia="Times New Roman" w:hAnsi="Times New Roman" w:cs="Times New Roman"/>
          <w:color w:val="000000"/>
          <w:lang w:val="sr-Latn-RS"/>
        </w:rPr>
        <w:t xml:space="preserve"> полимеризација  40 секунди), GCе Light (8 mm</w:t>
      </w:r>
      <w:r w:rsidRPr="005D05B7">
        <w:rPr>
          <w:rFonts w:ascii="Times New Roman" w:eastAsia="Times New Roman" w:hAnsi="Times New Roman" w:cs="Times New Roman"/>
          <w:color w:val="000000"/>
          <w:lang w:val="sr-Latn-RS"/>
        </w:rPr>
        <w:t xml:space="preserve"> тип) (брза полимеризација од 12 секунди), и </w:t>
      </w:r>
      <w:r w:rsidR="00EA4AD8" w:rsidRPr="005D05B7">
        <w:rPr>
          <w:rFonts w:ascii="Times New Roman" w:eastAsia="Times New Roman" w:hAnsi="Times New Roman" w:cs="Times New Roman"/>
          <w:color w:val="000000"/>
          <w:lang w:val="sr-Latn-RS"/>
        </w:rPr>
        <w:t>Optilux</w:t>
      </w:r>
      <w:r w:rsidRPr="005D05B7">
        <w:rPr>
          <w:rFonts w:ascii="Times New Roman" w:eastAsia="Times New Roman" w:hAnsi="Times New Roman" w:cs="Times New Roman"/>
          <w:color w:val="000000"/>
          <w:lang w:val="sr-Latn-RS"/>
        </w:rPr>
        <w:t xml:space="preserve"> 501 (турбо тип, брза полимеризација од 10 секунди). Препарације су рестаурисане употребом истог микропуњеног  композита (</w:t>
      </w:r>
      <w:r w:rsidR="00EA4AD8" w:rsidRPr="005D05B7">
        <w:rPr>
          <w:rFonts w:ascii="Times New Roman" w:eastAsia="Times New Roman" w:hAnsi="Times New Roman" w:cs="Times New Roman"/>
          <w:color w:val="000000"/>
          <w:lang w:val="sr-Latn-RS"/>
        </w:rPr>
        <w:t>Filtek A110, boja A3</w:t>
      </w:r>
      <w:r w:rsidRPr="005D05B7">
        <w:rPr>
          <w:rFonts w:ascii="Times New Roman" w:eastAsia="Times New Roman" w:hAnsi="Times New Roman" w:cs="Times New Roman"/>
          <w:color w:val="000000"/>
          <w:lang w:val="sr-Latn-RS"/>
        </w:rPr>
        <w:t>). Зуби су термоцикли</w:t>
      </w:r>
      <w:r w:rsidR="0084601A">
        <w:rPr>
          <w:rFonts w:ascii="Times New Roman" w:eastAsia="Times New Roman" w:hAnsi="Times New Roman" w:cs="Times New Roman"/>
          <w:color w:val="000000"/>
          <w:lang w:val="sr-Latn-RS"/>
        </w:rPr>
        <w:t xml:space="preserve">рани, уроњени у боју и сјечени. </w:t>
      </w:r>
      <w:r w:rsidRPr="005D05B7">
        <w:rPr>
          <w:rFonts w:ascii="Times New Roman" w:eastAsia="Times New Roman" w:hAnsi="Times New Roman" w:cs="Times New Roman"/>
          <w:color w:val="000000"/>
          <w:lang w:val="sr-Latn-RS"/>
        </w:rPr>
        <w:t xml:space="preserve">Мјерена је микропропустљивост глеђи као и оклузална и цервикална микропропустљивост. У овом испитивању није откривена микропропустљивост у глеђи на оклузалном зиду. На цервикалном зиду, примјеном </w:t>
      </w:r>
      <w:r w:rsidR="00EA4AD8" w:rsidRPr="005D05B7">
        <w:rPr>
          <w:rFonts w:ascii="Times New Roman" w:eastAsia="Times New Roman" w:hAnsi="Times New Roman" w:cs="Times New Roman"/>
          <w:color w:val="000000"/>
          <w:lang w:val="sr-Latn-RS"/>
        </w:rPr>
        <w:t>Single Bonda</w:t>
      </w:r>
      <w:r w:rsidRPr="005D05B7">
        <w:rPr>
          <w:rFonts w:ascii="Times New Roman" w:eastAsia="Times New Roman" w:hAnsi="Times New Roman" w:cs="Times New Roman"/>
          <w:color w:val="000000"/>
          <w:lang w:val="sr-Latn-RS"/>
        </w:rPr>
        <w:t xml:space="preserve">, није забљежена разлика између тестираних извора свјетлосне полимеризације, док је примјеном </w:t>
      </w:r>
      <w:r w:rsidR="00EA4AD8" w:rsidRPr="005D05B7">
        <w:rPr>
          <w:rFonts w:ascii="Times New Roman" w:eastAsia="Times New Roman" w:hAnsi="Times New Roman" w:cs="Times New Roman"/>
          <w:color w:val="000000"/>
          <w:lang w:val="sr-Latn-RS"/>
        </w:rPr>
        <w:t>OptiBond Solo Plusa ko</w:t>
      </w:r>
      <w:r w:rsidR="00EA4AD8" w:rsidRPr="005D05B7">
        <w:rPr>
          <w:rFonts w:ascii="Times New Roman" w:eastAsia="Times New Roman" w:hAnsi="Times New Roman" w:cs="Times New Roman"/>
          <w:color w:val="000000"/>
          <w:lang w:val="sr-Cyrl-RS"/>
        </w:rPr>
        <w:t>д</w:t>
      </w:r>
      <w:r w:rsidR="00EA4AD8" w:rsidRPr="005D05B7">
        <w:rPr>
          <w:rFonts w:ascii="Times New Roman" w:eastAsia="Times New Roman" w:hAnsi="Times New Roman" w:cs="Times New Roman"/>
          <w:color w:val="000000"/>
          <w:lang w:val="sr-Latn-RS"/>
        </w:rPr>
        <w:t xml:space="preserve"> Optilux 501 </w:t>
      </w:r>
      <w:r w:rsidRPr="005D05B7">
        <w:rPr>
          <w:rFonts w:ascii="Times New Roman" w:eastAsia="Times New Roman" w:hAnsi="Times New Roman" w:cs="Times New Roman"/>
          <w:color w:val="000000"/>
          <w:lang w:val="sr-Latn-RS"/>
        </w:rPr>
        <w:t xml:space="preserve">уочена највећа микропропустљивост. Остали извори свјетлосне полимеризације  </w:t>
      </w:r>
      <w:r w:rsidR="00EA4AD8" w:rsidRPr="005D05B7">
        <w:rPr>
          <w:rFonts w:ascii="Times New Roman" w:eastAsia="Times New Roman" w:hAnsi="Times New Roman" w:cs="Times New Roman"/>
          <w:color w:val="000000"/>
          <w:lang w:val="sr-Latn-RS"/>
        </w:rPr>
        <w:t xml:space="preserve">LCU,  Elipar </w:t>
      </w:r>
      <w:r w:rsidR="00EA4AD8" w:rsidRPr="005D05B7">
        <w:rPr>
          <w:rFonts w:ascii="Times New Roman" w:eastAsia="Times New Roman" w:hAnsi="Times New Roman" w:cs="Times New Roman"/>
          <w:color w:val="000000"/>
          <w:lang w:val="sr-Cyrl-RS"/>
        </w:rPr>
        <w:t>и</w:t>
      </w:r>
      <w:r w:rsidR="00EA4AD8" w:rsidRPr="005D05B7">
        <w:rPr>
          <w:rFonts w:ascii="Times New Roman" w:eastAsia="Times New Roman" w:hAnsi="Times New Roman" w:cs="Times New Roman"/>
          <w:color w:val="000000"/>
          <w:lang w:val="sr-Latn-RS"/>
        </w:rPr>
        <w:t xml:space="preserve"> GC e Light</w:t>
      </w:r>
      <w:r w:rsidRPr="005D05B7">
        <w:rPr>
          <w:rFonts w:ascii="Times New Roman" w:eastAsia="Times New Roman" w:hAnsi="Times New Roman" w:cs="Times New Roman"/>
          <w:color w:val="000000"/>
          <w:lang w:val="sr-Latn-RS"/>
        </w:rPr>
        <w:t>, нису показали статистички значајне разлике.</w:t>
      </w:r>
      <w:r w:rsidR="000721C2" w:rsidRPr="000721C2">
        <w:rPr>
          <w:rFonts w:ascii="Times New Roman" w:hAnsi="Times New Roman"/>
          <w:lang w:val="sr-Cyrl-CS"/>
        </w:rPr>
        <w:t xml:space="preserve"> </w:t>
      </w:r>
      <w:r w:rsidR="00401D1F">
        <w:rPr>
          <w:rFonts w:ascii="Times New Roman" w:hAnsi="Times New Roman"/>
          <w:lang w:val="sr-Cyrl-CS"/>
        </w:rPr>
        <w:t>[2</w:t>
      </w:r>
      <w:r w:rsidR="000721C2">
        <w:rPr>
          <w:rFonts w:ascii="Times New Roman" w:hAnsi="Times New Roman"/>
          <w:lang w:val="sr-Cyrl-CS"/>
        </w:rPr>
        <w:t>0</w:t>
      </w:r>
      <w:r w:rsidR="000721C2" w:rsidRPr="002F4072">
        <w:rPr>
          <w:rFonts w:ascii="Times New Roman" w:hAnsi="Times New Roman"/>
          <w:lang w:val="sr-Cyrl-CS"/>
        </w:rPr>
        <w:t>]</w:t>
      </w:r>
    </w:p>
    <w:p w:rsidR="00652EAB" w:rsidRPr="005D05B7" w:rsidRDefault="00652EAB"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Latn-RS"/>
        </w:rPr>
      </w:pPr>
      <w:r w:rsidRPr="005D05B7">
        <w:rPr>
          <w:rFonts w:ascii="Times New Roman" w:eastAsia="Times New Roman" w:hAnsi="Times New Roman" w:cs="Times New Roman"/>
          <w:color w:val="000000"/>
          <w:lang w:val="sr-Latn-RS"/>
        </w:rPr>
        <w:t>Проучавајући рубно запт</w:t>
      </w:r>
      <w:r w:rsidR="00EA4AD8" w:rsidRPr="005D05B7">
        <w:rPr>
          <w:rFonts w:ascii="Times New Roman" w:eastAsia="Times New Roman" w:hAnsi="Times New Roman" w:cs="Times New Roman"/>
          <w:color w:val="000000"/>
          <w:lang w:val="sr-Latn-RS"/>
        </w:rPr>
        <w:t>ивање композитних рестаурација V</w:t>
      </w:r>
      <w:r w:rsidRPr="005D05B7">
        <w:rPr>
          <w:rFonts w:ascii="Times New Roman" w:eastAsia="Times New Roman" w:hAnsi="Times New Roman" w:cs="Times New Roman"/>
          <w:color w:val="000000"/>
          <w:lang w:val="sr-Latn-RS"/>
        </w:rPr>
        <w:t xml:space="preserve"> класе употребом 3 различите технике полимеризације </w:t>
      </w:r>
      <w:r w:rsidR="00EA4AD8" w:rsidRPr="005D05B7">
        <w:rPr>
          <w:rFonts w:ascii="Times New Roman" w:eastAsia="Times New Roman" w:hAnsi="Times New Roman" w:cs="Times New Roman"/>
          <w:color w:val="000000"/>
          <w:lang w:val="sr-Latn-RS"/>
        </w:rPr>
        <w:t>Pereira</w:t>
      </w:r>
      <w:r w:rsidRPr="005D05B7">
        <w:rPr>
          <w:rFonts w:ascii="Times New Roman" w:eastAsia="Times New Roman" w:hAnsi="Times New Roman" w:cs="Times New Roman"/>
          <w:color w:val="000000"/>
          <w:lang w:val="sr-Latn-RS"/>
        </w:rPr>
        <w:t xml:space="preserve"> и сарадници су закључили да није било значајнијих разлика међу групама зуба код којих су примијењене различите технике полимеризације, јер су констатовали присуство микропукотине у свим</w:t>
      </w:r>
      <w:r w:rsidR="00EA4AD8" w:rsidRPr="005D05B7">
        <w:rPr>
          <w:rFonts w:ascii="Times New Roman" w:eastAsia="Times New Roman" w:hAnsi="Times New Roman" w:cs="Times New Roman"/>
          <w:color w:val="000000"/>
          <w:lang w:val="sr-Latn-RS"/>
        </w:rPr>
        <w:t xml:space="preserve"> узорцима. Стандардни кавитети V</w:t>
      </w:r>
      <w:r w:rsidRPr="005D05B7">
        <w:rPr>
          <w:rFonts w:ascii="Times New Roman" w:eastAsia="Times New Roman" w:hAnsi="Times New Roman" w:cs="Times New Roman"/>
          <w:color w:val="000000"/>
          <w:lang w:val="sr-Latn-RS"/>
        </w:rPr>
        <w:t xml:space="preserve"> класе су припремљени на букалним и лингвалним површинама 24</w:t>
      </w:r>
      <w:r w:rsidR="00EA4AD8" w:rsidRPr="005D05B7">
        <w:rPr>
          <w:rFonts w:ascii="Times New Roman" w:eastAsia="Times New Roman" w:hAnsi="Times New Roman" w:cs="Times New Roman"/>
          <w:color w:val="000000"/>
          <w:lang w:val="sr-Latn-RS"/>
        </w:rPr>
        <w:t xml:space="preserve"> екстрахованих трећих молара (2x4x3mm</w:t>
      </w:r>
      <w:r w:rsidRPr="005D05B7">
        <w:rPr>
          <w:rFonts w:ascii="Times New Roman" w:eastAsia="Times New Roman" w:hAnsi="Times New Roman" w:cs="Times New Roman"/>
          <w:color w:val="000000"/>
          <w:lang w:val="sr-Latn-RS"/>
        </w:rPr>
        <w:t xml:space="preserve">). Кориштена су два рестауративна система: </w:t>
      </w:r>
      <w:r w:rsidR="00EA4AD8" w:rsidRPr="005D05B7">
        <w:rPr>
          <w:rFonts w:ascii="Times New Roman" w:eastAsia="Times New Roman" w:hAnsi="Times New Roman" w:cs="Times New Roman"/>
          <w:color w:val="000000"/>
          <w:lang w:val="sr-Latn-RS"/>
        </w:rPr>
        <w:t>3M Filtek A110/ Single Bond (M) and 3M Filtek Z250/ Single Bond (H)</w:t>
      </w:r>
      <w:r w:rsidRPr="005D05B7">
        <w:rPr>
          <w:rFonts w:ascii="Times New Roman" w:eastAsia="Times New Roman" w:hAnsi="Times New Roman" w:cs="Times New Roman"/>
          <w:color w:val="000000"/>
          <w:lang w:val="sr-Latn-RS"/>
        </w:rPr>
        <w:t xml:space="preserve"> на истом зубу на букалним и лингвалним површинама. Композити су полимеризовани примјеном три технике</w:t>
      </w:r>
      <w:r w:rsidR="00EA4AD8" w:rsidRPr="005D05B7">
        <w:rPr>
          <w:rFonts w:ascii="Times New Roman" w:eastAsia="Times New Roman" w:hAnsi="Times New Roman" w:cs="Times New Roman"/>
          <w:color w:val="000000"/>
          <w:lang w:val="sr-Latn-RS"/>
        </w:rPr>
        <w:t>: Група 1 - Конвенционална (60 s - 600 mN/cm</w:t>
      </w:r>
      <w:r w:rsidRPr="005D05B7">
        <w:rPr>
          <w:rFonts w:ascii="Times New Roman" w:eastAsia="Times New Roman" w:hAnsi="Times New Roman" w:cs="Times New Roman"/>
          <w:color w:val="000000"/>
          <w:lang w:val="sr-Latn-RS"/>
        </w:rPr>
        <w:t xml:space="preserve"> </w:t>
      </w:r>
      <w:r w:rsidRPr="005D05B7">
        <w:rPr>
          <w:rFonts w:ascii="Times New Roman" w:eastAsia="Times New Roman" w:hAnsi="Times New Roman" w:cs="Times New Roman"/>
          <w:color w:val="000000"/>
          <w:vertAlign w:val="superscript"/>
          <w:lang w:val="sr-Latn-RS"/>
        </w:rPr>
        <w:t>2</w:t>
      </w:r>
      <w:r w:rsidR="00EA4AD8" w:rsidRPr="005D05B7">
        <w:rPr>
          <w:rFonts w:ascii="Times New Roman" w:eastAsia="Times New Roman" w:hAnsi="Times New Roman" w:cs="Times New Roman"/>
          <w:color w:val="000000"/>
          <w:lang w:val="sr-Latn-RS"/>
        </w:rPr>
        <w:t>); Група 2 - Софт-старт (20 s</w:t>
      </w:r>
      <w:r w:rsidRPr="005D05B7">
        <w:rPr>
          <w:rFonts w:ascii="Times New Roman" w:eastAsia="Times New Roman" w:hAnsi="Times New Roman" w:cs="Times New Roman"/>
          <w:color w:val="000000"/>
          <w:lang w:val="sr-Latn-RS"/>
        </w:rPr>
        <w:t xml:space="preserve"> - 200</w:t>
      </w:r>
      <w:r w:rsidR="00EA4AD8" w:rsidRPr="005D05B7">
        <w:rPr>
          <w:rFonts w:ascii="Times New Roman" w:eastAsia="Times New Roman" w:hAnsi="Times New Roman" w:cs="Times New Roman"/>
          <w:color w:val="000000"/>
          <w:lang w:val="sr-Latn-RS"/>
        </w:rPr>
        <w:t xml:space="preserve"> mN/cm </w:t>
      </w:r>
      <w:r w:rsidR="00EA4AD8" w:rsidRPr="005D05B7">
        <w:rPr>
          <w:rFonts w:ascii="Times New Roman" w:eastAsia="Times New Roman" w:hAnsi="Times New Roman" w:cs="Times New Roman"/>
          <w:color w:val="000000"/>
          <w:vertAlign w:val="superscript"/>
          <w:lang w:val="sr-Latn-RS"/>
        </w:rPr>
        <w:t>2</w:t>
      </w:r>
      <w:r w:rsidR="00EA4AD8" w:rsidRPr="005D05B7">
        <w:rPr>
          <w:rFonts w:ascii="Times New Roman" w:eastAsia="Times New Roman" w:hAnsi="Times New Roman" w:cs="Times New Roman"/>
          <w:color w:val="000000"/>
          <w:lang w:val="sr-Latn-RS"/>
        </w:rPr>
        <w:t>, 40 s</w:t>
      </w:r>
      <w:r w:rsidRPr="005D05B7">
        <w:rPr>
          <w:rFonts w:ascii="Times New Roman" w:eastAsia="Times New Roman" w:hAnsi="Times New Roman" w:cs="Times New Roman"/>
          <w:color w:val="000000"/>
          <w:lang w:val="sr-Latn-RS"/>
        </w:rPr>
        <w:t xml:space="preserve"> - 600 </w:t>
      </w:r>
      <w:r w:rsidR="00EA4AD8" w:rsidRPr="005D05B7">
        <w:rPr>
          <w:rFonts w:ascii="Times New Roman" w:eastAsia="Times New Roman" w:hAnsi="Times New Roman" w:cs="Times New Roman"/>
          <w:color w:val="000000"/>
          <w:lang w:val="sr-Latn-RS"/>
        </w:rPr>
        <w:t xml:space="preserve">mN/cm </w:t>
      </w:r>
      <w:r w:rsidR="00EA4AD8" w:rsidRPr="005D05B7">
        <w:rPr>
          <w:rFonts w:ascii="Times New Roman" w:eastAsia="Times New Roman" w:hAnsi="Times New Roman" w:cs="Times New Roman"/>
          <w:color w:val="000000"/>
          <w:vertAlign w:val="superscript"/>
          <w:lang w:val="sr-Latn-RS"/>
        </w:rPr>
        <w:t>2</w:t>
      </w:r>
      <w:r w:rsidR="00EA4AD8" w:rsidRPr="005D05B7">
        <w:rPr>
          <w:rFonts w:ascii="Times New Roman" w:eastAsia="Times New Roman" w:hAnsi="Times New Roman" w:cs="Times New Roman"/>
          <w:color w:val="000000"/>
          <w:lang w:val="sr-Latn-RS"/>
        </w:rPr>
        <w:t>); Група 3 - Пулсна (3 s</w:t>
      </w:r>
      <w:r w:rsidRPr="005D05B7">
        <w:rPr>
          <w:rFonts w:ascii="Times New Roman" w:eastAsia="Times New Roman" w:hAnsi="Times New Roman" w:cs="Times New Roman"/>
          <w:color w:val="000000"/>
          <w:lang w:val="sr-Latn-RS"/>
        </w:rPr>
        <w:t xml:space="preserve"> - 200</w:t>
      </w:r>
      <w:r w:rsidR="00EA4AD8" w:rsidRPr="005D05B7">
        <w:rPr>
          <w:rFonts w:ascii="Times New Roman" w:eastAsia="Times New Roman" w:hAnsi="Times New Roman" w:cs="Times New Roman"/>
          <w:color w:val="000000"/>
          <w:lang w:val="sr-Latn-RS"/>
        </w:rPr>
        <w:t xml:space="preserve"> mN/cm </w:t>
      </w:r>
      <w:r w:rsidR="00EA4AD8" w:rsidRPr="005D05B7">
        <w:rPr>
          <w:rFonts w:ascii="Times New Roman" w:eastAsia="Times New Roman" w:hAnsi="Times New Roman" w:cs="Times New Roman"/>
          <w:color w:val="000000"/>
          <w:vertAlign w:val="superscript"/>
          <w:lang w:val="sr-Latn-RS"/>
        </w:rPr>
        <w:t>2</w:t>
      </w:r>
      <w:r w:rsidR="00EA4AD8" w:rsidRPr="005D05B7">
        <w:rPr>
          <w:rFonts w:ascii="Times New Roman" w:eastAsia="Times New Roman" w:hAnsi="Times New Roman" w:cs="Times New Roman"/>
          <w:color w:val="000000"/>
          <w:lang w:val="sr-Latn-RS"/>
        </w:rPr>
        <w:t>, 3-min hiatus, 57 s</w:t>
      </w:r>
      <w:r w:rsidRPr="005D05B7">
        <w:rPr>
          <w:rFonts w:ascii="Times New Roman" w:eastAsia="Times New Roman" w:hAnsi="Times New Roman" w:cs="Times New Roman"/>
          <w:color w:val="000000"/>
          <w:lang w:val="sr-Latn-RS"/>
        </w:rPr>
        <w:t xml:space="preserve"> - 600</w:t>
      </w:r>
      <w:r w:rsidR="00EA4AD8" w:rsidRPr="005D05B7">
        <w:rPr>
          <w:rFonts w:ascii="Times New Roman" w:eastAsia="Times New Roman" w:hAnsi="Times New Roman" w:cs="Times New Roman"/>
          <w:color w:val="000000"/>
          <w:lang w:val="sr-Latn-RS"/>
        </w:rPr>
        <w:t xml:space="preserve"> mN/cm </w:t>
      </w:r>
      <w:r w:rsidR="00EA4AD8" w:rsidRPr="005D05B7">
        <w:rPr>
          <w:rFonts w:ascii="Times New Roman" w:eastAsia="Times New Roman" w:hAnsi="Times New Roman" w:cs="Times New Roman"/>
          <w:color w:val="000000"/>
          <w:vertAlign w:val="superscript"/>
          <w:lang w:val="sr-Latn-RS"/>
        </w:rPr>
        <w:t>2</w:t>
      </w:r>
      <w:r w:rsidR="00EA4AD8" w:rsidRPr="005D05B7">
        <w:rPr>
          <w:rFonts w:ascii="Times New Roman" w:eastAsia="Times New Roman" w:hAnsi="Times New Roman" w:cs="Times New Roman"/>
          <w:color w:val="000000"/>
          <w:lang w:val="sr-Latn-RS"/>
        </w:rPr>
        <w:t xml:space="preserve">). Узорци су посматрани на SEM-u </w:t>
      </w:r>
      <w:r w:rsidRPr="005D05B7">
        <w:rPr>
          <w:rFonts w:ascii="Times New Roman" w:eastAsia="Times New Roman" w:hAnsi="Times New Roman" w:cs="Times New Roman"/>
          <w:color w:val="000000"/>
          <w:lang w:val="sr-Latn-RS"/>
        </w:rPr>
        <w:t xml:space="preserve"> увећањем до 1000 пута. У свим групама зуба је уочено присуство микропукотина, а није било разлика између кориштених техника полимеризације</w:t>
      </w:r>
      <w:r w:rsidR="00A4745E" w:rsidRPr="005D05B7">
        <w:rPr>
          <w:rFonts w:ascii="Times New Roman" w:eastAsia="Times New Roman" w:hAnsi="Times New Roman" w:cs="Times New Roman"/>
          <w:color w:val="000000"/>
          <w:lang w:val="sr-Latn-RS"/>
        </w:rPr>
        <w:t>.</w:t>
      </w:r>
      <w:r w:rsidR="000721C2" w:rsidRPr="000721C2">
        <w:rPr>
          <w:rFonts w:ascii="Times New Roman" w:hAnsi="Times New Roman"/>
          <w:lang w:val="sr-Cyrl-CS"/>
        </w:rPr>
        <w:t xml:space="preserve"> </w:t>
      </w:r>
      <w:r w:rsidR="00401D1F">
        <w:rPr>
          <w:rFonts w:ascii="Times New Roman" w:hAnsi="Times New Roman"/>
          <w:lang w:val="sr-Cyrl-CS"/>
        </w:rPr>
        <w:t>[2</w:t>
      </w:r>
      <w:r w:rsidR="000721C2">
        <w:rPr>
          <w:rFonts w:ascii="Times New Roman" w:hAnsi="Times New Roman"/>
          <w:lang w:val="sr-Cyrl-CS"/>
        </w:rPr>
        <w:t>1</w:t>
      </w:r>
      <w:r w:rsidR="000721C2" w:rsidRPr="002F4072">
        <w:rPr>
          <w:rFonts w:ascii="Times New Roman" w:hAnsi="Times New Roman"/>
          <w:lang w:val="sr-Cyrl-CS"/>
        </w:rPr>
        <w:t>]</w:t>
      </w:r>
    </w:p>
    <w:p w:rsidR="00A4745E" w:rsidRPr="005D05B7" w:rsidRDefault="00A4745E" w:rsidP="007A02CC">
      <w:pPr>
        <w:autoSpaceDE w:val="0"/>
        <w:autoSpaceDN w:val="0"/>
        <w:adjustRightInd w:val="0"/>
        <w:spacing w:after="0" w:line="240" w:lineRule="auto"/>
        <w:ind w:firstLine="720"/>
        <w:jc w:val="both"/>
        <w:rPr>
          <w:rFonts w:ascii="Times New Roman" w:eastAsia="Times New Roman" w:hAnsi="Times New Roman" w:cs="Times New Roman"/>
          <w:color w:val="000000"/>
          <w:lang w:val="sr-Cyrl-RS"/>
        </w:rPr>
      </w:pPr>
    </w:p>
    <w:p w:rsidR="00B224DD" w:rsidRDefault="00B224DD" w:rsidP="00B224DD">
      <w:pPr>
        <w:autoSpaceDE w:val="0"/>
        <w:autoSpaceDN w:val="0"/>
        <w:adjustRightInd w:val="0"/>
        <w:spacing w:after="0" w:line="360" w:lineRule="auto"/>
        <w:ind w:firstLine="720"/>
        <w:rPr>
          <w:rFonts w:ascii="Times New Roman" w:eastAsia="Times New Roman" w:hAnsi="Times New Roman" w:cs="Times New Roman"/>
          <w:b/>
          <w:color w:val="000000"/>
          <w:lang w:val="sr-Cyrl-RS"/>
        </w:rPr>
      </w:pPr>
    </w:p>
    <w:p w:rsidR="00B224DD" w:rsidRDefault="00B224DD" w:rsidP="00B224DD">
      <w:pPr>
        <w:autoSpaceDE w:val="0"/>
        <w:autoSpaceDN w:val="0"/>
        <w:adjustRightInd w:val="0"/>
        <w:spacing w:after="0" w:line="360" w:lineRule="auto"/>
        <w:ind w:firstLine="720"/>
        <w:rPr>
          <w:rFonts w:ascii="Times New Roman" w:eastAsia="Times New Roman" w:hAnsi="Times New Roman" w:cs="Times New Roman"/>
          <w:b/>
          <w:color w:val="000000"/>
          <w:lang w:val="sr-Cyrl-RS"/>
        </w:rPr>
      </w:pPr>
    </w:p>
    <w:p w:rsidR="00B224DD" w:rsidRDefault="00A4745E" w:rsidP="00B224DD">
      <w:pPr>
        <w:autoSpaceDE w:val="0"/>
        <w:autoSpaceDN w:val="0"/>
        <w:adjustRightInd w:val="0"/>
        <w:spacing w:after="0" w:line="360" w:lineRule="auto"/>
        <w:ind w:firstLine="720"/>
        <w:rPr>
          <w:rFonts w:ascii="Times New Roman" w:eastAsia="Times New Roman" w:hAnsi="Times New Roman" w:cs="Times New Roman"/>
          <w:b/>
          <w:color w:val="000000"/>
          <w:lang w:val="sr-Cyrl-RS"/>
        </w:rPr>
      </w:pPr>
      <w:r w:rsidRPr="005D05B7">
        <w:rPr>
          <w:rFonts w:ascii="Times New Roman" w:eastAsia="Times New Roman" w:hAnsi="Times New Roman" w:cs="Times New Roman"/>
          <w:b/>
          <w:color w:val="000000"/>
          <w:lang w:val="sr-Cyrl-RS"/>
        </w:rPr>
        <w:lastRenderedPageBreak/>
        <w:t>ЗАКЉУЧАК</w:t>
      </w:r>
    </w:p>
    <w:p w:rsidR="00A4745E" w:rsidRDefault="00A4745E" w:rsidP="00B224DD">
      <w:pPr>
        <w:autoSpaceDE w:val="0"/>
        <w:autoSpaceDN w:val="0"/>
        <w:adjustRightInd w:val="0"/>
        <w:spacing w:after="0" w:line="360" w:lineRule="auto"/>
        <w:ind w:firstLine="720"/>
        <w:jc w:val="both"/>
        <w:rPr>
          <w:rFonts w:ascii="Times New Roman" w:hAnsi="Times New Roman" w:cs="Times New Roman"/>
          <w:lang w:val="sr-Cyrl-RS"/>
        </w:rPr>
      </w:pPr>
      <w:proofErr w:type="gramStart"/>
      <w:r w:rsidRPr="005D05B7">
        <w:rPr>
          <w:rFonts w:ascii="Times New Roman" w:hAnsi="Times New Roman" w:cs="Times New Roman"/>
        </w:rPr>
        <w:t>Нешто бољи резултати</w:t>
      </w:r>
      <w:r w:rsidRPr="005D05B7">
        <w:rPr>
          <w:rFonts w:ascii="Times New Roman" w:hAnsi="Times New Roman" w:cs="Times New Roman"/>
          <w:lang w:val="sr-Cyrl-RS"/>
        </w:rPr>
        <w:t xml:space="preserve"> добијени у овом истраживању</w:t>
      </w:r>
      <w:r w:rsidRPr="005D05B7">
        <w:rPr>
          <w:rFonts w:ascii="Times New Roman" w:hAnsi="Times New Roman" w:cs="Times New Roman"/>
        </w:rPr>
        <w:t xml:space="preserve"> приликом примјене софт старт технике полимеризације</w:t>
      </w:r>
      <w:r w:rsidRPr="005D05B7">
        <w:rPr>
          <w:rFonts w:ascii="Times New Roman" w:hAnsi="Times New Roman" w:cs="Times New Roman"/>
          <w:lang w:val="sr-Cyrl-RS"/>
        </w:rPr>
        <w:t>,</w:t>
      </w:r>
      <w:r w:rsidRPr="005D05B7">
        <w:rPr>
          <w:rFonts w:ascii="Times New Roman" w:hAnsi="Times New Roman" w:cs="Times New Roman"/>
        </w:rPr>
        <w:t xml:space="preserve"> објашњавају се тиме што је то двофазна техника, која у почетном периоду полимеризационог циклуса ангажује ирадијансе мањих вриједности, за којим сллиједи полимеризација пуног интензитета.</w:t>
      </w:r>
      <w:proofErr w:type="gramEnd"/>
      <w:r w:rsidRPr="005D05B7">
        <w:rPr>
          <w:rFonts w:ascii="Times New Roman" w:hAnsi="Times New Roman" w:cs="Times New Roman"/>
        </w:rPr>
        <w:t xml:space="preserve"> </w:t>
      </w:r>
      <w:proofErr w:type="gramStart"/>
      <w:r w:rsidRPr="005D05B7">
        <w:rPr>
          <w:rFonts w:ascii="Times New Roman" w:hAnsi="Times New Roman" w:cs="Times New Roman"/>
        </w:rPr>
        <w:t>Смањивање, почетног интензитета свјетлосне енергије значајно се побољшава маргинални интегритет испуна, јер се спорије развија контракциони стрес, који се сматра узрочником микропукотине.</w:t>
      </w:r>
      <w:proofErr w:type="gramEnd"/>
      <w:r w:rsidRPr="005D05B7">
        <w:rPr>
          <w:rFonts w:ascii="Times New Roman" w:hAnsi="Times New Roman" w:cs="Times New Roman"/>
        </w:rPr>
        <w:t xml:space="preserve"> </w:t>
      </w:r>
    </w:p>
    <w:p w:rsidR="00C75457" w:rsidRDefault="00C75457" w:rsidP="00B224DD">
      <w:pPr>
        <w:autoSpaceDE w:val="0"/>
        <w:autoSpaceDN w:val="0"/>
        <w:adjustRightInd w:val="0"/>
        <w:spacing w:after="0" w:line="360" w:lineRule="auto"/>
        <w:ind w:firstLine="720"/>
        <w:jc w:val="both"/>
        <w:rPr>
          <w:rFonts w:ascii="Times New Roman" w:hAnsi="Times New Roman" w:cs="Times New Roman"/>
          <w:lang w:val="sr-Cyrl-RS"/>
        </w:rPr>
      </w:pPr>
    </w:p>
    <w:p w:rsidR="00C75457" w:rsidRDefault="00C75457" w:rsidP="00B224DD">
      <w:pPr>
        <w:autoSpaceDE w:val="0"/>
        <w:autoSpaceDN w:val="0"/>
        <w:adjustRightInd w:val="0"/>
        <w:spacing w:after="0" w:line="360" w:lineRule="auto"/>
        <w:ind w:firstLine="720"/>
        <w:jc w:val="both"/>
        <w:rPr>
          <w:rFonts w:ascii="Times New Roman" w:hAnsi="Times New Roman" w:cs="Times New Roman"/>
          <w:b/>
          <w:lang w:val="sr-Cyrl-RS"/>
        </w:rPr>
      </w:pPr>
      <w:r w:rsidRPr="00C75457">
        <w:rPr>
          <w:rFonts w:ascii="Times New Roman" w:hAnsi="Times New Roman" w:cs="Times New Roman"/>
          <w:b/>
          <w:lang w:val="sr-Cyrl-RS"/>
        </w:rPr>
        <w:t>ЛИТЕРАТУРА</w:t>
      </w:r>
    </w:p>
    <w:p w:rsidR="00BD0453" w:rsidRDefault="00C75457" w:rsidP="00BD0453">
      <w:pPr>
        <w:spacing w:line="240" w:lineRule="auto"/>
        <w:jc w:val="both"/>
        <w:rPr>
          <w:rFonts w:ascii="Times New Roman" w:eastAsia="Times New Roman" w:hAnsi="Times New Roman" w:cs="Times New Roman"/>
          <w:sz w:val="20"/>
          <w:szCs w:val="20"/>
          <w:lang w:val="sr-Cyrl-RS"/>
        </w:rPr>
      </w:pPr>
      <w:r w:rsidRPr="002F4072">
        <w:rPr>
          <w:rFonts w:ascii="Times New Roman" w:hAnsi="Times New Roman"/>
          <w:lang w:val="sr-Cyrl-CS"/>
        </w:rPr>
        <w:t>[1]</w:t>
      </w:r>
      <w:r w:rsidR="00401D1F" w:rsidRPr="00401D1F">
        <w:rPr>
          <w:rFonts w:ascii="Times New Roman" w:eastAsia="Times New Roman" w:hAnsi="Times New Roman" w:cs="Times New Roman"/>
          <w:sz w:val="24"/>
          <w:szCs w:val="24"/>
        </w:rPr>
        <w:t xml:space="preserve"> </w:t>
      </w:r>
      <w:r w:rsidR="00401D1F" w:rsidRPr="00401D1F">
        <w:rPr>
          <w:rFonts w:ascii="Times New Roman" w:eastAsia="Times New Roman" w:hAnsi="Times New Roman" w:cs="Times New Roman"/>
          <w:sz w:val="20"/>
          <w:szCs w:val="20"/>
        </w:rPr>
        <w:t>Attar N, Korkmaz Y: Effect of two light emitting diode and one halogen curing light on the microleakage of class V flowable composite restorations, Journal of Contemporary Dental Practice, 2007, 8(2):080-088.</w:t>
      </w:r>
    </w:p>
    <w:p w:rsidR="00BD0453" w:rsidRDefault="00401D1F" w:rsidP="00BD0453">
      <w:pPr>
        <w:spacing w:line="240" w:lineRule="auto"/>
        <w:jc w:val="both"/>
        <w:rPr>
          <w:rFonts w:ascii="Times New Roman" w:eastAsia="Times New Roman" w:hAnsi="Times New Roman" w:cs="Times New Roman"/>
          <w:sz w:val="20"/>
          <w:szCs w:val="20"/>
          <w:lang w:val="sr-Cyrl-RS"/>
        </w:rPr>
      </w:pPr>
      <w:r>
        <w:rPr>
          <w:rFonts w:ascii="Times New Roman" w:hAnsi="Times New Roman"/>
          <w:lang w:val="sr-Cyrl-CS"/>
        </w:rPr>
        <w:t>[2</w:t>
      </w:r>
      <w:r w:rsidRPr="002F4072">
        <w:rPr>
          <w:rFonts w:ascii="Times New Roman" w:hAnsi="Times New Roman"/>
          <w:lang w:val="sr-Cyrl-CS"/>
        </w:rPr>
        <w:t>]</w:t>
      </w:r>
      <w:r w:rsidR="00BD0453" w:rsidRPr="00BD0453">
        <w:rPr>
          <w:rFonts w:ascii="Times New Roman" w:eastAsia="Times New Roman" w:hAnsi="Times New Roman" w:cs="Times New Roman"/>
          <w:sz w:val="24"/>
          <w:szCs w:val="24"/>
        </w:rPr>
        <w:t xml:space="preserve"> </w:t>
      </w:r>
      <w:r w:rsidR="00BD0453" w:rsidRPr="00BD0453">
        <w:rPr>
          <w:rFonts w:ascii="Times New Roman" w:eastAsia="Times New Roman" w:hAnsi="Times New Roman" w:cs="Times New Roman"/>
          <w:sz w:val="20"/>
          <w:szCs w:val="20"/>
        </w:rPr>
        <w:t>Awliya WY, El Sahn AM: Leakage pathway of class V cavities restored with different flowable resin composite restorations, Operative Dentistry, 2008, 35(1):31-36.</w:t>
      </w:r>
    </w:p>
    <w:p w:rsidR="00BD0453" w:rsidRPr="00BD0453" w:rsidRDefault="00BD0453" w:rsidP="00BD0453">
      <w:pPr>
        <w:spacing w:line="360" w:lineRule="auto"/>
        <w:jc w:val="both"/>
        <w:rPr>
          <w:rFonts w:ascii="Times New Roman" w:eastAsia="Times New Roman" w:hAnsi="Times New Roman" w:cs="Times New Roman"/>
          <w:sz w:val="20"/>
          <w:szCs w:val="20"/>
        </w:rPr>
      </w:pPr>
      <w:r>
        <w:rPr>
          <w:rFonts w:ascii="Times New Roman" w:hAnsi="Times New Roman"/>
          <w:lang w:val="sr-Cyrl-CS"/>
        </w:rPr>
        <w:t>[3</w:t>
      </w:r>
      <w:r w:rsidRPr="00BD0453">
        <w:rPr>
          <w:rFonts w:ascii="Times New Roman" w:hAnsi="Times New Roman"/>
          <w:sz w:val="20"/>
          <w:szCs w:val="20"/>
          <w:lang w:val="sr-Cyrl-CS"/>
        </w:rPr>
        <w:t>]</w:t>
      </w:r>
      <w:r w:rsidRPr="00BD0453">
        <w:rPr>
          <w:rFonts w:ascii="Times New Roman" w:eastAsia="Times New Roman" w:hAnsi="Times New Roman" w:cs="Times New Roman"/>
          <w:sz w:val="20"/>
          <w:szCs w:val="20"/>
        </w:rPr>
        <w:t xml:space="preserve"> Chrysanthakopoulos Na: Razlozi za postavljanje i zamjenu kompozitnih zubnih ispuna u odrasloj polulaciji u Grčkoj, Acta Stomatol Croat, 2010, 44(4):241-250.</w:t>
      </w:r>
    </w:p>
    <w:p w:rsidR="00486AEC" w:rsidRDefault="00BD0453" w:rsidP="00BD0453">
      <w:pPr>
        <w:spacing w:line="360" w:lineRule="auto"/>
        <w:jc w:val="both"/>
        <w:rPr>
          <w:rFonts w:ascii="Times New Roman" w:eastAsia="Times New Roman" w:hAnsi="Times New Roman" w:cs="Times New Roman"/>
          <w:sz w:val="20"/>
          <w:szCs w:val="20"/>
          <w:lang w:val="sr-Cyrl-RS"/>
        </w:rPr>
      </w:pPr>
      <w:r>
        <w:rPr>
          <w:rFonts w:ascii="Times New Roman" w:hAnsi="Times New Roman"/>
          <w:lang w:val="sr-Cyrl-CS"/>
        </w:rPr>
        <w:t>[4</w:t>
      </w:r>
      <w:r w:rsidRPr="00BD0453">
        <w:rPr>
          <w:rFonts w:ascii="Times New Roman" w:hAnsi="Times New Roman"/>
          <w:sz w:val="20"/>
          <w:szCs w:val="20"/>
          <w:lang w:val="sr-Cyrl-CS"/>
        </w:rPr>
        <w:t>]</w:t>
      </w:r>
      <w:r w:rsidRPr="00BD0453">
        <w:rPr>
          <w:rFonts w:ascii="Times New Roman" w:eastAsia="Times New Roman" w:hAnsi="Times New Roman" w:cs="Times New Roman"/>
          <w:sz w:val="24"/>
          <w:szCs w:val="24"/>
        </w:rPr>
        <w:t xml:space="preserve"> </w:t>
      </w:r>
      <w:r w:rsidRPr="00BD0453">
        <w:rPr>
          <w:rFonts w:ascii="Times New Roman" w:eastAsia="Times New Roman" w:hAnsi="Times New Roman" w:cs="Times New Roman"/>
          <w:sz w:val="20"/>
          <w:szCs w:val="20"/>
        </w:rPr>
        <w:t>Deb S, Di Silvio L, Mackler EH, Millar JB: Pre warming of dental composites, Dental materials, 2011, 27:851-859.</w:t>
      </w:r>
    </w:p>
    <w:p w:rsidR="00BD0453" w:rsidRDefault="00BD0453" w:rsidP="00BD0453">
      <w:pPr>
        <w:spacing w:line="360" w:lineRule="auto"/>
        <w:jc w:val="both"/>
        <w:rPr>
          <w:rFonts w:ascii="Times New Roman" w:hAnsi="Times New Roman" w:cs="Times New Roman"/>
          <w:sz w:val="20"/>
          <w:szCs w:val="20"/>
          <w:lang w:val="sr-Cyrl-RS"/>
        </w:rPr>
      </w:pPr>
      <w:r>
        <w:rPr>
          <w:rFonts w:ascii="Times New Roman" w:hAnsi="Times New Roman"/>
          <w:lang w:val="sr-Cyrl-CS"/>
        </w:rPr>
        <w:t>[5</w:t>
      </w:r>
      <w:r w:rsidRPr="00BD0453">
        <w:rPr>
          <w:rFonts w:ascii="Times New Roman" w:hAnsi="Times New Roman"/>
          <w:sz w:val="20"/>
          <w:szCs w:val="20"/>
          <w:lang w:val="sr-Cyrl-CS"/>
        </w:rPr>
        <w:t>]</w:t>
      </w:r>
      <w:r w:rsidR="00486AEC" w:rsidRPr="00486AEC">
        <w:t xml:space="preserve"> </w:t>
      </w:r>
      <w:r w:rsidR="00486AEC" w:rsidRPr="00486AEC">
        <w:rPr>
          <w:rFonts w:ascii="Times New Roman" w:hAnsi="Times New Roman" w:cs="Times New Roman"/>
          <w:sz w:val="20"/>
          <w:szCs w:val="20"/>
        </w:rPr>
        <w:t>Deliperi S, Bardwell DN, Alleman D: Clinical evaluation of stress reducing direct composite restorations in structurally compromissed molars: a 2-year report, Operative dentistry, 2012, 37(2):109-116</w:t>
      </w:r>
    </w:p>
    <w:p w:rsidR="00486AEC" w:rsidRPr="00486AEC" w:rsidRDefault="00486AEC" w:rsidP="00BD0453">
      <w:pPr>
        <w:spacing w:line="360" w:lineRule="auto"/>
        <w:jc w:val="both"/>
        <w:rPr>
          <w:rFonts w:ascii="Times New Roman" w:eastAsia="Times New Roman" w:hAnsi="Times New Roman" w:cs="Times New Roman"/>
          <w:sz w:val="20"/>
          <w:szCs w:val="20"/>
          <w:lang w:val="sr-Cyrl-RS"/>
        </w:rPr>
      </w:pPr>
      <w:r w:rsidRPr="00486AEC">
        <w:rPr>
          <w:rFonts w:ascii="Times New Roman" w:hAnsi="Times New Roman" w:cs="Times New Roman"/>
          <w:sz w:val="20"/>
          <w:szCs w:val="20"/>
          <w:lang w:val="sr-Cyrl-CS"/>
        </w:rPr>
        <w:t>[6]</w:t>
      </w:r>
      <w:r w:rsidRPr="00486AEC">
        <w:rPr>
          <w:rFonts w:ascii="Times New Roman" w:hAnsi="Times New Roman" w:cs="Times New Roman"/>
          <w:sz w:val="20"/>
          <w:szCs w:val="20"/>
        </w:rPr>
        <w:t xml:space="preserve"> Ferreira MC, Vieira RS: Marginal leakage in direct and indirect composite resin restorations in primary teeth; An in vitro study, Journal of Dentistry, 2008, 36:322-355.</w:t>
      </w:r>
    </w:p>
    <w:p w:rsidR="00486AEC" w:rsidRPr="00486AEC" w:rsidRDefault="00486AEC" w:rsidP="00486AEC">
      <w:pPr>
        <w:spacing w:line="360" w:lineRule="auto"/>
        <w:jc w:val="both"/>
        <w:rPr>
          <w:rFonts w:ascii="Times New Roman" w:eastAsia="Times New Roman" w:hAnsi="Times New Roman" w:cs="Times New Roman"/>
          <w:sz w:val="20"/>
          <w:szCs w:val="20"/>
        </w:rPr>
      </w:pPr>
      <w:r w:rsidRPr="00486AEC">
        <w:rPr>
          <w:rFonts w:ascii="Times New Roman" w:hAnsi="Times New Roman" w:cs="Times New Roman"/>
          <w:sz w:val="20"/>
          <w:szCs w:val="20"/>
          <w:lang w:val="sr-Cyrl-CS"/>
        </w:rPr>
        <w:t>[7]</w:t>
      </w:r>
      <w:r w:rsidRPr="00486AEC">
        <w:rPr>
          <w:rFonts w:ascii="Times New Roman" w:eastAsia="Times New Roman" w:hAnsi="Times New Roman" w:cs="Times New Roman"/>
          <w:sz w:val="20"/>
          <w:szCs w:val="20"/>
        </w:rPr>
        <w:t xml:space="preserve"> Gajić N, Kojić Ž, Đeri A, Arbutina R, Trnić Z: Uticaj svjetlosnog izvora sa smanjenom iradijansom na kvalitet rubnog zatvaranja kaviteta V klase, Serbian Dental J, 2008, 55:229-237.</w:t>
      </w:r>
    </w:p>
    <w:p w:rsidR="00486AEC" w:rsidRDefault="00486AEC" w:rsidP="00486AEC">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[8</w:t>
      </w:r>
      <w:r w:rsidRPr="00486AEC">
        <w:rPr>
          <w:rFonts w:ascii="Times New Roman" w:hAnsi="Times New Roman" w:cs="Times New Roman"/>
          <w:sz w:val="20"/>
          <w:szCs w:val="20"/>
          <w:lang w:val="sr-Cyrl-CS"/>
        </w:rPr>
        <w:t>]</w:t>
      </w:r>
      <w:r w:rsidRPr="00486AEC">
        <w:rPr>
          <w:rFonts w:ascii="Times New Roman" w:eastAsia="Times New Roman" w:hAnsi="Times New Roman" w:cs="Times New Roman"/>
          <w:sz w:val="20"/>
          <w:szCs w:val="20"/>
        </w:rPr>
        <w:t xml:space="preserve"> Garoushi S. i saradnici: Polymerization shrinkage of experimental short glass fiber reinforced composite with semi-inter penetrating polymer network matrix, Dental materials, 2008,     24:211-215.</w:t>
      </w:r>
    </w:p>
    <w:p w:rsidR="00486AEC" w:rsidRDefault="00486AEC" w:rsidP="00486AEC">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[9</w:t>
      </w:r>
      <w:r w:rsidRPr="00486AEC">
        <w:rPr>
          <w:rFonts w:ascii="Times New Roman" w:hAnsi="Times New Roman" w:cs="Times New Roman"/>
          <w:sz w:val="20"/>
          <w:szCs w:val="20"/>
          <w:lang w:val="sr-Cyrl-CS"/>
        </w:rPr>
        <w:t>]</w:t>
      </w:r>
      <w:r>
        <w:rPr>
          <w:rFonts w:ascii="Times New Roman" w:eastAsia="Times New Roman" w:hAnsi="Times New Roman" w:cs="Times New Roman"/>
          <w:sz w:val="24"/>
          <w:szCs w:val="24"/>
          <w:lang w:val="sr-Cyrl-RS"/>
        </w:rPr>
        <w:t xml:space="preserve"> </w:t>
      </w:r>
      <w:r w:rsidRPr="00486AEC">
        <w:rPr>
          <w:rFonts w:ascii="Times New Roman" w:eastAsia="Times New Roman" w:hAnsi="Times New Roman" w:cs="Times New Roman"/>
          <w:sz w:val="20"/>
          <w:szCs w:val="20"/>
        </w:rPr>
        <w:t>Gjorgievska E, Nicholson JW, Gjorgowski I, Ilijovska S, Stevanović M: Procena mikropropustljivosti kod dentalnih restaurativnih materijala kod mlečnih i mladih stalnih zuba, Acta Stomatologica Naissi, 2008, 24(58):801-812.</w:t>
      </w:r>
    </w:p>
    <w:p w:rsidR="00486AEC" w:rsidRDefault="00486AEC" w:rsidP="00486AEC">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[10</w:t>
      </w:r>
      <w:r w:rsidRPr="00486AEC">
        <w:rPr>
          <w:rFonts w:ascii="Times New Roman" w:hAnsi="Times New Roman" w:cs="Times New Roman"/>
          <w:sz w:val="20"/>
          <w:szCs w:val="20"/>
          <w:lang w:val="sr-Cyrl-CS"/>
        </w:rPr>
        <w:t>]</w:t>
      </w:r>
      <w:r w:rsidRPr="00486AEC">
        <w:rPr>
          <w:rFonts w:ascii="Times New Roman" w:eastAsia="Times New Roman" w:hAnsi="Times New Roman" w:cs="Times New Roman"/>
          <w:sz w:val="24"/>
          <w:szCs w:val="24"/>
        </w:rPr>
        <w:t xml:space="preserve"> </w:t>
      </w:r>
      <w:r w:rsidRPr="00486AEC">
        <w:rPr>
          <w:rFonts w:ascii="Times New Roman" w:eastAsia="Times New Roman" w:hAnsi="Times New Roman" w:cs="Times New Roman"/>
          <w:sz w:val="20"/>
          <w:szCs w:val="20"/>
        </w:rPr>
        <w:t>Hajto Jan: Prednost i mane direktnog kompozita, Dentalart, 2007, 10(3):490-499.</w:t>
      </w:r>
    </w:p>
    <w:p w:rsidR="00486AEC" w:rsidRPr="00486AEC" w:rsidRDefault="00486AEC" w:rsidP="00486AEC">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[11</w:t>
      </w:r>
      <w:r w:rsidRPr="00486AEC">
        <w:rPr>
          <w:rFonts w:ascii="Times New Roman" w:hAnsi="Times New Roman" w:cs="Times New Roman"/>
          <w:sz w:val="20"/>
          <w:szCs w:val="20"/>
          <w:lang w:val="sr-Cyrl-CS"/>
        </w:rPr>
        <w:t>]</w:t>
      </w:r>
      <w:r w:rsidRPr="00486AEC">
        <w:t xml:space="preserve"> </w:t>
      </w:r>
      <w:r w:rsidRPr="00486AEC">
        <w:rPr>
          <w:rFonts w:ascii="Times New Roman" w:hAnsi="Times New Roman" w:cs="Times New Roman"/>
          <w:sz w:val="20"/>
          <w:szCs w:val="20"/>
        </w:rPr>
        <w:t>Hosner JD: Tehnika nanošenja kompozita, Dentalart, 2006, 282):66-71.</w:t>
      </w:r>
    </w:p>
    <w:p w:rsidR="00486AEC" w:rsidRDefault="00486AEC" w:rsidP="00486AEC">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lastRenderedPageBreak/>
        <w:t>[12</w:t>
      </w:r>
      <w:r w:rsidRPr="00486AEC">
        <w:rPr>
          <w:rFonts w:ascii="Times New Roman" w:hAnsi="Times New Roman" w:cs="Times New Roman"/>
          <w:sz w:val="20"/>
          <w:szCs w:val="20"/>
          <w:lang w:val="sr-Cyrl-CS"/>
        </w:rPr>
        <w:t>]</w:t>
      </w:r>
      <w:r w:rsidRPr="00486AEC">
        <w:rPr>
          <w:rFonts w:ascii="Times New Roman" w:eastAsia="Times New Roman" w:hAnsi="Times New Roman" w:cs="Times New Roman"/>
          <w:sz w:val="24"/>
          <w:szCs w:val="24"/>
        </w:rPr>
        <w:t xml:space="preserve"> </w:t>
      </w:r>
      <w:r w:rsidRPr="00486AEC">
        <w:rPr>
          <w:rFonts w:ascii="Times New Roman" w:eastAsia="Times New Roman" w:hAnsi="Times New Roman" w:cs="Times New Roman"/>
          <w:sz w:val="20"/>
          <w:szCs w:val="20"/>
        </w:rPr>
        <w:t>Knežević A, Demoli N, Tarle Z, Šole M: Digitalna holografska interferometrija-nova metoda mjerenja polimerizacijskog skupljanja kompozitnih materijala, Acta Stomatol Croat, 2005, 39(2):145-153.</w:t>
      </w:r>
    </w:p>
    <w:p w:rsidR="00486AEC" w:rsidRDefault="00486AEC" w:rsidP="00486AEC">
      <w:pPr>
        <w:spacing w:line="360" w:lineRule="auto"/>
        <w:jc w:val="both"/>
        <w:rPr>
          <w:sz w:val="20"/>
          <w:szCs w:val="20"/>
          <w:lang w:val="sr-Cyrl-RS"/>
        </w:rPr>
      </w:pPr>
      <w:r>
        <w:rPr>
          <w:rFonts w:ascii="Times New Roman" w:hAnsi="Times New Roman" w:cs="Times New Roman"/>
          <w:sz w:val="20"/>
          <w:szCs w:val="20"/>
          <w:lang w:val="sr-Cyrl-CS"/>
        </w:rPr>
        <w:t>[13</w:t>
      </w:r>
      <w:r w:rsidRPr="00247ED9">
        <w:rPr>
          <w:rFonts w:ascii="Times New Roman" w:hAnsi="Times New Roman" w:cs="Times New Roman"/>
          <w:sz w:val="20"/>
          <w:szCs w:val="20"/>
          <w:lang w:val="sr-Cyrl-CS"/>
        </w:rPr>
        <w:t>]</w:t>
      </w:r>
      <w:r w:rsidR="00247ED9" w:rsidRPr="00247ED9">
        <w:rPr>
          <w:sz w:val="20"/>
          <w:szCs w:val="20"/>
        </w:rPr>
        <w:t xml:space="preserve"> Illie N, Kunzelmann KH, Hickel R: Evaluation of micro-tensile bond strengths of composite materials in comparison to their polymerization shrinkage, Dental materials, 2006, 22:593-601.</w:t>
      </w:r>
    </w:p>
    <w:p w:rsidR="00247ED9" w:rsidRPr="00247ED9" w:rsidRDefault="00247ED9" w:rsidP="00247ED9">
      <w:pPr>
        <w:spacing w:line="360" w:lineRule="auto"/>
        <w:jc w:val="both"/>
        <w:rPr>
          <w:rFonts w:ascii="Times New Roman" w:eastAsia="Times New Roman" w:hAnsi="Times New Roman" w:cs="Times New Roman"/>
          <w:sz w:val="20"/>
          <w:szCs w:val="20"/>
        </w:rPr>
      </w:pPr>
      <w:r>
        <w:rPr>
          <w:rFonts w:ascii="Times New Roman" w:hAnsi="Times New Roman" w:cs="Times New Roman"/>
          <w:sz w:val="20"/>
          <w:szCs w:val="20"/>
          <w:lang w:val="sr-Cyrl-CS"/>
        </w:rPr>
        <w:t>[14</w:t>
      </w:r>
      <w:r w:rsidRPr="00247ED9">
        <w:rPr>
          <w:rFonts w:ascii="Times New Roman" w:hAnsi="Times New Roman" w:cs="Times New Roman"/>
          <w:sz w:val="20"/>
          <w:szCs w:val="20"/>
          <w:lang w:val="sr-Cyrl-CS"/>
        </w:rPr>
        <w:t>]</w:t>
      </w:r>
      <w:r>
        <w:rPr>
          <w:rFonts w:ascii="Times New Roman" w:eastAsia="Times New Roman" w:hAnsi="Times New Roman" w:cs="Times New Roman"/>
          <w:sz w:val="24"/>
          <w:szCs w:val="24"/>
          <w:lang w:val="sr-Cyrl-RS"/>
        </w:rPr>
        <w:t xml:space="preserve"> </w:t>
      </w:r>
      <w:r w:rsidRPr="00247ED9">
        <w:rPr>
          <w:rFonts w:ascii="Times New Roman" w:eastAsia="Times New Roman" w:hAnsi="Times New Roman" w:cs="Times New Roman"/>
          <w:sz w:val="20"/>
          <w:szCs w:val="20"/>
        </w:rPr>
        <w:t>Knežević A, Demoli N, Tarle Z, Negovetić-Mandić: Uticaj intenziteta svjetla za polimerizaciju na polimerizacijsko skupljanje kompozitnih materijala (III dio), Acta Stomatol Croat, 2005, 39(4):453-459.</w:t>
      </w:r>
    </w:p>
    <w:p w:rsidR="00247ED9" w:rsidRPr="00247ED9" w:rsidRDefault="00247ED9" w:rsidP="00247ED9">
      <w:pPr>
        <w:spacing w:line="360" w:lineRule="auto"/>
        <w:jc w:val="both"/>
        <w:rPr>
          <w:rFonts w:ascii="Times New Roman" w:eastAsia="Times New Roman" w:hAnsi="Times New Roman" w:cs="Times New Roman"/>
          <w:sz w:val="20"/>
          <w:szCs w:val="20"/>
        </w:rPr>
      </w:pPr>
      <w:r>
        <w:rPr>
          <w:rFonts w:ascii="Times New Roman" w:hAnsi="Times New Roman" w:cs="Times New Roman"/>
          <w:sz w:val="20"/>
          <w:szCs w:val="20"/>
          <w:lang w:val="sr-Cyrl-CS"/>
        </w:rPr>
        <w:t>[15</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Yazici AR, Celik C, Dayangac B, Ozgunaltay G: Effects of Different light curing units/ Modes on the microleakage of flowable composite resins, Eur J Dent, 2008, 2:240-246.</w:t>
      </w:r>
    </w:p>
    <w:p w:rsidR="00247ED9" w:rsidRDefault="00247ED9" w:rsidP="00247ED9">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[16</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Ernst CP, Braud N, Fromator U, Rippin G, Willershausen B: Reduction of polymerization shrinkage stress and marginal microleakage using soft start polymerization, Journal of Esthetic and Restorative dentistry, 2003, 15(2):93-103.</w:t>
      </w:r>
    </w:p>
    <w:p w:rsidR="00247ED9" w:rsidRDefault="00247ED9" w:rsidP="00247ED9">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[17</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Santos GO, Poskus LT, Guimarcies JGA, Silva EM: Influence of light- curing mode on the sealing of resin composite restorations, Rev Odontol UNESP, 2006, 35(4):269-273.</w:t>
      </w:r>
    </w:p>
    <w:p w:rsidR="00247ED9" w:rsidRDefault="00247ED9" w:rsidP="00247ED9">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[18</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Manhart J, Chen HY, Mehl A i saradnici: Marginal quality and microleakage of adhesive class V restorations, Journal of Dentistry, 2001, 29:123-130.</w:t>
      </w:r>
    </w:p>
    <w:p w:rsidR="00247ED9" w:rsidRDefault="00247ED9" w:rsidP="00247ED9">
      <w:pPr>
        <w:spacing w:line="360" w:lineRule="auto"/>
        <w:jc w:val="both"/>
        <w:rPr>
          <w:rFonts w:ascii="Times New Roman" w:eastAsia="Times New Roman" w:hAnsi="Times New Roman" w:cs="Times New Roman"/>
          <w:sz w:val="20"/>
          <w:szCs w:val="20"/>
          <w:lang w:val="sr-Cyrl-RS"/>
        </w:rPr>
      </w:pPr>
      <w:r>
        <w:rPr>
          <w:rFonts w:ascii="Times New Roman" w:hAnsi="Times New Roman" w:cs="Times New Roman"/>
          <w:sz w:val="20"/>
          <w:szCs w:val="20"/>
          <w:lang w:val="sr-Cyrl-CS"/>
        </w:rPr>
        <w:t>[19</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Nalcaci A, Ulusoy N: Effect of thermocycling on microleakage of resin composites polymerized with LED curing techniques, Quintessence International, 2007, 38(7):433-439.</w:t>
      </w:r>
    </w:p>
    <w:p w:rsidR="00247ED9" w:rsidRPr="00247ED9" w:rsidRDefault="00247ED9" w:rsidP="00247ED9">
      <w:pPr>
        <w:spacing w:line="360" w:lineRule="auto"/>
        <w:jc w:val="both"/>
        <w:rPr>
          <w:rFonts w:ascii="Times New Roman" w:eastAsia="Times New Roman" w:hAnsi="Times New Roman" w:cs="Times New Roman"/>
          <w:sz w:val="20"/>
          <w:szCs w:val="20"/>
        </w:rPr>
      </w:pPr>
      <w:r>
        <w:rPr>
          <w:rFonts w:ascii="Times New Roman" w:hAnsi="Times New Roman" w:cs="Times New Roman"/>
          <w:sz w:val="20"/>
          <w:szCs w:val="20"/>
          <w:lang w:val="sr-Cyrl-CS"/>
        </w:rPr>
        <w:t>[20</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Pradelle-Plasse N, Besnault C, Souad N, Colon P: Influence of new light curing units and bonding agentson the microleakage of class V composite restorations, American Journal of Dentistry, 2003, 16(6):409-413.</w:t>
      </w:r>
    </w:p>
    <w:p w:rsidR="00247ED9" w:rsidRPr="00247ED9" w:rsidRDefault="00247ED9" w:rsidP="00247ED9">
      <w:pPr>
        <w:spacing w:line="360" w:lineRule="auto"/>
        <w:jc w:val="both"/>
        <w:rPr>
          <w:rFonts w:ascii="Times New Roman" w:eastAsia="Times New Roman" w:hAnsi="Times New Roman" w:cs="Times New Roman"/>
          <w:sz w:val="20"/>
          <w:szCs w:val="20"/>
        </w:rPr>
      </w:pPr>
      <w:r>
        <w:rPr>
          <w:rFonts w:ascii="Times New Roman" w:hAnsi="Times New Roman" w:cs="Times New Roman"/>
          <w:sz w:val="20"/>
          <w:szCs w:val="20"/>
          <w:lang w:val="sr-Cyrl-CS"/>
        </w:rPr>
        <w:t>[21</w:t>
      </w:r>
      <w:r w:rsidRPr="00247ED9">
        <w:rPr>
          <w:rFonts w:ascii="Times New Roman" w:hAnsi="Times New Roman" w:cs="Times New Roman"/>
          <w:sz w:val="20"/>
          <w:szCs w:val="20"/>
          <w:lang w:val="sr-Cyrl-CS"/>
        </w:rPr>
        <w:t>]</w:t>
      </w:r>
      <w:r w:rsidRPr="00247ED9">
        <w:rPr>
          <w:rFonts w:ascii="Times New Roman" w:eastAsia="Times New Roman" w:hAnsi="Times New Roman" w:cs="Times New Roman"/>
          <w:sz w:val="24"/>
          <w:szCs w:val="24"/>
        </w:rPr>
        <w:t xml:space="preserve"> </w:t>
      </w:r>
      <w:r w:rsidRPr="00247ED9">
        <w:rPr>
          <w:rFonts w:ascii="Times New Roman" w:eastAsia="Times New Roman" w:hAnsi="Times New Roman" w:cs="Times New Roman"/>
          <w:sz w:val="20"/>
          <w:szCs w:val="20"/>
        </w:rPr>
        <w:t>Perreira JC, D Alpino PHP, Lopes LG, Franco EB, Mandelli RFL, De Souza JB: Evaluation of internal adaptation of class V resin composite restorations using three techniques of polymerization, Journal of Applied Oral Science, 2007, 15(1):49-54.</w:t>
      </w:r>
    </w:p>
    <w:p w:rsidR="00247ED9" w:rsidRPr="00247ED9" w:rsidRDefault="00247ED9" w:rsidP="00247ED9">
      <w:pPr>
        <w:spacing w:line="360" w:lineRule="auto"/>
        <w:jc w:val="both"/>
        <w:rPr>
          <w:rFonts w:ascii="Times New Roman" w:eastAsia="Times New Roman" w:hAnsi="Times New Roman" w:cs="Times New Roman"/>
          <w:sz w:val="20"/>
          <w:szCs w:val="20"/>
          <w:lang w:val="sr-Cyrl-RS"/>
        </w:rPr>
      </w:pPr>
    </w:p>
    <w:p w:rsidR="00247ED9" w:rsidRPr="00247ED9" w:rsidRDefault="00247ED9" w:rsidP="00247ED9">
      <w:pPr>
        <w:spacing w:line="360" w:lineRule="auto"/>
        <w:jc w:val="both"/>
        <w:rPr>
          <w:rFonts w:ascii="Times New Roman" w:eastAsia="Times New Roman" w:hAnsi="Times New Roman" w:cs="Times New Roman"/>
          <w:sz w:val="20"/>
          <w:szCs w:val="20"/>
          <w:lang w:val="sr-Cyrl-RS"/>
        </w:rPr>
      </w:pPr>
    </w:p>
    <w:p w:rsidR="00247ED9" w:rsidRPr="00247ED9" w:rsidRDefault="00247ED9" w:rsidP="00247ED9">
      <w:pPr>
        <w:spacing w:line="360" w:lineRule="auto"/>
        <w:jc w:val="both"/>
        <w:rPr>
          <w:rFonts w:ascii="Times New Roman" w:eastAsia="Times New Roman" w:hAnsi="Times New Roman" w:cs="Times New Roman"/>
          <w:sz w:val="20"/>
          <w:szCs w:val="20"/>
          <w:lang w:val="sr-Cyrl-RS"/>
        </w:rPr>
      </w:pPr>
    </w:p>
    <w:p w:rsidR="00247ED9" w:rsidRPr="00247ED9" w:rsidRDefault="00247ED9" w:rsidP="00247ED9">
      <w:pPr>
        <w:spacing w:line="360" w:lineRule="auto"/>
        <w:jc w:val="both"/>
        <w:rPr>
          <w:rFonts w:ascii="Times New Roman" w:eastAsia="Times New Roman" w:hAnsi="Times New Roman" w:cs="Times New Roman"/>
          <w:sz w:val="20"/>
          <w:szCs w:val="20"/>
          <w:lang w:val="sr-Cyrl-RS"/>
        </w:rPr>
      </w:pPr>
    </w:p>
    <w:p w:rsidR="00247ED9" w:rsidRPr="00247ED9" w:rsidRDefault="00247ED9" w:rsidP="00486AEC">
      <w:pPr>
        <w:spacing w:line="360" w:lineRule="auto"/>
        <w:jc w:val="both"/>
        <w:rPr>
          <w:sz w:val="20"/>
          <w:szCs w:val="20"/>
          <w:lang w:val="sr-Cyrl-RS"/>
        </w:rPr>
      </w:pPr>
    </w:p>
    <w:p w:rsidR="00247ED9" w:rsidRPr="00247ED9" w:rsidRDefault="00247ED9" w:rsidP="00486AEC">
      <w:pPr>
        <w:spacing w:line="360" w:lineRule="auto"/>
        <w:jc w:val="both"/>
        <w:rPr>
          <w:sz w:val="20"/>
          <w:szCs w:val="20"/>
          <w:lang w:val="sr-Cyrl-RS"/>
        </w:rPr>
      </w:pPr>
    </w:p>
    <w:p w:rsidR="00247ED9" w:rsidRPr="00247ED9" w:rsidRDefault="00247ED9" w:rsidP="00486AEC">
      <w:pPr>
        <w:spacing w:line="360" w:lineRule="auto"/>
        <w:jc w:val="both"/>
        <w:rPr>
          <w:rFonts w:ascii="Times New Roman" w:eastAsia="Times New Roman" w:hAnsi="Times New Roman" w:cs="Times New Roman"/>
          <w:sz w:val="20"/>
          <w:szCs w:val="20"/>
          <w:lang w:val="sr-Cyrl-RS"/>
        </w:rPr>
      </w:pPr>
    </w:p>
    <w:p w:rsidR="00486AEC" w:rsidRPr="00486AEC" w:rsidRDefault="00486AEC" w:rsidP="00486AEC">
      <w:pPr>
        <w:spacing w:line="360" w:lineRule="auto"/>
        <w:jc w:val="both"/>
        <w:rPr>
          <w:rFonts w:ascii="Times New Roman" w:eastAsia="Times New Roman" w:hAnsi="Times New Roman" w:cs="Times New Roman"/>
          <w:sz w:val="20"/>
          <w:szCs w:val="20"/>
          <w:lang w:val="sr-Cyrl-RS"/>
        </w:rPr>
      </w:pPr>
    </w:p>
    <w:p w:rsidR="00486AEC" w:rsidRPr="00486AEC" w:rsidRDefault="00486AEC" w:rsidP="00486AEC">
      <w:pPr>
        <w:spacing w:line="360" w:lineRule="auto"/>
        <w:jc w:val="both"/>
        <w:rPr>
          <w:rFonts w:ascii="Times New Roman" w:eastAsia="Times New Roman" w:hAnsi="Times New Roman" w:cs="Times New Roman"/>
          <w:sz w:val="20"/>
          <w:szCs w:val="20"/>
          <w:lang w:val="sr-Cyrl-RS"/>
        </w:rPr>
      </w:pPr>
    </w:p>
    <w:p w:rsidR="00BD0453" w:rsidRPr="00BD0453" w:rsidRDefault="00BD0453" w:rsidP="00BD0453">
      <w:pPr>
        <w:spacing w:line="240" w:lineRule="auto"/>
        <w:jc w:val="both"/>
        <w:rPr>
          <w:rFonts w:ascii="Times New Roman" w:eastAsia="Times New Roman" w:hAnsi="Times New Roman" w:cs="Times New Roman"/>
          <w:sz w:val="20"/>
          <w:szCs w:val="20"/>
          <w:lang w:val="sr-Cyrl-RS"/>
        </w:rPr>
      </w:pPr>
    </w:p>
    <w:p w:rsidR="00401D1F" w:rsidRPr="00401D1F" w:rsidRDefault="00401D1F" w:rsidP="00401D1F">
      <w:pPr>
        <w:spacing w:line="360" w:lineRule="auto"/>
        <w:jc w:val="both"/>
        <w:rPr>
          <w:rFonts w:ascii="Times New Roman" w:eastAsia="Times New Roman" w:hAnsi="Times New Roman" w:cs="Times New Roman"/>
          <w:sz w:val="20"/>
          <w:szCs w:val="20"/>
          <w:lang w:val="sr-Cyrl-RS"/>
        </w:rPr>
      </w:pPr>
    </w:p>
    <w:p w:rsidR="00401D1F" w:rsidRPr="00401D1F" w:rsidRDefault="00401D1F" w:rsidP="00401D1F">
      <w:pPr>
        <w:spacing w:line="360" w:lineRule="auto"/>
        <w:jc w:val="both"/>
        <w:rPr>
          <w:rFonts w:ascii="Times New Roman" w:eastAsia="Times New Roman" w:hAnsi="Times New Roman" w:cs="Times New Roman"/>
          <w:sz w:val="20"/>
          <w:szCs w:val="20"/>
          <w:lang w:val="sr-Cyrl-RS"/>
        </w:rPr>
      </w:pPr>
    </w:p>
    <w:p w:rsidR="00C75457" w:rsidRPr="00C75457" w:rsidRDefault="00C75457" w:rsidP="00B224DD">
      <w:pPr>
        <w:autoSpaceDE w:val="0"/>
        <w:autoSpaceDN w:val="0"/>
        <w:adjustRightInd w:val="0"/>
        <w:spacing w:after="0" w:line="360" w:lineRule="auto"/>
        <w:ind w:firstLine="720"/>
        <w:jc w:val="both"/>
        <w:rPr>
          <w:rFonts w:ascii="Times New Roman" w:eastAsia="Times New Roman" w:hAnsi="Times New Roman" w:cs="Times New Roman"/>
          <w:b/>
          <w:color w:val="000000"/>
          <w:lang w:val="sr-Cyrl-RS"/>
        </w:rPr>
      </w:pPr>
    </w:p>
    <w:p w:rsidR="00A4745E" w:rsidRPr="005D05B7" w:rsidRDefault="00A4745E" w:rsidP="00A4745E">
      <w:pPr>
        <w:autoSpaceDE w:val="0"/>
        <w:autoSpaceDN w:val="0"/>
        <w:adjustRightInd w:val="0"/>
        <w:spacing w:after="0" w:line="360" w:lineRule="auto"/>
        <w:ind w:firstLine="720"/>
        <w:rPr>
          <w:rFonts w:ascii="Times New Roman" w:eastAsia="Times New Roman" w:hAnsi="Times New Roman" w:cs="Times New Roman"/>
          <w:b/>
          <w:color w:val="000000"/>
          <w:lang w:val="sr-Cyrl-RS"/>
        </w:rPr>
      </w:pPr>
    </w:p>
    <w:p w:rsidR="00A86260" w:rsidRPr="005D05B7" w:rsidRDefault="00A86260" w:rsidP="005221C5">
      <w:pPr>
        <w:spacing w:after="0" w:line="360" w:lineRule="auto"/>
        <w:ind w:firstLine="720"/>
        <w:jc w:val="both"/>
        <w:rPr>
          <w:rFonts w:ascii="Times New Roman" w:hAnsi="Times New Roman" w:cs="Times New Roman"/>
          <w:lang w:val="sr-Cyrl-RS"/>
        </w:rPr>
      </w:pPr>
    </w:p>
    <w:p w:rsidR="00E3708E" w:rsidRPr="005D05B7" w:rsidRDefault="00E3708E" w:rsidP="000C3D57">
      <w:pPr>
        <w:jc w:val="both"/>
        <w:rPr>
          <w:rFonts w:ascii="Times New Roman" w:hAnsi="Times New Roman" w:cs="Times New Roman"/>
          <w:lang w:val="sr-Latn-BA"/>
        </w:rPr>
      </w:pPr>
    </w:p>
    <w:sectPr w:rsidR="00E3708E" w:rsidRPr="005D05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ticulate">
    <w:altName w:val="Malgun Gothic"/>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08E"/>
    <w:rsid w:val="00012781"/>
    <w:rsid w:val="00012A0F"/>
    <w:rsid w:val="0002586F"/>
    <w:rsid w:val="00030923"/>
    <w:rsid w:val="000462A4"/>
    <w:rsid w:val="0005148A"/>
    <w:rsid w:val="00071D3D"/>
    <w:rsid w:val="000721C2"/>
    <w:rsid w:val="000C3094"/>
    <w:rsid w:val="000C3D57"/>
    <w:rsid w:val="001118E2"/>
    <w:rsid w:val="001936A2"/>
    <w:rsid w:val="001B0A1E"/>
    <w:rsid w:val="001D66A6"/>
    <w:rsid w:val="001F3804"/>
    <w:rsid w:val="002443E5"/>
    <w:rsid w:val="00247ED9"/>
    <w:rsid w:val="00261A1F"/>
    <w:rsid w:val="002B2EF0"/>
    <w:rsid w:val="002C1E79"/>
    <w:rsid w:val="003001A6"/>
    <w:rsid w:val="00307C5E"/>
    <w:rsid w:val="00311290"/>
    <w:rsid w:val="00370837"/>
    <w:rsid w:val="003912F9"/>
    <w:rsid w:val="00401D1F"/>
    <w:rsid w:val="00486AEC"/>
    <w:rsid w:val="004B025B"/>
    <w:rsid w:val="004E1B7C"/>
    <w:rsid w:val="00517A86"/>
    <w:rsid w:val="005221C5"/>
    <w:rsid w:val="005733D2"/>
    <w:rsid w:val="005A2D16"/>
    <w:rsid w:val="005A3E7E"/>
    <w:rsid w:val="005D05B7"/>
    <w:rsid w:val="005F3F47"/>
    <w:rsid w:val="00621053"/>
    <w:rsid w:val="00632E84"/>
    <w:rsid w:val="00652EAB"/>
    <w:rsid w:val="00665190"/>
    <w:rsid w:val="006B5615"/>
    <w:rsid w:val="006C6F77"/>
    <w:rsid w:val="006E01FB"/>
    <w:rsid w:val="006F0E94"/>
    <w:rsid w:val="00745B98"/>
    <w:rsid w:val="00795D66"/>
    <w:rsid w:val="007A02CC"/>
    <w:rsid w:val="007C4F26"/>
    <w:rsid w:val="00805F67"/>
    <w:rsid w:val="008066F4"/>
    <w:rsid w:val="0084601A"/>
    <w:rsid w:val="00847CE7"/>
    <w:rsid w:val="0087744F"/>
    <w:rsid w:val="008A1F6E"/>
    <w:rsid w:val="008A2E96"/>
    <w:rsid w:val="008E0477"/>
    <w:rsid w:val="00915CC0"/>
    <w:rsid w:val="00927E09"/>
    <w:rsid w:val="00933619"/>
    <w:rsid w:val="00945FF3"/>
    <w:rsid w:val="00957C89"/>
    <w:rsid w:val="00997790"/>
    <w:rsid w:val="009A5DC3"/>
    <w:rsid w:val="009B3DE2"/>
    <w:rsid w:val="009B6B6E"/>
    <w:rsid w:val="009E4978"/>
    <w:rsid w:val="009F3AE2"/>
    <w:rsid w:val="00A0273A"/>
    <w:rsid w:val="00A13D34"/>
    <w:rsid w:val="00A20DF4"/>
    <w:rsid w:val="00A4745E"/>
    <w:rsid w:val="00A50DE9"/>
    <w:rsid w:val="00A53710"/>
    <w:rsid w:val="00A708D6"/>
    <w:rsid w:val="00A86260"/>
    <w:rsid w:val="00A91C2D"/>
    <w:rsid w:val="00AA1BD1"/>
    <w:rsid w:val="00AD0DE8"/>
    <w:rsid w:val="00AF7950"/>
    <w:rsid w:val="00B031C8"/>
    <w:rsid w:val="00B15872"/>
    <w:rsid w:val="00B224DD"/>
    <w:rsid w:val="00B42581"/>
    <w:rsid w:val="00B812BF"/>
    <w:rsid w:val="00B82EC2"/>
    <w:rsid w:val="00B97888"/>
    <w:rsid w:val="00BD0453"/>
    <w:rsid w:val="00BD69A5"/>
    <w:rsid w:val="00C75457"/>
    <w:rsid w:val="00C75C04"/>
    <w:rsid w:val="00C81A14"/>
    <w:rsid w:val="00CA49E9"/>
    <w:rsid w:val="00CA63BE"/>
    <w:rsid w:val="00CB3C39"/>
    <w:rsid w:val="00CB5200"/>
    <w:rsid w:val="00CE7B9A"/>
    <w:rsid w:val="00D015C6"/>
    <w:rsid w:val="00D06730"/>
    <w:rsid w:val="00D3626E"/>
    <w:rsid w:val="00D419CB"/>
    <w:rsid w:val="00D66F28"/>
    <w:rsid w:val="00D750A4"/>
    <w:rsid w:val="00E05B4D"/>
    <w:rsid w:val="00E26938"/>
    <w:rsid w:val="00E3708E"/>
    <w:rsid w:val="00EA4AD8"/>
    <w:rsid w:val="00EC04C0"/>
    <w:rsid w:val="00F3251B"/>
    <w:rsid w:val="00F51B77"/>
    <w:rsid w:val="00F82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B4D"/>
    <w:rPr>
      <w:color w:val="0000FF" w:themeColor="hyperlink"/>
      <w:u w:val="single"/>
    </w:rPr>
  </w:style>
  <w:style w:type="paragraph" w:styleId="BalloonText">
    <w:name w:val="Balloon Text"/>
    <w:basedOn w:val="Normal"/>
    <w:link w:val="BalloonTextChar"/>
    <w:uiPriority w:val="99"/>
    <w:semiHidden/>
    <w:unhideWhenUsed/>
    <w:rsid w:val="004E1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B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B4D"/>
    <w:rPr>
      <w:color w:val="0000FF" w:themeColor="hyperlink"/>
      <w:u w:val="single"/>
    </w:rPr>
  </w:style>
  <w:style w:type="paragraph" w:styleId="BalloonText">
    <w:name w:val="Balloon Text"/>
    <w:basedOn w:val="Normal"/>
    <w:link w:val="BalloonTextChar"/>
    <w:uiPriority w:val="99"/>
    <w:semiHidden/>
    <w:unhideWhenUsed/>
    <w:rsid w:val="004E1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B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48131">
      <w:bodyDiv w:val="1"/>
      <w:marLeft w:val="0"/>
      <w:marRight w:val="0"/>
      <w:marTop w:val="0"/>
      <w:marBottom w:val="0"/>
      <w:divBdr>
        <w:top w:val="none" w:sz="0" w:space="0" w:color="auto"/>
        <w:left w:val="none" w:sz="0" w:space="0" w:color="auto"/>
        <w:bottom w:val="none" w:sz="0" w:space="0" w:color="auto"/>
        <w:right w:val="none" w:sz="0" w:space="0" w:color="auto"/>
      </w:divBdr>
      <w:divsChild>
        <w:div w:id="467433856">
          <w:marLeft w:val="0"/>
          <w:marRight w:val="0"/>
          <w:marTop w:val="0"/>
          <w:marBottom w:val="0"/>
          <w:divBdr>
            <w:top w:val="none" w:sz="0" w:space="0" w:color="auto"/>
            <w:left w:val="none" w:sz="0" w:space="0" w:color="auto"/>
            <w:bottom w:val="none" w:sz="0" w:space="0" w:color="auto"/>
            <w:right w:val="none" w:sz="0" w:space="0" w:color="auto"/>
          </w:divBdr>
        </w:div>
        <w:div w:id="1576431031">
          <w:marLeft w:val="0"/>
          <w:marRight w:val="0"/>
          <w:marTop w:val="0"/>
          <w:marBottom w:val="0"/>
          <w:divBdr>
            <w:top w:val="none" w:sz="0" w:space="0" w:color="auto"/>
            <w:left w:val="none" w:sz="0" w:space="0" w:color="auto"/>
            <w:bottom w:val="none" w:sz="0" w:space="0" w:color="auto"/>
            <w:right w:val="none" w:sz="0" w:space="0" w:color="auto"/>
          </w:divBdr>
        </w:div>
        <w:div w:id="958801665">
          <w:marLeft w:val="0"/>
          <w:marRight w:val="0"/>
          <w:marTop w:val="0"/>
          <w:marBottom w:val="0"/>
          <w:divBdr>
            <w:top w:val="none" w:sz="0" w:space="0" w:color="auto"/>
            <w:left w:val="none" w:sz="0" w:space="0" w:color="auto"/>
            <w:bottom w:val="none" w:sz="0" w:space="0" w:color="auto"/>
            <w:right w:val="none" w:sz="0" w:space="0" w:color="auto"/>
          </w:divBdr>
        </w:div>
        <w:div w:id="1557621063">
          <w:marLeft w:val="0"/>
          <w:marRight w:val="0"/>
          <w:marTop w:val="0"/>
          <w:marBottom w:val="0"/>
          <w:divBdr>
            <w:top w:val="none" w:sz="0" w:space="0" w:color="auto"/>
            <w:left w:val="none" w:sz="0" w:space="0" w:color="auto"/>
            <w:bottom w:val="none" w:sz="0" w:space="0" w:color="auto"/>
            <w:right w:val="none" w:sz="0" w:space="0" w:color="auto"/>
          </w:divBdr>
        </w:div>
        <w:div w:id="1601793074">
          <w:marLeft w:val="0"/>
          <w:marRight w:val="0"/>
          <w:marTop w:val="0"/>
          <w:marBottom w:val="0"/>
          <w:divBdr>
            <w:top w:val="none" w:sz="0" w:space="0" w:color="auto"/>
            <w:left w:val="none" w:sz="0" w:space="0" w:color="auto"/>
            <w:bottom w:val="none" w:sz="0" w:space="0" w:color="auto"/>
            <w:right w:val="none" w:sz="0" w:space="0" w:color="auto"/>
          </w:divBdr>
        </w:div>
        <w:div w:id="1679692716">
          <w:marLeft w:val="0"/>
          <w:marRight w:val="0"/>
          <w:marTop w:val="0"/>
          <w:marBottom w:val="0"/>
          <w:divBdr>
            <w:top w:val="none" w:sz="0" w:space="0" w:color="auto"/>
            <w:left w:val="none" w:sz="0" w:space="0" w:color="auto"/>
            <w:bottom w:val="none" w:sz="0" w:space="0" w:color="auto"/>
            <w:right w:val="none" w:sz="0" w:space="0" w:color="auto"/>
          </w:divBdr>
        </w:div>
        <w:div w:id="810945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4.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hyperlink" Target="mailto:&#1086;gnjenka.olja@gmail.com"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4455</Words>
  <Characters>25398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Olja</dc:creator>
  <cp:lastModifiedBy>Olja</cp:lastModifiedBy>
  <cp:revision>8</cp:revision>
  <dcterms:created xsi:type="dcterms:W3CDTF">2016-04-22T07:49:00Z</dcterms:created>
  <dcterms:modified xsi:type="dcterms:W3CDTF">2016-04-26T07:36:00Z</dcterms:modified>
</cp:coreProperties>
</file>