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45F" w:rsidRPr="00D10ED0" w:rsidRDefault="0057745F" w:rsidP="0057745F">
      <w:pPr>
        <w:pStyle w:val="Naslov"/>
      </w:pPr>
      <w:r w:rsidRPr="00D10ED0">
        <w:t>ANALIZA BEZBJEDNOSTI SAOBRAĆAJA NA PODRUČJU KOJE POKRIVA POLICIJSKA STANICA ČELINAC</w:t>
      </w:r>
    </w:p>
    <w:p w:rsidR="0057745F" w:rsidRPr="00D10ED0" w:rsidRDefault="0057745F" w:rsidP="0057745F">
      <w:pPr>
        <w:pStyle w:val="Naslov"/>
      </w:pPr>
      <w:r w:rsidRPr="00D10ED0">
        <w:t>ANALYSIS OF ROAD SAFETY IN THE AREA WHICH COVERED POLICE STATION ČELINAC</w:t>
      </w:r>
    </w:p>
    <w:p w:rsidR="004A4828" w:rsidRPr="0057745F" w:rsidRDefault="0057745F" w:rsidP="0057745F">
      <w:pPr>
        <w:pStyle w:val="Autori"/>
        <w:rPr>
          <w:kern w:val="22"/>
        </w:rPr>
      </w:pPr>
      <w:r>
        <w:rPr>
          <w:kern w:val="22"/>
        </w:rPr>
        <w:t>Dragana Savić</w:t>
      </w:r>
      <w:r>
        <w:rPr>
          <w:rStyle w:val="FootnoteReference"/>
          <w:rFonts w:ascii="Times New Roman" w:hAnsi="Times New Roman"/>
          <w:kern w:val="22"/>
          <w:sz w:val="24"/>
          <w:szCs w:val="24"/>
          <w:lang w:val="hr-BA" w:eastAsia="hr-BA"/>
        </w:rPr>
        <w:footnoteReference w:id="1"/>
      </w:r>
      <w:r>
        <w:rPr>
          <w:kern w:val="22"/>
        </w:rPr>
        <w:t>, Biljana Jovanović</w:t>
      </w:r>
      <w:r>
        <w:rPr>
          <w:rStyle w:val="FootnoteReference"/>
          <w:rFonts w:ascii="Times New Roman" w:hAnsi="Times New Roman"/>
          <w:kern w:val="22"/>
          <w:sz w:val="24"/>
          <w:szCs w:val="24"/>
          <w:lang w:val="hr-BA" w:eastAsia="hr-BA"/>
        </w:rPr>
        <w:footnoteReference w:id="2"/>
      </w:r>
      <w:r>
        <w:rPr>
          <w:kern w:val="22"/>
        </w:rPr>
        <w:t>, Miroslav Pavlović</w:t>
      </w:r>
      <w:r>
        <w:rPr>
          <w:rStyle w:val="FootnoteReference"/>
          <w:rFonts w:ascii="Times New Roman" w:hAnsi="Times New Roman"/>
          <w:kern w:val="22"/>
          <w:sz w:val="24"/>
          <w:szCs w:val="24"/>
          <w:lang w:val="hr-BA" w:eastAsia="hr-BA"/>
        </w:rPr>
        <w:footnoteReference w:id="3"/>
      </w:r>
      <w:r>
        <w:rPr>
          <w:kern w:val="22"/>
        </w:rPr>
        <w:t>, Neđo Savić</w:t>
      </w:r>
      <w:r>
        <w:rPr>
          <w:rStyle w:val="FootnoteReference"/>
          <w:rFonts w:ascii="Times New Roman" w:hAnsi="Times New Roman"/>
          <w:kern w:val="22"/>
          <w:sz w:val="24"/>
          <w:szCs w:val="24"/>
          <w:lang w:val="hr-BA" w:eastAsia="hr-BA"/>
        </w:rPr>
        <w:footnoteReference w:id="4"/>
      </w:r>
    </w:p>
    <w:p w:rsidR="004A4828" w:rsidRDefault="004A4828" w:rsidP="004A4828">
      <w:pPr>
        <w:pStyle w:val="Subtitle"/>
        <w:rPr>
          <w:rFonts w:ascii="Times New Roman" w:hAnsi="Times New Roman"/>
          <w:sz w:val="20"/>
          <w:szCs w:val="20"/>
        </w:rPr>
      </w:pPr>
    </w:p>
    <w:p w:rsidR="0057745F" w:rsidRDefault="0057745F" w:rsidP="0057745F">
      <w:pPr>
        <w:pStyle w:val="Rezime-Kljune"/>
      </w:pPr>
      <w:r w:rsidRPr="00D10ED0">
        <w:rPr>
          <w:b/>
        </w:rPr>
        <w:t>Rezime:</w:t>
      </w:r>
      <w:r w:rsidRPr="00D96423">
        <w:t xml:space="preserve"> U rаdu je izvršena аnаliza osnovnih pokаzаtelja bezbjednosti</w:t>
      </w:r>
      <w:r w:rsidR="00340FFE">
        <w:t xml:space="preserve"> </w:t>
      </w:r>
      <w:r w:rsidRPr="00D96423">
        <w:t>sаobrаćаjа na po</w:t>
      </w:r>
      <w:r>
        <w:t xml:space="preserve">dručju koje pokriva PS Čelinac. </w:t>
      </w:r>
      <w:r w:rsidRPr="00D96423">
        <w:t>Ruč</w:t>
      </w:r>
      <w:r>
        <w:t>na obrada podataka o broju</w:t>
      </w:r>
      <w:r w:rsidRPr="00D96423">
        <w:t xml:space="preserve"> saobraćajnih nezgoda</w:t>
      </w:r>
      <w:r>
        <w:t>, kao i struktura stradalih lica u saobraćajnim nezgodama, raspodjela nezgoda u zavisnosti od kategorije puta</w:t>
      </w:r>
      <w:r w:rsidRPr="00D96423">
        <w:t xml:space="preserve"> za period od pet godina, po godinama</w:t>
      </w:r>
      <w:r w:rsidR="00340FFE">
        <w:t xml:space="preserve"> </w:t>
      </w:r>
      <w:r w:rsidRPr="00D96423">
        <w:t>i davanje preporuka za pobol</w:t>
      </w:r>
      <w:r>
        <w:t>j</w:t>
      </w:r>
      <w:r w:rsidRPr="00D96423">
        <w:t>šanje stanja bezbjednosti saobraćaja u budućnosti.</w:t>
      </w:r>
    </w:p>
    <w:p w:rsidR="0057745F" w:rsidRPr="00FC14D5" w:rsidRDefault="0057745F" w:rsidP="0057745F">
      <w:pPr>
        <w:pStyle w:val="Rezime-Kljune"/>
      </w:pPr>
      <w:r w:rsidRPr="003D4B50">
        <w:rPr>
          <w:b/>
        </w:rPr>
        <w:t>Ključne riječi:</w:t>
      </w:r>
      <w:r w:rsidRPr="00FC14D5">
        <w:t xml:space="preserve"> saobraćajna nezgoda, bezbjednot saobraćaja, uzroci saobraćajnih nezgoda</w:t>
      </w:r>
    </w:p>
    <w:p w:rsidR="0057745F" w:rsidRPr="00FC14D5" w:rsidRDefault="0057745F" w:rsidP="0057745F">
      <w:pPr>
        <w:pStyle w:val="Rezime-Kljune"/>
        <w:rPr>
          <w:b/>
        </w:rPr>
      </w:pPr>
      <w:r w:rsidRPr="00FC14D5">
        <w:rPr>
          <w:b/>
        </w:rPr>
        <w:t>Abstract</w:t>
      </w:r>
      <w:r w:rsidRPr="009A0829">
        <w:rPr>
          <w:b/>
        </w:rPr>
        <w:t>:</w:t>
      </w:r>
      <w:r w:rsidRPr="009A0829">
        <w:rPr>
          <w:shd w:val="clear" w:color="auto" w:fill="FEFEFE"/>
        </w:rPr>
        <w:t xml:space="preserve"> In (this) paper is done an analysis of the basic indicators of traffic safety in the area covered by the Police Station Čelinac. Manual processing of data about the number of traffic accidents, as well as the structure of casualties in traffic accidents, the distribution of accidents according to the road category for a period of five years, according to age and making recommendations for the improvement of the traffic safety in the future. </w:t>
      </w:r>
    </w:p>
    <w:p w:rsidR="0057745F" w:rsidRPr="0057745F" w:rsidRDefault="0057745F" w:rsidP="0057745F">
      <w:pPr>
        <w:pStyle w:val="Rezime-Kljune"/>
        <w:rPr>
          <w:shd w:val="clear" w:color="auto" w:fill="FEFEFE"/>
        </w:rPr>
      </w:pPr>
      <w:r w:rsidRPr="00FC14D5">
        <w:rPr>
          <w:b/>
        </w:rPr>
        <w:t>Keywords:</w:t>
      </w:r>
      <w:r w:rsidRPr="009A0829">
        <w:rPr>
          <w:shd w:val="clear" w:color="auto" w:fill="FEFEFE"/>
        </w:rPr>
        <w:t xml:space="preserve"> traffic accident, traffic safety, causes of accidents</w:t>
      </w:r>
    </w:p>
    <w:p w:rsidR="0057745F" w:rsidRPr="00D10ED0" w:rsidRDefault="0057745F" w:rsidP="0057745F">
      <w:pPr>
        <w:pStyle w:val="Heading1"/>
      </w:pPr>
      <w:r w:rsidRPr="00D10ED0">
        <w:t>UVOD</w:t>
      </w:r>
    </w:p>
    <w:p w:rsidR="0057745F" w:rsidRDefault="0057745F" w:rsidP="0057745F">
      <w:pPr>
        <w:pStyle w:val="Tekst"/>
        <w:rPr>
          <w:rFonts w:ascii="Calibri" w:hAnsi="Calibri" w:cs="Calibri"/>
        </w:rPr>
      </w:pPr>
      <w:r w:rsidRPr="0057745F">
        <w:t>Opština Čelinac nalazi se pored Banja Luke, u svjevernom dijelu BiH i pripada entitetu RS. Što se tiče saobraćajne mreže na teritoriji opštine Čelinac ona i nije na nekom visokom nivou razvoja i gustine, uglavnom su to lokalni putevi i ulice u naselju, a od puteva višeg ranga izvajaju se dionice</w:t>
      </w:r>
      <w:r w:rsidR="00340FFE">
        <w:t xml:space="preserve"> </w:t>
      </w:r>
      <w:r w:rsidRPr="0057745F">
        <w:t xml:space="preserve">koje u JP „Putevi Republike Srpske“ nose oznake 16 i 17 i pripadaju magistralnom putu M-4 i regionalni putevi 476 Čelinac – Gornja Vijaka 2 dug 42,847 [km] kao i regionalni </w:t>
      </w:r>
      <w:r w:rsidR="00340FFE">
        <w:t>put 476a Ukrina – Klupe dug 29,</w:t>
      </w:r>
      <w:bookmarkStart w:id="0" w:name="_GoBack"/>
      <w:bookmarkEnd w:id="0"/>
      <w:r w:rsidRPr="0057745F">
        <w:t xml:space="preserve">904 [km]. Takođe jednim dijelom teritorije opštine Čelinac proteže se i željaznička pruga normalnog kolosijeka Banja Luka – Doboj. </w:t>
      </w:r>
      <w:r w:rsidR="003A7D8A">
        <w:rPr>
          <w:rFonts w:ascii="Calibri" w:hAnsi="Calibri" w:cs="Calibri"/>
        </w:rPr>
        <w:t>(</w:t>
      </w:r>
      <w:hyperlink r:id="rId9" w:history="1">
        <w:r w:rsidR="003A7D8A" w:rsidRPr="00D113E4">
          <w:rPr>
            <w:rStyle w:val="Hyperlink"/>
          </w:rPr>
          <w:t>https://en.wikipedia.org/wiki/Čelinac,_Bosnia_and_Herzegovina</w:t>
        </w:r>
      </w:hyperlink>
      <w:r w:rsidR="003A7D8A">
        <w:t>, 21.07.2016.</w:t>
      </w:r>
      <w:r w:rsidR="000C7C3D">
        <w:rPr>
          <w:rFonts w:ascii="Calibri" w:hAnsi="Calibri" w:cs="Calibri"/>
        </w:rPr>
        <w:t>).</w:t>
      </w:r>
    </w:p>
    <w:p w:rsidR="000C7C3D" w:rsidRPr="000C7C3D" w:rsidRDefault="000C7C3D" w:rsidP="000C7C3D">
      <w:pPr>
        <w:pStyle w:val="Tekst"/>
        <w:rPr>
          <w:rFonts w:ascii="Calibri" w:hAnsi="Calibri" w:cs="Calibri"/>
        </w:rPr>
      </w:pPr>
      <w:r>
        <w:rPr>
          <w:rFonts w:ascii="Calibri" w:hAnsi="Calibri" w:cs="Calibri"/>
        </w:rPr>
        <w:t>Prilikom planiranja poslova bezbjednosti saobraćaja u jedinicama loakalne samouprave postoje različiti pristupi. Najznačajniji efekti u smanjivanju broja saobračajnih nezgoda i njihovih posledica postignuti su na prostorima na kojima je primijenjen strateški pristup upravljanja bezbjednošću saobraćaja. „To podrazumijeva kvalitetno praćenje postojećeg stanja, definisanje ženjenog stanja i koordinirano sprovođenje dobro osmišnjenih upravljačkih mjera u cilju približavanja postojećeg stanja željenom stanju“ (Lipovac et al, 2010:48).</w:t>
      </w:r>
    </w:p>
    <w:p w:rsidR="0057745F" w:rsidRPr="0057745F" w:rsidRDefault="0057745F" w:rsidP="0057745F">
      <w:pPr>
        <w:pStyle w:val="Tekst"/>
      </w:pPr>
      <w:r w:rsidRPr="0057745F">
        <w:t>Cilj ovog rada je usmjerena na analizu stanja bezbjednosti saobraćaja na području koje pokriva PS Čelinac u periodu od 2011. do 2015. godine, sa ciljem da se nakon analize postojećeg stanja dođe do saznanja koji to faktori najviše ugoržavaju bezbjednost saobraćaja na posmatranom području, te da se nakon analize stanja bezbjednosti predlože mjere koje će u okviru postojećeg stanja sistema omogućiti unapređenje bezbjednosti. Predmet analize vezuje se za saobraćajne nezgode i posljedice saobraćajnih nezgoda. Saobraćajne nezgode su najznačajniji negativni efekat saobraćaja i zbog toga se one sa punim smislom posebno istražuju.</w:t>
      </w:r>
    </w:p>
    <w:p w:rsidR="0057745F" w:rsidRPr="00D10ED0" w:rsidRDefault="0057745F" w:rsidP="0057745F">
      <w:pPr>
        <w:pStyle w:val="Heading1"/>
      </w:pPr>
      <w:proofErr w:type="gramStart"/>
      <w:r w:rsidRPr="00D10ED0">
        <w:t>2.ANALIZA</w:t>
      </w:r>
      <w:proofErr w:type="gramEnd"/>
      <w:r w:rsidRPr="00D10ED0">
        <w:t xml:space="preserve"> STANJA BEZBJEDNOSTI SAOBRAĆAJA NA PODRUČJU KOJE POKRIVA PS ČELINAC</w:t>
      </w:r>
    </w:p>
    <w:p w:rsidR="0057745F" w:rsidRPr="00340FFE" w:rsidRDefault="0057745F" w:rsidP="005C572C">
      <w:pPr>
        <w:pStyle w:val="Tekst"/>
        <w:rPr>
          <w:lang w:val="sr-Latn-RS"/>
        </w:rPr>
      </w:pPr>
      <w:r w:rsidRPr="00750899">
        <w:t xml:space="preserve">Analiza stanja bezbjednosti saobraćaja zasniva se na analiziranju i upoređivanu prikupljenih podataka o saobraćajnim </w:t>
      </w:r>
      <w:r w:rsidRPr="005C572C">
        <w:t>nezgodama koje su se dogodile na području koje pokriva PS Čelinac za period od pet godina</w:t>
      </w:r>
      <w:r w:rsidR="00340FFE">
        <w:t xml:space="preserve"> (2011. do 2015. godine).</w:t>
      </w:r>
    </w:p>
    <w:p w:rsidR="001448FB" w:rsidRPr="00340FFE" w:rsidRDefault="0057745F" w:rsidP="0057745F">
      <w:pPr>
        <w:pStyle w:val="Tekst"/>
        <w:rPr>
          <w:szCs w:val="23"/>
          <w:lang w:val="sr-Latn-RS"/>
        </w:rPr>
      </w:pPr>
      <w:r w:rsidRPr="005C572C">
        <w:rPr>
          <w:szCs w:val="23"/>
        </w:rPr>
        <w:lastRenderedPageBreak/>
        <w:t>Na osnovu pokazatelja iz analitičkih izvještaja i elektronske evidencije saobraćajnih nezgoda izvučeni su podaci prikazani u Tabeli 1. gdje možemo vidjeti ukupan broj saobraćajnih nezgoda za period od pet godina, analizirano po godinama.</w:t>
      </w:r>
    </w:p>
    <w:p w:rsidR="0057745F" w:rsidRPr="00041258" w:rsidRDefault="001448FB" w:rsidP="003A7D8A">
      <w:pPr>
        <w:pStyle w:val="Tabelanatpis"/>
        <w:rPr>
          <w:sz w:val="16"/>
        </w:rPr>
      </w:pPr>
      <w:r w:rsidRPr="00EB2356">
        <w:t>Struktura saobraćajnih nezgoda i nastradalih lica</w:t>
      </w:r>
      <w:r>
        <w:t xml:space="preserve"> </w:t>
      </w:r>
      <w:r w:rsidR="003A7D8A">
        <w:t>(</w:t>
      </w:r>
      <w:r w:rsidR="003A7D8A" w:rsidRPr="00D96423">
        <w:t>Analitički izvještaji MUP RS</w:t>
      </w:r>
      <w:r w:rsidR="003A7D8A">
        <w:t>)</w:t>
      </w:r>
    </w:p>
    <w:tbl>
      <w:tblPr>
        <w:tblW w:w="8911" w:type="dxa"/>
        <w:tblInd w:w="93" w:type="dxa"/>
        <w:tblLook w:val="04A0" w:firstRow="1" w:lastRow="0" w:firstColumn="1" w:lastColumn="0" w:noHBand="0" w:noVBand="1"/>
      </w:tblPr>
      <w:tblGrid>
        <w:gridCol w:w="3073"/>
        <w:gridCol w:w="540"/>
        <w:gridCol w:w="552"/>
        <w:gridCol w:w="553"/>
        <w:gridCol w:w="553"/>
        <w:gridCol w:w="573"/>
        <w:gridCol w:w="729"/>
        <w:gridCol w:w="775"/>
        <w:gridCol w:w="788"/>
        <w:gridCol w:w="775"/>
      </w:tblGrid>
      <w:tr w:rsidR="00DE30C4" w:rsidRPr="00DE30C4" w:rsidTr="00DE30C4">
        <w:trPr>
          <w:trHeight w:val="300"/>
        </w:trPr>
        <w:tc>
          <w:tcPr>
            <w:tcW w:w="307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DE30C4" w:rsidRPr="00DE30C4" w:rsidRDefault="00DE30C4" w:rsidP="00DE30C4">
            <w:pPr>
              <w:jc w:val="center"/>
              <w:rPr>
                <w:rFonts w:ascii="Calibri" w:hAnsi="Calibri" w:cs="Calibri"/>
                <w:b/>
                <w:bCs/>
                <w:sz w:val="16"/>
                <w:szCs w:val="16"/>
              </w:rPr>
            </w:pPr>
            <w:r w:rsidRPr="00DE30C4">
              <w:rPr>
                <w:rFonts w:ascii="Calibri" w:hAnsi="Calibri" w:cs="Calibri"/>
                <w:b/>
                <w:bCs/>
                <w:sz w:val="16"/>
                <w:szCs w:val="16"/>
              </w:rPr>
              <w:t>POKAZATELJI</w:t>
            </w:r>
          </w:p>
        </w:tc>
        <w:tc>
          <w:tcPr>
            <w:tcW w:w="540" w:type="dxa"/>
            <w:tcBorders>
              <w:top w:val="single" w:sz="8" w:space="0" w:color="auto"/>
              <w:left w:val="nil"/>
              <w:bottom w:val="single" w:sz="4" w:space="0" w:color="auto"/>
              <w:right w:val="single" w:sz="4" w:space="0" w:color="auto"/>
            </w:tcBorders>
            <w:shd w:val="clear" w:color="auto" w:fill="auto"/>
            <w:noWrap/>
            <w:vAlign w:val="center"/>
            <w:hideMark/>
          </w:tcPr>
          <w:p w:rsidR="00DE30C4" w:rsidRPr="00DE30C4" w:rsidRDefault="00DE30C4" w:rsidP="00DE30C4">
            <w:pPr>
              <w:jc w:val="center"/>
              <w:rPr>
                <w:rFonts w:ascii="Calibri" w:hAnsi="Calibri" w:cs="Calibri"/>
                <w:b/>
                <w:bCs/>
                <w:sz w:val="16"/>
                <w:szCs w:val="16"/>
              </w:rPr>
            </w:pPr>
            <w:r w:rsidRPr="00DE30C4">
              <w:rPr>
                <w:rFonts w:ascii="Calibri" w:hAnsi="Calibri" w:cs="Calibri"/>
                <w:b/>
                <w:bCs/>
                <w:sz w:val="16"/>
                <w:szCs w:val="16"/>
              </w:rPr>
              <w:t>2011</w:t>
            </w:r>
          </w:p>
        </w:tc>
        <w:tc>
          <w:tcPr>
            <w:tcW w:w="553" w:type="dxa"/>
            <w:tcBorders>
              <w:top w:val="single" w:sz="8" w:space="0" w:color="auto"/>
              <w:left w:val="nil"/>
              <w:bottom w:val="single" w:sz="4" w:space="0" w:color="auto"/>
              <w:right w:val="single" w:sz="4" w:space="0" w:color="auto"/>
            </w:tcBorders>
            <w:shd w:val="clear" w:color="auto" w:fill="auto"/>
            <w:noWrap/>
            <w:vAlign w:val="center"/>
            <w:hideMark/>
          </w:tcPr>
          <w:p w:rsidR="00DE30C4" w:rsidRPr="00DE30C4" w:rsidRDefault="00DE30C4" w:rsidP="00DE30C4">
            <w:pPr>
              <w:jc w:val="center"/>
              <w:rPr>
                <w:rFonts w:ascii="Calibri" w:hAnsi="Calibri" w:cs="Calibri"/>
                <w:b/>
                <w:bCs/>
                <w:sz w:val="16"/>
                <w:szCs w:val="16"/>
              </w:rPr>
            </w:pPr>
            <w:r w:rsidRPr="00DE30C4">
              <w:rPr>
                <w:rFonts w:ascii="Calibri" w:hAnsi="Calibri" w:cs="Calibri"/>
                <w:b/>
                <w:bCs/>
                <w:sz w:val="16"/>
                <w:szCs w:val="16"/>
              </w:rPr>
              <w:t>2012</w:t>
            </w:r>
          </w:p>
        </w:tc>
        <w:tc>
          <w:tcPr>
            <w:tcW w:w="553" w:type="dxa"/>
            <w:tcBorders>
              <w:top w:val="single" w:sz="8" w:space="0" w:color="auto"/>
              <w:left w:val="nil"/>
              <w:bottom w:val="single" w:sz="4" w:space="0" w:color="auto"/>
              <w:right w:val="single" w:sz="4" w:space="0" w:color="auto"/>
            </w:tcBorders>
            <w:shd w:val="clear" w:color="auto" w:fill="auto"/>
            <w:noWrap/>
            <w:vAlign w:val="center"/>
            <w:hideMark/>
          </w:tcPr>
          <w:p w:rsidR="00DE30C4" w:rsidRPr="00DE30C4" w:rsidRDefault="00DE30C4" w:rsidP="00DE30C4">
            <w:pPr>
              <w:jc w:val="center"/>
              <w:rPr>
                <w:rFonts w:ascii="Calibri" w:hAnsi="Calibri" w:cs="Calibri"/>
                <w:b/>
                <w:bCs/>
                <w:sz w:val="16"/>
                <w:szCs w:val="16"/>
              </w:rPr>
            </w:pPr>
            <w:r w:rsidRPr="00DE30C4">
              <w:rPr>
                <w:rFonts w:ascii="Calibri" w:hAnsi="Calibri" w:cs="Calibri"/>
                <w:b/>
                <w:bCs/>
                <w:sz w:val="16"/>
                <w:szCs w:val="16"/>
              </w:rPr>
              <w:t>2013</w:t>
            </w:r>
          </w:p>
        </w:tc>
        <w:tc>
          <w:tcPr>
            <w:tcW w:w="553" w:type="dxa"/>
            <w:tcBorders>
              <w:top w:val="single" w:sz="8" w:space="0" w:color="auto"/>
              <w:left w:val="nil"/>
              <w:bottom w:val="single" w:sz="4" w:space="0" w:color="auto"/>
              <w:right w:val="single" w:sz="4" w:space="0" w:color="auto"/>
            </w:tcBorders>
            <w:shd w:val="clear" w:color="auto" w:fill="auto"/>
            <w:noWrap/>
            <w:vAlign w:val="center"/>
            <w:hideMark/>
          </w:tcPr>
          <w:p w:rsidR="00DE30C4" w:rsidRPr="00DE30C4" w:rsidRDefault="00DE30C4" w:rsidP="00DE30C4">
            <w:pPr>
              <w:jc w:val="center"/>
              <w:rPr>
                <w:rFonts w:ascii="Calibri" w:hAnsi="Calibri" w:cs="Calibri"/>
                <w:b/>
                <w:bCs/>
                <w:sz w:val="16"/>
                <w:szCs w:val="16"/>
              </w:rPr>
            </w:pPr>
            <w:r w:rsidRPr="00DE30C4">
              <w:rPr>
                <w:rFonts w:ascii="Calibri" w:hAnsi="Calibri" w:cs="Calibri"/>
                <w:b/>
                <w:bCs/>
                <w:sz w:val="16"/>
                <w:szCs w:val="16"/>
              </w:rPr>
              <w:t>2014</w:t>
            </w:r>
          </w:p>
        </w:tc>
        <w:tc>
          <w:tcPr>
            <w:tcW w:w="573" w:type="dxa"/>
            <w:tcBorders>
              <w:top w:val="single" w:sz="8" w:space="0" w:color="auto"/>
              <w:left w:val="nil"/>
              <w:bottom w:val="single" w:sz="4" w:space="0" w:color="auto"/>
              <w:right w:val="nil"/>
            </w:tcBorders>
            <w:shd w:val="clear" w:color="auto" w:fill="auto"/>
            <w:noWrap/>
            <w:vAlign w:val="center"/>
            <w:hideMark/>
          </w:tcPr>
          <w:p w:rsidR="00DE30C4" w:rsidRPr="00DE30C4" w:rsidRDefault="00DE30C4" w:rsidP="00DE30C4">
            <w:pPr>
              <w:jc w:val="center"/>
              <w:rPr>
                <w:rFonts w:ascii="Calibri" w:hAnsi="Calibri" w:cs="Calibri"/>
                <w:b/>
                <w:bCs/>
                <w:sz w:val="16"/>
                <w:szCs w:val="16"/>
              </w:rPr>
            </w:pPr>
            <w:r w:rsidRPr="00DE30C4">
              <w:rPr>
                <w:rFonts w:ascii="Calibri" w:hAnsi="Calibri" w:cs="Calibri"/>
                <w:b/>
                <w:bCs/>
                <w:sz w:val="16"/>
                <w:szCs w:val="16"/>
              </w:rPr>
              <w:t>2015</w:t>
            </w:r>
          </w:p>
        </w:tc>
        <w:tc>
          <w:tcPr>
            <w:tcW w:w="72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b/>
                <w:bCs/>
                <w:sz w:val="16"/>
                <w:szCs w:val="16"/>
              </w:rPr>
            </w:pPr>
            <w:r w:rsidRPr="00DE30C4">
              <w:rPr>
                <w:rFonts w:ascii="Calibri" w:hAnsi="Calibri" w:cs="Calibri"/>
                <w:b/>
                <w:bCs/>
                <w:sz w:val="16"/>
                <w:szCs w:val="16"/>
              </w:rPr>
              <w:t>15.dec</w:t>
            </w:r>
          </w:p>
        </w:tc>
        <w:tc>
          <w:tcPr>
            <w:tcW w:w="773" w:type="dxa"/>
            <w:tcBorders>
              <w:top w:val="single" w:sz="8" w:space="0" w:color="auto"/>
              <w:left w:val="nil"/>
              <w:bottom w:val="single" w:sz="4" w:space="0" w:color="auto"/>
              <w:right w:val="single" w:sz="4" w:space="0" w:color="auto"/>
            </w:tcBorders>
            <w:shd w:val="clear" w:color="auto" w:fill="auto"/>
            <w:noWrap/>
            <w:vAlign w:val="center"/>
            <w:hideMark/>
          </w:tcPr>
          <w:p w:rsidR="00DE30C4" w:rsidRPr="00DE30C4" w:rsidRDefault="00DE30C4" w:rsidP="00DE30C4">
            <w:pPr>
              <w:rPr>
                <w:rFonts w:ascii="Calibri" w:hAnsi="Calibri" w:cs="Calibri"/>
                <w:b/>
                <w:bCs/>
                <w:sz w:val="16"/>
                <w:szCs w:val="16"/>
              </w:rPr>
            </w:pPr>
            <w:r w:rsidRPr="00DE30C4">
              <w:rPr>
                <w:rFonts w:ascii="Calibri" w:hAnsi="Calibri" w:cs="Calibri"/>
                <w:b/>
                <w:bCs/>
                <w:sz w:val="16"/>
                <w:szCs w:val="16"/>
              </w:rPr>
              <w:t xml:space="preserve"> 15/12</w:t>
            </w:r>
          </w:p>
        </w:tc>
        <w:tc>
          <w:tcPr>
            <w:tcW w:w="788" w:type="dxa"/>
            <w:tcBorders>
              <w:top w:val="single" w:sz="8" w:space="0" w:color="auto"/>
              <w:left w:val="nil"/>
              <w:bottom w:val="single" w:sz="4" w:space="0" w:color="auto"/>
              <w:right w:val="single" w:sz="4" w:space="0" w:color="auto"/>
            </w:tcBorders>
            <w:shd w:val="clear" w:color="auto" w:fill="auto"/>
            <w:noWrap/>
            <w:vAlign w:val="center"/>
            <w:hideMark/>
          </w:tcPr>
          <w:p w:rsidR="00DE30C4" w:rsidRPr="00DE30C4" w:rsidRDefault="00DE30C4" w:rsidP="00DE30C4">
            <w:pPr>
              <w:rPr>
                <w:rFonts w:ascii="Calibri" w:hAnsi="Calibri" w:cs="Calibri"/>
                <w:b/>
                <w:bCs/>
                <w:sz w:val="16"/>
                <w:szCs w:val="16"/>
              </w:rPr>
            </w:pPr>
            <w:r w:rsidRPr="00DE30C4">
              <w:rPr>
                <w:rFonts w:ascii="Calibri" w:hAnsi="Calibri" w:cs="Calibri"/>
                <w:b/>
                <w:bCs/>
                <w:sz w:val="16"/>
                <w:szCs w:val="16"/>
              </w:rPr>
              <w:t xml:space="preserve"> 15/13</w:t>
            </w:r>
          </w:p>
        </w:tc>
        <w:tc>
          <w:tcPr>
            <w:tcW w:w="773" w:type="dxa"/>
            <w:tcBorders>
              <w:top w:val="single" w:sz="8" w:space="0" w:color="auto"/>
              <w:left w:val="nil"/>
              <w:bottom w:val="single" w:sz="4" w:space="0" w:color="auto"/>
              <w:right w:val="single" w:sz="8" w:space="0" w:color="auto"/>
            </w:tcBorders>
            <w:shd w:val="clear" w:color="auto" w:fill="auto"/>
            <w:noWrap/>
            <w:vAlign w:val="center"/>
            <w:hideMark/>
          </w:tcPr>
          <w:p w:rsidR="00DE30C4" w:rsidRPr="00DE30C4" w:rsidRDefault="00DE30C4" w:rsidP="00DE30C4">
            <w:pPr>
              <w:rPr>
                <w:rFonts w:ascii="Calibri" w:hAnsi="Calibri" w:cs="Calibri"/>
                <w:b/>
                <w:bCs/>
                <w:sz w:val="16"/>
                <w:szCs w:val="16"/>
              </w:rPr>
            </w:pPr>
            <w:r w:rsidRPr="00DE30C4">
              <w:rPr>
                <w:rFonts w:ascii="Calibri" w:hAnsi="Calibri" w:cs="Calibri"/>
                <w:b/>
                <w:bCs/>
                <w:sz w:val="16"/>
                <w:szCs w:val="16"/>
              </w:rPr>
              <w:t>15/14</w:t>
            </w:r>
          </w:p>
        </w:tc>
      </w:tr>
      <w:tr w:rsidR="00DE30C4" w:rsidRPr="00DE30C4" w:rsidTr="00DE30C4">
        <w:trPr>
          <w:trHeight w:val="300"/>
        </w:trPr>
        <w:tc>
          <w:tcPr>
            <w:tcW w:w="3076" w:type="dxa"/>
            <w:tcBorders>
              <w:top w:val="nil"/>
              <w:left w:val="single" w:sz="8" w:space="0" w:color="auto"/>
              <w:bottom w:val="single" w:sz="4" w:space="0" w:color="auto"/>
              <w:right w:val="single" w:sz="4" w:space="0" w:color="auto"/>
            </w:tcBorders>
            <w:shd w:val="clear" w:color="auto" w:fill="auto"/>
            <w:noWrap/>
            <w:vAlign w:val="bottom"/>
            <w:hideMark/>
          </w:tcPr>
          <w:p w:rsidR="00DE30C4" w:rsidRPr="00DE30C4" w:rsidRDefault="00DE30C4" w:rsidP="00DE30C4">
            <w:pPr>
              <w:rPr>
                <w:rFonts w:ascii="Calibri" w:hAnsi="Calibri" w:cs="Calibri"/>
                <w:b/>
                <w:bCs/>
                <w:i/>
                <w:iCs/>
                <w:sz w:val="16"/>
                <w:szCs w:val="16"/>
              </w:rPr>
            </w:pPr>
            <w:proofErr w:type="spellStart"/>
            <w:r w:rsidRPr="00DE30C4">
              <w:rPr>
                <w:rFonts w:ascii="Calibri" w:hAnsi="Calibri" w:cs="Calibri"/>
                <w:b/>
                <w:bCs/>
                <w:i/>
                <w:iCs/>
                <w:sz w:val="16"/>
                <w:szCs w:val="16"/>
              </w:rPr>
              <w:t>Ukupan</w:t>
            </w:r>
            <w:proofErr w:type="spellEnd"/>
            <w:r w:rsidRPr="00DE30C4">
              <w:rPr>
                <w:rFonts w:ascii="Calibri" w:hAnsi="Calibri" w:cs="Calibri"/>
                <w:b/>
                <w:bCs/>
                <w:i/>
                <w:iCs/>
                <w:sz w:val="16"/>
                <w:szCs w:val="16"/>
              </w:rPr>
              <w:t xml:space="preserve"> </w:t>
            </w:r>
            <w:proofErr w:type="spellStart"/>
            <w:r w:rsidRPr="00DE30C4">
              <w:rPr>
                <w:rFonts w:ascii="Calibri" w:hAnsi="Calibri" w:cs="Calibri"/>
                <w:b/>
                <w:bCs/>
                <w:i/>
                <w:iCs/>
                <w:sz w:val="16"/>
                <w:szCs w:val="16"/>
              </w:rPr>
              <w:t>broj</w:t>
            </w:r>
            <w:proofErr w:type="spellEnd"/>
            <w:r w:rsidRPr="00DE30C4">
              <w:rPr>
                <w:rFonts w:ascii="Calibri" w:hAnsi="Calibri" w:cs="Calibri"/>
                <w:b/>
                <w:bCs/>
                <w:i/>
                <w:iCs/>
                <w:sz w:val="16"/>
                <w:szCs w:val="16"/>
              </w:rPr>
              <w:t xml:space="preserve"> </w:t>
            </w:r>
            <w:proofErr w:type="spellStart"/>
            <w:r w:rsidRPr="00DE30C4">
              <w:rPr>
                <w:rFonts w:ascii="Calibri" w:hAnsi="Calibri" w:cs="Calibri"/>
                <w:b/>
                <w:bCs/>
                <w:i/>
                <w:iCs/>
                <w:sz w:val="16"/>
                <w:szCs w:val="16"/>
              </w:rPr>
              <w:t>saobraćajnih</w:t>
            </w:r>
            <w:proofErr w:type="spellEnd"/>
            <w:r w:rsidRPr="00DE30C4">
              <w:rPr>
                <w:rFonts w:ascii="Calibri" w:hAnsi="Calibri" w:cs="Calibri"/>
                <w:b/>
                <w:bCs/>
                <w:i/>
                <w:iCs/>
                <w:sz w:val="16"/>
                <w:szCs w:val="16"/>
              </w:rPr>
              <w:t xml:space="preserve"> </w:t>
            </w:r>
            <w:proofErr w:type="spellStart"/>
            <w:r w:rsidRPr="00DE30C4">
              <w:rPr>
                <w:rFonts w:ascii="Calibri" w:hAnsi="Calibri" w:cs="Calibri"/>
                <w:b/>
                <w:bCs/>
                <w:i/>
                <w:iCs/>
                <w:sz w:val="16"/>
                <w:szCs w:val="16"/>
              </w:rPr>
              <w:t>nezgoda</w:t>
            </w:r>
            <w:proofErr w:type="spellEnd"/>
            <w:r w:rsidRPr="00DE30C4">
              <w:rPr>
                <w:rFonts w:ascii="Calibri" w:hAnsi="Calibri" w:cs="Calibri"/>
                <w:b/>
                <w:bCs/>
                <w:i/>
                <w:iCs/>
                <w:sz w:val="16"/>
                <w:szCs w:val="16"/>
              </w:rPr>
              <w:t xml:space="preserve"> (1 + 2)</w:t>
            </w:r>
          </w:p>
        </w:tc>
        <w:tc>
          <w:tcPr>
            <w:tcW w:w="540"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b/>
                <w:bCs/>
                <w:i/>
                <w:iCs/>
                <w:sz w:val="16"/>
                <w:szCs w:val="16"/>
              </w:rPr>
            </w:pPr>
            <w:r w:rsidRPr="00DE30C4">
              <w:rPr>
                <w:rFonts w:ascii="Calibri" w:hAnsi="Calibri" w:cs="Calibri"/>
                <w:b/>
                <w:bCs/>
                <w:i/>
                <w:iCs/>
                <w:sz w:val="16"/>
                <w:szCs w:val="16"/>
              </w:rPr>
              <w:t>70</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b/>
                <w:bCs/>
                <w:i/>
                <w:iCs/>
                <w:sz w:val="16"/>
                <w:szCs w:val="16"/>
              </w:rPr>
            </w:pPr>
            <w:r w:rsidRPr="00DE30C4">
              <w:rPr>
                <w:rFonts w:ascii="Calibri" w:hAnsi="Calibri" w:cs="Calibri"/>
                <w:b/>
                <w:bCs/>
                <w:i/>
                <w:iCs/>
                <w:sz w:val="16"/>
                <w:szCs w:val="16"/>
              </w:rPr>
              <w:t>55</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b/>
                <w:bCs/>
                <w:i/>
                <w:iCs/>
                <w:sz w:val="16"/>
                <w:szCs w:val="16"/>
              </w:rPr>
            </w:pPr>
            <w:r w:rsidRPr="00DE30C4">
              <w:rPr>
                <w:rFonts w:ascii="Calibri" w:hAnsi="Calibri" w:cs="Calibri"/>
                <w:b/>
                <w:bCs/>
                <w:i/>
                <w:iCs/>
                <w:sz w:val="16"/>
                <w:szCs w:val="16"/>
              </w:rPr>
              <w:t>50</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b/>
                <w:bCs/>
                <w:i/>
                <w:iCs/>
                <w:sz w:val="16"/>
                <w:szCs w:val="16"/>
              </w:rPr>
            </w:pPr>
            <w:r w:rsidRPr="00DE30C4">
              <w:rPr>
                <w:rFonts w:ascii="Calibri" w:hAnsi="Calibri" w:cs="Calibri"/>
                <w:b/>
                <w:bCs/>
                <w:i/>
                <w:iCs/>
                <w:sz w:val="16"/>
                <w:szCs w:val="16"/>
              </w:rPr>
              <w:t>58</w:t>
            </w:r>
          </w:p>
        </w:tc>
        <w:tc>
          <w:tcPr>
            <w:tcW w:w="573" w:type="dxa"/>
            <w:tcBorders>
              <w:top w:val="nil"/>
              <w:left w:val="nil"/>
              <w:bottom w:val="single" w:sz="4" w:space="0" w:color="auto"/>
              <w:right w:val="nil"/>
            </w:tcBorders>
            <w:shd w:val="clear" w:color="auto" w:fill="auto"/>
            <w:noWrap/>
            <w:vAlign w:val="bottom"/>
            <w:hideMark/>
          </w:tcPr>
          <w:p w:rsidR="00DE30C4" w:rsidRPr="00DE30C4" w:rsidRDefault="00DE30C4" w:rsidP="00DE30C4">
            <w:pPr>
              <w:jc w:val="right"/>
              <w:rPr>
                <w:rFonts w:ascii="Calibri" w:hAnsi="Calibri" w:cs="Calibri"/>
                <w:b/>
                <w:bCs/>
                <w:i/>
                <w:iCs/>
                <w:sz w:val="16"/>
                <w:szCs w:val="16"/>
              </w:rPr>
            </w:pPr>
            <w:r w:rsidRPr="00DE30C4">
              <w:rPr>
                <w:rFonts w:ascii="Calibri" w:hAnsi="Calibri" w:cs="Calibri"/>
                <w:b/>
                <w:bCs/>
                <w:i/>
                <w:iCs/>
                <w:sz w:val="16"/>
                <w:szCs w:val="16"/>
              </w:rPr>
              <w:t>71</w:t>
            </w:r>
          </w:p>
        </w:tc>
        <w:tc>
          <w:tcPr>
            <w:tcW w:w="729" w:type="dxa"/>
            <w:tcBorders>
              <w:top w:val="nil"/>
              <w:left w:val="single" w:sz="4" w:space="0" w:color="auto"/>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1,40%</w:t>
            </w:r>
          </w:p>
        </w:tc>
        <w:tc>
          <w:tcPr>
            <w:tcW w:w="77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29,00%</w:t>
            </w:r>
          </w:p>
        </w:tc>
        <w:tc>
          <w:tcPr>
            <w:tcW w:w="788"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42%</w:t>
            </w:r>
          </w:p>
        </w:tc>
        <w:tc>
          <w:tcPr>
            <w:tcW w:w="773" w:type="dxa"/>
            <w:tcBorders>
              <w:top w:val="nil"/>
              <w:left w:val="nil"/>
              <w:bottom w:val="single" w:sz="4" w:space="0" w:color="auto"/>
              <w:right w:val="single" w:sz="8"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22,40%</w:t>
            </w:r>
          </w:p>
        </w:tc>
      </w:tr>
      <w:tr w:rsidR="00DE30C4" w:rsidRPr="00DE30C4" w:rsidTr="00DE30C4">
        <w:trPr>
          <w:trHeight w:val="465"/>
        </w:trPr>
        <w:tc>
          <w:tcPr>
            <w:tcW w:w="3076" w:type="dxa"/>
            <w:tcBorders>
              <w:top w:val="nil"/>
              <w:left w:val="single" w:sz="8" w:space="0" w:color="auto"/>
              <w:bottom w:val="single" w:sz="4" w:space="0" w:color="auto"/>
              <w:right w:val="single" w:sz="4" w:space="0" w:color="auto"/>
            </w:tcBorders>
            <w:shd w:val="clear" w:color="auto" w:fill="auto"/>
            <w:vAlign w:val="bottom"/>
            <w:hideMark/>
          </w:tcPr>
          <w:p w:rsidR="00DE30C4" w:rsidRPr="00DE30C4" w:rsidRDefault="00DE30C4" w:rsidP="00DE30C4">
            <w:pPr>
              <w:rPr>
                <w:rFonts w:ascii="Calibri" w:hAnsi="Calibri" w:cs="Calibri"/>
                <w:i/>
                <w:iCs/>
                <w:sz w:val="16"/>
                <w:szCs w:val="16"/>
              </w:rPr>
            </w:pPr>
            <w:r w:rsidRPr="00DE30C4">
              <w:rPr>
                <w:rFonts w:ascii="Calibri" w:hAnsi="Calibri" w:cs="Calibri"/>
                <w:i/>
                <w:iCs/>
                <w:sz w:val="16"/>
                <w:szCs w:val="16"/>
              </w:rPr>
              <w:t xml:space="preserve">1. </w:t>
            </w:r>
            <w:proofErr w:type="spellStart"/>
            <w:r w:rsidRPr="00DE30C4">
              <w:rPr>
                <w:rFonts w:ascii="Calibri" w:hAnsi="Calibri" w:cs="Calibri"/>
                <w:i/>
                <w:iCs/>
                <w:sz w:val="16"/>
                <w:szCs w:val="16"/>
              </w:rPr>
              <w:t>Broj</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saobraćajnih</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nezgoda</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sa</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posledica</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po</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lica</w:t>
            </w:r>
            <w:proofErr w:type="spellEnd"/>
          </w:p>
        </w:tc>
        <w:tc>
          <w:tcPr>
            <w:tcW w:w="540" w:type="dxa"/>
            <w:tcBorders>
              <w:top w:val="nil"/>
              <w:left w:val="nil"/>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24</w:t>
            </w:r>
          </w:p>
        </w:tc>
        <w:tc>
          <w:tcPr>
            <w:tcW w:w="553" w:type="dxa"/>
            <w:tcBorders>
              <w:top w:val="nil"/>
              <w:left w:val="nil"/>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21</w:t>
            </w:r>
          </w:p>
        </w:tc>
        <w:tc>
          <w:tcPr>
            <w:tcW w:w="553" w:type="dxa"/>
            <w:tcBorders>
              <w:top w:val="nil"/>
              <w:left w:val="nil"/>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21</w:t>
            </w:r>
          </w:p>
        </w:tc>
        <w:tc>
          <w:tcPr>
            <w:tcW w:w="553" w:type="dxa"/>
            <w:tcBorders>
              <w:top w:val="nil"/>
              <w:left w:val="nil"/>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27</w:t>
            </w:r>
          </w:p>
        </w:tc>
        <w:tc>
          <w:tcPr>
            <w:tcW w:w="573" w:type="dxa"/>
            <w:tcBorders>
              <w:top w:val="nil"/>
              <w:left w:val="nil"/>
              <w:bottom w:val="single" w:sz="4" w:space="0" w:color="auto"/>
              <w:right w:val="nil"/>
            </w:tcBorders>
            <w:shd w:val="clear" w:color="auto" w:fill="auto"/>
            <w:noWrap/>
            <w:vAlign w:val="center"/>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30</w:t>
            </w:r>
          </w:p>
        </w:tc>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25%</w:t>
            </w:r>
          </w:p>
        </w:tc>
        <w:tc>
          <w:tcPr>
            <w:tcW w:w="773" w:type="dxa"/>
            <w:tcBorders>
              <w:top w:val="nil"/>
              <w:left w:val="nil"/>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42,80%</w:t>
            </w:r>
          </w:p>
        </w:tc>
        <w:tc>
          <w:tcPr>
            <w:tcW w:w="788" w:type="dxa"/>
            <w:tcBorders>
              <w:top w:val="nil"/>
              <w:left w:val="nil"/>
              <w:bottom w:val="single" w:sz="4" w:space="0" w:color="auto"/>
              <w:right w:val="single" w:sz="4"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42,80%</w:t>
            </w:r>
          </w:p>
        </w:tc>
        <w:tc>
          <w:tcPr>
            <w:tcW w:w="773" w:type="dxa"/>
            <w:tcBorders>
              <w:top w:val="nil"/>
              <w:left w:val="nil"/>
              <w:bottom w:val="single" w:sz="4" w:space="0" w:color="auto"/>
              <w:right w:val="single" w:sz="8" w:space="0" w:color="auto"/>
            </w:tcBorders>
            <w:shd w:val="clear" w:color="auto" w:fill="auto"/>
            <w:noWrap/>
            <w:vAlign w:val="center"/>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11,10%</w:t>
            </w:r>
          </w:p>
        </w:tc>
      </w:tr>
      <w:tr w:rsidR="00DE30C4" w:rsidRPr="00DE30C4" w:rsidTr="00DE30C4">
        <w:trPr>
          <w:trHeight w:val="300"/>
        </w:trPr>
        <w:tc>
          <w:tcPr>
            <w:tcW w:w="3076" w:type="dxa"/>
            <w:tcBorders>
              <w:top w:val="nil"/>
              <w:left w:val="single" w:sz="8" w:space="0" w:color="auto"/>
              <w:bottom w:val="single" w:sz="4" w:space="0" w:color="auto"/>
              <w:right w:val="single" w:sz="4" w:space="0" w:color="auto"/>
            </w:tcBorders>
            <w:shd w:val="clear" w:color="000000" w:fill="92D050"/>
            <w:noWrap/>
            <w:vAlign w:val="bottom"/>
            <w:hideMark/>
          </w:tcPr>
          <w:p w:rsidR="00DE30C4" w:rsidRPr="00DE30C4" w:rsidRDefault="00340FFE" w:rsidP="00DE30C4">
            <w:pPr>
              <w:rPr>
                <w:rFonts w:ascii="Calibri" w:hAnsi="Calibri" w:cs="Calibri"/>
                <w:sz w:val="16"/>
                <w:szCs w:val="16"/>
              </w:rPr>
            </w:pPr>
            <w:r>
              <w:rPr>
                <w:rFonts w:ascii="Calibri" w:hAnsi="Calibri" w:cs="Calibri"/>
                <w:sz w:val="16"/>
                <w:szCs w:val="16"/>
              </w:rPr>
              <w:t xml:space="preserve"> </w:t>
            </w:r>
            <w:r w:rsidR="00DE30C4" w:rsidRPr="00DE30C4">
              <w:rPr>
                <w:rFonts w:ascii="Calibri" w:hAnsi="Calibri" w:cs="Calibri"/>
                <w:sz w:val="16"/>
                <w:szCs w:val="16"/>
              </w:rPr>
              <w:t xml:space="preserve">a) </w:t>
            </w:r>
            <w:proofErr w:type="spellStart"/>
            <w:r w:rsidR="00DE30C4" w:rsidRPr="00DE30C4">
              <w:rPr>
                <w:rFonts w:ascii="Calibri" w:hAnsi="Calibri" w:cs="Calibri"/>
                <w:sz w:val="16"/>
                <w:szCs w:val="16"/>
              </w:rPr>
              <w:t>sa</w:t>
            </w:r>
            <w:proofErr w:type="spellEnd"/>
            <w:r w:rsidR="00DE30C4" w:rsidRPr="00DE30C4">
              <w:rPr>
                <w:rFonts w:ascii="Calibri" w:hAnsi="Calibri" w:cs="Calibri"/>
                <w:sz w:val="16"/>
                <w:szCs w:val="16"/>
              </w:rPr>
              <w:t xml:space="preserve"> </w:t>
            </w:r>
            <w:proofErr w:type="spellStart"/>
            <w:r w:rsidR="00DE30C4" w:rsidRPr="00DE30C4">
              <w:rPr>
                <w:rFonts w:ascii="Calibri" w:hAnsi="Calibri" w:cs="Calibri"/>
                <w:sz w:val="16"/>
                <w:szCs w:val="16"/>
              </w:rPr>
              <w:t>poginulim</w:t>
            </w:r>
            <w:proofErr w:type="spellEnd"/>
            <w:r w:rsidR="00DE30C4" w:rsidRPr="00DE30C4">
              <w:rPr>
                <w:rFonts w:ascii="Calibri" w:hAnsi="Calibri" w:cs="Calibri"/>
                <w:sz w:val="16"/>
                <w:szCs w:val="16"/>
              </w:rPr>
              <w:t xml:space="preserve"> </w:t>
            </w:r>
            <w:proofErr w:type="spellStart"/>
            <w:r w:rsidR="00DE30C4" w:rsidRPr="00DE30C4">
              <w:rPr>
                <w:rFonts w:ascii="Calibri" w:hAnsi="Calibri" w:cs="Calibri"/>
                <w:sz w:val="16"/>
                <w:szCs w:val="16"/>
              </w:rPr>
              <w:t>licima</w:t>
            </w:r>
            <w:proofErr w:type="spellEnd"/>
          </w:p>
        </w:tc>
        <w:tc>
          <w:tcPr>
            <w:tcW w:w="540" w:type="dxa"/>
            <w:tcBorders>
              <w:top w:val="nil"/>
              <w:left w:val="nil"/>
              <w:bottom w:val="single" w:sz="4" w:space="0" w:color="auto"/>
              <w:right w:val="single" w:sz="4"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w:t>
            </w:r>
          </w:p>
        </w:tc>
        <w:tc>
          <w:tcPr>
            <w:tcW w:w="553" w:type="dxa"/>
            <w:tcBorders>
              <w:top w:val="nil"/>
              <w:left w:val="nil"/>
              <w:bottom w:val="single" w:sz="4" w:space="0" w:color="auto"/>
              <w:right w:val="single" w:sz="4"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w:t>
            </w:r>
          </w:p>
        </w:tc>
        <w:tc>
          <w:tcPr>
            <w:tcW w:w="553" w:type="dxa"/>
            <w:tcBorders>
              <w:top w:val="nil"/>
              <w:left w:val="nil"/>
              <w:bottom w:val="single" w:sz="4" w:space="0" w:color="auto"/>
              <w:right w:val="single" w:sz="4"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3</w:t>
            </w:r>
          </w:p>
        </w:tc>
        <w:tc>
          <w:tcPr>
            <w:tcW w:w="553" w:type="dxa"/>
            <w:tcBorders>
              <w:top w:val="nil"/>
              <w:left w:val="nil"/>
              <w:bottom w:val="single" w:sz="4" w:space="0" w:color="auto"/>
              <w:right w:val="single" w:sz="4"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w:t>
            </w:r>
          </w:p>
        </w:tc>
        <w:tc>
          <w:tcPr>
            <w:tcW w:w="573" w:type="dxa"/>
            <w:tcBorders>
              <w:top w:val="nil"/>
              <w:left w:val="nil"/>
              <w:bottom w:val="single" w:sz="4" w:space="0" w:color="auto"/>
              <w:right w:val="nil"/>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1</w:t>
            </w:r>
          </w:p>
        </w:tc>
        <w:tc>
          <w:tcPr>
            <w:tcW w:w="729" w:type="dxa"/>
            <w:tcBorders>
              <w:top w:val="nil"/>
              <w:left w:val="single" w:sz="4" w:space="0" w:color="auto"/>
              <w:bottom w:val="single" w:sz="4" w:space="0" w:color="auto"/>
              <w:right w:val="single" w:sz="4"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-50%</w:t>
            </w:r>
          </w:p>
        </w:tc>
        <w:tc>
          <w:tcPr>
            <w:tcW w:w="773" w:type="dxa"/>
            <w:tcBorders>
              <w:top w:val="nil"/>
              <w:left w:val="nil"/>
              <w:bottom w:val="single" w:sz="4" w:space="0" w:color="auto"/>
              <w:right w:val="single" w:sz="4"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-50%</w:t>
            </w:r>
          </w:p>
        </w:tc>
        <w:tc>
          <w:tcPr>
            <w:tcW w:w="788" w:type="dxa"/>
            <w:tcBorders>
              <w:top w:val="nil"/>
              <w:left w:val="nil"/>
              <w:bottom w:val="single" w:sz="4" w:space="0" w:color="auto"/>
              <w:right w:val="single" w:sz="4"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-66,60%</w:t>
            </w:r>
          </w:p>
        </w:tc>
        <w:tc>
          <w:tcPr>
            <w:tcW w:w="773" w:type="dxa"/>
            <w:tcBorders>
              <w:top w:val="nil"/>
              <w:left w:val="nil"/>
              <w:bottom w:val="single" w:sz="4" w:space="0" w:color="auto"/>
              <w:right w:val="single" w:sz="8" w:space="0" w:color="auto"/>
            </w:tcBorders>
            <w:shd w:val="clear" w:color="000000" w:fill="92D050"/>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-50%</w:t>
            </w:r>
          </w:p>
        </w:tc>
      </w:tr>
      <w:tr w:rsidR="00DE30C4" w:rsidRPr="00DE30C4" w:rsidTr="00DE30C4">
        <w:trPr>
          <w:trHeight w:val="300"/>
        </w:trPr>
        <w:tc>
          <w:tcPr>
            <w:tcW w:w="3076" w:type="dxa"/>
            <w:tcBorders>
              <w:top w:val="nil"/>
              <w:left w:val="single" w:sz="8" w:space="0" w:color="auto"/>
              <w:bottom w:val="single" w:sz="4" w:space="0" w:color="auto"/>
              <w:right w:val="single" w:sz="4" w:space="0" w:color="auto"/>
            </w:tcBorders>
            <w:shd w:val="clear" w:color="auto" w:fill="auto"/>
            <w:noWrap/>
            <w:vAlign w:val="bottom"/>
            <w:hideMark/>
          </w:tcPr>
          <w:p w:rsidR="00DE30C4" w:rsidRPr="00DE30C4" w:rsidRDefault="00340FFE" w:rsidP="00DE30C4">
            <w:pPr>
              <w:rPr>
                <w:rFonts w:ascii="Calibri" w:hAnsi="Calibri" w:cs="Calibri"/>
                <w:sz w:val="16"/>
                <w:szCs w:val="16"/>
              </w:rPr>
            </w:pPr>
            <w:r>
              <w:rPr>
                <w:rFonts w:ascii="Calibri" w:hAnsi="Calibri" w:cs="Calibri"/>
                <w:sz w:val="16"/>
                <w:szCs w:val="16"/>
              </w:rPr>
              <w:t xml:space="preserve"> </w:t>
            </w:r>
            <w:r w:rsidR="00DE30C4" w:rsidRPr="00DE30C4">
              <w:rPr>
                <w:rFonts w:ascii="Calibri" w:hAnsi="Calibri" w:cs="Calibri"/>
                <w:sz w:val="16"/>
                <w:szCs w:val="16"/>
              </w:rPr>
              <w:t xml:space="preserve">b) </w:t>
            </w:r>
            <w:proofErr w:type="spellStart"/>
            <w:r w:rsidR="00DE30C4" w:rsidRPr="00DE30C4">
              <w:rPr>
                <w:rFonts w:ascii="Calibri" w:hAnsi="Calibri" w:cs="Calibri"/>
                <w:sz w:val="16"/>
                <w:szCs w:val="16"/>
              </w:rPr>
              <w:t>sa</w:t>
            </w:r>
            <w:proofErr w:type="spellEnd"/>
            <w:r w:rsidR="00DE30C4" w:rsidRPr="00DE30C4">
              <w:rPr>
                <w:rFonts w:ascii="Calibri" w:hAnsi="Calibri" w:cs="Calibri"/>
                <w:sz w:val="16"/>
                <w:szCs w:val="16"/>
              </w:rPr>
              <w:t xml:space="preserve"> </w:t>
            </w:r>
            <w:proofErr w:type="spellStart"/>
            <w:r w:rsidR="00DE30C4" w:rsidRPr="00DE30C4">
              <w:rPr>
                <w:rFonts w:ascii="Calibri" w:hAnsi="Calibri" w:cs="Calibri"/>
                <w:sz w:val="16"/>
                <w:szCs w:val="16"/>
              </w:rPr>
              <w:t>teže</w:t>
            </w:r>
            <w:proofErr w:type="spellEnd"/>
            <w:r>
              <w:rPr>
                <w:rFonts w:ascii="Calibri" w:hAnsi="Calibri" w:cs="Calibri"/>
                <w:sz w:val="16"/>
                <w:szCs w:val="16"/>
              </w:rPr>
              <w:t xml:space="preserve"> </w:t>
            </w:r>
            <w:proofErr w:type="spellStart"/>
            <w:r w:rsidR="00DE30C4" w:rsidRPr="00DE30C4">
              <w:rPr>
                <w:rFonts w:ascii="Calibri" w:hAnsi="Calibri" w:cs="Calibri"/>
                <w:sz w:val="16"/>
                <w:szCs w:val="16"/>
              </w:rPr>
              <w:t>povrijeđenim</w:t>
            </w:r>
            <w:proofErr w:type="spellEnd"/>
            <w:r w:rsidR="00DE30C4" w:rsidRPr="00DE30C4">
              <w:rPr>
                <w:rFonts w:ascii="Calibri" w:hAnsi="Calibri" w:cs="Calibri"/>
                <w:sz w:val="16"/>
                <w:szCs w:val="16"/>
              </w:rPr>
              <w:t xml:space="preserve"> </w:t>
            </w:r>
            <w:proofErr w:type="spellStart"/>
            <w:r w:rsidR="00DE30C4" w:rsidRPr="00DE30C4">
              <w:rPr>
                <w:rFonts w:ascii="Calibri" w:hAnsi="Calibri" w:cs="Calibri"/>
                <w:sz w:val="16"/>
                <w:szCs w:val="16"/>
              </w:rPr>
              <w:t>licima</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5</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5</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3</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6</w:t>
            </w:r>
          </w:p>
        </w:tc>
        <w:tc>
          <w:tcPr>
            <w:tcW w:w="573" w:type="dxa"/>
            <w:tcBorders>
              <w:top w:val="nil"/>
              <w:left w:val="nil"/>
              <w:bottom w:val="single" w:sz="4" w:space="0" w:color="auto"/>
              <w:right w:val="nil"/>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7</w:t>
            </w:r>
          </w:p>
        </w:tc>
        <w:tc>
          <w:tcPr>
            <w:tcW w:w="729" w:type="dxa"/>
            <w:tcBorders>
              <w:top w:val="nil"/>
              <w:left w:val="single" w:sz="4" w:space="0" w:color="auto"/>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40%</w:t>
            </w:r>
          </w:p>
        </w:tc>
        <w:tc>
          <w:tcPr>
            <w:tcW w:w="77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40%</w:t>
            </w:r>
          </w:p>
        </w:tc>
        <w:tc>
          <w:tcPr>
            <w:tcW w:w="788"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100%</w:t>
            </w:r>
          </w:p>
        </w:tc>
        <w:tc>
          <w:tcPr>
            <w:tcW w:w="773" w:type="dxa"/>
            <w:tcBorders>
              <w:top w:val="nil"/>
              <w:left w:val="nil"/>
              <w:bottom w:val="single" w:sz="4" w:space="0" w:color="auto"/>
              <w:right w:val="single" w:sz="8"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16,60%</w:t>
            </w:r>
          </w:p>
        </w:tc>
      </w:tr>
      <w:tr w:rsidR="00DE30C4" w:rsidRPr="00DE30C4" w:rsidTr="00DE30C4">
        <w:trPr>
          <w:trHeight w:val="300"/>
        </w:trPr>
        <w:tc>
          <w:tcPr>
            <w:tcW w:w="3076" w:type="dxa"/>
            <w:tcBorders>
              <w:top w:val="nil"/>
              <w:left w:val="single" w:sz="8" w:space="0" w:color="auto"/>
              <w:bottom w:val="single" w:sz="4" w:space="0" w:color="auto"/>
              <w:right w:val="single" w:sz="4" w:space="0" w:color="auto"/>
            </w:tcBorders>
            <w:shd w:val="clear" w:color="auto" w:fill="auto"/>
            <w:noWrap/>
            <w:vAlign w:val="bottom"/>
            <w:hideMark/>
          </w:tcPr>
          <w:p w:rsidR="00DE30C4" w:rsidRPr="00DE30C4" w:rsidRDefault="00340FFE" w:rsidP="00DE30C4">
            <w:pPr>
              <w:rPr>
                <w:rFonts w:ascii="Calibri" w:hAnsi="Calibri" w:cs="Calibri"/>
                <w:sz w:val="16"/>
                <w:szCs w:val="16"/>
              </w:rPr>
            </w:pPr>
            <w:r>
              <w:rPr>
                <w:rFonts w:ascii="Calibri" w:hAnsi="Calibri" w:cs="Calibri"/>
                <w:sz w:val="16"/>
                <w:szCs w:val="16"/>
              </w:rPr>
              <w:t xml:space="preserve"> </w:t>
            </w:r>
            <w:r w:rsidR="00DE30C4" w:rsidRPr="00DE30C4">
              <w:rPr>
                <w:rFonts w:ascii="Calibri" w:hAnsi="Calibri" w:cs="Calibri"/>
                <w:sz w:val="16"/>
                <w:szCs w:val="16"/>
              </w:rPr>
              <w:t xml:space="preserve">c) </w:t>
            </w:r>
            <w:proofErr w:type="spellStart"/>
            <w:r w:rsidR="00DE30C4" w:rsidRPr="00DE30C4">
              <w:rPr>
                <w:rFonts w:ascii="Calibri" w:hAnsi="Calibri" w:cs="Calibri"/>
                <w:sz w:val="16"/>
                <w:szCs w:val="16"/>
              </w:rPr>
              <w:t>sa</w:t>
            </w:r>
            <w:proofErr w:type="spellEnd"/>
            <w:r w:rsidR="00DE30C4" w:rsidRPr="00DE30C4">
              <w:rPr>
                <w:rFonts w:ascii="Calibri" w:hAnsi="Calibri" w:cs="Calibri"/>
                <w:sz w:val="16"/>
                <w:szCs w:val="16"/>
              </w:rPr>
              <w:t xml:space="preserve"> </w:t>
            </w:r>
            <w:proofErr w:type="spellStart"/>
            <w:r w:rsidR="00DE30C4" w:rsidRPr="00DE30C4">
              <w:rPr>
                <w:rFonts w:ascii="Calibri" w:hAnsi="Calibri" w:cs="Calibri"/>
                <w:sz w:val="16"/>
                <w:szCs w:val="16"/>
              </w:rPr>
              <w:t>lakše</w:t>
            </w:r>
            <w:proofErr w:type="spellEnd"/>
            <w:r w:rsidR="00DE30C4" w:rsidRPr="00DE30C4">
              <w:rPr>
                <w:rFonts w:ascii="Calibri" w:hAnsi="Calibri" w:cs="Calibri"/>
                <w:sz w:val="16"/>
                <w:szCs w:val="16"/>
              </w:rPr>
              <w:t xml:space="preserve"> </w:t>
            </w:r>
            <w:proofErr w:type="spellStart"/>
            <w:r w:rsidR="00DE30C4" w:rsidRPr="00DE30C4">
              <w:rPr>
                <w:rFonts w:ascii="Calibri" w:hAnsi="Calibri" w:cs="Calibri"/>
                <w:sz w:val="16"/>
                <w:szCs w:val="16"/>
              </w:rPr>
              <w:t>povrijeđenim</w:t>
            </w:r>
            <w:proofErr w:type="spellEnd"/>
            <w:r w:rsidR="00DE30C4" w:rsidRPr="00DE30C4">
              <w:rPr>
                <w:rFonts w:ascii="Calibri" w:hAnsi="Calibri" w:cs="Calibri"/>
                <w:sz w:val="16"/>
                <w:szCs w:val="16"/>
              </w:rPr>
              <w:t xml:space="preserve"> </w:t>
            </w:r>
            <w:proofErr w:type="spellStart"/>
            <w:r w:rsidR="00DE30C4" w:rsidRPr="00DE30C4">
              <w:rPr>
                <w:rFonts w:ascii="Calibri" w:hAnsi="Calibri" w:cs="Calibri"/>
                <w:sz w:val="16"/>
                <w:szCs w:val="16"/>
              </w:rPr>
              <w:t>licima</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17</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14</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15</w:t>
            </w:r>
          </w:p>
        </w:tc>
        <w:tc>
          <w:tcPr>
            <w:tcW w:w="55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19</w:t>
            </w:r>
          </w:p>
        </w:tc>
        <w:tc>
          <w:tcPr>
            <w:tcW w:w="573" w:type="dxa"/>
            <w:tcBorders>
              <w:top w:val="nil"/>
              <w:left w:val="nil"/>
              <w:bottom w:val="single" w:sz="4" w:space="0" w:color="auto"/>
              <w:right w:val="nil"/>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22</w:t>
            </w:r>
          </w:p>
        </w:tc>
        <w:tc>
          <w:tcPr>
            <w:tcW w:w="729" w:type="dxa"/>
            <w:tcBorders>
              <w:top w:val="nil"/>
              <w:left w:val="single" w:sz="4" w:space="0" w:color="auto"/>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+29</w:t>
            </w:r>
            <w:r w:rsidRPr="00DE30C4">
              <w:rPr>
                <w:rFonts w:ascii="Calibri" w:hAnsi="Calibri" w:cs="Calibri"/>
                <w:sz w:val="16"/>
                <w:szCs w:val="16"/>
              </w:rPr>
              <w:t>%</w:t>
            </w:r>
          </w:p>
        </w:tc>
        <w:tc>
          <w:tcPr>
            <w:tcW w:w="773"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57,10%</w:t>
            </w:r>
          </w:p>
        </w:tc>
        <w:tc>
          <w:tcPr>
            <w:tcW w:w="788" w:type="dxa"/>
            <w:tcBorders>
              <w:top w:val="nil"/>
              <w:left w:val="nil"/>
              <w:bottom w:val="single" w:sz="4"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46,60%</w:t>
            </w:r>
          </w:p>
        </w:tc>
        <w:tc>
          <w:tcPr>
            <w:tcW w:w="773" w:type="dxa"/>
            <w:tcBorders>
              <w:top w:val="nil"/>
              <w:left w:val="nil"/>
              <w:bottom w:val="single" w:sz="4" w:space="0" w:color="auto"/>
              <w:right w:val="single" w:sz="8"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15,80%</w:t>
            </w:r>
          </w:p>
        </w:tc>
      </w:tr>
      <w:tr w:rsidR="00DE30C4" w:rsidRPr="00DE30C4" w:rsidTr="00DE30C4">
        <w:trPr>
          <w:trHeight w:val="315"/>
        </w:trPr>
        <w:tc>
          <w:tcPr>
            <w:tcW w:w="3076" w:type="dxa"/>
            <w:tcBorders>
              <w:top w:val="nil"/>
              <w:left w:val="single" w:sz="8" w:space="0" w:color="auto"/>
              <w:bottom w:val="single" w:sz="8" w:space="0" w:color="auto"/>
              <w:right w:val="single" w:sz="4" w:space="0" w:color="auto"/>
            </w:tcBorders>
            <w:shd w:val="clear" w:color="auto" w:fill="auto"/>
            <w:noWrap/>
            <w:vAlign w:val="bottom"/>
            <w:hideMark/>
          </w:tcPr>
          <w:p w:rsidR="00DE30C4" w:rsidRPr="00DE30C4" w:rsidRDefault="00DE30C4" w:rsidP="00DE30C4">
            <w:pPr>
              <w:rPr>
                <w:rFonts w:ascii="Calibri" w:hAnsi="Calibri" w:cs="Calibri"/>
                <w:i/>
                <w:iCs/>
                <w:sz w:val="16"/>
                <w:szCs w:val="16"/>
              </w:rPr>
            </w:pPr>
            <w:r w:rsidRPr="00DE30C4">
              <w:rPr>
                <w:rFonts w:ascii="Calibri" w:hAnsi="Calibri" w:cs="Calibri"/>
                <w:i/>
                <w:iCs/>
                <w:sz w:val="16"/>
                <w:szCs w:val="16"/>
              </w:rPr>
              <w:t xml:space="preserve">2. </w:t>
            </w:r>
            <w:proofErr w:type="spellStart"/>
            <w:r w:rsidRPr="00DE30C4">
              <w:rPr>
                <w:rFonts w:ascii="Calibri" w:hAnsi="Calibri" w:cs="Calibri"/>
                <w:i/>
                <w:iCs/>
                <w:sz w:val="16"/>
                <w:szCs w:val="16"/>
              </w:rPr>
              <w:t>Broj</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saobraćajnih</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nezgoda</w:t>
            </w:r>
            <w:proofErr w:type="spellEnd"/>
            <w:r w:rsidRPr="00DE30C4">
              <w:rPr>
                <w:rFonts w:ascii="Calibri" w:hAnsi="Calibri" w:cs="Calibri"/>
                <w:i/>
                <w:iCs/>
                <w:sz w:val="16"/>
                <w:szCs w:val="16"/>
              </w:rPr>
              <w:t xml:space="preserve"> </w:t>
            </w:r>
            <w:proofErr w:type="spellStart"/>
            <w:r w:rsidRPr="00DE30C4">
              <w:rPr>
                <w:rFonts w:ascii="Calibri" w:hAnsi="Calibri" w:cs="Calibri"/>
                <w:i/>
                <w:iCs/>
                <w:sz w:val="16"/>
                <w:szCs w:val="16"/>
              </w:rPr>
              <w:t>sa</w:t>
            </w:r>
            <w:proofErr w:type="spellEnd"/>
            <w:r w:rsidRPr="00DE30C4">
              <w:rPr>
                <w:rFonts w:ascii="Calibri" w:hAnsi="Calibri" w:cs="Calibri"/>
                <w:i/>
                <w:iCs/>
                <w:sz w:val="16"/>
                <w:szCs w:val="16"/>
              </w:rPr>
              <w:t xml:space="preserve"> MŠ</w:t>
            </w:r>
          </w:p>
        </w:tc>
        <w:tc>
          <w:tcPr>
            <w:tcW w:w="540" w:type="dxa"/>
            <w:tcBorders>
              <w:top w:val="nil"/>
              <w:left w:val="nil"/>
              <w:bottom w:val="single" w:sz="8"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46</w:t>
            </w:r>
          </w:p>
        </w:tc>
        <w:tc>
          <w:tcPr>
            <w:tcW w:w="553" w:type="dxa"/>
            <w:tcBorders>
              <w:top w:val="nil"/>
              <w:left w:val="nil"/>
              <w:bottom w:val="single" w:sz="8"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34</w:t>
            </w:r>
          </w:p>
        </w:tc>
        <w:tc>
          <w:tcPr>
            <w:tcW w:w="553" w:type="dxa"/>
            <w:tcBorders>
              <w:top w:val="nil"/>
              <w:left w:val="nil"/>
              <w:bottom w:val="single" w:sz="8"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29</w:t>
            </w:r>
          </w:p>
        </w:tc>
        <w:tc>
          <w:tcPr>
            <w:tcW w:w="553" w:type="dxa"/>
            <w:tcBorders>
              <w:top w:val="nil"/>
              <w:left w:val="nil"/>
              <w:bottom w:val="single" w:sz="8"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31</w:t>
            </w:r>
          </w:p>
        </w:tc>
        <w:tc>
          <w:tcPr>
            <w:tcW w:w="573" w:type="dxa"/>
            <w:tcBorders>
              <w:top w:val="nil"/>
              <w:left w:val="nil"/>
              <w:bottom w:val="single" w:sz="8" w:space="0" w:color="auto"/>
              <w:right w:val="nil"/>
            </w:tcBorders>
            <w:shd w:val="clear" w:color="auto" w:fill="auto"/>
            <w:noWrap/>
            <w:vAlign w:val="bottom"/>
            <w:hideMark/>
          </w:tcPr>
          <w:p w:rsidR="00DE30C4" w:rsidRPr="00DE30C4" w:rsidRDefault="00DE30C4" w:rsidP="00DE30C4">
            <w:pPr>
              <w:jc w:val="right"/>
              <w:rPr>
                <w:rFonts w:ascii="Calibri" w:hAnsi="Calibri" w:cs="Calibri"/>
                <w:sz w:val="16"/>
                <w:szCs w:val="16"/>
              </w:rPr>
            </w:pPr>
            <w:r w:rsidRPr="00DE30C4">
              <w:rPr>
                <w:rFonts w:ascii="Calibri" w:hAnsi="Calibri" w:cs="Calibri"/>
                <w:sz w:val="16"/>
                <w:szCs w:val="16"/>
              </w:rPr>
              <w:t>41</w:t>
            </w:r>
          </w:p>
        </w:tc>
        <w:tc>
          <w:tcPr>
            <w:tcW w:w="729" w:type="dxa"/>
            <w:tcBorders>
              <w:top w:val="nil"/>
              <w:left w:val="single" w:sz="4" w:space="0" w:color="auto"/>
              <w:bottom w:val="single" w:sz="8"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+29</w:t>
            </w:r>
            <w:r w:rsidRPr="00DE30C4">
              <w:rPr>
                <w:rFonts w:ascii="Calibri" w:hAnsi="Calibri" w:cs="Calibri"/>
                <w:sz w:val="16"/>
                <w:szCs w:val="16"/>
              </w:rPr>
              <w:t>%</w:t>
            </w:r>
          </w:p>
        </w:tc>
        <w:tc>
          <w:tcPr>
            <w:tcW w:w="773" w:type="dxa"/>
            <w:tcBorders>
              <w:top w:val="nil"/>
              <w:left w:val="nil"/>
              <w:bottom w:val="single" w:sz="8"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20,50%</w:t>
            </w:r>
          </w:p>
        </w:tc>
        <w:tc>
          <w:tcPr>
            <w:tcW w:w="788" w:type="dxa"/>
            <w:tcBorders>
              <w:top w:val="nil"/>
              <w:left w:val="nil"/>
              <w:bottom w:val="single" w:sz="8" w:space="0" w:color="auto"/>
              <w:right w:val="single" w:sz="4"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41,30%</w:t>
            </w:r>
          </w:p>
        </w:tc>
        <w:tc>
          <w:tcPr>
            <w:tcW w:w="773" w:type="dxa"/>
            <w:tcBorders>
              <w:top w:val="nil"/>
              <w:left w:val="nil"/>
              <w:bottom w:val="single" w:sz="8" w:space="0" w:color="auto"/>
              <w:right w:val="single" w:sz="8" w:space="0" w:color="auto"/>
            </w:tcBorders>
            <w:shd w:val="clear" w:color="auto" w:fill="auto"/>
            <w:noWrap/>
            <w:vAlign w:val="bottom"/>
            <w:hideMark/>
          </w:tcPr>
          <w:p w:rsidR="00DE30C4" w:rsidRPr="00DE30C4" w:rsidRDefault="00DE30C4" w:rsidP="00DE30C4">
            <w:pPr>
              <w:jc w:val="right"/>
              <w:rPr>
                <w:rFonts w:ascii="Calibri" w:hAnsi="Calibri" w:cs="Calibri"/>
                <w:sz w:val="16"/>
                <w:szCs w:val="16"/>
              </w:rPr>
            </w:pPr>
            <w:r>
              <w:rPr>
                <w:rFonts w:ascii="Calibri" w:hAnsi="Calibri" w:cs="Calibri"/>
                <w:sz w:val="16"/>
                <w:szCs w:val="16"/>
              </w:rPr>
              <w:t>+</w:t>
            </w:r>
            <w:r w:rsidRPr="00DE30C4">
              <w:rPr>
                <w:rFonts w:ascii="Calibri" w:hAnsi="Calibri" w:cs="Calibri"/>
                <w:sz w:val="16"/>
                <w:szCs w:val="16"/>
              </w:rPr>
              <w:t>32,20%</w:t>
            </w:r>
          </w:p>
        </w:tc>
      </w:tr>
    </w:tbl>
    <w:p w:rsidR="00041258" w:rsidRPr="003A7D8A" w:rsidRDefault="00041258" w:rsidP="00041258">
      <w:pPr>
        <w:pStyle w:val="Tabelanatpis"/>
        <w:numPr>
          <w:ilvl w:val="0"/>
          <w:numId w:val="0"/>
        </w:numPr>
        <w:rPr>
          <w:sz w:val="16"/>
        </w:rPr>
      </w:pPr>
    </w:p>
    <w:p w:rsidR="0057745F" w:rsidRDefault="0057745F" w:rsidP="00340FFE">
      <w:pPr>
        <w:pStyle w:val="Slika"/>
      </w:pPr>
      <w:r w:rsidRPr="0057745F">
        <w:rPr>
          <w:noProof/>
        </w:rPr>
        <w:drawing>
          <wp:inline distT="0" distB="0" distL="0" distR="0" wp14:anchorId="66FDD3E7" wp14:editId="32B73E3A">
            <wp:extent cx="5457825" cy="2105025"/>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448FB" w:rsidRPr="001448FB" w:rsidRDefault="001448FB" w:rsidP="001448FB">
      <w:pPr>
        <w:pStyle w:val="Slikanatpis"/>
      </w:pPr>
      <w:r w:rsidRPr="001448FB">
        <w:t xml:space="preserve"> Ukupan broj saobraćajnih nezgoda po godinama</w:t>
      </w:r>
    </w:p>
    <w:p w:rsidR="001448FB" w:rsidRDefault="001448FB" w:rsidP="001448FB">
      <w:pPr>
        <w:pStyle w:val="Tekst"/>
      </w:pPr>
      <w:r w:rsidRPr="00750899">
        <w:t>Na osnov</w:t>
      </w:r>
      <w:r>
        <w:t>u T</w:t>
      </w:r>
      <w:r w:rsidRPr="00750899">
        <w:t>abele</w:t>
      </w:r>
      <w:r>
        <w:t xml:space="preserve"> 1.</w:t>
      </w:r>
      <w:r w:rsidRPr="00750899">
        <w:t xml:space="preserve"> i </w:t>
      </w:r>
      <w:r w:rsidR="005C572C">
        <w:t>Slike</w:t>
      </w:r>
      <w:r>
        <w:t xml:space="preserve"> 1.</w:t>
      </w:r>
      <w:r w:rsidRPr="00750899">
        <w:t xml:space="preserve"> može se uočiti da su saobraćajne</w:t>
      </w:r>
      <w:r>
        <w:t xml:space="preserve"> nezgode imale trend opadanja za prve tri posmatrane godine, nakon čega broj nezgoda raste u 2014.-oj i 2015.-oj godini. Međutim, </w:t>
      </w:r>
      <w:r w:rsidRPr="00750899">
        <w:t>posmatrajući broj saobraćajnih nezgoda sa poginulim licima,</w:t>
      </w:r>
      <w:r>
        <w:t xml:space="preserve"> </w:t>
      </w:r>
      <w:r w:rsidRPr="00750899">
        <w:t>kao najreprezentativni pokazatelj bezbjednosti</w:t>
      </w:r>
      <w:r>
        <w:t xml:space="preserve"> saobraćaja,</w:t>
      </w:r>
      <w:r w:rsidRPr="00750899">
        <w:t xml:space="preserve"> dijagram ima sledeći oblik: </w:t>
      </w:r>
    </w:p>
    <w:p w:rsidR="001448FB" w:rsidRDefault="001448FB" w:rsidP="00340FFE">
      <w:pPr>
        <w:pStyle w:val="Slika"/>
      </w:pPr>
      <w:r w:rsidRPr="001448FB">
        <w:rPr>
          <w:noProof/>
        </w:rPr>
        <w:drawing>
          <wp:inline distT="0" distB="0" distL="0" distR="0" wp14:anchorId="3ADB13D5" wp14:editId="0194A747">
            <wp:extent cx="5580380" cy="2162175"/>
            <wp:effectExtent l="19050" t="0" r="20320" b="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448FB" w:rsidRPr="001448FB" w:rsidRDefault="001448FB" w:rsidP="001448FB">
      <w:pPr>
        <w:pStyle w:val="Slikanatpis"/>
      </w:pPr>
      <w:r w:rsidRPr="00EB2356">
        <w:t>Broj</w:t>
      </w:r>
      <w:r>
        <w:t xml:space="preserve"> saobraćajnih</w:t>
      </w:r>
      <w:r w:rsidRPr="00EB2356">
        <w:t xml:space="preserve"> nezgoda sa poginulim licima</w:t>
      </w:r>
    </w:p>
    <w:p w:rsidR="002B34B4" w:rsidRPr="00340FFE" w:rsidRDefault="005C572C" w:rsidP="001448FB">
      <w:pPr>
        <w:pStyle w:val="Tekst"/>
        <w:rPr>
          <w:lang w:val="sr-Latn-RS"/>
        </w:rPr>
      </w:pPr>
      <w:r>
        <w:t>Na osnovu Slike</w:t>
      </w:r>
      <w:r w:rsidR="001448FB">
        <w:t xml:space="preserve"> 2. vidimo broj poginulih lica po posmatranim godinama, uporedimo li taj broj sa ukupnim brojem saobraćajnih nezgoda za isti period, možemo zaključiti da sa brojem nezgoda ne raste i broj poginulih lica, u 2013.-oj godini imali smo ukupno 50 saobraćajnih nezgoda, I tri poginula lica, dok u 2015.-oj godini ukupan broj saobraćajnih nezgoda je porastao na 71, a broj poginulih lica se smanjio na jedno lice.</w:t>
      </w:r>
    </w:p>
    <w:p w:rsidR="001448FB" w:rsidRDefault="001448FB" w:rsidP="001448FB">
      <w:pPr>
        <w:pStyle w:val="Heading2"/>
      </w:pPr>
      <w:proofErr w:type="spellStart"/>
      <w:r w:rsidRPr="0008488B">
        <w:lastRenderedPageBreak/>
        <w:t>Struktura</w:t>
      </w:r>
      <w:proofErr w:type="spellEnd"/>
      <w:r w:rsidRPr="0008488B">
        <w:t xml:space="preserve"> </w:t>
      </w:r>
      <w:proofErr w:type="spellStart"/>
      <w:r w:rsidRPr="0008488B">
        <w:t>nastradalih</w:t>
      </w:r>
      <w:proofErr w:type="spellEnd"/>
      <w:r w:rsidRPr="0008488B">
        <w:t xml:space="preserve"> </w:t>
      </w:r>
      <w:proofErr w:type="spellStart"/>
      <w:r w:rsidRPr="0008488B">
        <w:t>lica</w:t>
      </w:r>
      <w:proofErr w:type="spellEnd"/>
      <w:r w:rsidRPr="0008488B">
        <w:t xml:space="preserve"> u </w:t>
      </w:r>
      <w:proofErr w:type="spellStart"/>
      <w:r w:rsidRPr="0008488B">
        <w:t>saobraćajnim</w:t>
      </w:r>
      <w:proofErr w:type="spellEnd"/>
      <w:r w:rsidRPr="0008488B">
        <w:t xml:space="preserve"> </w:t>
      </w:r>
      <w:proofErr w:type="spellStart"/>
      <w:r w:rsidRPr="0008488B">
        <w:t>nezgodama</w:t>
      </w:r>
      <w:proofErr w:type="spellEnd"/>
      <w:r w:rsidRPr="0008488B">
        <w:t xml:space="preserve"> u </w:t>
      </w:r>
      <w:proofErr w:type="spellStart"/>
      <w:r w:rsidRPr="0008488B">
        <w:t>analiziranom</w:t>
      </w:r>
      <w:proofErr w:type="spellEnd"/>
      <w:r w:rsidRPr="0008488B">
        <w:t xml:space="preserve"> </w:t>
      </w:r>
      <w:proofErr w:type="spellStart"/>
      <w:r w:rsidRPr="0008488B">
        <w:t>periodu</w:t>
      </w:r>
      <w:proofErr w:type="spellEnd"/>
    </w:p>
    <w:p w:rsidR="001448FB" w:rsidRPr="001448FB" w:rsidRDefault="001448FB" w:rsidP="003A7D8A">
      <w:pPr>
        <w:pStyle w:val="Tabelanatpis"/>
      </w:pPr>
      <w:r w:rsidRPr="00EB2356">
        <w:t>Struktura nastradalih lica u saobraćajnim nezgodama</w:t>
      </w:r>
      <w:r w:rsidR="003A7D8A">
        <w:t>(Analitički izvještaji MUP RS)</w:t>
      </w:r>
    </w:p>
    <w:tbl>
      <w:tblPr>
        <w:tblW w:w="9005" w:type="dxa"/>
        <w:tblInd w:w="94" w:type="dxa"/>
        <w:tblLook w:val="04A0" w:firstRow="1" w:lastRow="0" w:firstColumn="1" w:lastColumn="0" w:noHBand="0" w:noVBand="1"/>
      </w:tblPr>
      <w:tblGrid>
        <w:gridCol w:w="4500"/>
        <w:gridCol w:w="901"/>
        <w:gridCol w:w="901"/>
        <w:gridCol w:w="901"/>
        <w:gridCol w:w="901"/>
        <w:gridCol w:w="901"/>
      </w:tblGrid>
      <w:tr w:rsidR="001448FB" w:rsidRPr="0008488B" w:rsidTr="00CD0F5A">
        <w:trPr>
          <w:trHeight w:val="334"/>
        </w:trPr>
        <w:tc>
          <w:tcPr>
            <w:tcW w:w="45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448FB" w:rsidRPr="002D689C" w:rsidRDefault="001448FB" w:rsidP="00C41AED">
            <w:pPr>
              <w:jc w:val="center"/>
              <w:rPr>
                <w:rFonts w:asciiTheme="minorHAnsi" w:hAnsiTheme="minorHAnsi" w:cstheme="minorHAnsi"/>
                <w:b/>
                <w:sz w:val="20"/>
                <w:szCs w:val="20"/>
              </w:rPr>
            </w:pPr>
            <w:r w:rsidRPr="002D689C">
              <w:rPr>
                <w:rFonts w:asciiTheme="minorHAnsi" w:hAnsiTheme="minorHAnsi" w:cstheme="minorHAnsi"/>
                <w:b/>
                <w:sz w:val="20"/>
                <w:szCs w:val="20"/>
              </w:rPr>
              <w:t>POKAZATELJI</w:t>
            </w:r>
          </w:p>
        </w:tc>
        <w:tc>
          <w:tcPr>
            <w:tcW w:w="901" w:type="dxa"/>
            <w:tcBorders>
              <w:top w:val="single" w:sz="8" w:space="0" w:color="auto"/>
              <w:left w:val="nil"/>
              <w:bottom w:val="nil"/>
              <w:right w:val="single" w:sz="4" w:space="0" w:color="auto"/>
            </w:tcBorders>
            <w:shd w:val="clear" w:color="auto" w:fill="auto"/>
            <w:noWrap/>
            <w:vAlign w:val="center"/>
            <w:hideMark/>
          </w:tcPr>
          <w:p w:rsidR="001448FB" w:rsidRPr="002D689C" w:rsidRDefault="001448FB" w:rsidP="00C41AED">
            <w:pPr>
              <w:jc w:val="center"/>
              <w:rPr>
                <w:rFonts w:asciiTheme="minorHAnsi" w:hAnsiTheme="minorHAnsi" w:cstheme="minorHAnsi"/>
                <w:b/>
                <w:sz w:val="20"/>
                <w:szCs w:val="20"/>
              </w:rPr>
            </w:pPr>
            <w:r w:rsidRPr="002D689C">
              <w:rPr>
                <w:rFonts w:asciiTheme="minorHAnsi" w:hAnsiTheme="minorHAnsi" w:cstheme="minorHAnsi"/>
                <w:b/>
                <w:sz w:val="20"/>
                <w:szCs w:val="20"/>
              </w:rPr>
              <w:t>2011</w:t>
            </w:r>
          </w:p>
        </w:tc>
        <w:tc>
          <w:tcPr>
            <w:tcW w:w="901" w:type="dxa"/>
            <w:tcBorders>
              <w:top w:val="single" w:sz="8" w:space="0" w:color="auto"/>
              <w:left w:val="nil"/>
              <w:bottom w:val="nil"/>
              <w:right w:val="single" w:sz="4" w:space="0" w:color="auto"/>
            </w:tcBorders>
            <w:shd w:val="clear" w:color="auto" w:fill="auto"/>
            <w:noWrap/>
            <w:vAlign w:val="center"/>
            <w:hideMark/>
          </w:tcPr>
          <w:p w:rsidR="001448FB" w:rsidRPr="002D689C" w:rsidRDefault="001448FB" w:rsidP="00C41AED">
            <w:pPr>
              <w:jc w:val="center"/>
              <w:rPr>
                <w:rFonts w:asciiTheme="minorHAnsi" w:hAnsiTheme="minorHAnsi" w:cstheme="minorHAnsi"/>
                <w:b/>
                <w:sz w:val="20"/>
                <w:szCs w:val="20"/>
              </w:rPr>
            </w:pPr>
            <w:r w:rsidRPr="002D689C">
              <w:rPr>
                <w:rFonts w:asciiTheme="minorHAnsi" w:hAnsiTheme="minorHAnsi" w:cstheme="minorHAnsi"/>
                <w:b/>
                <w:sz w:val="20"/>
                <w:szCs w:val="20"/>
              </w:rPr>
              <w:t>2012</w:t>
            </w:r>
          </w:p>
        </w:tc>
        <w:tc>
          <w:tcPr>
            <w:tcW w:w="901" w:type="dxa"/>
            <w:tcBorders>
              <w:top w:val="single" w:sz="8" w:space="0" w:color="auto"/>
              <w:left w:val="nil"/>
              <w:bottom w:val="nil"/>
              <w:right w:val="single" w:sz="4" w:space="0" w:color="auto"/>
            </w:tcBorders>
            <w:shd w:val="clear" w:color="auto" w:fill="auto"/>
            <w:noWrap/>
            <w:vAlign w:val="center"/>
            <w:hideMark/>
          </w:tcPr>
          <w:p w:rsidR="001448FB" w:rsidRPr="002D689C" w:rsidRDefault="001448FB" w:rsidP="00C41AED">
            <w:pPr>
              <w:jc w:val="center"/>
              <w:rPr>
                <w:rFonts w:asciiTheme="minorHAnsi" w:hAnsiTheme="minorHAnsi" w:cstheme="minorHAnsi"/>
                <w:b/>
                <w:sz w:val="20"/>
                <w:szCs w:val="20"/>
              </w:rPr>
            </w:pPr>
            <w:r w:rsidRPr="002D689C">
              <w:rPr>
                <w:rFonts w:asciiTheme="minorHAnsi" w:hAnsiTheme="minorHAnsi" w:cstheme="minorHAnsi"/>
                <w:b/>
                <w:sz w:val="20"/>
                <w:szCs w:val="20"/>
              </w:rPr>
              <w:t>2013</w:t>
            </w:r>
          </w:p>
        </w:tc>
        <w:tc>
          <w:tcPr>
            <w:tcW w:w="901" w:type="dxa"/>
            <w:tcBorders>
              <w:top w:val="single" w:sz="8" w:space="0" w:color="auto"/>
              <w:left w:val="nil"/>
              <w:bottom w:val="nil"/>
              <w:right w:val="single" w:sz="4" w:space="0" w:color="auto"/>
            </w:tcBorders>
            <w:shd w:val="clear" w:color="auto" w:fill="auto"/>
            <w:noWrap/>
            <w:vAlign w:val="center"/>
            <w:hideMark/>
          </w:tcPr>
          <w:p w:rsidR="001448FB" w:rsidRPr="002D689C" w:rsidRDefault="001448FB" w:rsidP="00C41AED">
            <w:pPr>
              <w:jc w:val="center"/>
              <w:rPr>
                <w:rFonts w:asciiTheme="minorHAnsi" w:hAnsiTheme="minorHAnsi" w:cstheme="minorHAnsi"/>
                <w:b/>
                <w:sz w:val="20"/>
                <w:szCs w:val="20"/>
              </w:rPr>
            </w:pPr>
            <w:r w:rsidRPr="002D689C">
              <w:rPr>
                <w:rFonts w:asciiTheme="minorHAnsi" w:hAnsiTheme="minorHAnsi" w:cstheme="minorHAnsi"/>
                <w:b/>
                <w:sz w:val="20"/>
                <w:szCs w:val="20"/>
              </w:rPr>
              <w:t>2014</w:t>
            </w:r>
          </w:p>
        </w:tc>
        <w:tc>
          <w:tcPr>
            <w:tcW w:w="901" w:type="dxa"/>
            <w:tcBorders>
              <w:top w:val="single" w:sz="8" w:space="0" w:color="auto"/>
              <w:left w:val="nil"/>
              <w:bottom w:val="nil"/>
              <w:right w:val="single" w:sz="8" w:space="0" w:color="auto"/>
            </w:tcBorders>
            <w:shd w:val="clear" w:color="auto" w:fill="auto"/>
            <w:noWrap/>
            <w:vAlign w:val="center"/>
            <w:hideMark/>
          </w:tcPr>
          <w:p w:rsidR="001448FB" w:rsidRPr="002D689C" w:rsidRDefault="001448FB" w:rsidP="00C41AED">
            <w:pPr>
              <w:jc w:val="center"/>
              <w:rPr>
                <w:rFonts w:asciiTheme="minorHAnsi" w:hAnsiTheme="minorHAnsi" w:cstheme="minorHAnsi"/>
                <w:b/>
                <w:sz w:val="20"/>
                <w:szCs w:val="20"/>
              </w:rPr>
            </w:pPr>
            <w:r w:rsidRPr="002D689C">
              <w:rPr>
                <w:rFonts w:asciiTheme="minorHAnsi" w:hAnsiTheme="minorHAnsi" w:cstheme="minorHAnsi"/>
                <w:b/>
                <w:sz w:val="20"/>
                <w:szCs w:val="20"/>
              </w:rPr>
              <w:t>2015</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b/>
                <w:bCs/>
                <w:color w:val="FF0000"/>
                <w:sz w:val="20"/>
                <w:szCs w:val="20"/>
              </w:rPr>
            </w:pPr>
            <w:proofErr w:type="spellStart"/>
            <w:r w:rsidRPr="002D689C">
              <w:rPr>
                <w:rFonts w:asciiTheme="minorHAnsi" w:hAnsiTheme="minorHAnsi" w:cstheme="minorHAnsi"/>
                <w:b/>
                <w:bCs/>
                <w:color w:val="FF0000"/>
                <w:sz w:val="20"/>
                <w:szCs w:val="20"/>
              </w:rPr>
              <w:t>Ukupno</w:t>
            </w:r>
            <w:proofErr w:type="spellEnd"/>
            <w:r w:rsidRPr="002D689C">
              <w:rPr>
                <w:rFonts w:asciiTheme="minorHAnsi" w:hAnsiTheme="minorHAnsi" w:cstheme="minorHAnsi"/>
                <w:b/>
                <w:bCs/>
                <w:color w:val="FF0000"/>
                <w:sz w:val="20"/>
                <w:szCs w:val="20"/>
              </w:rPr>
              <w:t xml:space="preserve"> </w:t>
            </w:r>
            <w:proofErr w:type="spellStart"/>
            <w:r w:rsidRPr="002D689C">
              <w:rPr>
                <w:rFonts w:asciiTheme="minorHAnsi" w:hAnsiTheme="minorHAnsi" w:cstheme="minorHAnsi"/>
                <w:b/>
                <w:bCs/>
                <w:color w:val="FF0000"/>
                <w:sz w:val="20"/>
                <w:szCs w:val="20"/>
              </w:rPr>
              <w:t>nastradalih</w:t>
            </w:r>
            <w:proofErr w:type="spellEnd"/>
            <w:r w:rsidRPr="002D689C">
              <w:rPr>
                <w:rFonts w:asciiTheme="minorHAnsi" w:hAnsiTheme="minorHAnsi" w:cstheme="minorHAnsi"/>
                <w:b/>
                <w:bCs/>
                <w:color w:val="FF0000"/>
                <w:sz w:val="20"/>
                <w:szCs w:val="20"/>
              </w:rPr>
              <w:t xml:space="preserve"> </w:t>
            </w:r>
            <w:proofErr w:type="spellStart"/>
            <w:r w:rsidRPr="002D689C">
              <w:rPr>
                <w:rFonts w:asciiTheme="minorHAnsi" w:hAnsiTheme="minorHAnsi" w:cstheme="minorHAnsi"/>
                <w:b/>
                <w:bCs/>
                <w:color w:val="FF0000"/>
                <w:sz w:val="20"/>
                <w:szCs w:val="20"/>
              </w:rPr>
              <w:t>lica</w:t>
            </w:r>
            <w:proofErr w:type="spellEnd"/>
            <w:r w:rsidRPr="002D689C">
              <w:rPr>
                <w:rFonts w:asciiTheme="minorHAnsi" w:hAnsiTheme="minorHAnsi" w:cstheme="minorHAnsi"/>
                <w:b/>
                <w:bCs/>
                <w:color w:val="FF0000"/>
                <w:sz w:val="20"/>
                <w:szCs w:val="20"/>
              </w:rPr>
              <w:t xml:space="preserve"> </w:t>
            </w:r>
          </w:p>
        </w:tc>
        <w:tc>
          <w:tcPr>
            <w:tcW w:w="901" w:type="dxa"/>
            <w:tcBorders>
              <w:top w:val="single" w:sz="4" w:space="0" w:color="auto"/>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color w:val="FF0000"/>
                <w:sz w:val="20"/>
                <w:szCs w:val="20"/>
              </w:rPr>
            </w:pPr>
            <w:r w:rsidRPr="002D689C">
              <w:rPr>
                <w:rFonts w:asciiTheme="minorHAnsi" w:hAnsiTheme="minorHAnsi" w:cstheme="minorHAnsi"/>
                <w:b/>
                <w:bCs/>
                <w:color w:val="FF0000"/>
                <w:sz w:val="20"/>
                <w:szCs w:val="20"/>
              </w:rPr>
              <w:t>41</w:t>
            </w:r>
          </w:p>
        </w:tc>
        <w:tc>
          <w:tcPr>
            <w:tcW w:w="901" w:type="dxa"/>
            <w:tcBorders>
              <w:top w:val="single" w:sz="4" w:space="0" w:color="auto"/>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color w:val="FF0000"/>
                <w:sz w:val="20"/>
                <w:szCs w:val="20"/>
              </w:rPr>
            </w:pPr>
            <w:r w:rsidRPr="002D689C">
              <w:rPr>
                <w:rFonts w:asciiTheme="minorHAnsi" w:hAnsiTheme="minorHAnsi" w:cstheme="minorHAnsi"/>
                <w:b/>
                <w:bCs/>
                <w:color w:val="FF0000"/>
                <w:sz w:val="20"/>
                <w:szCs w:val="20"/>
              </w:rPr>
              <w:t>34</w:t>
            </w:r>
          </w:p>
        </w:tc>
        <w:tc>
          <w:tcPr>
            <w:tcW w:w="901" w:type="dxa"/>
            <w:tcBorders>
              <w:top w:val="single" w:sz="4" w:space="0" w:color="auto"/>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color w:val="FF0000"/>
                <w:sz w:val="20"/>
                <w:szCs w:val="20"/>
              </w:rPr>
            </w:pPr>
            <w:r w:rsidRPr="002D689C">
              <w:rPr>
                <w:rFonts w:asciiTheme="minorHAnsi" w:hAnsiTheme="minorHAnsi" w:cstheme="minorHAnsi"/>
                <w:b/>
                <w:bCs/>
                <w:color w:val="FF0000"/>
                <w:sz w:val="20"/>
                <w:szCs w:val="20"/>
              </w:rPr>
              <w:t>31</w:t>
            </w:r>
          </w:p>
        </w:tc>
        <w:tc>
          <w:tcPr>
            <w:tcW w:w="901" w:type="dxa"/>
            <w:tcBorders>
              <w:top w:val="single" w:sz="4" w:space="0" w:color="auto"/>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color w:val="FF0000"/>
                <w:sz w:val="20"/>
                <w:szCs w:val="20"/>
              </w:rPr>
            </w:pPr>
            <w:r w:rsidRPr="002D689C">
              <w:rPr>
                <w:rFonts w:asciiTheme="minorHAnsi" w:hAnsiTheme="minorHAnsi" w:cstheme="minorHAnsi"/>
                <w:b/>
                <w:bCs/>
                <w:color w:val="FF0000"/>
                <w:sz w:val="20"/>
                <w:szCs w:val="20"/>
              </w:rPr>
              <w:t>41</w:t>
            </w:r>
          </w:p>
        </w:tc>
        <w:tc>
          <w:tcPr>
            <w:tcW w:w="901" w:type="dxa"/>
            <w:tcBorders>
              <w:top w:val="single" w:sz="4" w:space="0" w:color="auto"/>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color w:val="FF0000"/>
                <w:sz w:val="20"/>
                <w:szCs w:val="20"/>
              </w:rPr>
            </w:pPr>
            <w:r w:rsidRPr="002D689C">
              <w:rPr>
                <w:rFonts w:asciiTheme="minorHAnsi" w:hAnsiTheme="minorHAnsi" w:cstheme="minorHAnsi"/>
                <w:b/>
                <w:color w:val="FF0000"/>
                <w:sz w:val="20"/>
                <w:szCs w:val="20"/>
              </w:rPr>
              <w:t>67</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b/>
                <w:bCs/>
                <w:sz w:val="20"/>
                <w:szCs w:val="20"/>
              </w:rPr>
            </w:pPr>
            <w:r w:rsidRPr="002D689C">
              <w:rPr>
                <w:rFonts w:asciiTheme="minorHAnsi" w:hAnsiTheme="minorHAnsi" w:cstheme="minorHAnsi"/>
                <w:b/>
                <w:bCs/>
                <w:sz w:val="20"/>
                <w:szCs w:val="20"/>
              </w:rPr>
              <w:t xml:space="preserve">a) </w:t>
            </w:r>
            <w:proofErr w:type="spellStart"/>
            <w:r w:rsidRPr="002D689C">
              <w:rPr>
                <w:rFonts w:asciiTheme="minorHAnsi" w:hAnsiTheme="minorHAnsi" w:cstheme="minorHAnsi"/>
                <w:b/>
                <w:bCs/>
                <w:sz w:val="20"/>
                <w:szCs w:val="20"/>
              </w:rPr>
              <w:t>broj</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poginulih</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lica</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i/>
                <w:iCs/>
                <w:sz w:val="20"/>
                <w:szCs w:val="20"/>
              </w:rPr>
            </w:pPr>
            <w:r w:rsidRPr="002D689C">
              <w:rPr>
                <w:rFonts w:asciiTheme="minorHAnsi" w:hAnsiTheme="minorHAnsi" w:cstheme="minorHAnsi"/>
                <w:b/>
                <w:bCs/>
                <w:i/>
                <w:iCs/>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i/>
                <w:iCs/>
                <w:sz w:val="20"/>
                <w:szCs w:val="20"/>
              </w:rPr>
            </w:pPr>
            <w:r w:rsidRPr="002D689C">
              <w:rPr>
                <w:rFonts w:asciiTheme="minorHAnsi" w:hAnsiTheme="minorHAnsi" w:cstheme="minorHAnsi"/>
                <w:b/>
                <w:bCs/>
                <w:i/>
                <w:iCs/>
                <w:sz w:val="20"/>
                <w:szCs w:val="20"/>
              </w:rPr>
              <w:t>3</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i/>
                <w:iCs/>
                <w:sz w:val="20"/>
                <w:szCs w:val="20"/>
              </w:rPr>
            </w:pPr>
            <w:r w:rsidRPr="002D689C">
              <w:rPr>
                <w:rFonts w:asciiTheme="minorHAnsi" w:hAnsiTheme="minorHAnsi" w:cstheme="minorHAnsi"/>
                <w:b/>
                <w:bCs/>
                <w:i/>
                <w:iCs/>
                <w:sz w:val="20"/>
                <w:szCs w:val="20"/>
              </w:rPr>
              <w:t>3</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i/>
                <w:iCs/>
                <w:sz w:val="20"/>
                <w:szCs w:val="20"/>
              </w:rPr>
            </w:pPr>
            <w:r w:rsidRPr="002D689C">
              <w:rPr>
                <w:rFonts w:asciiTheme="minorHAnsi" w:hAnsiTheme="minorHAnsi" w:cstheme="minorHAnsi"/>
                <w:b/>
                <w:bCs/>
                <w:i/>
                <w:iCs/>
                <w:sz w:val="20"/>
                <w:szCs w:val="20"/>
              </w:rPr>
              <w:t>2</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sz w:val="20"/>
                <w:szCs w:val="20"/>
              </w:rPr>
            </w:pPr>
            <w:r w:rsidRPr="002D689C">
              <w:rPr>
                <w:rFonts w:asciiTheme="minorHAnsi" w:hAnsiTheme="minorHAnsi" w:cstheme="minorHAnsi"/>
                <w:b/>
                <w:bCs/>
                <w:sz w:val="20"/>
                <w:szCs w:val="20"/>
              </w:rPr>
              <w:t>1</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1.</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vozač</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2. </w:t>
            </w:r>
            <w:proofErr w:type="spellStart"/>
            <w:r w:rsidR="001448FB" w:rsidRPr="002D689C">
              <w:rPr>
                <w:rFonts w:asciiTheme="minorHAnsi" w:hAnsiTheme="minorHAnsi" w:cstheme="minorHAnsi"/>
                <w:sz w:val="20"/>
                <w:szCs w:val="20"/>
              </w:rPr>
              <w:t>suvozač</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5.</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motociklisti</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6. </w:t>
            </w:r>
            <w:proofErr w:type="spellStart"/>
            <w:r w:rsidR="001448FB" w:rsidRPr="002D689C">
              <w:rPr>
                <w:rFonts w:asciiTheme="minorHAnsi" w:hAnsiTheme="minorHAnsi" w:cstheme="minorHAnsi"/>
                <w:sz w:val="20"/>
                <w:szCs w:val="20"/>
              </w:rPr>
              <w:t>pješaci</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3</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b/>
                <w:bCs/>
                <w:sz w:val="20"/>
                <w:szCs w:val="20"/>
              </w:rPr>
            </w:pPr>
            <w:r w:rsidRPr="002D689C">
              <w:rPr>
                <w:rFonts w:asciiTheme="minorHAnsi" w:hAnsiTheme="minorHAnsi" w:cstheme="minorHAnsi"/>
                <w:b/>
                <w:bCs/>
                <w:sz w:val="20"/>
                <w:szCs w:val="20"/>
              </w:rPr>
              <w:t xml:space="preserve">b) </w:t>
            </w:r>
            <w:proofErr w:type="spellStart"/>
            <w:r w:rsidRPr="002D689C">
              <w:rPr>
                <w:rFonts w:asciiTheme="minorHAnsi" w:hAnsiTheme="minorHAnsi" w:cstheme="minorHAnsi"/>
                <w:b/>
                <w:bCs/>
                <w:sz w:val="20"/>
                <w:szCs w:val="20"/>
              </w:rPr>
              <w:t>broj</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teže</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povrijeđenih</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lica</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sz w:val="20"/>
                <w:szCs w:val="20"/>
              </w:rPr>
            </w:pPr>
            <w:r w:rsidRPr="002D689C">
              <w:rPr>
                <w:rFonts w:asciiTheme="minorHAnsi" w:hAnsiTheme="minorHAnsi" w:cstheme="minorHAnsi"/>
                <w:b/>
                <w:bCs/>
                <w:sz w:val="20"/>
                <w:szCs w:val="20"/>
              </w:rPr>
              <w:t>9</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sz w:val="20"/>
                <w:szCs w:val="20"/>
              </w:rPr>
            </w:pPr>
            <w:r w:rsidRPr="002D689C">
              <w:rPr>
                <w:rFonts w:asciiTheme="minorHAnsi" w:hAnsiTheme="minorHAnsi" w:cstheme="minorHAnsi"/>
                <w:b/>
                <w:bCs/>
                <w:sz w:val="20"/>
                <w:szCs w:val="20"/>
              </w:rPr>
              <w:t>7</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sz w:val="20"/>
                <w:szCs w:val="20"/>
              </w:rPr>
            </w:pPr>
            <w:r w:rsidRPr="002D689C">
              <w:rPr>
                <w:rFonts w:asciiTheme="minorHAnsi" w:hAnsiTheme="minorHAnsi" w:cstheme="minorHAnsi"/>
                <w:b/>
                <w:bCs/>
                <w:sz w:val="20"/>
                <w:szCs w:val="20"/>
              </w:rPr>
              <w:t>4</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sz w:val="20"/>
                <w:szCs w:val="20"/>
              </w:rPr>
            </w:pPr>
            <w:r w:rsidRPr="002D689C">
              <w:rPr>
                <w:rFonts w:asciiTheme="minorHAnsi" w:hAnsiTheme="minorHAnsi" w:cstheme="minorHAnsi"/>
                <w:b/>
                <w:bCs/>
                <w:sz w:val="20"/>
                <w:szCs w:val="20"/>
              </w:rPr>
              <w:t>8</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bCs/>
                <w:sz w:val="20"/>
                <w:szCs w:val="20"/>
              </w:rPr>
            </w:pPr>
            <w:r w:rsidRPr="002D689C">
              <w:rPr>
                <w:rFonts w:asciiTheme="minorHAnsi" w:hAnsiTheme="minorHAnsi" w:cstheme="minorHAnsi"/>
                <w:b/>
                <w:bCs/>
                <w:sz w:val="20"/>
                <w:szCs w:val="20"/>
              </w:rPr>
              <w:t>10</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1. </w:t>
            </w:r>
            <w:proofErr w:type="spellStart"/>
            <w:r w:rsidR="001448FB" w:rsidRPr="002D689C">
              <w:rPr>
                <w:rFonts w:asciiTheme="minorHAnsi" w:hAnsiTheme="minorHAnsi" w:cstheme="minorHAnsi"/>
                <w:sz w:val="20"/>
                <w:szCs w:val="20"/>
              </w:rPr>
              <w:t>vozač</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4</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3</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3</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2. </w:t>
            </w:r>
            <w:proofErr w:type="spellStart"/>
            <w:r w:rsidR="001448FB" w:rsidRPr="002D689C">
              <w:rPr>
                <w:rFonts w:asciiTheme="minorHAnsi" w:hAnsiTheme="minorHAnsi" w:cstheme="minorHAnsi"/>
                <w:sz w:val="20"/>
                <w:szCs w:val="20"/>
              </w:rPr>
              <w:t>suvozač</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3</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3</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3.</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putnici</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4. </w:t>
            </w:r>
            <w:proofErr w:type="spellStart"/>
            <w:r w:rsidR="001448FB" w:rsidRPr="002D689C">
              <w:rPr>
                <w:rFonts w:asciiTheme="minorHAnsi" w:hAnsiTheme="minorHAnsi" w:cstheme="minorHAnsi"/>
                <w:sz w:val="20"/>
                <w:szCs w:val="20"/>
              </w:rPr>
              <w:t>putnici</w:t>
            </w:r>
            <w:proofErr w:type="spellEnd"/>
            <w:r w:rsidR="001448FB" w:rsidRPr="002D689C">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djeca</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5.</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motociklisti</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6. </w:t>
            </w:r>
            <w:proofErr w:type="spellStart"/>
            <w:r w:rsidR="001448FB" w:rsidRPr="002D689C">
              <w:rPr>
                <w:rFonts w:asciiTheme="minorHAnsi" w:hAnsiTheme="minorHAnsi" w:cstheme="minorHAnsi"/>
                <w:sz w:val="20"/>
                <w:szCs w:val="20"/>
              </w:rPr>
              <w:t>pješaci</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7. </w:t>
            </w:r>
            <w:proofErr w:type="spellStart"/>
            <w:r w:rsidR="001448FB" w:rsidRPr="002D689C">
              <w:rPr>
                <w:rFonts w:asciiTheme="minorHAnsi" w:hAnsiTheme="minorHAnsi" w:cstheme="minorHAnsi"/>
                <w:sz w:val="20"/>
                <w:szCs w:val="20"/>
              </w:rPr>
              <w:t>vozača</w:t>
            </w:r>
            <w:proofErr w:type="spellEnd"/>
            <w:r w:rsidR="001448FB" w:rsidRPr="002D689C">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mopeda</w:t>
            </w:r>
            <w:proofErr w:type="spellEnd"/>
            <w:r w:rsidR="001448FB" w:rsidRPr="002D689C">
              <w:rPr>
                <w:rFonts w:asciiTheme="minorHAnsi" w:hAnsiTheme="minorHAnsi" w:cstheme="minorHAnsi"/>
                <w:sz w:val="20"/>
                <w:szCs w:val="20"/>
              </w:rPr>
              <w:t xml:space="preserve">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8.</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pješaka-djece</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9.</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biciklista-djeca</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10. </w:t>
            </w:r>
            <w:proofErr w:type="spellStart"/>
            <w:r w:rsidR="001448FB" w:rsidRPr="002D689C">
              <w:rPr>
                <w:rFonts w:asciiTheme="minorHAnsi" w:hAnsiTheme="minorHAnsi" w:cstheme="minorHAnsi"/>
                <w:sz w:val="20"/>
                <w:szCs w:val="20"/>
              </w:rPr>
              <w:t>ostalo</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b/>
                <w:bCs/>
                <w:sz w:val="20"/>
                <w:szCs w:val="20"/>
              </w:rPr>
            </w:pPr>
            <w:r w:rsidRPr="002D689C">
              <w:rPr>
                <w:rFonts w:asciiTheme="minorHAnsi" w:hAnsiTheme="minorHAnsi" w:cstheme="minorHAnsi"/>
                <w:b/>
                <w:bCs/>
                <w:sz w:val="20"/>
                <w:szCs w:val="20"/>
              </w:rPr>
              <w:t xml:space="preserve">c) </w:t>
            </w:r>
            <w:proofErr w:type="spellStart"/>
            <w:r w:rsidRPr="002D689C">
              <w:rPr>
                <w:rFonts w:asciiTheme="minorHAnsi" w:hAnsiTheme="minorHAnsi" w:cstheme="minorHAnsi"/>
                <w:b/>
                <w:bCs/>
                <w:sz w:val="20"/>
                <w:szCs w:val="20"/>
              </w:rPr>
              <w:t>broj</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lakše</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povrijeđenih</w:t>
            </w:r>
            <w:proofErr w:type="spellEnd"/>
            <w:r w:rsidRPr="002D689C">
              <w:rPr>
                <w:rFonts w:asciiTheme="minorHAnsi" w:hAnsiTheme="minorHAnsi" w:cstheme="minorHAnsi"/>
                <w:b/>
                <w:bCs/>
                <w:sz w:val="20"/>
                <w:szCs w:val="20"/>
              </w:rPr>
              <w:t xml:space="preserve"> </w:t>
            </w:r>
            <w:proofErr w:type="spellStart"/>
            <w:r w:rsidRPr="002D689C">
              <w:rPr>
                <w:rFonts w:asciiTheme="minorHAnsi" w:hAnsiTheme="minorHAnsi" w:cstheme="minorHAnsi"/>
                <w:b/>
                <w:bCs/>
                <w:sz w:val="20"/>
                <w:szCs w:val="20"/>
              </w:rPr>
              <w:t>lica</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sz w:val="20"/>
                <w:szCs w:val="20"/>
              </w:rPr>
            </w:pPr>
            <w:r w:rsidRPr="002D689C">
              <w:rPr>
                <w:rFonts w:asciiTheme="minorHAnsi" w:hAnsiTheme="minorHAnsi" w:cstheme="minorHAnsi"/>
                <w:b/>
                <w:sz w:val="20"/>
                <w:szCs w:val="20"/>
              </w:rPr>
              <w:t>30</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sz w:val="20"/>
                <w:szCs w:val="20"/>
              </w:rPr>
            </w:pPr>
            <w:r w:rsidRPr="002D689C">
              <w:rPr>
                <w:rFonts w:asciiTheme="minorHAnsi" w:hAnsiTheme="minorHAnsi" w:cstheme="minorHAnsi"/>
                <w:b/>
                <w:sz w:val="20"/>
                <w:szCs w:val="20"/>
              </w:rPr>
              <w:t>24</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sz w:val="20"/>
                <w:szCs w:val="20"/>
              </w:rPr>
            </w:pPr>
            <w:r w:rsidRPr="002D689C">
              <w:rPr>
                <w:rFonts w:asciiTheme="minorHAnsi" w:hAnsiTheme="minorHAnsi" w:cstheme="minorHAnsi"/>
                <w:b/>
                <w:sz w:val="20"/>
                <w:szCs w:val="20"/>
              </w:rPr>
              <w:t>24</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sz w:val="20"/>
                <w:szCs w:val="20"/>
              </w:rPr>
            </w:pPr>
            <w:r w:rsidRPr="002D689C">
              <w:rPr>
                <w:rFonts w:asciiTheme="minorHAnsi" w:hAnsiTheme="minorHAnsi" w:cstheme="minorHAnsi"/>
                <w:b/>
                <w:sz w:val="20"/>
                <w:szCs w:val="20"/>
              </w:rPr>
              <w:t>31</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b/>
                <w:sz w:val="20"/>
                <w:szCs w:val="20"/>
              </w:rPr>
            </w:pPr>
            <w:r w:rsidRPr="002D689C">
              <w:rPr>
                <w:rFonts w:asciiTheme="minorHAnsi" w:hAnsiTheme="minorHAnsi" w:cstheme="minorHAnsi"/>
                <w:b/>
                <w:sz w:val="20"/>
                <w:szCs w:val="20"/>
              </w:rPr>
              <w:t>56</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1. </w:t>
            </w:r>
            <w:proofErr w:type="spellStart"/>
            <w:r w:rsidR="001448FB" w:rsidRPr="002D689C">
              <w:rPr>
                <w:rFonts w:asciiTheme="minorHAnsi" w:hAnsiTheme="minorHAnsi" w:cstheme="minorHAnsi"/>
                <w:sz w:val="20"/>
                <w:szCs w:val="20"/>
              </w:rPr>
              <w:t>vozač</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16</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14</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17</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25</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2. </w:t>
            </w:r>
            <w:proofErr w:type="spellStart"/>
            <w:r w:rsidR="001448FB" w:rsidRPr="002D689C">
              <w:rPr>
                <w:rFonts w:asciiTheme="minorHAnsi" w:hAnsiTheme="minorHAnsi" w:cstheme="minorHAnsi"/>
                <w:sz w:val="20"/>
                <w:szCs w:val="20"/>
              </w:rPr>
              <w:t>suvozač</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5</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5</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7</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8</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9</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3.</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putnici</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6</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4</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3</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14</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4.</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putnika-djece</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5</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5.</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biciklista-djece</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6. </w:t>
            </w:r>
            <w:proofErr w:type="spellStart"/>
            <w:r w:rsidR="001448FB" w:rsidRPr="002D689C">
              <w:rPr>
                <w:rFonts w:asciiTheme="minorHAnsi" w:hAnsiTheme="minorHAnsi" w:cstheme="minorHAnsi"/>
                <w:sz w:val="20"/>
                <w:szCs w:val="20"/>
              </w:rPr>
              <w:t>pješaci</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r>
      <w:tr w:rsidR="001448FB" w:rsidRPr="0008488B" w:rsidTr="00CD0F5A">
        <w:trPr>
          <w:trHeight w:val="236"/>
        </w:trPr>
        <w:tc>
          <w:tcPr>
            <w:tcW w:w="4500" w:type="dxa"/>
            <w:tcBorders>
              <w:top w:val="nil"/>
              <w:left w:val="single" w:sz="8" w:space="0" w:color="auto"/>
              <w:bottom w:val="single" w:sz="4"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7.</w:t>
            </w:r>
            <w:r>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vozača</w:t>
            </w:r>
            <w:proofErr w:type="spellEnd"/>
            <w:r w:rsidR="001448FB" w:rsidRPr="002D689C">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zaprege</w:t>
            </w:r>
            <w:proofErr w:type="spellEnd"/>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1</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4" w:space="0" w:color="auto"/>
              <w:right w:val="single" w:sz="8"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r>
      <w:tr w:rsidR="001448FB" w:rsidRPr="0008488B" w:rsidTr="00CD0F5A">
        <w:trPr>
          <w:trHeight w:val="248"/>
        </w:trPr>
        <w:tc>
          <w:tcPr>
            <w:tcW w:w="4500" w:type="dxa"/>
            <w:tcBorders>
              <w:top w:val="nil"/>
              <w:left w:val="single" w:sz="8" w:space="0" w:color="auto"/>
              <w:bottom w:val="single" w:sz="8" w:space="0" w:color="auto"/>
              <w:right w:val="single" w:sz="4" w:space="0" w:color="auto"/>
            </w:tcBorders>
            <w:shd w:val="clear" w:color="auto" w:fill="auto"/>
            <w:noWrap/>
            <w:vAlign w:val="bottom"/>
            <w:hideMark/>
          </w:tcPr>
          <w:p w:rsidR="001448FB" w:rsidRPr="002D689C" w:rsidRDefault="00340FFE" w:rsidP="00C41AED">
            <w:pPr>
              <w:rPr>
                <w:rFonts w:asciiTheme="minorHAnsi" w:hAnsiTheme="minorHAnsi" w:cstheme="minorHAnsi"/>
                <w:sz w:val="20"/>
                <w:szCs w:val="20"/>
              </w:rPr>
            </w:pPr>
            <w:r>
              <w:rPr>
                <w:rFonts w:asciiTheme="minorHAnsi" w:hAnsiTheme="minorHAnsi" w:cstheme="minorHAnsi"/>
                <w:sz w:val="20"/>
                <w:szCs w:val="20"/>
              </w:rPr>
              <w:t xml:space="preserve"> </w:t>
            </w:r>
            <w:r w:rsidR="001448FB" w:rsidRPr="002D689C">
              <w:rPr>
                <w:rFonts w:asciiTheme="minorHAnsi" w:hAnsiTheme="minorHAnsi" w:cstheme="minorHAnsi"/>
                <w:sz w:val="20"/>
                <w:szCs w:val="20"/>
              </w:rPr>
              <w:t xml:space="preserve">8. </w:t>
            </w:r>
            <w:proofErr w:type="spellStart"/>
            <w:r w:rsidR="001448FB" w:rsidRPr="002D689C">
              <w:rPr>
                <w:rFonts w:asciiTheme="minorHAnsi" w:hAnsiTheme="minorHAnsi" w:cstheme="minorHAnsi"/>
                <w:sz w:val="20"/>
                <w:szCs w:val="20"/>
              </w:rPr>
              <w:t>vozača</w:t>
            </w:r>
            <w:proofErr w:type="spellEnd"/>
            <w:r w:rsidR="001448FB" w:rsidRPr="002D689C">
              <w:rPr>
                <w:rFonts w:asciiTheme="minorHAnsi" w:hAnsiTheme="minorHAnsi" w:cstheme="minorHAnsi"/>
                <w:sz w:val="20"/>
                <w:szCs w:val="20"/>
              </w:rPr>
              <w:t xml:space="preserve"> </w:t>
            </w:r>
            <w:proofErr w:type="spellStart"/>
            <w:r w:rsidR="001448FB" w:rsidRPr="002D689C">
              <w:rPr>
                <w:rFonts w:asciiTheme="minorHAnsi" w:hAnsiTheme="minorHAnsi" w:cstheme="minorHAnsi"/>
                <w:sz w:val="20"/>
                <w:szCs w:val="20"/>
              </w:rPr>
              <w:t>mopeda</w:t>
            </w:r>
            <w:proofErr w:type="spellEnd"/>
          </w:p>
        </w:tc>
        <w:tc>
          <w:tcPr>
            <w:tcW w:w="901" w:type="dxa"/>
            <w:tcBorders>
              <w:top w:val="nil"/>
              <w:left w:val="nil"/>
              <w:bottom w:val="single" w:sz="8"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8"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8"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8" w:space="0" w:color="auto"/>
              <w:right w:val="single" w:sz="4" w:space="0" w:color="auto"/>
            </w:tcBorders>
            <w:shd w:val="clear" w:color="auto" w:fill="auto"/>
            <w:noWrap/>
            <w:vAlign w:val="bottom"/>
            <w:hideMark/>
          </w:tcPr>
          <w:p w:rsidR="001448FB" w:rsidRPr="002D689C" w:rsidRDefault="001448FB" w:rsidP="00C41AED">
            <w:pPr>
              <w:rPr>
                <w:rFonts w:asciiTheme="minorHAnsi" w:hAnsiTheme="minorHAnsi" w:cstheme="minorHAnsi"/>
                <w:sz w:val="20"/>
                <w:szCs w:val="20"/>
              </w:rPr>
            </w:pPr>
            <w:r w:rsidRPr="002D689C">
              <w:rPr>
                <w:rFonts w:asciiTheme="minorHAnsi" w:hAnsiTheme="minorHAnsi" w:cstheme="minorHAnsi"/>
                <w:sz w:val="20"/>
                <w:szCs w:val="20"/>
              </w:rPr>
              <w:t> </w:t>
            </w:r>
          </w:p>
        </w:tc>
        <w:tc>
          <w:tcPr>
            <w:tcW w:w="901" w:type="dxa"/>
            <w:tcBorders>
              <w:top w:val="nil"/>
              <w:left w:val="nil"/>
              <w:bottom w:val="single" w:sz="8" w:space="0" w:color="auto"/>
              <w:right w:val="single" w:sz="8" w:space="0" w:color="auto"/>
            </w:tcBorders>
            <w:shd w:val="clear" w:color="auto" w:fill="auto"/>
            <w:noWrap/>
            <w:vAlign w:val="bottom"/>
            <w:hideMark/>
          </w:tcPr>
          <w:p w:rsidR="001448FB" w:rsidRPr="002D689C" w:rsidRDefault="001448FB" w:rsidP="00C41AED">
            <w:pPr>
              <w:jc w:val="right"/>
              <w:rPr>
                <w:rFonts w:asciiTheme="minorHAnsi" w:hAnsiTheme="minorHAnsi" w:cstheme="minorHAnsi"/>
                <w:sz w:val="20"/>
                <w:szCs w:val="20"/>
              </w:rPr>
            </w:pPr>
            <w:r w:rsidRPr="002D689C">
              <w:rPr>
                <w:rFonts w:asciiTheme="minorHAnsi" w:hAnsiTheme="minorHAnsi" w:cstheme="minorHAnsi"/>
                <w:sz w:val="20"/>
                <w:szCs w:val="20"/>
              </w:rPr>
              <w:t>2</w:t>
            </w:r>
          </w:p>
        </w:tc>
      </w:tr>
    </w:tbl>
    <w:p w:rsidR="001448FB" w:rsidRDefault="001448FB" w:rsidP="001448FB">
      <w:pPr>
        <w:pStyle w:val="Slikanatpis"/>
        <w:numPr>
          <w:ilvl w:val="0"/>
          <w:numId w:val="0"/>
        </w:numPr>
        <w:jc w:val="left"/>
      </w:pPr>
    </w:p>
    <w:p w:rsidR="001448FB" w:rsidRPr="001448FB" w:rsidRDefault="00CD0F5A" w:rsidP="00340FFE">
      <w:pPr>
        <w:pStyle w:val="Slika"/>
      </w:pPr>
      <w:r w:rsidRPr="00CD0F5A">
        <w:rPr>
          <w:noProof/>
        </w:rPr>
        <w:drawing>
          <wp:inline distT="0" distB="0" distL="0" distR="0" wp14:anchorId="6D19B2DB" wp14:editId="0DEF794B">
            <wp:extent cx="5534025" cy="2314575"/>
            <wp:effectExtent l="19050" t="0" r="9525" b="0"/>
            <wp:docPr id="1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448FB" w:rsidRDefault="00CD0F5A" w:rsidP="00CD0F5A">
      <w:pPr>
        <w:pStyle w:val="Slikanatpis"/>
      </w:pPr>
      <w:r w:rsidRPr="00CD0F5A">
        <w:t>Struktura nastradalih lica</w:t>
      </w:r>
    </w:p>
    <w:p w:rsidR="00CD0F5A" w:rsidRDefault="00CD0F5A" w:rsidP="00CD0F5A">
      <w:pPr>
        <w:pStyle w:val="Tekst"/>
      </w:pPr>
      <w:r>
        <w:t>U ukupnoj strukturi nastradalih lica najviše se pojavljuju vozači sa učešćem od 48%, zatim suvozači sa 20%, putnic</w:t>
      </w:r>
      <w:r w:rsidR="0006093F">
        <w:t>i sa 15% učešća, i na kraju ima</w:t>
      </w:r>
      <w:r>
        <w:t>mo veoma malo učešće motociklista i vozača zaprege, što je i razum</w:t>
      </w:r>
      <w:r w:rsidR="0006093F">
        <w:t>ljivo kada se uzme u obzir broj</w:t>
      </w:r>
      <w:r>
        <w:t xml:space="preserve"> ovih učesnika u saobraćaju.</w:t>
      </w:r>
    </w:p>
    <w:p w:rsidR="00CD0F5A" w:rsidRDefault="00CD0F5A" w:rsidP="00CD0F5A">
      <w:pPr>
        <w:pStyle w:val="Heading3"/>
      </w:pPr>
      <w:proofErr w:type="spellStart"/>
      <w:r w:rsidRPr="00F75A03">
        <w:lastRenderedPageBreak/>
        <w:t>Starosna</w:t>
      </w:r>
      <w:proofErr w:type="spellEnd"/>
      <w:r w:rsidRPr="00F75A03">
        <w:t xml:space="preserve"> </w:t>
      </w:r>
      <w:proofErr w:type="spellStart"/>
      <w:r w:rsidRPr="00F75A03">
        <w:t>struktura</w:t>
      </w:r>
      <w:proofErr w:type="spellEnd"/>
      <w:r w:rsidRPr="00F75A03">
        <w:t xml:space="preserve"> </w:t>
      </w:r>
      <w:proofErr w:type="spellStart"/>
      <w:r w:rsidRPr="00F75A03">
        <w:t>poginulih</w:t>
      </w:r>
      <w:proofErr w:type="spellEnd"/>
      <w:r w:rsidRPr="00F75A03">
        <w:t xml:space="preserve"> </w:t>
      </w:r>
      <w:proofErr w:type="spellStart"/>
      <w:r w:rsidRPr="00F75A03">
        <w:t>lica</w:t>
      </w:r>
      <w:proofErr w:type="spellEnd"/>
      <w:r w:rsidRPr="00F75A03">
        <w:t xml:space="preserve"> u </w:t>
      </w:r>
      <w:proofErr w:type="spellStart"/>
      <w:r w:rsidRPr="00F75A03">
        <w:t>saobraćajnim</w:t>
      </w:r>
      <w:proofErr w:type="spellEnd"/>
      <w:r w:rsidRPr="00F75A03">
        <w:t xml:space="preserve"> </w:t>
      </w:r>
      <w:proofErr w:type="spellStart"/>
      <w:r w:rsidRPr="00F75A03">
        <w:t>nezgodama</w:t>
      </w:r>
      <w:proofErr w:type="spellEnd"/>
      <w:r w:rsidRPr="00F75A03">
        <w:t xml:space="preserve"> </w:t>
      </w:r>
      <w:proofErr w:type="spellStart"/>
      <w:r w:rsidRPr="00F75A03">
        <w:t>po</w:t>
      </w:r>
      <w:proofErr w:type="spellEnd"/>
      <w:r w:rsidRPr="00F75A03">
        <w:t xml:space="preserve"> </w:t>
      </w:r>
      <w:proofErr w:type="spellStart"/>
      <w:r w:rsidRPr="00F75A03">
        <w:t>godinama</w:t>
      </w:r>
      <w:proofErr w:type="spellEnd"/>
    </w:p>
    <w:p w:rsidR="00CD0F5A" w:rsidRDefault="00CD0F5A" w:rsidP="00340FFE">
      <w:pPr>
        <w:pStyle w:val="Slika"/>
      </w:pPr>
      <w:r w:rsidRPr="00CD0F5A">
        <w:rPr>
          <w:noProof/>
        </w:rPr>
        <w:drawing>
          <wp:inline distT="0" distB="0" distL="0" distR="0" wp14:anchorId="370CDDC8" wp14:editId="03A50997">
            <wp:extent cx="4094480" cy="2438400"/>
            <wp:effectExtent l="19050" t="0" r="20320" b="0"/>
            <wp:docPr id="1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D0F5A" w:rsidRPr="005C572C" w:rsidRDefault="00EA0005" w:rsidP="00340FFE">
      <w:pPr>
        <w:pStyle w:val="Slikanatpis"/>
      </w:pPr>
      <w:r>
        <w:t>Starosna struktura poginulih učesnika u saobraćajnim nezgodama</w:t>
      </w:r>
      <w:r w:rsidR="003A7D8A">
        <w:rPr>
          <w:rFonts w:ascii="Calibri" w:hAnsi="Calibri" w:cs="Calibri"/>
        </w:rPr>
        <w:t xml:space="preserve"> (</w:t>
      </w:r>
      <w:r w:rsidR="003A7D8A">
        <w:t>Analitički izvještaji MUP RS)</w:t>
      </w:r>
    </w:p>
    <w:p w:rsidR="005C572C" w:rsidRPr="00340FFE" w:rsidRDefault="005C572C" w:rsidP="00340FFE">
      <w:pPr>
        <w:pStyle w:val="Tekst"/>
        <w:rPr>
          <w:lang w:val="sr-Latn-RS"/>
        </w:rPr>
      </w:pPr>
      <w:r>
        <w:t>Na osnovu Slike 4.</w:t>
      </w:r>
      <w:r w:rsidRPr="00F75A03">
        <w:t xml:space="preserve"> može se vidjeti</w:t>
      </w:r>
      <w:r>
        <w:t xml:space="preserve"> da imamo najviše poginulih učesnika</w:t>
      </w:r>
      <w:r w:rsidRPr="00F75A03">
        <w:t xml:space="preserve"> koja</w:t>
      </w:r>
      <w:r>
        <w:t xml:space="preserve"> su starija od 60 godina ( 4učesnika</w:t>
      </w:r>
      <w:r w:rsidRPr="00F75A03">
        <w:t>), ali sve u prve tri posmatrane godine, što nam govori da su preuzete neke mjere zaštite ove starosne kategorije, zatim slijede starosne kategorije od 50 do 60 i od 40 do 50</w:t>
      </w:r>
      <w:r>
        <w:t xml:space="preserve"> godina (sa po dva poginula učesnika</w:t>
      </w:r>
      <w:r w:rsidRPr="00F75A03">
        <w:t xml:space="preserve"> na pet godina), i u starosnoj kategoriji od 18 do 21, 21 do 30 i 30 do 40 godina,</w:t>
      </w:r>
      <w:r w:rsidR="00340FFE">
        <w:t xml:space="preserve"> </w:t>
      </w:r>
      <w:r w:rsidRPr="00F75A03">
        <w:t>imamo po jedno</w:t>
      </w:r>
      <w:r>
        <w:t>g</w:t>
      </w:r>
      <w:r w:rsidRPr="00F75A03">
        <w:t xml:space="preserve"> poginulo</w:t>
      </w:r>
      <w:r>
        <w:t>g učesnika</w:t>
      </w:r>
      <w:r w:rsidRPr="00F75A03">
        <w:t xml:space="preserve"> u za period od pet godina.</w:t>
      </w:r>
    </w:p>
    <w:p w:rsidR="00EA0005" w:rsidRPr="00EA0005" w:rsidRDefault="00EA0005" w:rsidP="00EA0005">
      <w:pPr>
        <w:pStyle w:val="Heading3"/>
      </w:pPr>
      <w:proofErr w:type="spellStart"/>
      <w:r w:rsidRPr="00EA0005">
        <w:t>Starosna</w:t>
      </w:r>
      <w:proofErr w:type="spellEnd"/>
      <w:r w:rsidRPr="00EA0005">
        <w:t xml:space="preserve"> </w:t>
      </w:r>
      <w:proofErr w:type="spellStart"/>
      <w:r w:rsidRPr="00EA0005">
        <w:t>struktura</w:t>
      </w:r>
      <w:proofErr w:type="spellEnd"/>
      <w:r w:rsidRPr="00EA0005">
        <w:t xml:space="preserve"> </w:t>
      </w:r>
      <w:proofErr w:type="spellStart"/>
      <w:r w:rsidRPr="00EA0005">
        <w:t>teže</w:t>
      </w:r>
      <w:proofErr w:type="spellEnd"/>
      <w:r w:rsidRPr="00EA0005">
        <w:t xml:space="preserve"> </w:t>
      </w:r>
      <w:proofErr w:type="spellStart"/>
      <w:r w:rsidRPr="00EA0005">
        <w:t>povri</w:t>
      </w:r>
      <w:r w:rsidRPr="00EA0005">
        <w:rPr>
          <w:rFonts w:hint="eastAsia"/>
        </w:rPr>
        <w:t>đ</w:t>
      </w:r>
      <w:r w:rsidRPr="00EA0005">
        <w:t>enih</w:t>
      </w:r>
      <w:proofErr w:type="spellEnd"/>
      <w:r w:rsidR="00340FFE">
        <w:t xml:space="preserve"> </w:t>
      </w:r>
      <w:proofErr w:type="spellStart"/>
      <w:r w:rsidRPr="00EA0005">
        <w:t>u</w:t>
      </w:r>
      <w:r w:rsidRPr="00EA0005">
        <w:rPr>
          <w:rFonts w:hint="eastAsia"/>
        </w:rPr>
        <w:t>č</w:t>
      </w:r>
      <w:r w:rsidRPr="00EA0005">
        <w:t>esnika</w:t>
      </w:r>
      <w:proofErr w:type="spellEnd"/>
      <w:r w:rsidRPr="00EA0005">
        <w:t xml:space="preserve"> u </w:t>
      </w:r>
      <w:proofErr w:type="spellStart"/>
      <w:r w:rsidRPr="00EA0005">
        <w:t>saobra</w:t>
      </w:r>
      <w:r w:rsidRPr="00EA0005">
        <w:rPr>
          <w:rFonts w:hint="eastAsia"/>
        </w:rPr>
        <w:t>ć</w:t>
      </w:r>
      <w:r w:rsidRPr="00EA0005">
        <w:t>ajnim</w:t>
      </w:r>
      <w:proofErr w:type="spellEnd"/>
      <w:r w:rsidRPr="00EA0005">
        <w:t xml:space="preserve"> </w:t>
      </w:r>
      <w:proofErr w:type="spellStart"/>
      <w:r w:rsidRPr="00EA0005">
        <w:t>nezgodama</w:t>
      </w:r>
      <w:proofErr w:type="spellEnd"/>
    </w:p>
    <w:p w:rsidR="00EA0005" w:rsidRDefault="00EA0005" w:rsidP="00340FFE">
      <w:pPr>
        <w:pStyle w:val="Slika"/>
      </w:pPr>
      <w:r w:rsidRPr="00EA0005">
        <w:rPr>
          <w:noProof/>
        </w:rPr>
        <w:drawing>
          <wp:inline distT="0" distB="0" distL="0" distR="0" wp14:anchorId="1CD80F13" wp14:editId="27C71782">
            <wp:extent cx="4180205" cy="2781300"/>
            <wp:effectExtent l="19050" t="0" r="10795" b="0"/>
            <wp:docPr id="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A7D8A" w:rsidRPr="00D96423" w:rsidRDefault="00EA0005" w:rsidP="003A7D8A">
      <w:pPr>
        <w:pStyle w:val="Slikanatpis"/>
      </w:pPr>
      <w:r>
        <w:t>Starosna struktura teže povrijeđenih učesnika u saobraćajnim nezgodama</w:t>
      </w:r>
      <w:r w:rsidR="003A7D8A">
        <w:t xml:space="preserve"> (Analitički izvještaji MUP RS)</w:t>
      </w:r>
    </w:p>
    <w:p w:rsidR="005C572C" w:rsidRPr="00340FFE" w:rsidRDefault="005C572C" w:rsidP="00340FFE">
      <w:pPr>
        <w:pStyle w:val="Tekst"/>
        <w:rPr>
          <w:lang w:val="sr-Latn-RS"/>
        </w:rPr>
      </w:pPr>
      <w:r>
        <w:t>Na osnovu Slike 5.</w:t>
      </w:r>
      <w:r w:rsidRPr="00F75A03">
        <w:t xml:space="preserve"> može se vidjeti</w:t>
      </w:r>
      <w:r>
        <w:t xml:space="preserve"> da imamo najviše teže povrijeđenih učesnika koja su u starosnoj kategoriji od 21 do 30 godina ( 11 učesnika</w:t>
      </w:r>
      <w:r w:rsidRPr="00F75A03">
        <w:t xml:space="preserve">), </w:t>
      </w:r>
      <w:r>
        <w:t>zatim slijedi starosna kategorija od 50 do 60 godina ( 8 učesnika), sa po 5 teže povrijđena učesnika izvajaju se tri starosne grupe ( od 11 do 14, od 30 do 40 i</w:t>
      </w:r>
      <w:r w:rsidR="00340FFE">
        <w:t xml:space="preserve"> </w:t>
      </w:r>
      <w:r>
        <w:t>40 do 50 godina). Od 18 do 21 godinu imamo 3 teže povrijeđena učesnika, vidimo da broj teže povrijeđenih učesnika u ovoj starosnoj kategoriji ima trend rasta i to u zadnje dvije posmatrane godine, što inicira uvođenje nekih mijera za smanjenje broja teže povrijeđenih učesnika.</w:t>
      </w:r>
    </w:p>
    <w:p w:rsidR="00EA0005" w:rsidRDefault="00EA0005" w:rsidP="00EA0005">
      <w:pPr>
        <w:pStyle w:val="Heading3"/>
      </w:pPr>
      <w:proofErr w:type="spellStart"/>
      <w:r w:rsidRPr="00EA0005">
        <w:lastRenderedPageBreak/>
        <w:t>Starosna</w:t>
      </w:r>
      <w:proofErr w:type="spellEnd"/>
      <w:r w:rsidRPr="00EA0005">
        <w:t xml:space="preserve"> </w:t>
      </w:r>
      <w:proofErr w:type="spellStart"/>
      <w:r w:rsidRPr="00EA0005">
        <w:t>struktura</w:t>
      </w:r>
      <w:proofErr w:type="spellEnd"/>
      <w:r w:rsidRPr="00EA0005">
        <w:t xml:space="preserve"> </w:t>
      </w:r>
      <w:proofErr w:type="spellStart"/>
      <w:r w:rsidRPr="00EA0005">
        <w:t>lakše</w:t>
      </w:r>
      <w:proofErr w:type="spellEnd"/>
      <w:r w:rsidRPr="00EA0005">
        <w:t xml:space="preserve"> </w:t>
      </w:r>
      <w:proofErr w:type="spellStart"/>
      <w:r w:rsidRPr="00EA0005">
        <w:t>povri</w:t>
      </w:r>
      <w:r w:rsidRPr="00EA0005">
        <w:rPr>
          <w:rFonts w:hint="eastAsia"/>
        </w:rPr>
        <w:t>đ</w:t>
      </w:r>
      <w:r w:rsidRPr="00EA0005">
        <w:t>enih</w:t>
      </w:r>
      <w:proofErr w:type="spellEnd"/>
      <w:r w:rsidR="00340FFE">
        <w:t xml:space="preserve"> </w:t>
      </w:r>
      <w:proofErr w:type="spellStart"/>
      <w:r w:rsidRPr="00EA0005">
        <w:t>u</w:t>
      </w:r>
      <w:r w:rsidRPr="00EA0005">
        <w:rPr>
          <w:rFonts w:hint="eastAsia"/>
        </w:rPr>
        <w:t>č</w:t>
      </w:r>
      <w:r w:rsidRPr="00EA0005">
        <w:t>esnika</w:t>
      </w:r>
      <w:proofErr w:type="spellEnd"/>
      <w:r w:rsidRPr="00EA0005">
        <w:t xml:space="preserve"> u </w:t>
      </w:r>
      <w:proofErr w:type="spellStart"/>
      <w:r w:rsidRPr="00EA0005">
        <w:t>saobra</w:t>
      </w:r>
      <w:r w:rsidRPr="00EA0005">
        <w:rPr>
          <w:rFonts w:hint="eastAsia"/>
        </w:rPr>
        <w:t>ć</w:t>
      </w:r>
      <w:r w:rsidRPr="00EA0005">
        <w:t>ajnim</w:t>
      </w:r>
      <w:proofErr w:type="spellEnd"/>
      <w:r w:rsidRPr="00EA0005">
        <w:t xml:space="preserve"> </w:t>
      </w:r>
      <w:proofErr w:type="spellStart"/>
      <w:r w:rsidRPr="00EA0005">
        <w:t>nezgodama</w:t>
      </w:r>
      <w:proofErr w:type="spellEnd"/>
    </w:p>
    <w:p w:rsidR="00EA0005" w:rsidRDefault="00EA0005" w:rsidP="00340FFE">
      <w:pPr>
        <w:pStyle w:val="Slika"/>
      </w:pPr>
      <w:r w:rsidRPr="00EA0005">
        <w:rPr>
          <w:noProof/>
        </w:rPr>
        <w:drawing>
          <wp:inline distT="0" distB="0" distL="0" distR="0" wp14:anchorId="063D4355" wp14:editId="774CD01E">
            <wp:extent cx="4572000" cy="3086100"/>
            <wp:effectExtent l="19050" t="0" r="1905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A0005" w:rsidRDefault="008E2B95" w:rsidP="00340FFE">
      <w:pPr>
        <w:pStyle w:val="Slikanatpis"/>
      </w:pPr>
      <w:r w:rsidRPr="008E2B95">
        <w:t xml:space="preserve">Starosna struktura lakše </w:t>
      </w:r>
      <w:r w:rsidR="00EA0005" w:rsidRPr="008E2B95">
        <w:t>povrijeđenih učesnika u saobraćajnim nezgodama</w:t>
      </w:r>
      <w:r w:rsidR="003A7D8A">
        <w:t xml:space="preserve"> (Analitički izvještaji MUP RS)</w:t>
      </w:r>
    </w:p>
    <w:p w:rsidR="002D689C" w:rsidRPr="00340FFE" w:rsidRDefault="005C572C" w:rsidP="00340FFE">
      <w:pPr>
        <w:pStyle w:val="Tekst"/>
        <w:rPr>
          <w:lang w:val="sr-Latn-RS"/>
        </w:rPr>
      </w:pPr>
      <w:r>
        <w:t xml:space="preserve">Na osnovu Slike 6. vidimo da najviše lakše povrijeđenih učesnika u saobraćajnim nezgodama pripada starosnoj kategoriji od 21 do 30 godina, a najmanji broj starosnoj kategoriji do 7 godina. </w:t>
      </w:r>
    </w:p>
    <w:p w:rsidR="008E2B95" w:rsidRDefault="008E2B95" w:rsidP="008E2B95">
      <w:pPr>
        <w:pStyle w:val="Heading3"/>
      </w:pPr>
      <w:proofErr w:type="spellStart"/>
      <w:r w:rsidRPr="008E2B95">
        <w:t>Starosna</w:t>
      </w:r>
      <w:proofErr w:type="spellEnd"/>
      <w:r w:rsidRPr="008E2B95">
        <w:t xml:space="preserve"> </w:t>
      </w:r>
      <w:proofErr w:type="spellStart"/>
      <w:r w:rsidRPr="008E2B95">
        <w:t>struktura</w:t>
      </w:r>
      <w:proofErr w:type="spellEnd"/>
      <w:r w:rsidRPr="008E2B95">
        <w:t xml:space="preserve"> </w:t>
      </w:r>
      <w:proofErr w:type="spellStart"/>
      <w:r w:rsidRPr="008E2B95">
        <w:t>voza</w:t>
      </w:r>
      <w:r w:rsidRPr="008E2B95">
        <w:rPr>
          <w:rFonts w:hint="eastAsia"/>
        </w:rPr>
        <w:t>č</w:t>
      </w:r>
      <w:r w:rsidRPr="008E2B95">
        <w:t>a</w:t>
      </w:r>
      <w:proofErr w:type="spellEnd"/>
      <w:r w:rsidRPr="008E2B95">
        <w:t xml:space="preserve"> </w:t>
      </w:r>
      <w:proofErr w:type="spellStart"/>
      <w:r w:rsidRPr="008E2B95">
        <w:t>i</w:t>
      </w:r>
      <w:proofErr w:type="spellEnd"/>
      <w:r w:rsidRPr="008E2B95">
        <w:t xml:space="preserve"> </w:t>
      </w:r>
      <w:proofErr w:type="spellStart"/>
      <w:r w:rsidRPr="008E2B95">
        <w:t>lica</w:t>
      </w:r>
      <w:proofErr w:type="spellEnd"/>
      <w:r w:rsidRPr="008E2B95">
        <w:t xml:space="preserve"> </w:t>
      </w:r>
      <w:proofErr w:type="spellStart"/>
      <w:r w:rsidRPr="008E2B95">
        <w:t>koji</w:t>
      </w:r>
      <w:proofErr w:type="spellEnd"/>
      <w:r w:rsidRPr="008E2B95">
        <w:t xml:space="preserve"> </w:t>
      </w:r>
      <w:proofErr w:type="spellStart"/>
      <w:r w:rsidRPr="008E2B95">
        <w:t>su</w:t>
      </w:r>
      <w:proofErr w:type="spellEnd"/>
      <w:r w:rsidRPr="008E2B95">
        <w:t xml:space="preserve"> </w:t>
      </w:r>
      <w:proofErr w:type="spellStart"/>
      <w:r w:rsidRPr="008E2B95">
        <w:t>prouzrokovali</w:t>
      </w:r>
      <w:proofErr w:type="spellEnd"/>
      <w:r w:rsidRPr="008E2B95">
        <w:t xml:space="preserve"> </w:t>
      </w:r>
      <w:proofErr w:type="spellStart"/>
      <w:r w:rsidRPr="008E2B95">
        <w:t>nastanak</w:t>
      </w:r>
      <w:proofErr w:type="spellEnd"/>
      <w:r w:rsidR="00340FFE">
        <w:t xml:space="preserve"> </w:t>
      </w:r>
      <w:proofErr w:type="spellStart"/>
      <w:r w:rsidRPr="008E2B95">
        <w:t>saobra</w:t>
      </w:r>
      <w:r w:rsidRPr="008E2B95">
        <w:rPr>
          <w:rFonts w:hint="eastAsia"/>
        </w:rPr>
        <w:t>ć</w:t>
      </w:r>
      <w:r w:rsidRPr="008E2B95">
        <w:t>ajne</w:t>
      </w:r>
      <w:proofErr w:type="spellEnd"/>
      <w:r w:rsidRPr="008E2B95">
        <w:t xml:space="preserve"> </w:t>
      </w:r>
      <w:proofErr w:type="spellStart"/>
      <w:r w:rsidRPr="008E2B95">
        <w:t>nezgode</w:t>
      </w:r>
      <w:proofErr w:type="spellEnd"/>
    </w:p>
    <w:p w:rsidR="008E2B95" w:rsidRDefault="008E2B95" w:rsidP="00340FFE">
      <w:pPr>
        <w:pStyle w:val="Slika"/>
      </w:pPr>
      <w:r w:rsidRPr="008E2B95">
        <w:rPr>
          <w:noProof/>
        </w:rPr>
        <w:drawing>
          <wp:inline distT="0" distB="0" distL="0" distR="0" wp14:anchorId="00E1850F" wp14:editId="66BA3C81">
            <wp:extent cx="5580380" cy="2324100"/>
            <wp:effectExtent l="19050" t="0" r="2032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E2B95" w:rsidRDefault="008E2B95" w:rsidP="003A7D8A">
      <w:pPr>
        <w:pStyle w:val="Slikanatpis"/>
      </w:pPr>
      <w:r w:rsidRPr="008E2B95">
        <w:t>Starosna struktura voza</w:t>
      </w:r>
      <w:r w:rsidRPr="008E2B95">
        <w:rPr>
          <w:rFonts w:hint="eastAsia"/>
        </w:rPr>
        <w:t>č</w:t>
      </w:r>
      <w:r w:rsidRPr="008E2B95">
        <w:t>a i lica koji su prouzrokovali nastanak</w:t>
      </w:r>
      <w:r w:rsidR="00340FFE">
        <w:t xml:space="preserve"> </w:t>
      </w:r>
      <w:r w:rsidRPr="008E2B95">
        <w:t>saobra</w:t>
      </w:r>
      <w:r w:rsidRPr="008E2B95">
        <w:rPr>
          <w:rFonts w:hint="eastAsia"/>
        </w:rPr>
        <w:t>ć</w:t>
      </w:r>
      <w:r w:rsidRPr="008E2B95">
        <w:t>ajne nezgode</w:t>
      </w:r>
      <w:r w:rsidR="003A7D8A">
        <w:t xml:space="preserve"> (</w:t>
      </w:r>
      <w:r w:rsidR="003A7D8A" w:rsidRPr="00D96423">
        <w:t>Analitički izvještaji MUP RS</w:t>
      </w:r>
      <w:r w:rsidR="003A7D8A">
        <w:t>)</w:t>
      </w:r>
    </w:p>
    <w:p w:rsidR="005C572C" w:rsidRPr="00073558" w:rsidRDefault="005C572C" w:rsidP="005C572C">
      <w:pPr>
        <w:pStyle w:val="Tekst"/>
      </w:pPr>
      <w:r>
        <w:t>Kada posmatramo starosnu strukturu vozača i lica koji su prouzrokovali saobraćajne nezgode, dolazimo do zaključka da je najrizičnija starosna kategorija preko 60 godina (27% od ukupnog broja nezgoda prouzrokovali su vozači i lica starija od 60 godina), što zahtijeva uvođenje nivih mijera i aktivnosti koje će biti usmjerene na ovu starosnu kategoriju.</w:t>
      </w:r>
    </w:p>
    <w:p w:rsidR="008E2B95" w:rsidRDefault="00CD0F5A" w:rsidP="008E2B95">
      <w:pPr>
        <w:pStyle w:val="Heading2"/>
        <w:rPr>
          <w:szCs w:val="24"/>
        </w:rPr>
      </w:pPr>
      <w:proofErr w:type="spellStart"/>
      <w:r w:rsidRPr="008E2B95">
        <w:rPr>
          <w:szCs w:val="24"/>
        </w:rPr>
        <w:t>Saobraćajne</w:t>
      </w:r>
      <w:proofErr w:type="spellEnd"/>
      <w:r w:rsidRPr="008E2B95">
        <w:rPr>
          <w:szCs w:val="24"/>
        </w:rPr>
        <w:t xml:space="preserve"> </w:t>
      </w:r>
      <w:proofErr w:type="spellStart"/>
      <w:r w:rsidRPr="008E2B95">
        <w:rPr>
          <w:szCs w:val="24"/>
        </w:rPr>
        <w:t>nezgode</w:t>
      </w:r>
      <w:proofErr w:type="spellEnd"/>
      <w:r w:rsidRPr="008E2B95">
        <w:rPr>
          <w:szCs w:val="24"/>
        </w:rPr>
        <w:t xml:space="preserve"> </w:t>
      </w:r>
      <w:proofErr w:type="spellStart"/>
      <w:r w:rsidRPr="008E2B95">
        <w:rPr>
          <w:szCs w:val="24"/>
        </w:rPr>
        <w:t>po</w:t>
      </w:r>
      <w:proofErr w:type="spellEnd"/>
      <w:r w:rsidRPr="008E2B95">
        <w:rPr>
          <w:szCs w:val="24"/>
        </w:rPr>
        <w:t xml:space="preserve"> </w:t>
      </w:r>
      <w:proofErr w:type="spellStart"/>
      <w:r w:rsidRPr="008E2B95">
        <w:rPr>
          <w:szCs w:val="24"/>
        </w:rPr>
        <w:t>kategoriji</w:t>
      </w:r>
      <w:proofErr w:type="spellEnd"/>
      <w:r w:rsidRPr="008E2B95">
        <w:rPr>
          <w:szCs w:val="24"/>
        </w:rPr>
        <w:t xml:space="preserve"> puta</w:t>
      </w:r>
    </w:p>
    <w:p w:rsidR="00895148" w:rsidRPr="00340FFE" w:rsidRDefault="00895148" w:rsidP="00340FFE">
      <w:pPr>
        <w:pStyle w:val="Tekst"/>
        <w:rPr>
          <w:lang w:val="sr-Latn-RS"/>
        </w:rPr>
      </w:pPr>
      <w:r>
        <w:t>Odgovoriti na pitanje: “Gdje se događaju nezgode?”, jedan je od najvažnijih zadataka analize stanja bezbjednosti saobraćaja. Trebalo bi svaku nezgodu što preciznije spustiti na teren (Lipovac, 2008:97).</w:t>
      </w:r>
    </w:p>
    <w:p w:rsidR="00CD0F5A" w:rsidRDefault="002562C6" w:rsidP="00340FFE">
      <w:pPr>
        <w:pStyle w:val="Slika"/>
      </w:pPr>
      <w:r w:rsidRPr="002562C6">
        <w:rPr>
          <w:noProof/>
        </w:rPr>
        <w:lastRenderedPageBreak/>
        <w:drawing>
          <wp:inline distT="0" distB="0" distL="0" distR="0" wp14:anchorId="20B0E199" wp14:editId="3CCB7AD5">
            <wp:extent cx="5353050" cy="2752725"/>
            <wp:effectExtent l="19050" t="0" r="19050" b="0"/>
            <wp:docPr id="15"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D0F5A" w:rsidRPr="005C572C" w:rsidRDefault="00CD0F5A" w:rsidP="003A7D8A">
      <w:pPr>
        <w:pStyle w:val="Slikanatpis"/>
      </w:pPr>
      <w:r w:rsidRPr="00EB2356">
        <w:t>Broj saobraćajnih nezgoda po kategoriji puta</w:t>
      </w:r>
      <w:r>
        <w:t xml:space="preserve"> </w:t>
      </w:r>
      <w:r w:rsidR="003A7D8A">
        <w:rPr>
          <w:rFonts w:ascii="Calibri" w:hAnsi="Calibri" w:cs="Calibri"/>
        </w:rPr>
        <w:t>(</w:t>
      </w:r>
      <w:r w:rsidR="003A7D8A" w:rsidRPr="00D96423">
        <w:t>Analitički izvještaji MUP RS</w:t>
      </w:r>
      <w:r w:rsidR="003A7D8A">
        <w:t>)</w:t>
      </w:r>
    </w:p>
    <w:p w:rsidR="005C572C" w:rsidRPr="00340FFE" w:rsidRDefault="00895148" w:rsidP="00340FFE">
      <w:pPr>
        <w:pStyle w:val="Tekst"/>
        <w:rPr>
          <w:lang w:val="sr-Latn-RS"/>
        </w:rPr>
      </w:pPr>
      <w:r>
        <w:t>Kada je u pitanju prostorna raspodjela saobraćajnih nezgoda, p</w:t>
      </w:r>
      <w:r w:rsidR="005C572C" w:rsidRPr="00895148">
        <w:t xml:space="preserve">osmatrano po godinama najveći broj saobraćajnih nezgoda dogodio se na regionalnim putevima, zatim slijede lokalni putevi, jedino odstupa 2015. godina kada se dogodilo čak 25 nezgoda na magistralnom putu, nakon toga ulice u naselju i nekategorisani putevi, na prelazu puta preko zeljezničke pruge dogodilo se ukupno četiri nezgode. </w:t>
      </w:r>
    </w:p>
    <w:p w:rsidR="00CD0F5A" w:rsidRPr="00CD0F5A" w:rsidRDefault="00CD0F5A" w:rsidP="00CD0F5A">
      <w:pPr>
        <w:pStyle w:val="Heading2"/>
      </w:pPr>
      <w:proofErr w:type="spellStart"/>
      <w:r w:rsidRPr="00B1433B">
        <w:t>Uzroci</w:t>
      </w:r>
      <w:proofErr w:type="spellEnd"/>
      <w:r w:rsidRPr="00B1433B">
        <w:t xml:space="preserve"> </w:t>
      </w:r>
      <w:proofErr w:type="spellStart"/>
      <w:r w:rsidRPr="00B1433B">
        <w:t>saobraćajnih</w:t>
      </w:r>
      <w:proofErr w:type="spellEnd"/>
      <w:r w:rsidRPr="00B1433B">
        <w:t xml:space="preserve"> </w:t>
      </w:r>
      <w:proofErr w:type="spellStart"/>
      <w:r w:rsidRPr="00B1433B">
        <w:t>nezgoda</w:t>
      </w:r>
      <w:proofErr w:type="spellEnd"/>
    </w:p>
    <w:p w:rsidR="00CD0F5A" w:rsidRDefault="00CD0F5A" w:rsidP="00340FFE">
      <w:pPr>
        <w:pStyle w:val="Slika"/>
      </w:pPr>
      <w:r w:rsidRPr="00CD0F5A">
        <w:rPr>
          <w:noProof/>
        </w:rPr>
        <w:drawing>
          <wp:inline distT="0" distB="0" distL="0" distR="0" wp14:anchorId="1EA8E81C" wp14:editId="50DD4639">
            <wp:extent cx="4496435" cy="2066925"/>
            <wp:effectExtent l="19050" t="0" r="18415" b="0"/>
            <wp:docPr id="1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D0F5A" w:rsidRPr="005C572C" w:rsidRDefault="00CD0F5A" w:rsidP="003A7D8A">
      <w:pPr>
        <w:pStyle w:val="Slikanatpis"/>
      </w:pPr>
      <w:r w:rsidRPr="00840514">
        <w:t>Uzroci saobraćajnih nezgoda</w:t>
      </w:r>
      <w:r>
        <w:t xml:space="preserve"> </w:t>
      </w:r>
      <w:r w:rsidR="003A7D8A">
        <w:rPr>
          <w:rFonts w:ascii="Calibri" w:hAnsi="Calibri" w:cs="Calibri"/>
        </w:rPr>
        <w:t>(</w:t>
      </w:r>
      <w:r w:rsidR="003A7D8A" w:rsidRPr="00D96423">
        <w:t>Analitički izvještaji MUP RS</w:t>
      </w:r>
      <w:r w:rsidR="003A7D8A">
        <w:t>)</w:t>
      </w:r>
    </w:p>
    <w:p w:rsidR="005C572C" w:rsidRPr="00340FFE" w:rsidRDefault="005C572C" w:rsidP="00340FFE">
      <w:pPr>
        <w:pStyle w:val="Tekst"/>
        <w:rPr>
          <w:lang w:val="sr-Latn-RS"/>
        </w:rPr>
      </w:pPr>
      <w:r w:rsidRPr="00B1433B">
        <w:t>Analiziraju uzroke saobraćajnih nezgoda u periodu od 2011. do 2015. godine, vidljivo je da je neprilagođena brzina uzočnik čak 45% nezgoda, što je skoro pola od svih ostalih uzročnika, zatim slijede radnje vozilom u saobraćaju sa 20% učešća i nepropisno mimoilaženje sa 16%.</w:t>
      </w:r>
    </w:p>
    <w:p w:rsidR="00CD0F5A" w:rsidRPr="00CD0F5A" w:rsidRDefault="00CD0F5A" w:rsidP="00CD0F5A">
      <w:pPr>
        <w:pStyle w:val="Heading1"/>
        <w:rPr>
          <w:szCs w:val="24"/>
        </w:rPr>
      </w:pPr>
      <w:r w:rsidRPr="00CD0F5A">
        <w:rPr>
          <w:szCs w:val="24"/>
        </w:rPr>
        <w:t>PRIJEDLOG MJERA ZA UNAPREĐENJE STANJA BEZBJEDNOSTI SAOBRAĆA NA PODRUČJU KOJE POKRIVA POLICIJSKA STANICA ČELINAC</w:t>
      </w:r>
    </w:p>
    <w:p w:rsidR="00CD0F5A" w:rsidRPr="00E265A2" w:rsidRDefault="00CD0F5A" w:rsidP="00CD0F5A">
      <w:pPr>
        <w:pStyle w:val="Tekst"/>
      </w:pPr>
      <w:r w:rsidRPr="004E4B54">
        <w:t xml:space="preserve">Za efikasno poduzimanje mjera i aktivnosti koje će dovesti do smanjenja uzroka saobraćanih nezgoda, </w:t>
      </w:r>
      <w:r w:rsidRPr="00E265A2">
        <w:t xml:space="preserve">neophodno je imati pouzdane rezultate analize i provjerena saznanja koja će doprinijeti sigurnijoj sredini za sve korisnike drumskog saobraćaja. Mjere mogu biti vrlo različite, a plan mjera treba biti logičan i da izvire iz suštine konkretne problematike. Imajuci u vidu analizu uzroka saobraćajnih nezgoda na području koje pokriva PS Čelinac, nepohodno je sprovesti niz mjera </w:t>
      </w:r>
      <w:r>
        <w:t>i</w:t>
      </w:r>
      <w:r w:rsidRPr="00E265A2">
        <w:t xml:space="preserve"> aktivnosti koje se ogledaju u sledećem:</w:t>
      </w:r>
    </w:p>
    <w:p w:rsidR="00CD0F5A" w:rsidRPr="00E265A2" w:rsidRDefault="00CD0F5A" w:rsidP="00CD0F5A">
      <w:pPr>
        <w:pStyle w:val="Tekst"/>
      </w:pPr>
      <w:r>
        <w:t>K</w:t>
      </w:r>
      <w:r w:rsidRPr="00E265A2">
        <w:t>ao najvažnije mjere nameću se mjere i aktivnosti vezane za neprilagođenu brzinu kretanja</w:t>
      </w:r>
      <w:r w:rsidR="00073558">
        <w:t xml:space="preserve"> (kod analize uzroka saobraćajnih nezgoda, utvrđeno je da brzina kretanja u 45% slučajeva uzrok saobraćajne nezgode)</w:t>
      </w:r>
      <w:r w:rsidRPr="00E265A2">
        <w:t>:</w:t>
      </w:r>
    </w:p>
    <w:p w:rsidR="00CD0F5A" w:rsidRPr="00E265A2" w:rsidRDefault="00CD0F5A" w:rsidP="0060344E">
      <w:pPr>
        <w:pStyle w:val="Nabrajanje"/>
      </w:pPr>
      <w:r w:rsidRPr="00E265A2">
        <w:lastRenderedPageBreak/>
        <w:t>Pojačana kontrola i sankcionisanje ovih prekršaja od strane nadležnih organa;</w:t>
      </w:r>
    </w:p>
    <w:p w:rsidR="00CD0F5A" w:rsidRPr="00E265A2" w:rsidRDefault="00CD0F5A" w:rsidP="0060344E">
      <w:pPr>
        <w:pStyle w:val="Nabrajanje"/>
      </w:pPr>
      <w:r w:rsidRPr="00E265A2">
        <w:t>Smirivanje saobraćaja u zonama škola i vrtića;</w:t>
      </w:r>
    </w:p>
    <w:p w:rsidR="00CD0F5A" w:rsidRPr="00E265A2" w:rsidRDefault="00CD0F5A" w:rsidP="0060344E">
      <w:pPr>
        <w:pStyle w:val="Nabrajanje"/>
      </w:pPr>
      <w:r w:rsidRPr="00E265A2">
        <w:t>Edukaciju učesnika u saobraćaju o važnosti poštovanja saobraćajnih propisa (ograničenja brzine);</w:t>
      </w:r>
    </w:p>
    <w:p w:rsidR="00CD0F5A" w:rsidRPr="00E265A2" w:rsidRDefault="00CD0F5A" w:rsidP="0060344E">
      <w:pPr>
        <w:pStyle w:val="Nabrajanje"/>
      </w:pPr>
      <w:r w:rsidRPr="00E265A2">
        <w:t xml:space="preserve">Izvršiti rekonstrukciju </w:t>
      </w:r>
      <w:r>
        <w:t>i</w:t>
      </w:r>
      <w:r w:rsidRPr="00E265A2">
        <w:t xml:space="preserve"> modernizaciju pojednih dionica puta;</w:t>
      </w:r>
    </w:p>
    <w:p w:rsidR="00CD0F5A" w:rsidRPr="00E265A2" w:rsidRDefault="00CD0F5A" w:rsidP="0060344E">
      <w:pPr>
        <w:pStyle w:val="Nabrajanje"/>
      </w:pPr>
      <w:r w:rsidRPr="00E265A2">
        <w:t>Saniranje opasnih mijesta na putu;</w:t>
      </w:r>
    </w:p>
    <w:p w:rsidR="00CD0F5A" w:rsidRPr="00E265A2" w:rsidRDefault="00CD0F5A" w:rsidP="0060344E">
      <w:pPr>
        <w:pStyle w:val="Nabrajanje"/>
      </w:pPr>
      <w:r w:rsidRPr="00E265A2">
        <w:t>Povećanje stepena upotrebe sigurnosnog pojasa;</w:t>
      </w:r>
    </w:p>
    <w:p w:rsidR="00CD0F5A" w:rsidRPr="00E265A2" w:rsidRDefault="00CD0F5A" w:rsidP="0060344E">
      <w:pPr>
        <w:pStyle w:val="Nabrajanje"/>
      </w:pPr>
      <w:r w:rsidRPr="00E265A2">
        <w:t xml:space="preserve">Povećanje stepena upotrebe sigurnosnih kaciga za bicikliste </w:t>
      </w:r>
      <w:r>
        <w:t>i</w:t>
      </w:r>
      <w:r w:rsidRPr="00E265A2">
        <w:t xml:space="preserve"> motocikliste;</w:t>
      </w:r>
    </w:p>
    <w:p w:rsidR="00CD0F5A" w:rsidRPr="00CD0F5A" w:rsidRDefault="00CD0F5A" w:rsidP="0060344E">
      <w:pPr>
        <w:pStyle w:val="Nabrajanje"/>
      </w:pPr>
      <w:r w:rsidRPr="00E265A2">
        <w:t>Povećanje nivoa t</w:t>
      </w:r>
      <w:r>
        <w:t>ehničke ispravnosti vozila, i sl.</w:t>
      </w:r>
    </w:p>
    <w:p w:rsidR="00CD0F5A" w:rsidRDefault="008C6412" w:rsidP="00073558">
      <w:pPr>
        <w:pStyle w:val="Heading1"/>
      </w:pPr>
      <w:r>
        <w:t xml:space="preserve">ZAKLJUČna </w:t>
      </w:r>
      <w:r w:rsidRPr="00073558">
        <w:t>razamatranja</w:t>
      </w:r>
    </w:p>
    <w:p w:rsidR="004E0E7D" w:rsidRPr="004E0E7D" w:rsidRDefault="00CD0F5A" w:rsidP="00CD0F5A">
      <w:pPr>
        <w:pStyle w:val="Tekst"/>
      </w:pPr>
      <w:r w:rsidRPr="00E955FC">
        <w:t>Analizom su uočeni osnovni faktori i najčešće okolnosti nastanka saobr</w:t>
      </w:r>
      <w:r>
        <w:t>aćajnih nezgoda, najugroženij</w:t>
      </w:r>
      <w:r w:rsidRPr="00E955FC">
        <w:t>e kategorije učesnika u saobraćaju, propusti koji dovode do stvaranja opasne situacije u saobraćaju, ali i upravljačke mjere kojima se na osnovu analiziranih podataka o</w:t>
      </w:r>
      <w:r>
        <w:t xml:space="preserve"> </w:t>
      </w:r>
      <w:r w:rsidRPr="00E955FC">
        <w:t>stanju bezbjednosti saobraćaja, može uticati na prevenciju saobraćajnih nezgo</w:t>
      </w:r>
      <w:r>
        <w:t>da na području koje pokriva PS Čelinac. U posmatranom periodu od 5</w:t>
      </w:r>
      <w:r w:rsidRPr="00E955FC">
        <w:t xml:space="preserve"> godina</w:t>
      </w:r>
      <w:r>
        <w:t>, koji je bio predmet ovog</w:t>
      </w:r>
      <w:r w:rsidRPr="00E955FC">
        <w:t xml:space="preserve"> rad</w:t>
      </w:r>
      <w:r>
        <w:t>a, na području koje pokriva PS Čelinac dogodile su se ukupno 304 saobraćajne nezgode, u kojima je život izgubilo 10 osoba, 26 osoba su teže povrijeđene a 87</w:t>
      </w:r>
      <w:r w:rsidRPr="00E955FC">
        <w:t xml:space="preserve"> osoba je zadobilo lakše tjelesne povrede</w:t>
      </w:r>
      <w:r>
        <w:t xml:space="preserve">, ostale nezgode njih 181 su bile nezgode sa materijalnom štetom. </w:t>
      </w:r>
      <w:r w:rsidR="004E0E7D">
        <w:t>Tradicionalno, ocjenjivanje bezbjednosti saobraćaja se uglavnom sprovodila na nacionalnom nivou (Eksler, 2010). Imajući u vidu da se osim nacionalnog nivoa postoji i predviđena je odgovornost lokalne zajednice za bezbjednost saobraćaja</w:t>
      </w:r>
      <w:r w:rsidR="009079D2">
        <w:t>, kao i da je svuda u svijetu opšte prihvaćen princip „misli globalno – djeluj lokalno“, javila s potreba poslednjih godina da se razviju alati i tehnike koje će sa jedne strane omogućiti ocjenjivanje sistema bezbjednosi saobraćaja i stanja bezbjednosti saobraćaja na lokalnom nivou, čime bi se omogućilo kasnije unapređenje. Sa druge strane (Eksler, 2010) naglašava da ocjenjivanje bezbjednosti saobraćaja i funkcionisanje sistema bezbjednosti saobraćaja na lokalnom nivou može da obezbijedi sasvim nove poglede i ulazne rezultate za unapređenje bezbjednosti saobraćaja na nacionalnom nivou.</w:t>
      </w:r>
    </w:p>
    <w:p w:rsidR="00CD0F5A" w:rsidRPr="00CD0F5A" w:rsidRDefault="00CD0F5A" w:rsidP="00CD0F5A">
      <w:pPr>
        <w:pStyle w:val="Tekst"/>
      </w:pPr>
      <w:r>
        <w:t>Analizirajući tačne podatke o saobraćajnim nezgodama za period od pet godina, došli smo do saznanja da stanje bezbjednosti nije na zavidnom nivou, smatramo da lokalna zajednica, kao i državni organi trebaju mnogo više pažnje posvetiti ovom problemu, kako bi se stanje bezbjednosti saobraćaja poboljšalo u narednom periodu, što je svakako cilj svih nas.</w:t>
      </w:r>
    </w:p>
    <w:p w:rsidR="00CD0F5A" w:rsidRPr="00D10ED0" w:rsidRDefault="00CD0F5A" w:rsidP="00073558">
      <w:pPr>
        <w:pStyle w:val="Heading1"/>
      </w:pPr>
      <w:r w:rsidRPr="00D10ED0">
        <w:t>LITERATURA</w:t>
      </w:r>
    </w:p>
    <w:p w:rsidR="00CD0F5A" w:rsidRDefault="000C7C3D" w:rsidP="004E0E7D">
      <w:pPr>
        <w:pStyle w:val="Literatura"/>
      </w:pPr>
      <w:r w:rsidRPr="004E0E7D">
        <w:t xml:space="preserve">[1] </w:t>
      </w:r>
      <w:proofErr w:type="spellStart"/>
      <w:r w:rsidR="00CD0F5A" w:rsidRPr="004E0E7D">
        <w:t>Analitički</w:t>
      </w:r>
      <w:proofErr w:type="spellEnd"/>
      <w:r w:rsidR="00CD0F5A" w:rsidRPr="004E0E7D">
        <w:t xml:space="preserve"> </w:t>
      </w:r>
      <w:proofErr w:type="spellStart"/>
      <w:r w:rsidR="00CD0F5A" w:rsidRPr="004E0E7D">
        <w:t>izvještaji</w:t>
      </w:r>
      <w:proofErr w:type="spellEnd"/>
      <w:r w:rsidR="00CD0F5A" w:rsidRPr="004E0E7D">
        <w:t xml:space="preserve"> MUP RS </w:t>
      </w:r>
    </w:p>
    <w:p w:rsidR="004B1116" w:rsidRDefault="004B1116" w:rsidP="004B1116">
      <w:pPr>
        <w:pStyle w:val="Literatura"/>
      </w:pPr>
      <w:r>
        <w:rPr>
          <w:rFonts w:cstheme="minorHAnsi"/>
        </w:rPr>
        <w:t>[</w:t>
      </w:r>
      <w:r>
        <w:t>2</w:t>
      </w:r>
      <w:r>
        <w:rPr>
          <w:rFonts w:cstheme="minorHAnsi"/>
        </w:rPr>
        <w:t xml:space="preserve">] </w:t>
      </w:r>
      <w:proofErr w:type="spellStart"/>
      <w:r w:rsidRPr="004E0E7D">
        <w:t>Eksler</w:t>
      </w:r>
      <w:proofErr w:type="spellEnd"/>
      <w:r w:rsidRPr="004E0E7D">
        <w:t xml:space="preserve">, V. (2010). </w:t>
      </w:r>
      <w:proofErr w:type="gramStart"/>
      <w:r w:rsidRPr="004E0E7D">
        <w:t>measuring</w:t>
      </w:r>
      <w:proofErr w:type="gramEnd"/>
      <w:r w:rsidRPr="004E0E7D">
        <w:t xml:space="preserve"> and understanding road safety performance at local territorial level. Safety Science, 48 (9), 1197-1202.</w:t>
      </w:r>
    </w:p>
    <w:p w:rsidR="00895148" w:rsidRDefault="00895148" w:rsidP="004B1116">
      <w:pPr>
        <w:pStyle w:val="Literatura"/>
      </w:pPr>
      <w:r>
        <w:rPr>
          <w:rFonts w:cstheme="minorHAnsi"/>
        </w:rPr>
        <w:t>[3]</w:t>
      </w:r>
      <w:r w:rsidR="00073558">
        <w:rPr>
          <w:rFonts w:cstheme="minorHAnsi"/>
        </w:rPr>
        <w:t xml:space="preserve"> </w:t>
      </w:r>
      <w:proofErr w:type="spellStart"/>
      <w:r>
        <w:t>Lipovac</w:t>
      </w:r>
      <w:proofErr w:type="spellEnd"/>
      <w:r>
        <w:t xml:space="preserve">, K. (2008). </w:t>
      </w:r>
      <w:proofErr w:type="spellStart"/>
      <w:r>
        <w:t>Bezbednost</w:t>
      </w:r>
      <w:proofErr w:type="spellEnd"/>
      <w:r>
        <w:t xml:space="preserve"> </w:t>
      </w:r>
      <w:proofErr w:type="spellStart"/>
      <w:r>
        <w:t>saobraćaja</w:t>
      </w:r>
      <w:proofErr w:type="spellEnd"/>
      <w:r>
        <w:t xml:space="preserve">, Beograd: </w:t>
      </w:r>
      <w:proofErr w:type="spellStart"/>
      <w:r>
        <w:t>Službeni</w:t>
      </w:r>
      <w:proofErr w:type="spellEnd"/>
      <w:r>
        <w:t xml:space="preserve"> list SFRJ (Beograd: </w:t>
      </w:r>
      <w:proofErr w:type="spellStart"/>
      <w:r>
        <w:t>Grafički</w:t>
      </w:r>
      <w:proofErr w:type="spellEnd"/>
      <w:r>
        <w:t xml:space="preserve"> </w:t>
      </w:r>
      <w:proofErr w:type="spellStart"/>
      <w:r>
        <w:t>centar</w:t>
      </w:r>
      <w:proofErr w:type="spellEnd"/>
      <w:r>
        <w:t>), str. 97-98</w:t>
      </w:r>
    </w:p>
    <w:p w:rsidR="000C7C3D" w:rsidRDefault="000C7C3D" w:rsidP="004E0E7D">
      <w:pPr>
        <w:pStyle w:val="Literatura"/>
      </w:pPr>
      <w:r w:rsidRPr="004E0E7D">
        <w:t>[</w:t>
      </w:r>
      <w:r w:rsidR="00895148">
        <w:t>4</w:t>
      </w:r>
      <w:r w:rsidRPr="004E0E7D">
        <w:t xml:space="preserve">] </w:t>
      </w:r>
      <w:proofErr w:type="spellStart"/>
      <w:r w:rsidRPr="004E0E7D">
        <w:t>Lipovac</w:t>
      </w:r>
      <w:proofErr w:type="spellEnd"/>
      <w:r w:rsidRPr="004E0E7D">
        <w:t xml:space="preserve">, K. </w:t>
      </w:r>
      <w:proofErr w:type="gramStart"/>
      <w:r w:rsidRPr="004E0E7D">
        <w:t>et</w:t>
      </w:r>
      <w:proofErr w:type="gramEnd"/>
      <w:r w:rsidRPr="004E0E7D">
        <w:t xml:space="preserve">. </w:t>
      </w:r>
      <w:proofErr w:type="gramStart"/>
      <w:r w:rsidRPr="004E0E7D">
        <w:t>Al. (2010).</w:t>
      </w:r>
      <w:proofErr w:type="gramEnd"/>
      <w:r w:rsidRPr="004E0E7D">
        <w:t xml:space="preserve"> </w:t>
      </w:r>
      <w:proofErr w:type="gramStart"/>
      <w:r w:rsidRPr="004E0E7D">
        <w:t xml:space="preserve">OBAVEZE JEDINICE LOKALNE SAMOUPRAVE U SPROVOĐENJU ODREDBI </w:t>
      </w:r>
      <w:proofErr w:type="spellStart"/>
      <w:r w:rsidRPr="004E0E7D">
        <w:t>ZoBS</w:t>
      </w:r>
      <w:proofErr w:type="spellEnd"/>
      <w:r w:rsidRPr="004E0E7D">
        <w:t>-a</w:t>
      </w:r>
      <w:r w:rsidR="004E0E7D" w:rsidRPr="004E0E7D">
        <w:t xml:space="preserve">, V </w:t>
      </w:r>
      <w:proofErr w:type="spellStart"/>
      <w:r w:rsidR="004E0E7D" w:rsidRPr="004E0E7D">
        <w:t>stručni</w:t>
      </w:r>
      <w:proofErr w:type="spellEnd"/>
      <w:r w:rsidR="004E0E7D" w:rsidRPr="004E0E7D">
        <w:t xml:space="preserve"> seminar “ULOGA LOKALNE ZAJEDNICE U BEZBEDNOSTI SAOBRAĆAJA”, </w:t>
      </w:r>
      <w:proofErr w:type="spellStart"/>
      <w:r w:rsidR="004E0E7D" w:rsidRPr="004E0E7D">
        <w:t>Kovačica</w:t>
      </w:r>
      <w:proofErr w:type="spellEnd"/>
      <w:r w:rsidR="004E0E7D" w:rsidRPr="004E0E7D">
        <w:t>, 20-22.</w:t>
      </w:r>
      <w:proofErr w:type="gramEnd"/>
      <w:r w:rsidR="004E0E7D" w:rsidRPr="004E0E7D">
        <w:t xml:space="preserve"> </w:t>
      </w:r>
      <w:proofErr w:type="gramStart"/>
      <w:r w:rsidR="004E0E7D" w:rsidRPr="004E0E7D">
        <w:t>Maj 2010.</w:t>
      </w:r>
      <w:proofErr w:type="gramEnd"/>
    </w:p>
    <w:p w:rsidR="0057745F" w:rsidRPr="00340FFE" w:rsidRDefault="004B1116" w:rsidP="00340FFE">
      <w:pPr>
        <w:pStyle w:val="Literatura"/>
      </w:pPr>
      <w:r w:rsidRPr="004E0E7D">
        <w:t>[</w:t>
      </w:r>
      <w:r w:rsidR="00895148">
        <w:t>5</w:t>
      </w:r>
      <w:r w:rsidRPr="004E0E7D">
        <w:t>] Wikipedia.org (https://en.wikipedia.org/wiki/Čelinac</w:t>
      </w:r>
      <w:proofErr w:type="gramStart"/>
      <w:r w:rsidRPr="004E0E7D">
        <w:t>,_</w:t>
      </w:r>
      <w:proofErr w:type="gramEnd"/>
      <w:r w:rsidRPr="004E0E7D">
        <w:t xml:space="preserve">Bosnia_and_Herzegovina) </w:t>
      </w:r>
    </w:p>
    <w:sectPr w:rsidR="0057745F" w:rsidRPr="00340FFE" w:rsidSect="0057745F">
      <w:headerReference w:type="even" r:id="rId19"/>
      <w:headerReference w:type="default" r:id="rId20"/>
      <w:footerReference w:type="even" r:id="rId21"/>
      <w:footerReference w:type="default" r:id="rId22"/>
      <w:headerReference w:type="first" r:id="rId23"/>
      <w:footerReference w:type="first" r:id="rId24"/>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147" w:rsidRDefault="00E90147" w:rsidP="004A4828">
      <w:r>
        <w:separator/>
      </w:r>
    </w:p>
  </w:endnote>
  <w:endnote w:type="continuationSeparator" w:id="0">
    <w:p w:rsidR="00E90147" w:rsidRDefault="00E90147"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Default="009F41CA">
    <w:pPr>
      <w:pStyle w:val="Footer"/>
      <w:rPr>
        <w:sz w:val="16"/>
        <w:szCs w:val="16"/>
      </w:rPr>
    </w:pPr>
  </w:p>
  <w:p w:rsidR="009F41CA" w:rsidRPr="00B17DA9" w:rsidRDefault="00923BA9"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40FFE">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D4333B" w:rsidRDefault="009F41CA" w:rsidP="00DD360D">
    <w:pPr>
      <w:pStyle w:val="Footer"/>
      <w:rPr>
        <w:rFonts w:ascii="Times New Roman" w:hAnsi="Times New Roman"/>
        <w:sz w:val="16"/>
        <w:szCs w:val="16"/>
      </w:rPr>
    </w:pPr>
  </w:p>
  <w:p w:rsidR="009F41CA" w:rsidRPr="00B17DA9" w:rsidRDefault="00923BA9"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40FFE">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B17DA9" w:rsidRDefault="00923BA9"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40FFE">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147" w:rsidRDefault="00E90147" w:rsidP="004A4828">
      <w:r>
        <w:separator/>
      </w:r>
    </w:p>
  </w:footnote>
  <w:footnote w:type="continuationSeparator" w:id="0">
    <w:p w:rsidR="00E90147" w:rsidRDefault="00E90147" w:rsidP="004A4828">
      <w:r>
        <w:continuationSeparator/>
      </w:r>
    </w:p>
  </w:footnote>
  <w:footnote w:id="1">
    <w:p w:rsidR="0057745F" w:rsidRPr="00427143" w:rsidRDefault="0057745F" w:rsidP="0060344E">
      <w:pPr>
        <w:pStyle w:val="Fusnota"/>
      </w:pPr>
      <w:r w:rsidRPr="00427143">
        <w:rPr>
          <w:rStyle w:val="FootnoteReference"/>
          <w:rFonts w:ascii="Times New Roman" w:hAnsi="Times New Roman"/>
        </w:rPr>
        <w:footnoteRef/>
      </w:r>
      <w:r w:rsidR="00340FFE">
        <w:t xml:space="preserve"> </w:t>
      </w:r>
      <w:proofErr w:type="spellStart"/>
      <w:r w:rsidRPr="00427143">
        <w:t>Dragana</w:t>
      </w:r>
      <w:proofErr w:type="spellEnd"/>
      <w:r w:rsidRPr="00427143">
        <w:t xml:space="preserve"> </w:t>
      </w:r>
      <w:proofErr w:type="spellStart"/>
      <w:r w:rsidRPr="00427143">
        <w:t>Savić</w:t>
      </w:r>
      <w:proofErr w:type="spellEnd"/>
      <w:r w:rsidRPr="00427143">
        <w:t xml:space="preserve">, dipl. </w:t>
      </w:r>
      <w:proofErr w:type="spellStart"/>
      <w:r w:rsidRPr="00427143">
        <w:t>inž</w:t>
      </w:r>
      <w:proofErr w:type="spellEnd"/>
      <w:r w:rsidRPr="00427143">
        <w:t xml:space="preserve">. </w:t>
      </w:r>
      <w:proofErr w:type="spellStart"/>
      <w:r w:rsidRPr="00427143">
        <w:t>saobraćaja</w:t>
      </w:r>
      <w:proofErr w:type="spellEnd"/>
      <w:r w:rsidRPr="00427143">
        <w:t xml:space="preserve">, </w:t>
      </w:r>
      <w:proofErr w:type="spellStart"/>
      <w:r w:rsidRPr="00427143">
        <w:t>Saobraćajni</w:t>
      </w:r>
      <w:proofErr w:type="spellEnd"/>
      <w:r w:rsidRPr="00427143">
        <w:t xml:space="preserve"> fakultet Doboj, </w:t>
      </w:r>
      <w:proofErr w:type="spellStart"/>
      <w:r w:rsidRPr="00427143">
        <w:t>BiH</w:t>
      </w:r>
      <w:proofErr w:type="spellEnd"/>
      <w:r w:rsidRPr="00427143">
        <w:t>, e-mail: savicdragana92@hotmail.com</w:t>
      </w:r>
    </w:p>
  </w:footnote>
  <w:footnote w:id="2">
    <w:p w:rsidR="0057745F" w:rsidRPr="00427143" w:rsidRDefault="0057745F" w:rsidP="0060344E">
      <w:pPr>
        <w:pStyle w:val="Fusnota"/>
      </w:pPr>
      <w:r w:rsidRPr="00427143">
        <w:rPr>
          <w:rStyle w:val="FootnoteReference"/>
          <w:rFonts w:ascii="Times New Roman" w:hAnsi="Times New Roman"/>
        </w:rPr>
        <w:footnoteRef/>
      </w:r>
      <w:r w:rsidR="00340FFE">
        <w:t xml:space="preserve"> </w:t>
      </w:r>
      <w:proofErr w:type="spellStart"/>
      <w:r w:rsidRPr="00427143">
        <w:t>Biljana</w:t>
      </w:r>
      <w:proofErr w:type="spellEnd"/>
      <w:r w:rsidRPr="00427143">
        <w:t xml:space="preserve"> </w:t>
      </w:r>
      <w:proofErr w:type="spellStart"/>
      <w:r w:rsidRPr="00427143">
        <w:t>Jovanović</w:t>
      </w:r>
      <w:proofErr w:type="spellEnd"/>
      <w:r w:rsidRPr="00427143">
        <w:t xml:space="preserve">, dipl. </w:t>
      </w:r>
      <w:proofErr w:type="spellStart"/>
      <w:r w:rsidRPr="00427143">
        <w:t>inž</w:t>
      </w:r>
      <w:proofErr w:type="spellEnd"/>
      <w:r w:rsidRPr="00427143">
        <w:t xml:space="preserve">. </w:t>
      </w:r>
      <w:proofErr w:type="spellStart"/>
      <w:r w:rsidRPr="00427143">
        <w:t>saobraćaja</w:t>
      </w:r>
      <w:proofErr w:type="spellEnd"/>
      <w:r w:rsidRPr="00427143">
        <w:t xml:space="preserve">, </w:t>
      </w:r>
      <w:proofErr w:type="spellStart"/>
      <w:r w:rsidRPr="00427143">
        <w:t>Saobraćajni</w:t>
      </w:r>
      <w:proofErr w:type="spellEnd"/>
      <w:r w:rsidRPr="00427143">
        <w:t xml:space="preserve"> fakultet Doboj, </w:t>
      </w:r>
      <w:proofErr w:type="spellStart"/>
      <w:r w:rsidRPr="00427143">
        <w:t>BiH</w:t>
      </w:r>
      <w:proofErr w:type="spellEnd"/>
      <w:r w:rsidRPr="00427143">
        <w:t>, e-mail: dasjovanovic@gmail.com</w:t>
      </w:r>
    </w:p>
  </w:footnote>
  <w:footnote w:id="3">
    <w:p w:rsidR="0057745F" w:rsidRPr="00427143" w:rsidRDefault="0057745F" w:rsidP="0060344E">
      <w:pPr>
        <w:pStyle w:val="Fusnota"/>
      </w:pPr>
      <w:r w:rsidRPr="00427143">
        <w:rPr>
          <w:rStyle w:val="FootnoteReference"/>
          <w:rFonts w:ascii="Times New Roman" w:hAnsi="Times New Roman"/>
        </w:rPr>
        <w:footnoteRef/>
      </w:r>
      <w:r w:rsidRPr="00427143">
        <w:t xml:space="preserve"> </w:t>
      </w:r>
      <w:r w:rsidRPr="00427143">
        <w:rPr>
          <w:iCs/>
        </w:rPr>
        <w:t xml:space="preserve">Miroslav </w:t>
      </w:r>
      <w:proofErr w:type="spellStart"/>
      <w:r w:rsidRPr="00427143">
        <w:rPr>
          <w:iCs/>
        </w:rPr>
        <w:t>Pavlović</w:t>
      </w:r>
      <w:proofErr w:type="spellEnd"/>
      <w:r w:rsidRPr="00427143">
        <w:rPr>
          <w:iCs/>
        </w:rPr>
        <w:t xml:space="preserve">, dipl. </w:t>
      </w:r>
      <w:proofErr w:type="spellStart"/>
      <w:r w:rsidRPr="00427143">
        <w:rPr>
          <w:iCs/>
        </w:rPr>
        <w:t>Inž</w:t>
      </w:r>
      <w:proofErr w:type="spellEnd"/>
      <w:r w:rsidRPr="00427143">
        <w:rPr>
          <w:iCs/>
        </w:rPr>
        <w:t xml:space="preserve">. </w:t>
      </w:r>
      <w:proofErr w:type="spellStart"/>
      <w:r w:rsidRPr="00427143">
        <w:rPr>
          <w:iCs/>
        </w:rPr>
        <w:t>Saobraćaja</w:t>
      </w:r>
      <w:proofErr w:type="spellEnd"/>
      <w:r w:rsidRPr="00427143">
        <w:rPr>
          <w:iCs/>
        </w:rPr>
        <w:t xml:space="preserve">, </w:t>
      </w:r>
      <w:proofErr w:type="spellStart"/>
      <w:r w:rsidRPr="00427143">
        <w:rPr>
          <w:iCs/>
        </w:rPr>
        <w:t>Saobraćajn</w:t>
      </w:r>
      <w:r w:rsidR="00340FFE">
        <w:rPr>
          <w:iCs/>
        </w:rPr>
        <w:t>i</w:t>
      </w:r>
      <w:proofErr w:type="spellEnd"/>
      <w:r w:rsidR="00340FFE">
        <w:rPr>
          <w:iCs/>
        </w:rPr>
        <w:t xml:space="preserve"> Fakultet Doboj, </w:t>
      </w:r>
      <w:proofErr w:type="spellStart"/>
      <w:r w:rsidR="00340FFE">
        <w:rPr>
          <w:iCs/>
        </w:rPr>
        <w:t>BiH</w:t>
      </w:r>
      <w:proofErr w:type="spellEnd"/>
      <w:r w:rsidR="00340FFE">
        <w:rPr>
          <w:iCs/>
        </w:rPr>
        <w:t xml:space="preserve"> , e-mail:</w:t>
      </w:r>
      <w:r w:rsidRPr="00427143">
        <w:rPr>
          <w:iCs/>
        </w:rPr>
        <w:t xml:space="preserve"> pavlovic.m1988@gmail.com</w:t>
      </w:r>
    </w:p>
  </w:footnote>
  <w:footnote w:id="4">
    <w:p w:rsidR="0057745F" w:rsidRPr="009F015D" w:rsidRDefault="0057745F" w:rsidP="0060344E">
      <w:pPr>
        <w:pStyle w:val="Fusnota"/>
      </w:pPr>
      <w:r w:rsidRPr="00427143">
        <w:rPr>
          <w:rStyle w:val="FootnoteReference"/>
          <w:rFonts w:ascii="Times New Roman" w:hAnsi="Times New Roman"/>
        </w:rPr>
        <w:footnoteRef/>
      </w:r>
      <w:r w:rsidRPr="00427143">
        <w:t xml:space="preserve"> </w:t>
      </w:r>
      <w:proofErr w:type="spellStart"/>
      <w:r w:rsidRPr="00427143">
        <w:t>Neđo</w:t>
      </w:r>
      <w:proofErr w:type="spellEnd"/>
      <w:r w:rsidRPr="00427143">
        <w:t xml:space="preserve"> </w:t>
      </w:r>
      <w:proofErr w:type="spellStart"/>
      <w:r w:rsidRPr="00427143">
        <w:t>Savić</w:t>
      </w:r>
      <w:proofErr w:type="spellEnd"/>
      <w:r w:rsidRPr="00427143">
        <w:t xml:space="preserve">, </w:t>
      </w:r>
      <w:proofErr w:type="spellStart"/>
      <w:r w:rsidRPr="00427143">
        <w:t>dipl.inž</w:t>
      </w:r>
      <w:proofErr w:type="spellEnd"/>
      <w:r w:rsidRPr="00427143">
        <w:t xml:space="preserve">. </w:t>
      </w:r>
      <w:proofErr w:type="spellStart"/>
      <w:r w:rsidRPr="00427143">
        <w:t>mašinstva</w:t>
      </w:r>
      <w:proofErr w:type="spellEnd"/>
      <w:r w:rsidRPr="00427143">
        <w:t xml:space="preserve">, </w:t>
      </w:r>
      <w:proofErr w:type="spellStart"/>
      <w:r w:rsidRPr="00427143">
        <w:t>Internacionalni</w:t>
      </w:r>
      <w:proofErr w:type="spellEnd"/>
      <w:r w:rsidRPr="00427143">
        <w:t xml:space="preserve"> </w:t>
      </w:r>
      <w:proofErr w:type="spellStart"/>
      <w:r w:rsidRPr="00427143">
        <w:t>Univerzitet</w:t>
      </w:r>
      <w:proofErr w:type="spellEnd"/>
      <w:r w:rsidRPr="00427143">
        <w:t xml:space="preserve"> </w:t>
      </w:r>
      <w:proofErr w:type="spellStart"/>
      <w:r w:rsidRPr="00427143">
        <w:t>Travnik</w:t>
      </w:r>
      <w:proofErr w:type="spellEnd"/>
      <w:r w:rsidRPr="00427143">
        <w:t xml:space="preserve">, </w:t>
      </w:r>
      <w:proofErr w:type="spellStart"/>
      <w:r w:rsidRPr="00427143">
        <w:t>BiH</w:t>
      </w:r>
      <w:proofErr w:type="spellEnd"/>
      <w:r w:rsidRPr="00427143">
        <w:t>, e-mail: savicnedjo</w:t>
      </w:r>
      <w:r w:rsidRPr="00427143">
        <w:rPr>
          <w:iCs/>
        </w:rPr>
        <w:t>@yahoo.com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09" w:rsidRPr="00441DE8" w:rsidRDefault="00101109" w:rsidP="00101109">
    <w:pPr>
      <w:pStyle w:val="Autori"/>
      <w:rPr>
        <w:rFonts w:cstheme="minorHAnsi"/>
        <w:kern w:val="22"/>
        <w:sz w:val="16"/>
        <w:szCs w:val="16"/>
      </w:rPr>
    </w:pPr>
    <w:r w:rsidRPr="00441DE8">
      <w:rPr>
        <w:rFonts w:cstheme="minorHAnsi"/>
        <w:kern w:val="22"/>
        <w:sz w:val="16"/>
        <w:szCs w:val="16"/>
      </w:rPr>
      <w:t>Dragana Savić, Biljana Jovanović, Miroslav Pavlović</w:t>
    </w:r>
    <w:r w:rsidRPr="00441DE8">
      <w:rPr>
        <w:rFonts w:cstheme="minorHAnsi"/>
        <w:kern w:val="22"/>
        <w:sz w:val="16"/>
        <w:szCs w:val="16"/>
        <w:lang w:val="hr-BA" w:eastAsia="hr-BA"/>
      </w:rPr>
      <w:t>,</w:t>
    </w:r>
    <w:r w:rsidRPr="00441DE8">
      <w:rPr>
        <w:rFonts w:cstheme="minorHAnsi"/>
        <w:kern w:val="22"/>
        <w:sz w:val="16"/>
        <w:szCs w:val="16"/>
      </w:rPr>
      <w:t>Neđo Savić</w:t>
    </w:r>
  </w:p>
  <w:p w:rsidR="009F41CA" w:rsidRPr="00441DE8" w:rsidRDefault="00101109" w:rsidP="00101109">
    <w:pPr>
      <w:pStyle w:val="Autori"/>
      <w:rPr>
        <w:rFonts w:cstheme="minorHAnsi"/>
        <w:kern w:val="22"/>
        <w:sz w:val="16"/>
        <w:szCs w:val="16"/>
      </w:rPr>
    </w:pPr>
    <w:r w:rsidRPr="00441DE8">
      <w:rPr>
        <w:rFonts w:cstheme="minorHAnsi"/>
        <w:sz w:val="16"/>
        <w:szCs w:val="16"/>
      </w:rPr>
      <w:t>ANALIZA BEZBJEDNOSTI SAOBRAĆAJA NA PODRUČJU KOJE POKRIVA POLICIJSKA STANICA ČELINAC</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DE8" w:rsidRPr="00441DE8" w:rsidRDefault="00441DE8" w:rsidP="00441DE8">
    <w:pPr>
      <w:pStyle w:val="Autori"/>
      <w:rPr>
        <w:rFonts w:cstheme="minorHAnsi"/>
        <w:kern w:val="22"/>
        <w:sz w:val="16"/>
        <w:szCs w:val="16"/>
      </w:rPr>
    </w:pPr>
    <w:r w:rsidRPr="00441DE8">
      <w:rPr>
        <w:rFonts w:cstheme="minorHAnsi"/>
        <w:kern w:val="22"/>
        <w:sz w:val="16"/>
        <w:szCs w:val="16"/>
      </w:rPr>
      <w:t xml:space="preserve">Dragana </w:t>
    </w:r>
    <w:r w:rsidRPr="00441DE8">
      <w:rPr>
        <w:rFonts w:cstheme="minorHAnsi"/>
        <w:kern w:val="22"/>
        <w:sz w:val="16"/>
        <w:szCs w:val="16"/>
      </w:rPr>
      <w:t>Savić, Biljana Jovanović, Miroslav Pavlović</w:t>
    </w:r>
    <w:r w:rsidRPr="00441DE8">
      <w:rPr>
        <w:rFonts w:cstheme="minorHAnsi"/>
        <w:kern w:val="22"/>
        <w:sz w:val="16"/>
        <w:szCs w:val="16"/>
        <w:lang w:val="hr-BA" w:eastAsia="hr-BA"/>
      </w:rPr>
      <w:t>,</w:t>
    </w:r>
    <w:r w:rsidRPr="00441DE8">
      <w:rPr>
        <w:rFonts w:cstheme="minorHAnsi"/>
        <w:kern w:val="22"/>
        <w:sz w:val="16"/>
        <w:szCs w:val="16"/>
      </w:rPr>
      <w:t>Neđo Savić</w:t>
    </w:r>
  </w:p>
  <w:p w:rsidR="00441DE8" w:rsidRPr="00441DE8" w:rsidRDefault="00441DE8" w:rsidP="00441DE8">
    <w:pPr>
      <w:pStyle w:val="Autori"/>
      <w:rPr>
        <w:rFonts w:cstheme="minorHAnsi"/>
        <w:kern w:val="22"/>
        <w:sz w:val="16"/>
        <w:szCs w:val="16"/>
      </w:rPr>
    </w:pPr>
    <w:r w:rsidRPr="00441DE8">
      <w:rPr>
        <w:rFonts w:cstheme="minorHAnsi"/>
        <w:sz w:val="16"/>
        <w:szCs w:val="16"/>
      </w:rPr>
      <w:t>ANALIZA BEZBJEDNOSTI SAOBRAĆAJA NA PODRUČJU KOJE POKRIVA POLICIJSKA STANICA ČELINAC</w:t>
    </w:r>
  </w:p>
  <w:p w:rsidR="009F41CA" w:rsidRPr="00441DE8" w:rsidRDefault="009F41CA" w:rsidP="00384E97">
    <w:pPr>
      <w:pStyle w:val="Header"/>
      <w:pBdr>
        <w:bottom w:val="single" w:sz="4" w:space="1" w:color="auto"/>
      </w:pBdr>
      <w:rPr>
        <w:rFonts w:asciiTheme="minorHAnsi" w:hAnsiTheme="minorHAnsi" w:cstheme="minorHAnsi"/>
        <w:sz w:val="16"/>
        <w:szCs w:val="16"/>
      </w:rPr>
    </w:pPr>
  </w:p>
  <w:p w:rsidR="009F41CA" w:rsidRPr="00441DE8" w:rsidRDefault="009F41CA" w:rsidP="00384E97">
    <w:pPr>
      <w:pStyle w:val="Header"/>
      <w:rPr>
        <w:rFonts w:asciiTheme="minorHAnsi" w:hAnsiTheme="minorHAnsi" w:cstheme="minorHAnsi"/>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proofErr w:type="spellStart"/>
          <w:r>
            <w:rPr>
              <w:rFonts w:asciiTheme="minorHAnsi" w:hAnsiTheme="minorHAnsi"/>
              <w:b/>
              <w:bCs/>
              <w:i/>
              <w:iCs/>
              <w:sz w:val="14"/>
              <w:szCs w:val="14"/>
            </w:rPr>
            <w:t>MeđunarodnaKonferencija</w:t>
          </w:r>
          <w:proofErr w:type="spellEnd"/>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w:t>
          </w:r>
          <w:proofErr w:type="spellStart"/>
          <w:r>
            <w:rPr>
              <w:rFonts w:asciiTheme="minorHAnsi" w:hAnsiTheme="minorHAnsi"/>
              <w:b/>
              <w:bCs/>
              <w:i/>
              <w:iCs/>
              <w:sz w:val="14"/>
              <w:szCs w:val="14"/>
            </w:rPr>
            <w:t>Bezb</w:t>
          </w:r>
          <w:proofErr w:type="spellEnd"/>
          <w:r w:rsidRPr="00E80CBE">
            <w:rPr>
              <w:rFonts w:asciiTheme="minorHAnsi" w:hAnsiTheme="minorHAnsi"/>
              <w:b/>
              <w:bCs/>
              <w:i/>
              <w:iCs/>
              <w:sz w:val="14"/>
              <w:szCs w:val="14"/>
              <w:lang w:val="sr-Latn-BA"/>
            </w:rPr>
            <w:t>j</w:t>
          </w:r>
          <w:proofErr w:type="spellStart"/>
          <w:r>
            <w:rPr>
              <w:rFonts w:asciiTheme="minorHAnsi" w:hAnsiTheme="minorHAnsi"/>
              <w:b/>
              <w:bCs/>
              <w:i/>
              <w:iCs/>
              <w:sz w:val="14"/>
              <w:szCs w:val="14"/>
            </w:rPr>
            <w:t>ednostsaobraćajaulokalnojzajednici</w:t>
          </w:r>
          <w:proofErr w:type="spellEnd"/>
          <w:r w:rsidRPr="00E80CBE">
            <w:rPr>
              <w:rFonts w:asciiTheme="minorHAnsi" w:hAnsiTheme="minorHAnsi"/>
              <w:b/>
              <w:bCs/>
              <w:i/>
              <w:iCs/>
              <w:sz w:val="14"/>
              <w:szCs w:val="14"/>
            </w:rPr>
            <w:t>“</w:t>
          </w:r>
          <w:r w:rsidRPr="00E80CBE">
            <w:rPr>
              <w:rFonts w:asciiTheme="minorHAnsi" w:hAnsiTheme="minorHAnsi"/>
              <w:b/>
              <w:bCs/>
              <w:i/>
              <w:iCs/>
              <w:sz w:val="14"/>
              <w:szCs w:val="14"/>
            </w:rPr>
            <w:br/>
          </w:r>
          <w:proofErr w:type="spellStart"/>
          <w:r>
            <w:rPr>
              <w:rFonts w:asciiTheme="minorHAnsi" w:hAnsiTheme="minorHAnsi"/>
              <w:b/>
              <w:bCs/>
              <w:i/>
              <w:iCs/>
              <w:sz w:val="14"/>
              <w:szCs w:val="14"/>
            </w:rPr>
            <w:t>RepublikaSrpska</w:t>
          </w:r>
          <w:proofErr w:type="spellEnd"/>
          <w:r w:rsidRPr="00E80CBE">
            <w:rPr>
              <w:rFonts w:asciiTheme="minorHAnsi" w:hAnsiTheme="minorHAnsi"/>
              <w:b/>
              <w:bCs/>
              <w:i/>
              <w:iCs/>
              <w:sz w:val="14"/>
              <w:szCs w:val="14"/>
            </w:rPr>
            <w:t xml:space="preserve">, </w:t>
          </w:r>
          <w:proofErr w:type="spellStart"/>
          <w:r>
            <w:rPr>
              <w:rFonts w:asciiTheme="minorHAnsi" w:hAnsiTheme="minorHAnsi"/>
              <w:b/>
              <w:bCs/>
              <w:i/>
              <w:iCs/>
              <w:sz w:val="14"/>
              <w:szCs w:val="14"/>
            </w:rPr>
            <w:t>BanjaLuka</w:t>
          </w:r>
          <w:proofErr w:type="spellEnd"/>
          <w:r w:rsidRPr="00E80CBE">
            <w:rPr>
              <w:rFonts w:asciiTheme="minorHAnsi" w:hAnsiTheme="minorHAnsi"/>
              <w:b/>
              <w:bCs/>
              <w:i/>
              <w:iCs/>
              <w:sz w:val="14"/>
              <w:szCs w:val="14"/>
            </w:rPr>
            <w:br/>
            <w:t xml:space="preserve">27 – 28. </w:t>
          </w:r>
          <w:proofErr w:type="spellStart"/>
          <w:proofErr w:type="gramStart"/>
          <w:r>
            <w:rPr>
              <w:rFonts w:asciiTheme="minorHAnsi" w:hAnsiTheme="minorHAnsi"/>
              <w:b/>
              <w:bCs/>
              <w:i/>
              <w:iCs/>
              <w:sz w:val="14"/>
              <w:szCs w:val="14"/>
            </w:rPr>
            <w:t>oktobar</w:t>
          </w:r>
          <w:proofErr w:type="spellEnd"/>
          <w:proofErr w:type="gramEnd"/>
          <w:r w:rsidRPr="00E80CBE">
            <w:rPr>
              <w:rFonts w:asciiTheme="minorHAnsi" w:hAnsiTheme="minorHAnsi"/>
              <w:b/>
              <w:bCs/>
              <w:i/>
              <w:iCs/>
              <w:sz w:val="14"/>
              <w:szCs w:val="14"/>
            </w:rPr>
            <w:t xml:space="preserve"> 2016.</w:t>
          </w:r>
        </w:p>
      </w:tc>
      <w:tc>
        <w:tcPr>
          <w:tcW w:w="2321"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w:t>
          </w:r>
          <w:proofErr w:type="spellStart"/>
          <w:r w:rsidRPr="00E80CBE">
            <w:rPr>
              <w:rFonts w:asciiTheme="minorHAnsi" w:hAnsiTheme="minorHAnsi"/>
              <w:b/>
              <w:bCs/>
              <w:i/>
              <w:iCs/>
              <w:sz w:val="14"/>
              <w:szCs w:val="14"/>
            </w:rPr>
            <w:t>Srpska</w:t>
          </w:r>
          <w:proofErr w:type="spellEnd"/>
          <w:r w:rsidRPr="00E80CBE">
            <w:rPr>
              <w:rFonts w:asciiTheme="minorHAnsi" w:hAnsiTheme="minorHAnsi"/>
              <w:b/>
              <w:bCs/>
              <w:i/>
              <w:iCs/>
              <w:sz w:val="14"/>
              <w:szCs w:val="14"/>
            </w:rPr>
            <w:t xml:space="preserve">, Banja Luka,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F214DFF"/>
    <w:multiLevelType w:val="hybridMultilevel"/>
    <w:tmpl w:val="ED34A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6224FC6"/>
    <w:multiLevelType w:val="hybridMultilevel"/>
    <w:tmpl w:val="077A4444"/>
    <w:lvl w:ilvl="0" w:tplc="5F78EDF4">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7"/>
  </w:num>
  <w:num w:numId="18">
    <w:abstractNumId w:val="14"/>
  </w:num>
  <w:num w:numId="19">
    <w:abstractNumId w:val="16"/>
    <w:lvlOverride w:ilvl="0">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6473A9"/>
    <w:rsid w:val="00007694"/>
    <w:rsid w:val="000079AC"/>
    <w:rsid w:val="0001064F"/>
    <w:rsid w:val="00012F13"/>
    <w:rsid w:val="000210E4"/>
    <w:rsid w:val="00024184"/>
    <w:rsid w:val="00033001"/>
    <w:rsid w:val="00034BEB"/>
    <w:rsid w:val="00035708"/>
    <w:rsid w:val="00041258"/>
    <w:rsid w:val="0004617D"/>
    <w:rsid w:val="00054AA0"/>
    <w:rsid w:val="0006093F"/>
    <w:rsid w:val="000633B9"/>
    <w:rsid w:val="00071FDE"/>
    <w:rsid w:val="00073558"/>
    <w:rsid w:val="000811DF"/>
    <w:rsid w:val="00083C62"/>
    <w:rsid w:val="000845B4"/>
    <w:rsid w:val="00087849"/>
    <w:rsid w:val="000A34DC"/>
    <w:rsid w:val="000A4F6D"/>
    <w:rsid w:val="000A588B"/>
    <w:rsid w:val="000A5FAA"/>
    <w:rsid w:val="000A6C1C"/>
    <w:rsid w:val="000B1008"/>
    <w:rsid w:val="000B5FF2"/>
    <w:rsid w:val="000B721D"/>
    <w:rsid w:val="000B7771"/>
    <w:rsid w:val="000C79E0"/>
    <w:rsid w:val="000C7C3D"/>
    <w:rsid w:val="000D0D42"/>
    <w:rsid w:val="000D46E7"/>
    <w:rsid w:val="000D4F94"/>
    <w:rsid w:val="000E10D5"/>
    <w:rsid w:val="000E23BC"/>
    <w:rsid w:val="000E5198"/>
    <w:rsid w:val="000E6BD0"/>
    <w:rsid w:val="000E7D48"/>
    <w:rsid w:val="000F029A"/>
    <w:rsid w:val="000F10A5"/>
    <w:rsid w:val="00101109"/>
    <w:rsid w:val="00102380"/>
    <w:rsid w:val="001065D5"/>
    <w:rsid w:val="00111B90"/>
    <w:rsid w:val="0012088E"/>
    <w:rsid w:val="00123482"/>
    <w:rsid w:val="00123E5E"/>
    <w:rsid w:val="001334B7"/>
    <w:rsid w:val="00143154"/>
    <w:rsid w:val="001448FB"/>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562C6"/>
    <w:rsid w:val="0026383D"/>
    <w:rsid w:val="00267670"/>
    <w:rsid w:val="00267A3F"/>
    <w:rsid w:val="002722DB"/>
    <w:rsid w:val="00282700"/>
    <w:rsid w:val="00286D14"/>
    <w:rsid w:val="00287482"/>
    <w:rsid w:val="00291E86"/>
    <w:rsid w:val="002A6A56"/>
    <w:rsid w:val="002B34B4"/>
    <w:rsid w:val="002C3DAF"/>
    <w:rsid w:val="002D689C"/>
    <w:rsid w:val="002E66F9"/>
    <w:rsid w:val="00310344"/>
    <w:rsid w:val="00312169"/>
    <w:rsid w:val="00317F6F"/>
    <w:rsid w:val="003222B1"/>
    <w:rsid w:val="00326D1B"/>
    <w:rsid w:val="003315A0"/>
    <w:rsid w:val="0033406E"/>
    <w:rsid w:val="00334075"/>
    <w:rsid w:val="00340FFE"/>
    <w:rsid w:val="00341FBA"/>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A7D8A"/>
    <w:rsid w:val="003B1721"/>
    <w:rsid w:val="003C14A6"/>
    <w:rsid w:val="003C5164"/>
    <w:rsid w:val="003C64E2"/>
    <w:rsid w:val="003D4B50"/>
    <w:rsid w:val="003E406F"/>
    <w:rsid w:val="003E5002"/>
    <w:rsid w:val="003F4031"/>
    <w:rsid w:val="003F6279"/>
    <w:rsid w:val="00400CA2"/>
    <w:rsid w:val="004129D4"/>
    <w:rsid w:val="00414EFC"/>
    <w:rsid w:val="00424585"/>
    <w:rsid w:val="00430992"/>
    <w:rsid w:val="00430BE9"/>
    <w:rsid w:val="00434829"/>
    <w:rsid w:val="004358A7"/>
    <w:rsid w:val="00437F0E"/>
    <w:rsid w:val="00441DE8"/>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1116"/>
    <w:rsid w:val="004B3C75"/>
    <w:rsid w:val="004D6E14"/>
    <w:rsid w:val="004D7C15"/>
    <w:rsid w:val="004E0E7D"/>
    <w:rsid w:val="004E13CC"/>
    <w:rsid w:val="004F36EE"/>
    <w:rsid w:val="004F4AC2"/>
    <w:rsid w:val="004F5EE3"/>
    <w:rsid w:val="004F7327"/>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7745F"/>
    <w:rsid w:val="00591C75"/>
    <w:rsid w:val="0059232D"/>
    <w:rsid w:val="00594EE8"/>
    <w:rsid w:val="005962C9"/>
    <w:rsid w:val="005A6E4A"/>
    <w:rsid w:val="005B5169"/>
    <w:rsid w:val="005B7E45"/>
    <w:rsid w:val="005C572C"/>
    <w:rsid w:val="005C66F0"/>
    <w:rsid w:val="005D0D86"/>
    <w:rsid w:val="005D2D54"/>
    <w:rsid w:val="005E03FF"/>
    <w:rsid w:val="005F3E4C"/>
    <w:rsid w:val="0060344E"/>
    <w:rsid w:val="0060396E"/>
    <w:rsid w:val="006053A6"/>
    <w:rsid w:val="006074ED"/>
    <w:rsid w:val="006128ED"/>
    <w:rsid w:val="00627624"/>
    <w:rsid w:val="00631E7B"/>
    <w:rsid w:val="00643281"/>
    <w:rsid w:val="0064504B"/>
    <w:rsid w:val="0064534C"/>
    <w:rsid w:val="006459FF"/>
    <w:rsid w:val="006473A9"/>
    <w:rsid w:val="006724C6"/>
    <w:rsid w:val="00681414"/>
    <w:rsid w:val="006835A0"/>
    <w:rsid w:val="00685363"/>
    <w:rsid w:val="00691F27"/>
    <w:rsid w:val="006939D3"/>
    <w:rsid w:val="006A4762"/>
    <w:rsid w:val="006A6A1B"/>
    <w:rsid w:val="006A6F35"/>
    <w:rsid w:val="006A782D"/>
    <w:rsid w:val="006B1E43"/>
    <w:rsid w:val="006B764B"/>
    <w:rsid w:val="006B7F98"/>
    <w:rsid w:val="006D4B93"/>
    <w:rsid w:val="006E2C7F"/>
    <w:rsid w:val="006E6361"/>
    <w:rsid w:val="006F023C"/>
    <w:rsid w:val="006F0A57"/>
    <w:rsid w:val="006F3518"/>
    <w:rsid w:val="0070417D"/>
    <w:rsid w:val="00711A0E"/>
    <w:rsid w:val="0071384E"/>
    <w:rsid w:val="007305BC"/>
    <w:rsid w:val="00732624"/>
    <w:rsid w:val="0073689C"/>
    <w:rsid w:val="0073767A"/>
    <w:rsid w:val="00744E87"/>
    <w:rsid w:val="00752470"/>
    <w:rsid w:val="00756130"/>
    <w:rsid w:val="00760198"/>
    <w:rsid w:val="00763149"/>
    <w:rsid w:val="00764916"/>
    <w:rsid w:val="00767DB9"/>
    <w:rsid w:val="00781408"/>
    <w:rsid w:val="007A0F4C"/>
    <w:rsid w:val="007B144F"/>
    <w:rsid w:val="007B423E"/>
    <w:rsid w:val="007C04BC"/>
    <w:rsid w:val="007C5332"/>
    <w:rsid w:val="007F4F50"/>
    <w:rsid w:val="00800531"/>
    <w:rsid w:val="008018BE"/>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95148"/>
    <w:rsid w:val="008A1905"/>
    <w:rsid w:val="008A256F"/>
    <w:rsid w:val="008A4006"/>
    <w:rsid w:val="008B414F"/>
    <w:rsid w:val="008C6065"/>
    <w:rsid w:val="008C6412"/>
    <w:rsid w:val="008D53C6"/>
    <w:rsid w:val="008E02F5"/>
    <w:rsid w:val="008E2B95"/>
    <w:rsid w:val="008E537E"/>
    <w:rsid w:val="008F3C30"/>
    <w:rsid w:val="008F4790"/>
    <w:rsid w:val="009028CB"/>
    <w:rsid w:val="00906AB9"/>
    <w:rsid w:val="009079D2"/>
    <w:rsid w:val="00910D99"/>
    <w:rsid w:val="00922685"/>
    <w:rsid w:val="00923BA9"/>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0ADA"/>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AC7683"/>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1C86"/>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C0927"/>
    <w:rsid w:val="00CD05E5"/>
    <w:rsid w:val="00CD0ABE"/>
    <w:rsid w:val="00CD0F5A"/>
    <w:rsid w:val="00CD4590"/>
    <w:rsid w:val="00CD4D62"/>
    <w:rsid w:val="00CE41BF"/>
    <w:rsid w:val="00D0308C"/>
    <w:rsid w:val="00D03678"/>
    <w:rsid w:val="00D12276"/>
    <w:rsid w:val="00D1288B"/>
    <w:rsid w:val="00D15DC9"/>
    <w:rsid w:val="00D16334"/>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E30C4"/>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2423"/>
    <w:rsid w:val="00E47947"/>
    <w:rsid w:val="00E510D5"/>
    <w:rsid w:val="00E54981"/>
    <w:rsid w:val="00E63676"/>
    <w:rsid w:val="00E66562"/>
    <w:rsid w:val="00E77FDE"/>
    <w:rsid w:val="00E80CBE"/>
    <w:rsid w:val="00E8329A"/>
    <w:rsid w:val="00E90147"/>
    <w:rsid w:val="00E920B5"/>
    <w:rsid w:val="00E93FF5"/>
    <w:rsid w:val="00E956CA"/>
    <w:rsid w:val="00EA0005"/>
    <w:rsid w:val="00EA09D9"/>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imes New Roman"/>
        <w:color w:val="000000"/>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rsid w:val="000B1008"/>
    <w:pPr>
      <w:autoSpaceDE w:val="0"/>
      <w:autoSpaceDN w:val="0"/>
      <w:adjustRightInd w:val="0"/>
    </w:pPr>
    <w:rPr>
      <w:rFonts w:eastAsia="Times New Roman"/>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b/>
      <w:bCs/>
      <w:sz w:val="24"/>
      <w:szCs w:val="22"/>
    </w:rPr>
  </w:style>
  <w:style w:type="paragraph" w:customStyle="1" w:styleId="Autori">
    <w:name w:val="Autori"/>
    <w:basedOn w:val="Default"/>
    <w:link w:val="AutoriChar"/>
    <w:qFormat/>
    <w:rsid w:val="00E80CBE"/>
    <w:pPr>
      <w:jc w:val="center"/>
    </w:pPr>
    <w:rPr>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57745F"/>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74041">
      <w:bodyDiv w:val="1"/>
      <w:marLeft w:val="0"/>
      <w:marRight w:val="0"/>
      <w:marTop w:val="0"/>
      <w:marBottom w:val="0"/>
      <w:divBdr>
        <w:top w:val="none" w:sz="0" w:space="0" w:color="auto"/>
        <w:left w:val="none" w:sz="0" w:space="0" w:color="auto"/>
        <w:bottom w:val="none" w:sz="0" w:space="0" w:color="auto"/>
        <w:right w:val="none" w:sz="0" w:space="0" w:color="auto"/>
      </w:divBdr>
    </w:div>
    <w:div w:id="197201500">
      <w:bodyDiv w:val="1"/>
      <w:marLeft w:val="0"/>
      <w:marRight w:val="0"/>
      <w:marTop w:val="0"/>
      <w:marBottom w:val="0"/>
      <w:divBdr>
        <w:top w:val="none" w:sz="0" w:space="0" w:color="auto"/>
        <w:left w:val="none" w:sz="0" w:space="0" w:color="auto"/>
        <w:bottom w:val="none" w:sz="0" w:space="0" w:color="auto"/>
        <w:right w:val="none" w:sz="0" w:space="0" w:color="auto"/>
      </w:divBdr>
    </w:div>
    <w:div w:id="322052364">
      <w:bodyDiv w:val="1"/>
      <w:marLeft w:val="0"/>
      <w:marRight w:val="0"/>
      <w:marTop w:val="0"/>
      <w:marBottom w:val="0"/>
      <w:divBdr>
        <w:top w:val="none" w:sz="0" w:space="0" w:color="auto"/>
        <w:left w:val="none" w:sz="0" w:space="0" w:color="auto"/>
        <w:bottom w:val="none" w:sz="0" w:space="0" w:color="auto"/>
        <w:right w:val="none" w:sz="0" w:space="0" w:color="auto"/>
      </w:divBdr>
    </w:div>
    <w:div w:id="669329680">
      <w:bodyDiv w:val="1"/>
      <w:marLeft w:val="0"/>
      <w:marRight w:val="0"/>
      <w:marTop w:val="0"/>
      <w:marBottom w:val="0"/>
      <w:divBdr>
        <w:top w:val="none" w:sz="0" w:space="0" w:color="auto"/>
        <w:left w:val="none" w:sz="0" w:space="0" w:color="auto"/>
        <w:bottom w:val="none" w:sz="0" w:space="0" w:color="auto"/>
        <w:right w:val="none" w:sz="0" w:space="0" w:color="auto"/>
      </w:divBdr>
    </w:div>
    <w:div w:id="905260172">
      <w:bodyDiv w:val="1"/>
      <w:marLeft w:val="0"/>
      <w:marRight w:val="0"/>
      <w:marTop w:val="0"/>
      <w:marBottom w:val="0"/>
      <w:divBdr>
        <w:top w:val="none" w:sz="0" w:space="0" w:color="auto"/>
        <w:left w:val="none" w:sz="0" w:space="0" w:color="auto"/>
        <w:bottom w:val="none" w:sz="0" w:space="0" w:color="auto"/>
        <w:right w:val="none" w:sz="0" w:space="0" w:color="auto"/>
      </w:divBdr>
    </w:div>
    <w:div w:id="973757996">
      <w:bodyDiv w:val="1"/>
      <w:marLeft w:val="0"/>
      <w:marRight w:val="0"/>
      <w:marTop w:val="0"/>
      <w:marBottom w:val="0"/>
      <w:divBdr>
        <w:top w:val="none" w:sz="0" w:space="0" w:color="auto"/>
        <w:left w:val="none" w:sz="0" w:space="0" w:color="auto"/>
        <w:bottom w:val="none" w:sz="0" w:space="0" w:color="auto"/>
        <w:right w:val="none" w:sz="0" w:space="0" w:color="auto"/>
      </w:divBdr>
    </w:div>
    <w:div w:id="978654442">
      <w:bodyDiv w:val="1"/>
      <w:marLeft w:val="0"/>
      <w:marRight w:val="0"/>
      <w:marTop w:val="0"/>
      <w:marBottom w:val="0"/>
      <w:divBdr>
        <w:top w:val="none" w:sz="0" w:space="0" w:color="auto"/>
        <w:left w:val="none" w:sz="0" w:space="0" w:color="auto"/>
        <w:bottom w:val="none" w:sz="0" w:space="0" w:color="auto"/>
        <w:right w:val="none" w:sz="0" w:space="0" w:color="auto"/>
      </w:divBdr>
    </w:div>
    <w:div w:id="1125003313">
      <w:bodyDiv w:val="1"/>
      <w:marLeft w:val="0"/>
      <w:marRight w:val="0"/>
      <w:marTop w:val="0"/>
      <w:marBottom w:val="0"/>
      <w:divBdr>
        <w:top w:val="none" w:sz="0" w:space="0" w:color="auto"/>
        <w:left w:val="none" w:sz="0" w:space="0" w:color="auto"/>
        <w:bottom w:val="none" w:sz="0" w:space="0" w:color="auto"/>
        <w:right w:val="none" w:sz="0" w:space="0" w:color="auto"/>
      </w:divBdr>
    </w:div>
    <w:div w:id="1235165975">
      <w:bodyDiv w:val="1"/>
      <w:marLeft w:val="0"/>
      <w:marRight w:val="0"/>
      <w:marTop w:val="0"/>
      <w:marBottom w:val="0"/>
      <w:divBdr>
        <w:top w:val="none" w:sz="0" w:space="0" w:color="auto"/>
        <w:left w:val="none" w:sz="0" w:space="0" w:color="auto"/>
        <w:bottom w:val="none" w:sz="0" w:space="0" w:color="auto"/>
        <w:right w:val="none" w:sz="0" w:space="0" w:color="auto"/>
      </w:divBdr>
    </w:div>
    <w:div w:id="1271627080">
      <w:bodyDiv w:val="1"/>
      <w:marLeft w:val="0"/>
      <w:marRight w:val="0"/>
      <w:marTop w:val="0"/>
      <w:marBottom w:val="0"/>
      <w:divBdr>
        <w:top w:val="none" w:sz="0" w:space="0" w:color="auto"/>
        <w:left w:val="none" w:sz="0" w:space="0" w:color="auto"/>
        <w:bottom w:val="none" w:sz="0" w:space="0" w:color="auto"/>
        <w:right w:val="none" w:sz="0" w:space="0" w:color="auto"/>
      </w:divBdr>
    </w:div>
    <w:div w:id="147818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header" Target="header3.xml"/><Relationship Id="rId10" Type="http://schemas.openxmlformats.org/officeDocument/2006/relationships/chart" Target="charts/chart1.xm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n.wikipedia.org/wiki/&#268;elinac,_Bosnia_and_Herzegovina" TargetMode="External"/><Relationship Id="rId14" Type="http://schemas.openxmlformats.org/officeDocument/2006/relationships/chart" Target="charts/chart5.xm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ragana\Desktop\Analiza%20BS%20na%20podru&#269;ju%20koje%20pokriva%20PS%20&#268;elinac\Tabele,%20analiza%20BS%20na%20podru&#269;ju%20PS%20&#268;elina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sz="1000">
                <a:latin typeface="+mn-lt"/>
              </a:defRPr>
            </a:pPr>
            <a:r>
              <a:rPr lang="en-US" sz="1000">
                <a:latin typeface="+mn-lt"/>
                <a:cs typeface="Times New Roman" pitchFamily="18" charset="0"/>
              </a:rPr>
              <a:t>Ukupan broj saobraćajnih nezgoda </a:t>
            </a:r>
          </a:p>
        </c:rich>
      </c:tx>
      <c:layout>
        <c:manualLayout>
          <c:xMode val="edge"/>
          <c:yMode val="edge"/>
          <c:x val="0.17686067019400353"/>
          <c:y val="4.5528455284552745E-2"/>
        </c:manualLayout>
      </c:layout>
      <c:overlay val="0"/>
    </c:title>
    <c:autoTitleDeleted val="0"/>
    <c:plotArea>
      <c:layout>
        <c:manualLayout>
          <c:layoutTarget val="inner"/>
          <c:xMode val="edge"/>
          <c:yMode val="edge"/>
          <c:x val="0.11805050546692152"/>
          <c:y val="0.17128131710808875"/>
          <c:w val="0.57539117043843047"/>
          <c:h val="0.55090178143814705"/>
        </c:manualLayout>
      </c:layout>
      <c:lineChart>
        <c:grouping val="standard"/>
        <c:varyColors val="0"/>
        <c:ser>
          <c:idx val="0"/>
          <c:order val="0"/>
          <c:tx>
            <c:strRef>
              <c:f>'Tabela 1'!$C$4</c:f>
              <c:strCache>
                <c:ptCount val="1"/>
                <c:pt idx="0">
                  <c:v>Ukupan broj saobraćajnih nezgoda </c:v>
                </c:pt>
              </c:strCache>
            </c:strRef>
          </c:tx>
          <c:marker>
            <c:symbol val="none"/>
          </c:marker>
          <c:cat>
            <c:numRef>
              <c:f>'Tabela 1'!$D$3:$H$3</c:f>
              <c:numCache>
                <c:formatCode>General</c:formatCode>
                <c:ptCount val="5"/>
                <c:pt idx="0">
                  <c:v>2011</c:v>
                </c:pt>
                <c:pt idx="1">
                  <c:v>2012</c:v>
                </c:pt>
                <c:pt idx="2">
                  <c:v>2013</c:v>
                </c:pt>
                <c:pt idx="3">
                  <c:v>2014</c:v>
                </c:pt>
                <c:pt idx="4">
                  <c:v>2015</c:v>
                </c:pt>
              </c:numCache>
            </c:numRef>
          </c:cat>
          <c:val>
            <c:numRef>
              <c:f>'Tabela 1'!$D$4:$H$4</c:f>
              <c:numCache>
                <c:formatCode>General</c:formatCode>
                <c:ptCount val="5"/>
                <c:pt idx="0">
                  <c:v>70</c:v>
                </c:pt>
                <c:pt idx="1">
                  <c:v>55</c:v>
                </c:pt>
                <c:pt idx="2">
                  <c:v>50</c:v>
                </c:pt>
                <c:pt idx="3">
                  <c:v>58</c:v>
                </c:pt>
                <c:pt idx="4">
                  <c:v>71</c:v>
                </c:pt>
              </c:numCache>
            </c:numRef>
          </c:val>
          <c:smooth val="0"/>
        </c:ser>
        <c:dLbls>
          <c:showLegendKey val="0"/>
          <c:showVal val="1"/>
          <c:showCatName val="0"/>
          <c:showSerName val="0"/>
          <c:showPercent val="0"/>
          <c:showBubbleSize val="0"/>
        </c:dLbls>
        <c:marker val="1"/>
        <c:smooth val="0"/>
        <c:axId val="57017472"/>
        <c:axId val="57019008"/>
      </c:lineChart>
      <c:catAx>
        <c:axId val="57017472"/>
        <c:scaling>
          <c:orientation val="minMax"/>
        </c:scaling>
        <c:delete val="0"/>
        <c:axPos val="b"/>
        <c:numFmt formatCode="General" sourceLinked="1"/>
        <c:majorTickMark val="none"/>
        <c:minorTickMark val="none"/>
        <c:tickLblPos val="nextTo"/>
        <c:crossAx val="57019008"/>
        <c:crosses val="autoZero"/>
        <c:auto val="1"/>
        <c:lblAlgn val="ctr"/>
        <c:lblOffset val="100"/>
        <c:noMultiLvlLbl val="0"/>
      </c:catAx>
      <c:valAx>
        <c:axId val="57019008"/>
        <c:scaling>
          <c:orientation val="minMax"/>
        </c:scaling>
        <c:delete val="0"/>
        <c:axPos val="l"/>
        <c:majorGridlines/>
        <c:numFmt formatCode="General" sourceLinked="1"/>
        <c:majorTickMark val="none"/>
        <c:minorTickMark val="none"/>
        <c:tickLblPos val="nextTo"/>
        <c:crossAx val="57017472"/>
        <c:crosses val="autoZero"/>
        <c:crossBetween val="between"/>
      </c:valAx>
    </c:plotArea>
    <c:legend>
      <c:legendPos val="r"/>
      <c:layout>
        <c:manualLayout>
          <c:xMode val="edge"/>
          <c:yMode val="edge"/>
          <c:x val="0.64298582560120165"/>
          <c:y val="0.41819182670110255"/>
          <c:w val="0.33372685440565958"/>
          <c:h val="0.47320357466731761"/>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 </a:t>
            </a:r>
            <a:r>
              <a:rPr lang="en-US" sz="1200">
                <a:latin typeface="Times New Roman" pitchFamily="18" charset="0"/>
                <a:cs typeface="Times New Roman" pitchFamily="18" charset="0"/>
              </a:rPr>
              <a:t>Broj nezgoda sa poginulim licima</a:t>
            </a:r>
          </a:p>
        </c:rich>
      </c:tx>
      <c:layout/>
      <c:overlay val="0"/>
    </c:title>
    <c:autoTitleDeleted val="0"/>
    <c:plotArea>
      <c:layout>
        <c:manualLayout>
          <c:layoutTarget val="inner"/>
          <c:xMode val="edge"/>
          <c:yMode val="edge"/>
          <c:x val="0.10313861257655919"/>
          <c:y val="0.27021248081909982"/>
          <c:w val="0.56352826769925324"/>
          <c:h val="0.49592661337336136"/>
        </c:manualLayout>
      </c:layout>
      <c:lineChart>
        <c:grouping val="standard"/>
        <c:varyColors val="0"/>
        <c:ser>
          <c:idx val="0"/>
          <c:order val="0"/>
          <c:tx>
            <c:strRef>
              <c:f>'Tabela 1'!$J$6</c:f>
              <c:strCache>
                <c:ptCount val="1"/>
                <c:pt idx="0">
                  <c:v> Broj nezgoda sa poginulim licima</c:v>
                </c:pt>
              </c:strCache>
            </c:strRef>
          </c:tx>
          <c:marker>
            <c:symbol val="none"/>
          </c:marker>
          <c:cat>
            <c:strRef>
              <c:f>'Tabela 1'!$K$3:$O$5</c:f>
              <c:strCache>
                <c:ptCount val="5"/>
                <c:pt idx="0">
                  <c:v>2011</c:v>
                </c:pt>
                <c:pt idx="1">
                  <c:v>2012</c:v>
                </c:pt>
                <c:pt idx="2">
                  <c:v>2013</c:v>
                </c:pt>
                <c:pt idx="3">
                  <c:v>2014</c:v>
                </c:pt>
                <c:pt idx="4">
                  <c:v>2015</c:v>
                </c:pt>
              </c:strCache>
            </c:strRef>
          </c:cat>
          <c:val>
            <c:numRef>
              <c:f>'Tabela 1'!$K$6:$O$6</c:f>
              <c:numCache>
                <c:formatCode>General</c:formatCode>
                <c:ptCount val="5"/>
                <c:pt idx="0">
                  <c:v>2</c:v>
                </c:pt>
                <c:pt idx="1">
                  <c:v>2</c:v>
                </c:pt>
                <c:pt idx="2">
                  <c:v>3</c:v>
                </c:pt>
                <c:pt idx="3">
                  <c:v>2</c:v>
                </c:pt>
                <c:pt idx="4">
                  <c:v>1</c:v>
                </c:pt>
              </c:numCache>
            </c:numRef>
          </c:val>
          <c:smooth val="0"/>
        </c:ser>
        <c:dLbls>
          <c:showLegendKey val="0"/>
          <c:showVal val="1"/>
          <c:showCatName val="0"/>
          <c:showSerName val="0"/>
          <c:showPercent val="0"/>
          <c:showBubbleSize val="0"/>
        </c:dLbls>
        <c:marker val="1"/>
        <c:smooth val="0"/>
        <c:axId val="57039872"/>
        <c:axId val="57066240"/>
      </c:lineChart>
      <c:catAx>
        <c:axId val="57039872"/>
        <c:scaling>
          <c:orientation val="minMax"/>
        </c:scaling>
        <c:delete val="0"/>
        <c:axPos val="b"/>
        <c:majorTickMark val="none"/>
        <c:minorTickMark val="none"/>
        <c:tickLblPos val="nextTo"/>
        <c:crossAx val="57066240"/>
        <c:crosses val="autoZero"/>
        <c:auto val="1"/>
        <c:lblAlgn val="ctr"/>
        <c:lblOffset val="100"/>
        <c:noMultiLvlLbl val="0"/>
      </c:catAx>
      <c:valAx>
        <c:axId val="57066240"/>
        <c:scaling>
          <c:orientation val="minMax"/>
        </c:scaling>
        <c:delete val="0"/>
        <c:axPos val="l"/>
        <c:majorGridlines/>
        <c:numFmt formatCode="General" sourceLinked="1"/>
        <c:majorTickMark val="none"/>
        <c:minorTickMark val="none"/>
        <c:tickLblPos val="nextTo"/>
        <c:crossAx val="5703987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cat>
            <c:strRef>
              <c:f>'Tabela 1'!$L$20:$L$30</c:f>
              <c:strCache>
                <c:ptCount val="11"/>
                <c:pt idx="0">
                  <c:v>vozač</c:v>
                </c:pt>
                <c:pt idx="1">
                  <c:v>suvozač</c:v>
                </c:pt>
                <c:pt idx="2">
                  <c:v>putnici</c:v>
                </c:pt>
                <c:pt idx="3">
                  <c:v>pješaci</c:v>
                </c:pt>
                <c:pt idx="4">
                  <c:v>putnici- djeca</c:v>
                </c:pt>
                <c:pt idx="5">
                  <c:v>vozača mopeda </c:v>
                </c:pt>
                <c:pt idx="6">
                  <c:v>pješaka-djece</c:v>
                </c:pt>
                <c:pt idx="7">
                  <c:v>biciklista-djeca</c:v>
                </c:pt>
                <c:pt idx="8">
                  <c:v>motociklisti</c:v>
                </c:pt>
                <c:pt idx="9">
                  <c:v>vozača zaprege</c:v>
                </c:pt>
                <c:pt idx="10">
                  <c:v>ostalo</c:v>
                </c:pt>
              </c:strCache>
            </c:strRef>
          </c:cat>
          <c:val>
            <c:numRef>
              <c:f>'Tabela 1'!$M$20:$M$30</c:f>
              <c:numCache>
                <c:formatCode>General</c:formatCode>
                <c:ptCount val="11"/>
                <c:pt idx="0">
                  <c:v>102</c:v>
                </c:pt>
                <c:pt idx="1">
                  <c:v>43</c:v>
                </c:pt>
                <c:pt idx="2">
                  <c:v>32</c:v>
                </c:pt>
                <c:pt idx="3">
                  <c:v>12</c:v>
                </c:pt>
                <c:pt idx="4">
                  <c:v>10</c:v>
                </c:pt>
                <c:pt idx="5">
                  <c:v>5</c:v>
                </c:pt>
                <c:pt idx="6">
                  <c:v>3</c:v>
                </c:pt>
                <c:pt idx="7">
                  <c:v>3</c:v>
                </c:pt>
                <c:pt idx="8">
                  <c:v>2</c:v>
                </c:pt>
                <c:pt idx="9">
                  <c:v>1</c:v>
                </c:pt>
                <c:pt idx="10">
                  <c:v>1</c:v>
                </c:pt>
              </c:numCache>
            </c:numRef>
          </c:val>
        </c:ser>
        <c:dLbls>
          <c:showLegendKey val="0"/>
          <c:showVal val="0"/>
          <c:showCatName val="0"/>
          <c:showSerName val="0"/>
          <c:showPercent val="1"/>
          <c:showBubbleSize val="0"/>
          <c:showLeaderLines val="0"/>
        </c:dLbls>
      </c:pie3DChart>
    </c:plotArea>
    <c:legend>
      <c:legendPos val="r"/>
      <c:layout/>
      <c:overlay val="0"/>
      <c:txPr>
        <a:bodyPr/>
        <a:lstStyle/>
        <a:p>
          <a:pPr>
            <a:defRPr sz="800"/>
          </a:pPr>
          <a:endParaRPr lang="sr-Latn-R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'Tabela 1'!$K$44</c:f>
              <c:strCache>
                <c:ptCount val="1"/>
                <c:pt idx="0">
                  <c:v>2011</c:v>
                </c:pt>
              </c:strCache>
            </c:strRef>
          </c:tx>
          <c:invertIfNegative val="0"/>
          <c:cat>
            <c:strRef>
              <c:f>'Tabela 1'!$J$45:$J$50</c:f>
              <c:strCache>
                <c:ptCount val="6"/>
                <c:pt idx="0">
                  <c:v>od 18-21 godine</c:v>
                </c:pt>
                <c:pt idx="1">
                  <c:v>od 21-30 godine</c:v>
                </c:pt>
                <c:pt idx="2">
                  <c:v>od 30-40 godina</c:v>
                </c:pt>
                <c:pt idx="3">
                  <c:v>od 40-50 godina</c:v>
                </c:pt>
                <c:pt idx="4">
                  <c:v>od 50-60 godina</c:v>
                </c:pt>
                <c:pt idx="5">
                  <c:v>preko 60 godina</c:v>
                </c:pt>
              </c:strCache>
            </c:strRef>
          </c:cat>
          <c:val>
            <c:numRef>
              <c:f>'Tabela 1'!$K$45:$K$50</c:f>
              <c:numCache>
                <c:formatCode>General</c:formatCode>
                <c:ptCount val="6"/>
                <c:pt idx="1">
                  <c:v>1</c:v>
                </c:pt>
                <c:pt idx="5">
                  <c:v>1</c:v>
                </c:pt>
              </c:numCache>
            </c:numRef>
          </c:val>
        </c:ser>
        <c:ser>
          <c:idx val="1"/>
          <c:order val="1"/>
          <c:tx>
            <c:strRef>
              <c:f>'Tabela 1'!$L$44</c:f>
              <c:strCache>
                <c:ptCount val="1"/>
                <c:pt idx="0">
                  <c:v>2012</c:v>
                </c:pt>
              </c:strCache>
            </c:strRef>
          </c:tx>
          <c:invertIfNegative val="0"/>
          <c:cat>
            <c:strRef>
              <c:f>'Tabela 1'!$J$45:$J$50</c:f>
              <c:strCache>
                <c:ptCount val="6"/>
                <c:pt idx="0">
                  <c:v>od 18-21 godine</c:v>
                </c:pt>
                <c:pt idx="1">
                  <c:v>od 21-30 godine</c:v>
                </c:pt>
                <c:pt idx="2">
                  <c:v>od 30-40 godina</c:v>
                </c:pt>
                <c:pt idx="3">
                  <c:v>od 40-50 godina</c:v>
                </c:pt>
                <c:pt idx="4">
                  <c:v>od 50-60 godina</c:v>
                </c:pt>
                <c:pt idx="5">
                  <c:v>preko 60 godina</c:v>
                </c:pt>
              </c:strCache>
            </c:strRef>
          </c:cat>
          <c:val>
            <c:numRef>
              <c:f>'Tabela 1'!$L$45:$L$50</c:f>
              <c:numCache>
                <c:formatCode>General</c:formatCode>
                <c:ptCount val="6"/>
                <c:pt idx="3">
                  <c:v>1</c:v>
                </c:pt>
                <c:pt idx="5">
                  <c:v>2</c:v>
                </c:pt>
              </c:numCache>
            </c:numRef>
          </c:val>
        </c:ser>
        <c:ser>
          <c:idx val="2"/>
          <c:order val="2"/>
          <c:tx>
            <c:strRef>
              <c:f>'Tabela 1'!$M$44</c:f>
              <c:strCache>
                <c:ptCount val="1"/>
                <c:pt idx="0">
                  <c:v>2013</c:v>
                </c:pt>
              </c:strCache>
            </c:strRef>
          </c:tx>
          <c:invertIfNegative val="0"/>
          <c:cat>
            <c:strRef>
              <c:f>'Tabela 1'!$J$45:$J$50</c:f>
              <c:strCache>
                <c:ptCount val="6"/>
                <c:pt idx="0">
                  <c:v>od 18-21 godine</c:v>
                </c:pt>
                <c:pt idx="1">
                  <c:v>od 21-30 godine</c:v>
                </c:pt>
                <c:pt idx="2">
                  <c:v>od 30-40 godina</c:v>
                </c:pt>
                <c:pt idx="3">
                  <c:v>od 40-50 godina</c:v>
                </c:pt>
                <c:pt idx="4">
                  <c:v>od 50-60 godina</c:v>
                </c:pt>
                <c:pt idx="5">
                  <c:v>preko 60 godina</c:v>
                </c:pt>
              </c:strCache>
            </c:strRef>
          </c:cat>
          <c:val>
            <c:numRef>
              <c:f>'Tabela 1'!$M$45:$M$50</c:f>
              <c:numCache>
                <c:formatCode>General</c:formatCode>
                <c:ptCount val="6"/>
                <c:pt idx="3">
                  <c:v>1</c:v>
                </c:pt>
                <c:pt idx="4">
                  <c:v>1</c:v>
                </c:pt>
                <c:pt idx="5">
                  <c:v>1</c:v>
                </c:pt>
              </c:numCache>
            </c:numRef>
          </c:val>
        </c:ser>
        <c:ser>
          <c:idx val="3"/>
          <c:order val="3"/>
          <c:tx>
            <c:strRef>
              <c:f>'Tabela 1'!$N$44</c:f>
              <c:strCache>
                <c:ptCount val="1"/>
                <c:pt idx="0">
                  <c:v>2014</c:v>
                </c:pt>
              </c:strCache>
            </c:strRef>
          </c:tx>
          <c:invertIfNegative val="0"/>
          <c:cat>
            <c:strRef>
              <c:f>'Tabela 1'!$J$45:$J$50</c:f>
              <c:strCache>
                <c:ptCount val="6"/>
                <c:pt idx="0">
                  <c:v>od 18-21 godine</c:v>
                </c:pt>
                <c:pt idx="1">
                  <c:v>od 21-30 godine</c:v>
                </c:pt>
                <c:pt idx="2">
                  <c:v>od 30-40 godina</c:v>
                </c:pt>
                <c:pt idx="3">
                  <c:v>od 40-50 godina</c:v>
                </c:pt>
                <c:pt idx="4">
                  <c:v>od 50-60 godina</c:v>
                </c:pt>
                <c:pt idx="5">
                  <c:v>preko 60 godina</c:v>
                </c:pt>
              </c:strCache>
            </c:strRef>
          </c:cat>
          <c:val>
            <c:numRef>
              <c:f>'Tabela 1'!$N$45:$N$50</c:f>
              <c:numCache>
                <c:formatCode>General</c:formatCode>
                <c:ptCount val="6"/>
                <c:pt idx="0">
                  <c:v>1</c:v>
                </c:pt>
                <c:pt idx="2">
                  <c:v>1</c:v>
                </c:pt>
              </c:numCache>
            </c:numRef>
          </c:val>
        </c:ser>
        <c:ser>
          <c:idx val="4"/>
          <c:order val="4"/>
          <c:tx>
            <c:strRef>
              <c:f>'Tabela 1'!$O$44</c:f>
              <c:strCache>
                <c:ptCount val="1"/>
                <c:pt idx="0">
                  <c:v>2015</c:v>
                </c:pt>
              </c:strCache>
            </c:strRef>
          </c:tx>
          <c:invertIfNegative val="0"/>
          <c:cat>
            <c:strRef>
              <c:f>'Tabela 1'!$J$45:$J$50</c:f>
              <c:strCache>
                <c:ptCount val="6"/>
                <c:pt idx="0">
                  <c:v>od 18-21 godine</c:v>
                </c:pt>
                <c:pt idx="1">
                  <c:v>od 21-30 godine</c:v>
                </c:pt>
                <c:pt idx="2">
                  <c:v>od 30-40 godina</c:v>
                </c:pt>
                <c:pt idx="3">
                  <c:v>od 40-50 godina</c:v>
                </c:pt>
                <c:pt idx="4">
                  <c:v>od 50-60 godina</c:v>
                </c:pt>
                <c:pt idx="5">
                  <c:v>preko 60 godina</c:v>
                </c:pt>
              </c:strCache>
            </c:strRef>
          </c:cat>
          <c:val>
            <c:numRef>
              <c:f>'Tabela 1'!$O$45:$O$50</c:f>
              <c:numCache>
                <c:formatCode>General</c:formatCode>
                <c:ptCount val="6"/>
                <c:pt idx="4">
                  <c:v>1</c:v>
                </c:pt>
              </c:numCache>
            </c:numRef>
          </c:val>
        </c:ser>
        <c:dLbls>
          <c:showLegendKey val="0"/>
          <c:showVal val="0"/>
          <c:showCatName val="0"/>
          <c:showSerName val="0"/>
          <c:showPercent val="0"/>
          <c:showBubbleSize val="0"/>
        </c:dLbls>
        <c:gapWidth val="150"/>
        <c:axId val="57121024"/>
        <c:axId val="57122816"/>
      </c:barChart>
      <c:catAx>
        <c:axId val="57121024"/>
        <c:scaling>
          <c:orientation val="minMax"/>
        </c:scaling>
        <c:delete val="0"/>
        <c:axPos val="b"/>
        <c:majorTickMark val="none"/>
        <c:minorTickMark val="none"/>
        <c:tickLblPos val="nextTo"/>
        <c:crossAx val="57122816"/>
        <c:crosses val="autoZero"/>
        <c:auto val="1"/>
        <c:lblAlgn val="ctr"/>
        <c:lblOffset val="100"/>
        <c:noMultiLvlLbl val="0"/>
      </c:catAx>
      <c:valAx>
        <c:axId val="57122816"/>
        <c:scaling>
          <c:orientation val="minMax"/>
        </c:scaling>
        <c:delete val="0"/>
        <c:axPos val="l"/>
        <c:majorGridlines/>
        <c:title>
          <c:tx>
            <c:rich>
              <a:bodyPr/>
              <a:lstStyle/>
              <a:p>
                <a:pPr>
                  <a:defRPr/>
                </a:pPr>
                <a:r>
                  <a:rPr lang="sr-Latn-RS"/>
                  <a:t>Broj</a:t>
                </a:r>
                <a:r>
                  <a:rPr lang="sr-Latn-RS" baseline="0"/>
                  <a:t> poginulih učesnika</a:t>
                </a:r>
                <a:endParaRPr lang="en-US"/>
              </a:p>
            </c:rich>
          </c:tx>
          <c:layout/>
          <c:overlay val="0"/>
        </c:title>
        <c:numFmt formatCode="General" sourceLinked="1"/>
        <c:majorTickMark val="none"/>
        <c:minorTickMark val="none"/>
        <c:tickLblPos val="nextTo"/>
        <c:crossAx val="571210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'Tabela 1'!$D$55:$D$56</c:f>
              <c:strCache>
                <c:ptCount val="1"/>
                <c:pt idx="0">
                  <c:v>2011</c:v>
                </c:pt>
              </c:strCache>
            </c:strRef>
          </c:tx>
          <c:invertIfNegative val="0"/>
          <c:cat>
            <c:strRef>
              <c:f>'Tabela 1'!$C$57:$C$63</c:f>
              <c:strCache>
                <c:ptCount val="7"/>
                <c:pt idx="0">
                  <c:v>od 7-14 godina</c:v>
                </c:pt>
                <c:pt idx="1">
                  <c:v>od 14-18 godina</c:v>
                </c:pt>
                <c:pt idx="2">
                  <c:v>od 18-21 godine</c:v>
                </c:pt>
                <c:pt idx="3">
                  <c:v>od 21-30 godine</c:v>
                </c:pt>
                <c:pt idx="4">
                  <c:v>od 30-40 godina</c:v>
                </c:pt>
                <c:pt idx="5">
                  <c:v>od 40-50 godina</c:v>
                </c:pt>
                <c:pt idx="6">
                  <c:v>od 50-60 godina</c:v>
                </c:pt>
              </c:strCache>
            </c:strRef>
          </c:cat>
          <c:val>
            <c:numRef>
              <c:f>'Tabela 1'!$D$57:$D$63</c:f>
              <c:numCache>
                <c:formatCode>General</c:formatCode>
                <c:ptCount val="7"/>
                <c:pt idx="0">
                  <c:v>1</c:v>
                </c:pt>
                <c:pt idx="3">
                  <c:v>3</c:v>
                </c:pt>
                <c:pt idx="4">
                  <c:v>2</c:v>
                </c:pt>
                <c:pt idx="5">
                  <c:v>1</c:v>
                </c:pt>
                <c:pt idx="6">
                  <c:v>2</c:v>
                </c:pt>
              </c:numCache>
            </c:numRef>
          </c:val>
        </c:ser>
        <c:ser>
          <c:idx val="1"/>
          <c:order val="1"/>
          <c:tx>
            <c:strRef>
              <c:f>'Tabela 1'!$E$55:$E$56</c:f>
              <c:strCache>
                <c:ptCount val="1"/>
                <c:pt idx="0">
                  <c:v>2012</c:v>
                </c:pt>
              </c:strCache>
            </c:strRef>
          </c:tx>
          <c:invertIfNegative val="0"/>
          <c:cat>
            <c:strRef>
              <c:f>'Tabela 1'!$C$57:$C$63</c:f>
              <c:strCache>
                <c:ptCount val="7"/>
                <c:pt idx="0">
                  <c:v>od 7-14 godina</c:v>
                </c:pt>
                <c:pt idx="1">
                  <c:v>od 14-18 godina</c:v>
                </c:pt>
                <c:pt idx="2">
                  <c:v>od 18-21 godine</c:v>
                </c:pt>
                <c:pt idx="3">
                  <c:v>od 21-30 godine</c:v>
                </c:pt>
                <c:pt idx="4">
                  <c:v>od 30-40 godina</c:v>
                </c:pt>
                <c:pt idx="5">
                  <c:v>od 40-50 godina</c:v>
                </c:pt>
                <c:pt idx="6">
                  <c:v>od 50-60 godina</c:v>
                </c:pt>
              </c:strCache>
            </c:strRef>
          </c:cat>
          <c:val>
            <c:numRef>
              <c:f>'Tabela 1'!$E$57:$E$63</c:f>
              <c:numCache>
                <c:formatCode>General</c:formatCode>
                <c:ptCount val="7"/>
                <c:pt idx="0">
                  <c:v>1</c:v>
                </c:pt>
                <c:pt idx="1">
                  <c:v>1</c:v>
                </c:pt>
                <c:pt idx="3">
                  <c:v>3</c:v>
                </c:pt>
                <c:pt idx="4">
                  <c:v>2</c:v>
                </c:pt>
              </c:numCache>
            </c:numRef>
          </c:val>
        </c:ser>
        <c:ser>
          <c:idx val="2"/>
          <c:order val="2"/>
          <c:tx>
            <c:strRef>
              <c:f>'Tabela 1'!$F$55:$F$56</c:f>
              <c:strCache>
                <c:ptCount val="1"/>
                <c:pt idx="0">
                  <c:v>2013</c:v>
                </c:pt>
              </c:strCache>
            </c:strRef>
          </c:tx>
          <c:invertIfNegative val="0"/>
          <c:cat>
            <c:strRef>
              <c:f>'Tabela 1'!$C$57:$C$63</c:f>
              <c:strCache>
                <c:ptCount val="7"/>
                <c:pt idx="0">
                  <c:v>od 7-14 godina</c:v>
                </c:pt>
                <c:pt idx="1">
                  <c:v>od 14-18 godina</c:v>
                </c:pt>
                <c:pt idx="2">
                  <c:v>od 18-21 godine</c:v>
                </c:pt>
                <c:pt idx="3">
                  <c:v>od 21-30 godine</c:v>
                </c:pt>
                <c:pt idx="4">
                  <c:v>od 30-40 godina</c:v>
                </c:pt>
                <c:pt idx="5">
                  <c:v>od 40-50 godina</c:v>
                </c:pt>
                <c:pt idx="6">
                  <c:v>od 50-60 godina</c:v>
                </c:pt>
              </c:strCache>
            </c:strRef>
          </c:cat>
          <c:val>
            <c:numRef>
              <c:f>'Tabela 1'!$F$57:$F$63</c:f>
              <c:numCache>
                <c:formatCode>General</c:formatCode>
                <c:ptCount val="7"/>
                <c:pt idx="5">
                  <c:v>1</c:v>
                </c:pt>
                <c:pt idx="6">
                  <c:v>3</c:v>
                </c:pt>
              </c:numCache>
            </c:numRef>
          </c:val>
        </c:ser>
        <c:ser>
          <c:idx val="3"/>
          <c:order val="3"/>
          <c:tx>
            <c:strRef>
              <c:f>'Tabela 1'!$G$55:$G$56</c:f>
              <c:strCache>
                <c:ptCount val="1"/>
                <c:pt idx="0">
                  <c:v>2014</c:v>
                </c:pt>
              </c:strCache>
            </c:strRef>
          </c:tx>
          <c:invertIfNegative val="0"/>
          <c:cat>
            <c:strRef>
              <c:f>'Tabela 1'!$C$57:$C$63</c:f>
              <c:strCache>
                <c:ptCount val="7"/>
                <c:pt idx="0">
                  <c:v>od 7-14 godina</c:v>
                </c:pt>
                <c:pt idx="1">
                  <c:v>od 14-18 godina</c:v>
                </c:pt>
                <c:pt idx="2">
                  <c:v>od 18-21 godine</c:v>
                </c:pt>
                <c:pt idx="3">
                  <c:v>od 21-30 godine</c:v>
                </c:pt>
                <c:pt idx="4">
                  <c:v>od 30-40 godina</c:v>
                </c:pt>
                <c:pt idx="5">
                  <c:v>od 40-50 godina</c:v>
                </c:pt>
                <c:pt idx="6">
                  <c:v>od 50-60 godina</c:v>
                </c:pt>
              </c:strCache>
            </c:strRef>
          </c:cat>
          <c:val>
            <c:numRef>
              <c:f>'Tabela 1'!$G$57:$G$63</c:f>
              <c:numCache>
                <c:formatCode>General</c:formatCode>
                <c:ptCount val="7"/>
                <c:pt idx="0">
                  <c:v>2</c:v>
                </c:pt>
                <c:pt idx="2">
                  <c:v>1</c:v>
                </c:pt>
                <c:pt idx="3">
                  <c:v>2</c:v>
                </c:pt>
                <c:pt idx="4">
                  <c:v>1</c:v>
                </c:pt>
                <c:pt idx="5">
                  <c:v>1</c:v>
                </c:pt>
                <c:pt idx="6">
                  <c:v>1</c:v>
                </c:pt>
              </c:numCache>
            </c:numRef>
          </c:val>
        </c:ser>
        <c:ser>
          <c:idx val="4"/>
          <c:order val="4"/>
          <c:tx>
            <c:strRef>
              <c:f>'Tabela 1'!$H$55:$H$56</c:f>
              <c:strCache>
                <c:ptCount val="1"/>
                <c:pt idx="0">
                  <c:v>2015</c:v>
                </c:pt>
              </c:strCache>
            </c:strRef>
          </c:tx>
          <c:invertIfNegative val="0"/>
          <c:cat>
            <c:strRef>
              <c:f>'Tabela 1'!$C$57:$C$63</c:f>
              <c:strCache>
                <c:ptCount val="7"/>
                <c:pt idx="0">
                  <c:v>od 7-14 godina</c:v>
                </c:pt>
                <c:pt idx="1">
                  <c:v>od 14-18 godina</c:v>
                </c:pt>
                <c:pt idx="2">
                  <c:v>od 18-21 godine</c:v>
                </c:pt>
                <c:pt idx="3">
                  <c:v>od 21-30 godine</c:v>
                </c:pt>
                <c:pt idx="4">
                  <c:v>od 30-40 godina</c:v>
                </c:pt>
                <c:pt idx="5">
                  <c:v>od 40-50 godina</c:v>
                </c:pt>
                <c:pt idx="6">
                  <c:v>od 50-60 godina</c:v>
                </c:pt>
              </c:strCache>
            </c:strRef>
          </c:cat>
          <c:val>
            <c:numRef>
              <c:f>'Tabela 1'!$H$57:$H$63</c:f>
              <c:numCache>
                <c:formatCode>General</c:formatCode>
                <c:ptCount val="7"/>
                <c:pt idx="0">
                  <c:v>1</c:v>
                </c:pt>
                <c:pt idx="2">
                  <c:v>2</c:v>
                </c:pt>
                <c:pt idx="3">
                  <c:v>3</c:v>
                </c:pt>
                <c:pt idx="5">
                  <c:v>2</c:v>
                </c:pt>
                <c:pt idx="6">
                  <c:v>2</c:v>
                </c:pt>
              </c:numCache>
            </c:numRef>
          </c:val>
        </c:ser>
        <c:dLbls>
          <c:showLegendKey val="0"/>
          <c:showVal val="0"/>
          <c:showCatName val="0"/>
          <c:showSerName val="0"/>
          <c:showPercent val="0"/>
          <c:showBubbleSize val="0"/>
        </c:dLbls>
        <c:gapWidth val="150"/>
        <c:axId val="118837632"/>
        <c:axId val="118839168"/>
      </c:barChart>
      <c:catAx>
        <c:axId val="118837632"/>
        <c:scaling>
          <c:orientation val="minMax"/>
        </c:scaling>
        <c:delete val="0"/>
        <c:axPos val="b"/>
        <c:majorTickMark val="none"/>
        <c:minorTickMark val="none"/>
        <c:tickLblPos val="nextTo"/>
        <c:crossAx val="118839168"/>
        <c:crosses val="autoZero"/>
        <c:auto val="1"/>
        <c:lblAlgn val="ctr"/>
        <c:lblOffset val="100"/>
        <c:noMultiLvlLbl val="0"/>
      </c:catAx>
      <c:valAx>
        <c:axId val="118839168"/>
        <c:scaling>
          <c:orientation val="minMax"/>
        </c:scaling>
        <c:delete val="0"/>
        <c:axPos val="l"/>
        <c:majorGridlines/>
        <c:title>
          <c:tx>
            <c:rich>
              <a:bodyPr/>
              <a:lstStyle/>
              <a:p>
                <a:pPr>
                  <a:defRPr b="1"/>
                </a:pPr>
                <a:r>
                  <a:rPr lang="sr-Latn-RS" b="1"/>
                  <a:t>Broj</a:t>
                </a:r>
                <a:r>
                  <a:rPr lang="sr-Latn-RS" b="1" baseline="0"/>
                  <a:t> teže povrijeđenih učesnika</a:t>
                </a:r>
                <a:endParaRPr lang="en-US" b="1"/>
              </a:p>
            </c:rich>
          </c:tx>
          <c:layout/>
          <c:overlay val="0"/>
        </c:title>
        <c:numFmt formatCode="General" sourceLinked="1"/>
        <c:majorTickMark val="none"/>
        <c:minorTickMark val="none"/>
        <c:tickLblPos val="nextTo"/>
        <c:crossAx val="11883763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'Tabela 1'!$D$67</c:f>
              <c:strCache>
                <c:ptCount val="1"/>
                <c:pt idx="0">
                  <c:v>2011</c:v>
                </c:pt>
              </c:strCache>
            </c:strRef>
          </c:tx>
          <c:invertIfNegative val="0"/>
          <c:cat>
            <c:strRef>
              <c:f>'Tabela 1'!$C$68:$C$76</c:f>
              <c:strCache>
                <c:ptCount val="9"/>
                <c:pt idx="0">
                  <c:v>do 7 godine</c:v>
                </c:pt>
                <c:pt idx="1">
                  <c:v>od 7-14 godina</c:v>
                </c:pt>
                <c:pt idx="2">
                  <c:v>od 14-18 godina</c:v>
                </c:pt>
                <c:pt idx="3">
                  <c:v>od 18-21 godine</c:v>
                </c:pt>
                <c:pt idx="4">
                  <c:v>od 21-30 godine</c:v>
                </c:pt>
                <c:pt idx="5">
                  <c:v>od 30-40 godina</c:v>
                </c:pt>
                <c:pt idx="6">
                  <c:v>od 40-50 godina</c:v>
                </c:pt>
                <c:pt idx="7">
                  <c:v>od 50-60 godina</c:v>
                </c:pt>
                <c:pt idx="8">
                  <c:v>preko 60 godina</c:v>
                </c:pt>
              </c:strCache>
            </c:strRef>
          </c:cat>
          <c:val>
            <c:numRef>
              <c:f>'Tabela 1'!$D$68:$D$76</c:f>
              <c:numCache>
                <c:formatCode>General</c:formatCode>
                <c:ptCount val="9"/>
                <c:pt idx="1">
                  <c:v>2</c:v>
                </c:pt>
                <c:pt idx="2">
                  <c:v>3</c:v>
                </c:pt>
                <c:pt idx="3">
                  <c:v>4</c:v>
                </c:pt>
                <c:pt idx="4">
                  <c:v>7</c:v>
                </c:pt>
                <c:pt idx="5">
                  <c:v>3</c:v>
                </c:pt>
                <c:pt idx="6">
                  <c:v>2</c:v>
                </c:pt>
                <c:pt idx="7">
                  <c:v>6</c:v>
                </c:pt>
                <c:pt idx="8">
                  <c:v>3</c:v>
                </c:pt>
              </c:numCache>
            </c:numRef>
          </c:val>
        </c:ser>
        <c:ser>
          <c:idx val="1"/>
          <c:order val="1"/>
          <c:tx>
            <c:strRef>
              <c:f>'Tabela 1'!$E$67</c:f>
              <c:strCache>
                <c:ptCount val="1"/>
                <c:pt idx="0">
                  <c:v>2012</c:v>
                </c:pt>
              </c:strCache>
            </c:strRef>
          </c:tx>
          <c:invertIfNegative val="0"/>
          <c:cat>
            <c:strRef>
              <c:f>'Tabela 1'!$C$68:$C$76</c:f>
              <c:strCache>
                <c:ptCount val="9"/>
                <c:pt idx="0">
                  <c:v>do 7 godine</c:v>
                </c:pt>
                <c:pt idx="1">
                  <c:v>od 7-14 godina</c:v>
                </c:pt>
                <c:pt idx="2">
                  <c:v>od 14-18 godina</c:v>
                </c:pt>
                <c:pt idx="3">
                  <c:v>od 18-21 godine</c:v>
                </c:pt>
                <c:pt idx="4">
                  <c:v>od 21-30 godine</c:v>
                </c:pt>
                <c:pt idx="5">
                  <c:v>od 30-40 godina</c:v>
                </c:pt>
                <c:pt idx="6">
                  <c:v>od 40-50 godina</c:v>
                </c:pt>
                <c:pt idx="7">
                  <c:v>od 50-60 godina</c:v>
                </c:pt>
                <c:pt idx="8">
                  <c:v>preko 60 godina</c:v>
                </c:pt>
              </c:strCache>
            </c:strRef>
          </c:cat>
          <c:val>
            <c:numRef>
              <c:f>'Tabela 1'!$E$68:$E$76</c:f>
              <c:numCache>
                <c:formatCode>General</c:formatCode>
                <c:ptCount val="9"/>
                <c:pt idx="3">
                  <c:v>5</c:v>
                </c:pt>
                <c:pt idx="4">
                  <c:v>8</c:v>
                </c:pt>
                <c:pt idx="5">
                  <c:v>3</c:v>
                </c:pt>
                <c:pt idx="6">
                  <c:v>2</c:v>
                </c:pt>
                <c:pt idx="7">
                  <c:v>4</c:v>
                </c:pt>
                <c:pt idx="8">
                  <c:v>2</c:v>
                </c:pt>
              </c:numCache>
            </c:numRef>
          </c:val>
        </c:ser>
        <c:ser>
          <c:idx val="2"/>
          <c:order val="2"/>
          <c:tx>
            <c:strRef>
              <c:f>'Tabela 1'!$F$67</c:f>
              <c:strCache>
                <c:ptCount val="1"/>
                <c:pt idx="0">
                  <c:v>2013</c:v>
                </c:pt>
              </c:strCache>
            </c:strRef>
          </c:tx>
          <c:invertIfNegative val="0"/>
          <c:cat>
            <c:strRef>
              <c:f>'Tabela 1'!$C$68:$C$76</c:f>
              <c:strCache>
                <c:ptCount val="9"/>
                <c:pt idx="0">
                  <c:v>do 7 godine</c:v>
                </c:pt>
                <c:pt idx="1">
                  <c:v>od 7-14 godina</c:v>
                </c:pt>
                <c:pt idx="2">
                  <c:v>od 14-18 godina</c:v>
                </c:pt>
                <c:pt idx="3">
                  <c:v>od 18-21 godine</c:v>
                </c:pt>
                <c:pt idx="4">
                  <c:v>od 21-30 godine</c:v>
                </c:pt>
                <c:pt idx="5">
                  <c:v>od 30-40 godina</c:v>
                </c:pt>
                <c:pt idx="6">
                  <c:v>od 40-50 godina</c:v>
                </c:pt>
                <c:pt idx="7">
                  <c:v>od 50-60 godina</c:v>
                </c:pt>
                <c:pt idx="8">
                  <c:v>preko 60 godina</c:v>
                </c:pt>
              </c:strCache>
            </c:strRef>
          </c:cat>
          <c:val>
            <c:numRef>
              <c:f>'Tabela 1'!$F$68:$F$76</c:f>
              <c:numCache>
                <c:formatCode>General</c:formatCode>
                <c:ptCount val="9"/>
                <c:pt idx="1">
                  <c:v>1</c:v>
                </c:pt>
                <c:pt idx="2">
                  <c:v>1</c:v>
                </c:pt>
                <c:pt idx="3">
                  <c:v>3</c:v>
                </c:pt>
                <c:pt idx="4">
                  <c:v>4</c:v>
                </c:pt>
                <c:pt idx="5">
                  <c:v>5</c:v>
                </c:pt>
                <c:pt idx="6">
                  <c:v>4</c:v>
                </c:pt>
                <c:pt idx="7">
                  <c:v>5</c:v>
                </c:pt>
                <c:pt idx="8">
                  <c:v>1</c:v>
                </c:pt>
              </c:numCache>
            </c:numRef>
          </c:val>
        </c:ser>
        <c:ser>
          <c:idx val="3"/>
          <c:order val="3"/>
          <c:tx>
            <c:strRef>
              <c:f>'Tabela 1'!$G$67</c:f>
              <c:strCache>
                <c:ptCount val="1"/>
                <c:pt idx="0">
                  <c:v>2014</c:v>
                </c:pt>
              </c:strCache>
            </c:strRef>
          </c:tx>
          <c:invertIfNegative val="0"/>
          <c:cat>
            <c:strRef>
              <c:f>'Tabela 1'!$C$68:$C$76</c:f>
              <c:strCache>
                <c:ptCount val="9"/>
                <c:pt idx="0">
                  <c:v>do 7 godine</c:v>
                </c:pt>
                <c:pt idx="1">
                  <c:v>od 7-14 godina</c:v>
                </c:pt>
                <c:pt idx="2">
                  <c:v>od 14-18 godina</c:v>
                </c:pt>
                <c:pt idx="3">
                  <c:v>od 18-21 godine</c:v>
                </c:pt>
                <c:pt idx="4">
                  <c:v>od 21-30 godine</c:v>
                </c:pt>
                <c:pt idx="5">
                  <c:v>od 30-40 godina</c:v>
                </c:pt>
                <c:pt idx="6">
                  <c:v>od 40-50 godina</c:v>
                </c:pt>
                <c:pt idx="7">
                  <c:v>od 50-60 godina</c:v>
                </c:pt>
                <c:pt idx="8">
                  <c:v>preko 60 godina</c:v>
                </c:pt>
              </c:strCache>
            </c:strRef>
          </c:cat>
          <c:val>
            <c:numRef>
              <c:f>'Tabela 1'!$G$68:$G$76</c:f>
              <c:numCache>
                <c:formatCode>General</c:formatCode>
                <c:ptCount val="9"/>
                <c:pt idx="1">
                  <c:v>1</c:v>
                </c:pt>
                <c:pt idx="2">
                  <c:v>2</c:v>
                </c:pt>
                <c:pt idx="3">
                  <c:v>6</c:v>
                </c:pt>
                <c:pt idx="4">
                  <c:v>8</c:v>
                </c:pt>
                <c:pt idx="5">
                  <c:v>4</c:v>
                </c:pt>
                <c:pt idx="6">
                  <c:v>1</c:v>
                </c:pt>
                <c:pt idx="7">
                  <c:v>4</c:v>
                </c:pt>
                <c:pt idx="8">
                  <c:v>5</c:v>
                </c:pt>
              </c:numCache>
            </c:numRef>
          </c:val>
        </c:ser>
        <c:ser>
          <c:idx val="4"/>
          <c:order val="4"/>
          <c:tx>
            <c:strRef>
              <c:f>'Tabela 1'!$H$67</c:f>
              <c:strCache>
                <c:ptCount val="1"/>
                <c:pt idx="0">
                  <c:v>2015</c:v>
                </c:pt>
              </c:strCache>
            </c:strRef>
          </c:tx>
          <c:invertIfNegative val="0"/>
          <c:cat>
            <c:strRef>
              <c:f>'Tabela 1'!$C$68:$C$76</c:f>
              <c:strCache>
                <c:ptCount val="9"/>
                <c:pt idx="0">
                  <c:v>do 7 godine</c:v>
                </c:pt>
                <c:pt idx="1">
                  <c:v>od 7-14 godina</c:v>
                </c:pt>
                <c:pt idx="2">
                  <c:v>od 14-18 godina</c:v>
                </c:pt>
                <c:pt idx="3">
                  <c:v>od 18-21 godine</c:v>
                </c:pt>
                <c:pt idx="4">
                  <c:v>od 21-30 godine</c:v>
                </c:pt>
                <c:pt idx="5">
                  <c:v>od 30-40 godina</c:v>
                </c:pt>
                <c:pt idx="6">
                  <c:v>od 40-50 godina</c:v>
                </c:pt>
                <c:pt idx="7">
                  <c:v>od 50-60 godina</c:v>
                </c:pt>
                <c:pt idx="8">
                  <c:v>preko 60 godina</c:v>
                </c:pt>
              </c:strCache>
            </c:strRef>
          </c:cat>
          <c:val>
            <c:numRef>
              <c:f>'Tabela 1'!$H$68:$H$76</c:f>
              <c:numCache>
                <c:formatCode>General</c:formatCode>
                <c:ptCount val="9"/>
                <c:pt idx="0">
                  <c:v>1</c:v>
                </c:pt>
                <c:pt idx="2">
                  <c:v>4</c:v>
                </c:pt>
                <c:pt idx="3">
                  <c:v>7</c:v>
                </c:pt>
                <c:pt idx="4">
                  <c:v>13</c:v>
                </c:pt>
                <c:pt idx="5">
                  <c:v>13</c:v>
                </c:pt>
                <c:pt idx="6">
                  <c:v>5</c:v>
                </c:pt>
                <c:pt idx="7">
                  <c:v>5</c:v>
                </c:pt>
                <c:pt idx="8">
                  <c:v>8</c:v>
                </c:pt>
              </c:numCache>
            </c:numRef>
          </c:val>
        </c:ser>
        <c:dLbls>
          <c:showLegendKey val="0"/>
          <c:showVal val="0"/>
          <c:showCatName val="0"/>
          <c:showSerName val="0"/>
          <c:showPercent val="0"/>
          <c:showBubbleSize val="0"/>
        </c:dLbls>
        <c:gapWidth val="150"/>
        <c:axId val="118868608"/>
        <c:axId val="118620544"/>
      </c:barChart>
      <c:catAx>
        <c:axId val="118868608"/>
        <c:scaling>
          <c:orientation val="minMax"/>
        </c:scaling>
        <c:delete val="0"/>
        <c:axPos val="b"/>
        <c:majorTickMark val="none"/>
        <c:minorTickMark val="none"/>
        <c:tickLblPos val="nextTo"/>
        <c:crossAx val="118620544"/>
        <c:crosses val="autoZero"/>
        <c:auto val="1"/>
        <c:lblAlgn val="ctr"/>
        <c:lblOffset val="100"/>
        <c:noMultiLvlLbl val="0"/>
      </c:catAx>
      <c:valAx>
        <c:axId val="118620544"/>
        <c:scaling>
          <c:orientation val="minMax"/>
        </c:scaling>
        <c:delete val="0"/>
        <c:axPos val="l"/>
        <c:majorGridlines/>
        <c:title>
          <c:tx>
            <c:rich>
              <a:bodyPr/>
              <a:lstStyle/>
              <a:p>
                <a:pPr>
                  <a:defRPr/>
                </a:pPr>
                <a:r>
                  <a:rPr lang="sr-Latn-RS"/>
                  <a:t>Broj</a:t>
                </a:r>
                <a:r>
                  <a:rPr lang="sr-Latn-RS" baseline="0"/>
                  <a:t> lakše povrijeđenih učesnika</a:t>
                </a:r>
                <a:endParaRPr lang="en-US"/>
              </a:p>
            </c:rich>
          </c:tx>
          <c:layout/>
          <c:overlay val="0"/>
        </c:title>
        <c:numFmt formatCode="General" sourceLinked="1"/>
        <c:majorTickMark val="none"/>
        <c:minorTickMark val="none"/>
        <c:tickLblPos val="nextTo"/>
        <c:crossAx val="11886860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8.0358486439195104E-2"/>
          <c:y val="0.13194444444444503"/>
          <c:w val="0.59724278215222926"/>
          <c:h val="0.77314814814814958"/>
        </c:manualLayout>
      </c:layout>
      <c:pie3DChart>
        <c:varyColors val="1"/>
        <c:ser>
          <c:idx val="0"/>
          <c:order val="0"/>
          <c:cat>
            <c:strRef>
              <c:f>'Tabela 1'!$J$82:$J$88</c:f>
              <c:strCache>
                <c:ptCount val="7"/>
                <c:pt idx="0">
                  <c:v>od 14-18 godina</c:v>
                </c:pt>
                <c:pt idx="1">
                  <c:v>od 18-21 godine</c:v>
                </c:pt>
                <c:pt idx="2">
                  <c:v>od 21-30 godine</c:v>
                </c:pt>
                <c:pt idx="3">
                  <c:v>od 30-40 godina</c:v>
                </c:pt>
                <c:pt idx="4">
                  <c:v>od 40-50 godina</c:v>
                </c:pt>
                <c:pt idx="5">
                  <c:v>od 50-60 godina</c:v>
                </c:pt>
                <c:pt idx="6">
                  <c:v>preko 60 godina</c:v>
                </c:pt>
              </c:strCache>
            </c:strRef>
          </c:cat>
          <c:val>
            <c:numRef>
              <c:f>'Tabela 1'!$K$82:$K$88</c:f>
              <c:numCache>
                <c:formatCode>General</c:formatCode>
                <c:ptCount val="7"/>
                <c:pt idx="0">
                  <c:v>3</c:v>
                </c:pt>
                <c:pt idx="1">
                  <c:v>32</c:v>
                </c:pt>
                <c:pt idx="2">
                  <c:v>35</c:v>
                </c:pt>
                <c:pt idx="3">
                  <c:v>70</c:v>
                </c:pt>
                <c:pt idx="4">
                  <c:v>39</c:v>
                </c:pt>
                <c:pt idx="5">
                  <c:v>43</c:v>
                </c:pt>
                <c:pt idx="6">
                  <c:v>82</c:v>
                </c:pt>
              </c:numCache>
            </c:numRef>
          </c:val>
        </c:ser>
        <c:dLbls>
          <c:showLegendKey val="0"/>
          <c:showVal val="0"/>
          <c:showCatName val="0"/>
          <c:showSerName val="0"/>
          <c:showPercent val="1"/>
          <c:showBubbleSize val="0"/>
          <c:showLeaderLines val="0"/>
        </c:dLbls>
      </c:pie3DChart>
    </c:plotArea>
    <c:legend>
      <c:legendPos val="r"/>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'Tabela 1'!$C$112</c:f>
              <c:strCache>
                <c:ptCount val="1"/>
                <c:pt idx="0">
                  <c:v>magistralni put</c:v>
                </c:pt>
              </c:strCache>
            </c:strRef>
          </c:tx>
          <c:invertIfNegative val="0"/>
          <c:cat>
            <c:numRef>
              <c:f>'Tabela 1'!$D$111:$H$111</c:f>
              <c:numCache>
                <c:formatCode>General</c:formatCode>
                <c:ptCount val="5"/>
                <c:pt idx="0">
                  <c:v>2011</c:v>
                </c:pt>
                <c:pt idx="1">
                  <c:v>2012</c:v>
                </c:pt>
                <c:pt idx="2">
                  <c:v>2013</c:v>
                </c:pt>
                <c:pt idx="3">
                  <c:v>2014</c:v>
                </c:pt>
                <c:pt idx="4">
                  <c:v>2015</c:v>
                </c:pt>
              </c:numCache>
            </c:numRef>
          </c:cat>
          <c:val>
            <c:numRef>
              <c:f>'Tabela 1'!$D$112:$H$112</c:f>
              <c:numCache>
                <c:formatCode>General</c:formatCode>
                <c:ptCount val="5"/>
                <c:pt idx="4">
                  <c:v>24</c:v>
                </c:pt>
              </c:numCache>
            </c:numRef>
          </c:val>
        </c:ser>
        <c:ser>
          <c:idx val="1"/>
          <c:order val="1"/>
          <c:tx>
            <c:strRef>
              <c:f>'Tabela 1'!$C$113</c:f>
              <c:strCache>
                <c:ptCount val="1"/>
                <c:pt idx="0">
                  <c:v>regionalni put</c:v>
                </c:pt>
              </c:strCache>
            </c:strRef>
          </c:tx>
          <c:invertIfNegative val="0"/>
          <c:cat>
            <c:numRef>
              <c:f>'Tabela 1'!$D$111:$H$111</c:f>
              <c:numCache>
                <c:formatCode>General</c:formatCode>
                <c:ptCount val="5"/>
                <c:pt idx="0">
                  <c:v>2011</c:v>
                </c:pt>
                <c:pt idx="1">
                  <c:v>2012</c:v>
                </c:pt>
                <c:pt idx="2">
                  <c:v>2013</c:v>
                </c:pt>
                <c:pt idx="3">
                  <c:v>2014</c:v>
                </c:pt>
                <c:pt idx="4">
                  <c:v>2015</c:v>
                </c:pt>
              </c:numCache>
            </c:numRef>
          </c:cat>
          <c:val>
            <c:numRef>
              <c:f>'Tabela 1'!$D$113:$H$113</c:f>
              <c:numCache>
                <c:formatCode>General</c:formatCode>
                <c:ptCount val="5"/>
                <c:pt idx="0">
                  <c:v>43</c:v>
                </c:pt>
                <c:pt idx="1">
                  <c:v>27</c:v>
                </c:pt>
                <c:pt idx="2">
                  <c:v>27</c:v>
                </c:pt>
                <c:pt idx="3">
                  <c:v>28</c:v>
                </c:pt>
                <c:pt idx="4">
                  <c:v>26</c:v>
                </c:pt>
              </c:numCache>
            </c:numRef>
          </c:val>
        </c:ser>
        <c:ser>
          <c:idx val="2"/>
          <c:order val="2"/>
          <c:tx>
            <c:strRef>
              <c:f>'Tabela 1'!$C$114</c:f>
              <c:strCache>
                <c:ptCount val="1"/>
                <c:pt idx="0">
                  <c:v>lokalni put</c:v>
                </c:pt>
              </c:strCache>
            </c:strRef>
          </c:tx>
          <c:invertIfNegative val="0"/>
          <c:cat>
            <c:numRef>
              <c:f>'Tabela 1'!$D$111:$H$111</c:f>
              <c:numCache>
                <c:formatCode>General</c:formatCode>
                <c:ptCount val="5"/>
                <c:pt idx="0">
                  <c:v>2011</c:v>
                </c:pt>
                <c:pt idx="1">
                  <c:v>2012</c:v>
                </c:pt>
                <c:pt idx="2">
                  <c:v>2013</c:v>
                </c:pt>
                <c:pt idx="3">
                  <c:v>2014</c:v>
                </c:pt>
                <c:pt idx="4">
                  <c:v>2015</c:v>
                </c:pt>
              </c:numCache>
            </c:numRef>
          </c:cat>
          <c:val>
            <c:numRef>
              <c:f>'Tabela 1'!$D$114:$H$114</c:f>
              <c:numCache>
                <c:formatCode>General</c:formatCode>
                <c:ptCount val="5"/>
                <c:pt idx="0">
                  <c:v>14</c:v>
                </c:pt>
                <c:pt idx="1">
                  <c:v>17</c:v>
                </c:pt>
                <c:pt idx="2">
                  <c:v>11</c:v>
                </c:pt>
                <c:pt idx="3">
                  <c:v>19</c:v>
                </c:pt>
                <c:pt idx="4">
                  <c:v>13</c:v>
                </c:pt>
              </c:numCache>
            </c:numRef>
          </c:val>
        </c:ser>
        <c:ser>
          <c:idx val="3"/>
          <c:order val="3"/>
          <c:tx>
            <c:strRef>
              <c:f>'Tabela 1'!$C$115</c:f>
              <c:strCache>
                <c:ptCount val="1"/>
                <c:pt idx="0">
                  <c:v>ulica u naselju</c:v>
                </c:pt>
              </c:strCache>
            </c:strRef>
          </c:tx>
          <c:invertIfNegative val="0"/>
          <c:cat>
            <c:numRef>
              <c:f>'Tabela 1'!$D$111:$H$111</c:f>
              <c:numCache>
                <c:formatCode>General</c:formatCode>
                <c:ptCount val="5"/>
                <c:pt idx="0">
                  <c:v>2011</c:v>
                </c:pt>
                <c:pt idx="1">
                  <c:v>2012</c:v>
                </c:pt>
                <c:pt idx="2">
                  <c:v>2013</c:v>
                </c:pt>
                <c:pt idx="3">
                  <c:v>2014</c:v>
                </c:pt>
                <c:pt idx="4">
                  <c:v>2015</c:v>
                </c:pt>
              </c:numCache>
            </c:numRef>
          </c:cat>
          <c:val>
            <c:numRef>
              <c:f>'Tabela 1'!$D$115:$H$115</c:f>
              <c:numCache>
                <c:formatCode>General</c:formatCode>
                <c:ptCount val="5"/>
                <c:pt idx="0">
                  <c:v>8</c:v>
                </c:pt>
                <c:pt idx="1">
                  <c:v>5</c:v>
                </c:pt>
                <c:pt idx="2">
                  <c:v>9</c:v>
                </c:pt>
                <c:pt idx="3">
                  <c:v>11</c:v>
                </c:pt>
                <c:pt idx="4">
                  <c:v>8</c:v>
                </c:pt>
              </c:numCache>
            </c:numRef>
          </c:val>
        </c:ser>
        <c:ser>
          <c:idx val="4"/>
          <c:order val="4"/>
          <c:tx>
            <c:strRef>
              <c:f>'Tabela 1'!$C$116</c:f>
              <c:strCache>
                <c:ptCount val="1"/>
                <c:pt idx="0">
                  <c:v>nekategorisani put</c:v>
                </c:pt>
              </c:strCache>
            </c:strRef>
          </c:tx>
          <c:invertIfNegative val="0"/>
          <c:cat>
            <c:numRef>
              <c:f>'Tabela 1'!$D$111:$H$111</c:f>
              <c:numCache>
                <c:formatCode>General</c:formatCode>
                <c:ptCount val="5"/>
                <c:pt idx="0">
                  <c:v>2011</c:v>
                </c:pt>
                <c:pt idx="1">
                  <c:v>2012</c:v>
                </c:pt>
                <c:pt idx="2">
                  <c:v>2013</c:v>
                </c:pt>
                <c:pt idx="3">
                  <c:v>2014</c:v>
                </c:pt>
                <c:pt idx="4">
                  <c:v>2015</c:v>
                </c:pt>
              </c:numCache>
            </c:numRef>
          </c:cat>
          <c:val>
            <c:numRef>
              <c:f>'Tabela 1'!$D$116:$H$116</c:f>
              <c:numCache>
                <c:formatCode>General</c:formatCode>
                <c:ptCount val="5"/>
                <c:pt idx="0">
                  <c:v>5</c:v>
                </c:pt>
                <c:pt idx="1">
                  <c:v>6</c:v>
                </c:pt>
                <c:pt idx="2">
                  <c:v>3</c:v>
                </c:pt>
              </c:numCache>
            </c:numRef>
          </c:val>
        </c:ser>
        <c:dLbls>
          <c:showLegendKey val="0"/>
          <c:showVal val="0"/>
          <c:showCatName val="0"/>
          <c:showSerName val="0"/>
          <c:showPercent val="0"/>
          <c:showBubbleSize val="0"/>
        </c:dLbls>
        <c:gapWidth val="150"/>
        <c:axId val="118659712"/>
        <c:axId val="118677888"/>
      </c:barChart>
      <c:catAx>
        <c:axId val="118659712"/>
        <c:scaling>
          <c:orientation val="minMax"/>
        </c:scaling>
        <c:delete val="0"/>
        <c:axPos val="b"/>
        <c:numFmt formatCode="General" sourceLinked="1"/>
        <c:majorTickMark val="none"/>
        <c:minorTickMark val="none"/>
        <c:tickLblPos val="nextTo"/>
        <c:crossAx val="118677888"/>
        <c:crosses val="autoZero"/>
        <c:auto val="1"/>
        <c:lblAlgn val="ctr"/>
        <c:lblOffset val="100"/>
        <c:noMultiLvlLbl val="0"/>
      </c:catAx>
      <c:valAx>
        <c:axId val="118677888"/>
        <c:scaling>
          <c:orientation val="minMax"/>
        </c:scaling>
        <c:delete val="0"/>
        <c:axPos val="l"/>
        <c:majorGridlines/>
        <c:title>
          <c:tx>
            <c:rich>
              <a:bodyPr/>
              <a:lstStyle/>
              <a:p>
                <a:pPr>
                  <a:defRPr/>
                </a:pPr>
                <a:r>
                  <a:rPr lang="sr-Latn-RS"/>
                  <a:t>Broj</a:t>
                </a:r>
                <a:r>
                  <a:rPr lang="sr-Latn-RS" baseline="0"/>
                  <a:t> saobraćajnih nezgoda</a:t>
                </a:r>
                <a:endParaRPr lang="en-US"/>
              </a:p>
            </c:rich>
          </c:tx>
          <c:layout/>
          <c:overlay val="0"/>
        </c:title>
        <c:numFmt formatCode="General" sourceLinked="1"/>
        <c:majorTickMark val="none"/>
        <c:minorTickMark val="none"/>
        <c:tickLblPos val="nextTo"/>
        <c:crossAx val="11865971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bs-Latn-B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7.1706954075440532E-2"/>
          <c:y val="0.11155224326056259"/>
          <c:w val="0.56899362846668311"/>
          <c:h val="0.87945961604298228"/>
        </c:manualLayout>
      </c:layout>
      <c:pie3DChart>
        <c:varyColors val="1"/>
        <c:ser>
          <c:idx val="0"/>
          <c:order val="0"/>
          <c:cat>
            <c:strRef>
              <c:f>'Tabela 1'!$J$98:$J$108</c:f>
              <c:strCache>
                <c:ptCount val="11"/>
                <c:pt idx="0">
                  <c:v>neprilagođena brzina</c:v>
                </c:pt>
                <c:pt idx="1">
                  <c:v>nepropisno preticanje</c:v>
                </c:pt>
                <c:pt idx="2">
                  <c:v>nepoštovanje prvenstva prolaza</c:v>
                </c:pt>
                <c:pt idx="3">
                  <c:v>nepropisno mimoilaženje</c:v>
                </c:pt>
                <c:pt idx="4">
                  <c:v>nepropisno obilaženje</c:v>
                </c:pt>
                <c:pt idx="5">
                  <c:v>strana kretanja</c:v>
                </c:pt>
                <c:pt idx="6">
                  <c:v>radnje vouilom u saobraćaju</c:v>
                </c:pt>
                <c:pt idx="7">
                  <c:v>rastojanje</c:v>
                </c:pt>
                <c:pt idx="8">
                  <c:v>tehnička neispravnost</c:v>
                </c:pt>
                <c:pt idx="9">
                  <c:v>greške pješaka</c:v>
                </c:pt>
                <c:pt idx="10">
                  <c:v>ostalo</c:v>
                </c:pt>
              </c:strCache>
            </c:strRef>
          </c:cat>
          <c:val>
            <c:numRef>
              <c:f>'Tabela 1'!$K$98:$K$108</c:f>
              <c:numCache>
                <c:formatCode>General</c:formatCode>
                <c:ptCount val="11"/>
                <c:pt idx="0">
                  <c:v>136</c:v>
                </c:pt>
                <c:pt idx="1">
                  <c:v>19</c:v>
                </c:pt>
                <c:pt idx="2">
                  <c:v>12</c:v>
                </c:pt>
                <c:pt idx="3">
                  <c:v>48</c:v>
                </c:pt>
                <c:pt idx="4">
                  <c:v>3</c:v>
                </c:pt>
                <c:pt idx="5">
                  <c:v>3</c:v>
                </c:pt>
                <c:pt idx="6">
                  <c:v>61</c:v>
                </c:pt>
                <c:pt idx="7">
                  <c:v>5</c:v>
                </c:pt>
                <c:pt idx="8">
                  <c:v>1</c:v>
                </c:pt>
                <c:pt idx="9">
                  <c:v>1</c:v>
                </c:pt>
                <c:pt idx="10">
                  <c:v>15</c:v>
                </c:pt>
              </c:numCache>
            </c:numRef>
          </c:val>
        </c:ser>
        <c:dLbls>
          <c:showLegendKey val="0"/>
          <c:showVal val="0"/>
          <c:showCatName val="0"/>
          <c:showSerName val="0"/>
          <c:showPercent val="1"/>
          <c:showBubbleSize val="0"/>
          <c:showLeaderLines val="0"/>
        </c:dLbls>
      </c:pie3DChart>
    </c:plotArea>
    <c:legend>
      <c:legendPos val="r"/>
      <c:layout>
        <c:manualLayout>
          <c:xMode val="edge"/>
          <c:yMode val="edge"/>
          <c:x val="0.76684205762846536"/>
          <c:y val="0.12305650472936168"/>
          <c:w val="0.21863888611019944"/>
          <c:h val="0.72513586745053471"/>
        </c:manualLayout>
      </c:layout>
      <c:overlay val="0"/>
      <c:txPr>
        <a:bodyPr/>
        <a:lstStyle/>
        <a:p>
          <a:pPr>
            <a:defRPr sz="800"/>
          </a:pPr>
          <a:endParaRPr lang="sr-Latn-R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70C1922-5F97-4FAD-B923-B1D400EE4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315</TotalTime>
  <Pages>7</Pages>
  <Words>2036</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13620</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PC021</cp:lastModifiedBy>
  <cp:revision>23</cp:revision>
  <cp:lastPrinted>2016-06-30T07:57:00Z</cp:lastPrinted>
  <dcterms:created xsi:type="dcterms:W3CDTF">2016-06-30T10:56:00Z</dcterms:created>
  <dcterms:modified xsi:type="dcterms:W3CDTF">2016-09-30T14:51:00Z</dcterms:modified>
</cp:coreProperties>
</file>