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AC9" w:rsidRPr="008D1D2B" w:rsidRDefault="00290AC9" w:rsidP="008B5DCA">
      <w:pPr>
        <w:pStyle w:val="Naslov"/>
      </w:pPr>
      <w:r w:rsidRPr="008D1D2B">
        <w:t>ANALIZA BEZBJEDNOSTI SAOBRA</w:t>
      </w:r>
      <w:r w:rsidRPr="008D1D2B">
        <w:rPr>
          <w:rFonts w:hint="eastAsia"/>
        </w:rPr>
        <w:t>Ć</w:t>
      </w:r>
      <w:r w:rsidRPr="008D1D2B">
        <w:t>AJA NA PUTNIM PRELAZIMA U REPUBLICI SRPSKOJ</w:t>
      </w:r>
    </w:p>
    <w:p w:rsidR="00290AC9" w:rsidRPr="008D1D2B" w:rsidRDefault="00290AC9" w:rsidP="008B5DCA">
      <w:pPr>
        <w:pStyle w:val="Naslov"/>
      </w:pPr>
      <w:r w:rsidRPr="008D1D2B">
        <w:t>ANALYSIS OF TRAFFIC SAFETY AT LEVEL CROSSINGS IN THE REPUBLIC OF SERBIAN</w:t>
      </w:r>
    </w:p>
    <w:p w:rsidR="008B5DCA" w:rsidRPr="008D1D2B" w:rsidRDefault="008B5DCA" w:rsidP="00290AC9">
      <w:pPr>
        <w:pStyle w:val="Rezime-Kljune"/>
      </w:pPr>
      <w:r w:rsidRPr="008D1D2B">
        <w:rPr>
          <w:b/>
        </w:rPr>
        <w:t>Rezime:</w:t>
      </w:r>
      <w:r w:rsidRPr="008D1D2B">
        <w:t xml:space="preserve"> </w:t>
      </w:r>
      <w:r w:rsidR="00290AC9" w:rsidRPr="008D1D2B">
        <w:t xml:space="preserve">Putni prelaz je </w:t>
      </w:r>
      <w:r w:rsidR="00290AC9" w:rsidRPr="008D1D2B">
        <w:rPr>
          <w:rFonts w:hint="eastAsia"/>
        </w:rPr>
        <w:t>č</w:t>
      </w:r>
      <w:r w:rsidR="00290AC9" w:rsidRPr="008D1D2B">
        <w:t>etvorokraka raskrsnica, odnosno mjesto gdje se ukrštaju dva vida saobra</w:t>
      </w:r>
      <w:r w:rsidR="00290AC9" w:rsidRPr="008D1D2B">
        <w:rPr>
          <w:rFonts w:hint="eastAsia"/>
        </w:rPr>
        <w:t>ć</w:t>
      </w:r>
      <w:r w:rsidR="00290AC9" w:rsidRPr="008D1D2B">
        <w:t>aja (drumski i željezni</w:t>
      </w:r>
      <w:r w:rsidR="00290AC9" w:rsidRPr="008D1D2B">
        <w:rPr>
          <w:rFonts w:hint="eastAsia"/>
        </w:rPr>
        <w:t>č</w:t>
      </w:r>
      <w:r w:rsidR="00290AC9" w:rsidRPr="008D1D2B">
        <w:t>ki saobra</w:t>
      </w:r>
      <w:r w:rsidR="00290AC9" w:rsidRPr="008D1D2B">
        <w:rPr>
          <w:rFonts w:hint="eastAsia"/>
        </w:rPr>
        <w:t>ć</w:t>
      </w:r>
      <w:r w:rsidR="00290AC9" w:rsidRPr="008D1D2B">
        <w:t>aj). Ukoliko je ukrštanje navedenih vidova saobra</w:t>
      </w:r>
      <w:r w:rsidR="00290AC9" w:rsidRPr="008D1D2B">
        <w:rPr>
          <w:rFonts w:hint="eastAsia"/>
        </w:rPr>
        <w:t>ć</w:t>
      </w:r>
      <w:r w:rsidR="00290AC9" w:rsidRPr="008D1D2B">
        <w:t>aja u istom nivou, dolazi do pove</w:t>
      </w:r>
      <w:r w:rsidR="00290AC9" w:rsidRPr="008D1D2B">
        <w:rPr>
          <w:rFonts w:hint="eastAsia"/>
        </w:rPr>
        <w:t>ć</w:t>
      </w:r>
      <w:r w:rsidR="00290AC9" w:rsidRPr="008D1D2B">
        <w:t>anog rizika u odvijanju saobra</w:t>
      </w:r>
      <w:r w:rsidR="00290AC9" w:rsidRPr="008D1D2B">
        <w:rPr>
          <w:rFonts w:hint="eastAsia"/>
        </w:rPr>
        <w:t>ć</w:t>
      </w:r>
      <w:r w:rsidR="00290AC9" w:rsidRPr="008D1D2B">
        <w:t>aja. Tehni</w:t>
      </w:r>
      <w:r w:rsidR="00290AC9" w:rsidRPr="008D1D2B">
        <w:rPr>
          <w:rFonts w:hint="eastAsia"/>
        </w:rPr>
        <w:t>č</w:t>
      </w:r>
      <w:r w:rsidR="00290AC9" w:rsidRPr="008D1D2B">
        <w:t>ko-tehnološke i organizacione karakteristike željeznice odredile su joj prioritet kod ukrštanja u odnosu na drumski saobra</w:t>
      </w:r>
      <w:r w:rsidR="00290AC9" w:rsidRPr="008D1D2B">
        <w:rPr>
          <w:rFonts w:hint="eastAsia"/>
        </w:rPr>
        <w:t>ć</w:t>
      </w:r>
      <w:r w:rsidR="00290AC9" w:rsidRPr="008D1D2B">
        <w:t xml:space="preserve">aj (od strane planera, organizatora i zakonodavaca), </w:t>
      </w:r>
      <w:r w:rsidR="00290AC9" w:rsidRPr="008D1D2B">
        <w:rPr>
          <w:rFonts w:hint="eastAsia"/>
        </w:rPr>
        <w:t>č</w:t>
      </w:r>
      <w:r w:rsidR="00290AC9" w:rsidRPr="008D1D2B">
        <w:t>ime je i definisan na</w:t>
      </w:r>
      <w:r w:rsidR="00290AC9" w:rsidRPr="008D1D2B">
        <w:rPr>
          <w:rFonts w:hint="eastAsia"/>
        </w:rPr>
        <w:t>č</w:t>
      </w:r>
      <w:r w:rsidR="00290AC9" w:rsidRPr="008D1D2B">
        <w:t>in regulisanja saobra</w:t>
      </w:r>
      <w:r w:rsidR="00290AC9" w:rsidRPr="008D1D2B">
        <w:rPr>
          <w:rFonts w:hint="eastAsia"/>
        </w:rPr>
        <w:t>ć</w:t>
      </w:r>
      <w:r w:rsidR="00290AC9" w:rsidRPr="008D1D2B">
        <w:t>aja preko putnih prelaza. Kao veoma opasna mjesta u saobra</w:t>
      </w:r>
      <w:r w:rsidR="00290AC9" w:rsidRPr="008D1D2B">
        <w:rPr>
          <w:rFonts w:hint="eastAsia"/>
        </w:rPr>
        <w:t>ć</w:t>
      </w:r>
      <w:r w:rsidR="00290AC9" w:rsidRPr="008D1D2B">
        <w:t>aju, putni prelazi zahtijevaju kontinualnu analizu. U radu je data analiza stanja bezbjednosti na putnim prelazima na mreži Željeznica Republike Srpske u periodu od 2006-2015 godine, nazna</w:t>
      </w:r>
      <w:r w:rsidR="00290AC9" w:rsidRPr="008D1D2B">
        <w:rPr>
          <w:rFonts w:hint="eastAsia"/>
        </w:rPr>
        <w:t>č</w:t>
      </w:r>
      <w:r w:rsidR="00290AC9" w:rsidRPr="008D1D2B">
        <w:t>eni su mogu</w:t>
      </w:r>
      <w:r w:rsidR="00290AC9" w:rsidRPr="008D1D2B">
        <w:rPr>
          <w:rFonts w:hint="eastAsia"/>
        </w:rPr>
        <w:t>ć</w:t>
      </w:r>
      <w:r w:rsidR="00290AC9" w:rsidRPr="008D1D2B">
        <w:t>i pravci djelovanja u cilju pove</w:t>
      </w:r>
      <w:r w:rsidR="00290AC9" w:rsidRPr="008D1D2B">
        <w:rPr>
          <w:rFonts w:hint="eastAsia"/>
        </w:rPr>
        <w:t>ć</w:t>
      </w:r>
      <w:r w:rsidR="00290AC9" w:rsidRPr="008D1D2B">
        <w:t>anja bezbjednosti saobra</w:t>
      </w:r>
      <w:r w:rsidR="00290AC9" w:rsidRPr="008D1D2B">
        <w:rPr>
          <w:rFonts w:hint="eastAsia"/>
        </w:rPr>
        <w:t>ć</w:t>
      </w:r>
      <w:r w:rsidR="00290AC9" w:rsidRPr="008D1D2B">
        <w:t xml:space="preserve">aja na putnim prelazima, kao i smanjenja ljudskih žrtava i materijalne štete prouzrokovane </w:t>
      </w:r>
      <w:r w:rsidR="00E15D62" w:rsidRPr="008D1D2B">
        <w:rPr>
          <w:lang w:val="en-US"/>
        </w:rPr>
        <w:t>saobraćajnim nezgodama</w:t>
      </w:r>
      <w:r w:rsidR="00290AC9" w:rsidRPr="008D1D2B">
        <w:t xml:space="preserve"> dva razli</w:t>
      </w:r>
      <w:r w:rsidR="00290AC9" w:rsidRPr="008D1D2B">
        <w:rPr>
          <w:rFonts w:hint="eastAsia"/>
        </w:rPr>
        <w:t>č</w:t>
      </w:r>
      <w:r w:rsidR="00290AC9" w:rsidRPr="008D1D2B">
        <w:t>ita vida  saobra</w:t>
      </w:r>
      <w:r w:rsidR="00290AC9" w:rsidRPr="008D1D2B">
        <w:rPr>
          <w:rFonts w:hint="eastAsia"/>
        </w:rPr>
        <w:t>ć</w:t>
      </w:r>
      <w:r w:rsidR="00290AC9" w:rsidRPr="008D1D2B">
        <w:t>aja</w:t>
      </w:r>
      <w:r w:rsidR="00E15D62" w:rsidRPr="008D1D2B">
        <w:rPr>
          <w:lang w:val="sr-Latn-BA"/>
        </w:rPr>
        <w:t>.</w:t>
      </w:r>
      <w:r w:rsidR="00290AC9" w:rsidRPr="008D1D2B">
        <w:t xml:space="preserve">  </w:t>
      </w:r>
    </w:p>
    <w:p w:rsidR="008B5DCA" w:rsidRPr="008D1D2B" w:rsidRDefault="008B5DCA" w:rsidP="008B5DCA">
      <w:pPr>
        <w:pStyle w:val="Rezime-Kljune"/>
        <w:rPr>
          <w:lang w:val="sr-Latn-RS"/>
        </w:rPr>
      </w:pPr>
      <w:r w:rsidRPr="008D1D2B">
        <w:rPr>
          <w:b/>
        </w:rPr>
        <w:t xml:space="preserve">Ključne riječi: </w:t>
      </w:r>
      <w:r w:rsidR="00290AC9" w:rsidRPr="008D1D2B">
        <w:t>saobra</w:t>
      </w:r>
      <w:r w:rsidR="00290AC9" w:rsidRPr="008D1D2B">
        <w:rPr>
          <w:rFonts w:hint="eastAsia"/>
        </w:rPr>
        <w:t>ć</w:t>
      </w:r>
      <w:r w:rsidR="00290AC9" w:rsidRPr="008D1D2B">
        <w:t>aj; bezbjednost; putni prelazi</w:t>
      </w:r>
    </w:p>
    <w:p w:rsidR="008B5DCA" w:rsidRPr="008D1D2B" w:rsidRDefault="008B5DCA" w:rsidP="00290AC9">
      <w:pPr>
        <w:pStyle w:val="Rezime-Kljune"/>
      </w:pPr>
      <w:r w:rsidRPr="008D1D2B">
        <w:rPr>
          <w:b/>
          <w:lang w:val="bs-Latn-BA"/>
        </w:rPr>
        <w:t>Abstract</w:t>
      </w:r>
      <w:r w:rsidRPr="008D1D2B">
        <w:rPr>
          <w:b/>
        </w:rPr>
        <w:t>:</w:t>
      </w:r>
      <w:r w:rsidRPr="008D1D2B">
        <w:rPr>
          <w:b/>
          <w:lang w:val="bs-Latn-BA"/>
        </w:rPr>
        <w:t xml:space="preserve"> </w:t>
      </w:r>
      <w:r w:rsidR="00290AC9" w:rsidRPr="008D1D2B">
        <w:rPr>
          <w:lang w:val="bs-Latn-BA"/>
        </w:rPr>
        <w:t>Crossing the four-way intersections, and a place where you cross the two forms of transport (road and rail). If the intersection of the above modes of transport in the same level, there is an increased risk in the traffic flow. Technical, technological and organizational characteristics of railway determine her priorities in crosses in relation to road transport (by the planners, organizers and legislators), which is a defined way of regulating traffic at level crossings. As a very dangerous place in traffic crossings require continuous analysis. The paper provides an analysis of the state of safety at level crossings in the Republic of Serbian Railways network in the period 2006-2015 year are outlined possible directions of action in order to increase traffic safety at level crossings, as well as the reduction of human casualties and material damage caused by the</w:t>
      </w:r>
      <w:r w:rsidR="008D1D2B" w:rsidRPr="008D1D2B">
        <w:t xml:space="preserve"> </w:t>
      </w:r>
      <w:r w:rsidR="008D1D2B" w:rsidRPr="008D1D2B">
        <w:rPr>
          <w:rStyle w:val="shorttext"/>
        </w:rPr>
        <w:t>traffic accidents</w:t>
      </w:r>
      <w:r w:rsidR="00290AC9" w:rsidRPr="008D1D2B">
        <w:rPr>
          <w:lang w:val="bs-Latn-BA"/>
        </w:rPr>
        <w:t xml:space="preserve"> </w:t>
      </w:r>
      <w:r w:rsidR="008D1D2B" w:rsidRPr="008D1D2B">
        <w:rPr>
          <w:lang w:val="bs-Latn-BA"/>
        </w:rPr>
        <w:t>of two different</w:t>
      </w:r>
      <w:r w:rsidR="00290AC9" w:rsidRPr="008D1D2B">
        <w:rPr>
          <w:lang w:val="bs-Latn-BA"/>
        </w:rPr>
        <w:t xml:space="preserve"> mode of transport</w:t>
      </w:r>
      <w:r w:rsidR="00E15D62" w:rsidRPr="008D1D2B">
        <w:rPr>
          <w:lang w:val="bs-Latn-BA"/>
        </w:rPr>
        <w:t>.</w:t>
      </w:r>
    </w:p>
    <w:p w:rsidR="008B5DCA" w:rsidRPr="008D1D2B" w:rsidRDefault="008B5DCA" w:rsidP="008B5DCA">
      <w:pPr>
        <w:pStyle w:val="Rezime-Kljune"/>
      </w:pPr>
      <w:r w:rsidRPr="008D1D2B">
        <w:rPr>
          <w:b/>
        </w:rPr>
        <w:t xml:space="preserve">Keywords: </w:t>
      </w:r>
      <w:r w:rsidR="00290AC9" w:rsidRPr="008D1D2B">
        <w:t>traffic; security; crossings</w:t>
      </w:r>
    </w:p>
    <w:p w:rsidR="00472E02" w:rsidRPr="008D1D2B" w:rsidRDefault="008B5DCA" w:rsidP="008B5DCA">
      <w:pPr>
        <w:pStyle w:val="Heading1"/>
        <w:rPr>
          <w:lang w:val="bs-Latn-BA"/>
        </w:rPr>
      </w:pPr>
      <w:r w:rsidRPr="008D1D2B">
        <w:rPr>
          <w:lang w:val="bs-Latn-BA"/>
        </w:rPr>
        <w:t>uvod</w:t>
      </w:r>
    </w:p>
    <w:p w:rsidR="00855BF7" w:rsidRPr="008D1D2B" w:rsidRDefault="00855BF7" w:rsidP="00E15D62">
      <w:pPr>
        <w:pStyle w:val="Tekst"/>
      </w:pPr>
      <w:r w:rsidRPr="008D1D2B">
        <w:t>Problem bezbjednosti u saobraćaju postao je globalni fenomen sa kojim se susreću gotovo sve zemlje svijeta, ali posl</w:t>
      </w:r>
      <w:r w:rsidR="00F0212E" w:rsidRPr="008D1D2B">
        <w:t>j</w:t>
      </w:r>
      <w:r w:rsidRPr="008D1D2B">
        <w:t xml:space="preserve">edice ovog problema različite su po specifičnostima i dimenzijama </w:t>
      </w:r>
      <w:r w:rsidR="0043023B" w:rsidRPr="008D1D2B">
        <w:rPr>
          <w:lang w:val="sr-Latn-BA"/>
        </w:rPr>
        <w:t>koje</w:t>
      </w:r>
      <w:r w:rsidRPr="008D1D2B">
        <w:t xml:space="preserve"> opterećuju neko društvo, odnosno prostornu cjelinu na kome nastaju.</w:t>
      </w:r>
    </w:p>
    <w:p w:rsidR="005E1AC0" w:rsidRPr="008D1D2B" w:rsidRDefault="003E1E03" w:rsidP="00E15D62">
      <w:pPr>
        <w:pStyle w:val="Tekst"/>
      </w:pPr>
      <w:r w:rsidRPr="008D1D2B">
        <w:t>Putni prelaz</w:t>
      </w:r>
      <w:r w:rsidR="00522677" w:rsidRPr="008D1D2B">
        <w:t xml:space="preserve">i (PP)  kao tačke ukrštavanja puta i pruge u nivou, predstavljaju mjesta na kojima često dolazi do vanrednih događaja koji prouzrokuju veliki broj teških povreda, veliku materijalnu štetu i odnose mnoge živote. </w:t>
      </w:r>
    </w:p>
    <w:p w:rsidR="005D301E" w:rsidRPr="008D1D2B" w:rsidRDefault="00522677" w:rsidP="0043023B">
      <w:pPr>
        <w:pStyle w:val="Tekst"/>
        <w:rPr>
          <w:lang w:val="sr-Latn-BA"/>
        </w:rPr>
      </w:pPr>
      <w:r w:rsidRPr="008D1D2B">
        <w:t>Na aktivnoj željezni</w:t>
      </w:r>
      <w:r w:rsidRPr="008D1D2B">
        <w:rPr>
          <w:rFonts w:hint="eastAsia"/>
        </w:rPr>
        <w:t>č</w:t>
      </w:r>
      <w:r w:rsidRPr="008D1D2B">
        <w:t xml:space="preserve">koj mreži Željeznica Republike Srpske postoji ukupno </w:t>
      </w:r>
      <w:r w:rsidR="00C92B91" w:rsidRPr="008D1D2B">
        <w:t>256</w:t>
      </w:r>
      <w:r w:rsidR="00704D43" w:rsidRPr="008D1D2B">
        <w:t xml:space="preserve"> </w:t>
      </w:r>
      <w:r w:rsidRPr="008D1D2B">
        <w:t xml:space="preserve"> </w:t>
      </w:r>
      <w:r w:rsidR="00341118" w:rsidRPr="008D1D2B">
        <w:t>putnih</w:t>
      </w:r>
      <w:r w:rsidRPr="008D1D2B">
        <w:t xml:space="preserve"> prelaza, a od toga je </w:t>
      </w:r>
      <w:r w:rsidR="00341118" w:rsidRPr="008D1D2B">
        <w:t>jedan putni prelaz sa automatizo</w:t>
      </w:r>
      <w:r w:rsidRPr="008D1D2B">
        <w:t>vanim sistemom obezbje</w:t>
      </w:r>
      <w:r w:rsidRPr="008D1D2B">
        <w:rPr>
          <w:rFonts w:hint="eastAsia"/>
        </w:rPr>
        <w:t>đ</w:t>
      </w:r>
      <w:r w:rsidR="00F0212E" w:rsidRPr="008D1D2B">
        <w:t>enja</w:t>
      </w:r>
      <w:r w:rsidRPr="008D1D2B">
        <w:t xml:space="preserve"> željezni</w:t>
      </w:r>
      <w:r w:rsidRPr="008D1D2B">
        <w:rPr>
          <w:rFonts w:hint="eastAsia"/>
        </w:rPr>
        <w:t>č</w:t>
      </w:r>
      <w:r w:rsidRPr="008D1D2B">
        <w:t>kog saobra</w:t>
      </w:r>
      <w:r w:rsidRPr="008D1D2B">
        <w:rPr>
          <w:rFonts w:hint="eastAsia"/>
        </w:rPr>
        <w:t>ć</w:t>
      </w:r>
      <w:r w:rsidRPr="008D1D2B">
        <w:t>aja, 16 prelaza sa saobra</w:t>
      </w:r>
      <w:r w:rsidRPr="008D1D2B">
        <w:rPr>
          <w:rFonts w:hint="eastAsia"/>
        </w:rPr>
        <w:t>ć</w:t>
      </w:r>
      <w:r w:rsidRPr="008D1D2B">
        <w:t>ajnim znakovima i branikom kojim se rukuje ru</w:t>
      </w:r>
      <w:r w:rsidRPr="008D1D2B">
        <w:rPr>
          <w:rFonts w:hint="eastAsia"/>
        </w:rPr>
        <w:t>č</w:t>
      </w:r>
      <w:r w:rsidRPr="008D1D2B">
        <w:t>no i tako vrši obezbje</w:t>
      </w:r>
      <w:r w:rsidRPr="008D1D2B">
        <w:rPr>
          <w:rFonts w:hint="eastAsia"/>
        </w:rPr>
        <w:t>đ</w:t>
      </w:r>
      <w:r w:rsidRPr="008D1D2B">
        <w:t>enje željezni</w:t>
      </w:r>
      <w:r w:rsidRPr="008D1D2B">
        <w:rPr>
          <w:rFonts w:hint="eastAsia"/>
        </w:rPr>
        <w:t>č</w:t>
      </w:r>
      <w:r w:rsidRPr="008D1D2B">
        <w:t>kog saobra</w:t>
      </w:r>
      <w:r w:rsidRPr="008D1D2B">
        <w:rPr>
          <w:rFonts w:hint="eastAsia"/>
        </w:rPr>
        <w:t>ć</w:t>
      </w:r>
      <w:r w:rsidRPr="008D1D2B">
        <w:t>aja, 13 prelaza na kojim željezni</w:t>
      </w:r>
      <w:r w:rsidRPr="008D1D2B">
        <w:rPr>
          <w:rFonts w:hint="eastAsia"/>
        </w:rPr>
        <w:t>č</w:t>
      </w:r>
      <w:r w:rsidRPr="008D1D2B">
        <w:t>ki saobra</w:t>
      </w:r>
      <w:r w:rsidRPr="008D1D2B">
        <w:rPr>
          <w:rFonts w:hint="eastAsia"/>
        </w:rPr>
        <w:t>ć</w:t>
      </w:r>
      <w:r w:rsidRPr="008D1D2B">
        <w:t>aj nije obezbije</w:t>
      </w:r>
      <w:r w:rsidRPr="008D1D2B">
        <w:rPr>
          <w:rFonts w:hint="eastAsia"/>
        </w:rPr>
        <w:t>đ</w:t>
      </w:r>
      <w:r w:rsidRPr="008D1D2B">
        <w:t>en odnosno, ispred imenovanih putnih prelaza mašinovo</w:t>
      </w:r>
      <w:r w:rsidRPr="008D1D2B">
        <w:rPr>
          <w:rFonts w:hint="eastAsia"/>
        </w:rPr>
        <w:t>đ</w:t>
      </w:r>
      <w:r w:rsidRPr="008D1D2B">
        <w:t>a mora zaustaviti voz i obezbijediti bezbjedan prelazak voza preko njega (kako je definisano željezni</w:t>
      </w:r>
      <w:r w:rsidRPr="008D1D2B">
        <w:rPr>
          <w:rFonts w:hint="eastAsia"/>
        </w:rPr>
        <w:t>č</w:t>
      </w:r>
      <w:r w:rsidRPr="008D1D2B">
        <w:t>kim saobra</w:t>
      </w:r>
      <w:r w:rsidRPr="008D1D2B">
        <w:rPr>
          <w:rFonts w:hint="eastAsia"/>
        </w:rPr>
        <w:t>ć</w:t>
      </w:r>
      <w:r w:rsidRPr="008D1D2B">
        <w:t>ajnim propisima), i na preostalim putnim prelazima, željezni</w:t>
      </w:r>
      <w:r w:rsidRPr="008D1D2B">
        <w:rPr>
          <w:rFonts w:hint="eastAsia"/>
        </w:rPr>
        <w:t>č</w:t>
      </w:r>
      <w:r w:rsidRPr="008D1D2B">
        <w:t>ki saobra</w:t>
      </w:r>
      <w:r w:rsidRPr="008D1D2B">
        <w:rPr>
          <w:rFonts w:hint="eastAsia"/>
        </w:rPr>
        <w:t>ć</w:t>
      </w:r>
      <w:r w:rsidRPr="008D1D2B">
        <w:t>aj je obezbje</w:t>
      </w:r>
      <w:r w:rsidRPr="008D1D2B">
        <w:rPr>
          <w:rFonts w:hint="eastAsia"/>
        </w:rPr>
        <w:t>đ</w:t>
      </w:r>
      <w:r w:rsidRPr="008D1D2B">
        <w:t>en tr</w:t>
      </w:r>
      <w:r w:rsidR="00341118" w:rsidRPr="008D1D2B">
        <w:t>o</w:t>
      </w:r>
      <w:r w:rsidRPr="008D1D2B">
        <w:t>uglom preglednost</w:t>
      </w:r>
      <w:r w:rsidR="0043023B" w:rsidRPr="008D1D2B">
        <w:rPr>
          <w:lang w:val="sr-Latn-BA"/>
        </w:rPr>
        <w:t>i</w:t>
      </w:r>
      <w:r w:rsidRPr="008D1D2B">
        <w:t>, kako je predvi</w:t>
      </w:r>
      <w:r w:rsidRPr="008D1D2B">
        <w:rPr>
          <w:rFonts w:hint="eastAsia"/>
        </w:rPr>
        <w:t>đ</w:t>
      </w:r>
      <w:r w:rsidRPr="008D1D2B">
        <w:t>eno Pravilnikom 322, o na</w:t>
      </w:r>
      <w:r w:rsidRPr="008D1D2B">
        <w:rPr>
          <w:rFonts w:hint="eastAsia"/>
        </w:rPr>
        <w:t>č</w:t>
      </w:r>
      <w:r w:rsidRPr="008D1D2B">
        <w:t>inu ukrštanja pruga i puta. Iz navedenog pregleda putnih prelaza evidentno je da je nivo automotizacije nizak, odnosno da primaran uticaj na bezbjednost ima ljudski faktor, kako od strane željezni</w:t>
      </w:r>
      <w:r w:rsidRPr="008D1D2B">
        <w:rPr>
          <w:rFonts w:hint="eastAsia"/>
        </w:rPr>
        <w:t>č</w:t>
      </w:r>
      <w:r w:rsidRPr="008D1D2B">
        <w:t>kih radnika tako i od korisnika drumskog saobra</w:t>
      </w:r>
      <w:r w:rsidRPr="008D1D2B">
        <w:rPr>
          <w:rFonts w:hint="eastAsia"/>
        </w:rPr>
        <w:t>ć</w:t>
      </w:r>
      <w:r w:rsidRPr="008D1D2B">
        <w:t>aja koji se na</w:t>
      </w:r>
      <w:r w:rsidRPr="008D1D2B">
        <w:rPr>
          <w:rFonts w:hint="eastAsia"/>
        </w:rPr>
        <w:t>đ</w:t>
      </w:r>
      <w:r w:rsidRPr="008D1D2B">
        <w:t>u na ovim rizi</w:t>
      </w:r>
      <w:r w:rsidRPr="008D1D2B">
        <w:rPr>
          <w:rFonts w:hint="eastAsia"/>
        </w:rPr>
        <w:t>č</w:t>
      </w:r>
      <w:r w:rsidRPr="008D1D2B">
        <w:t>nim ta</w:t>
      </w:r>
      <w:r w:rsidRPr="008D1D2B">
        <w:rPr>
          <w:rFonts w:hint="eastAsia"/>
        </w:rPr>
        <w:t>č</w:t>
      </w:r>
      <w:r w:rsidRPr="008D1D2B">
        <w:t>kama.</w:t>
      </w:r>
      <w:r w:rsidR="008D1D2B" w:rsidRPr="008D1D2B">
        <w:t xml:space="preserve"> (Vasiljević</w:t>
      </w:r>
      <w:r w:rsidR="00C92B91" w:rsidRPr="008D1D2B">
        <w:t xml:space="preserve"> i</w:t>
      </w:r>
      <w:r w:rsidRPr="008D1D2B">
        <w:t xml:space="preserve"> </w:t>
      </w:r>
      <w:r w:rsidR="0043023B" w:rsidRPr="008D1D2B">
        <w:t>dr, 2013)</w:t>
      </w:r>
      <w:r w:rsidR="00C92B91" w:rsidRPr="008D1D2B">
        <w:t xml:space="preserve"> </w:t>
      </w:r>
      <w:r w:rsidR="00F0212E" w:rsidRPr="008D1D2B">
        <w:t>Vanredni doga</w:t>
      </w:r>
      <w:r w:rsidR="00F0212E" w:rsidRPr="008D1D2B">
        <w:rPr>
          <w:rFonts w:hint="eastAsia"/>
        </w:rPr>
        <w:t>đ</w:t>
      </w:r>
      <w:r w:rsidR="00F0212E" w:rsidRPr="008D1D2B">
        <w:t>aji na putnim prelazima uglavnom su kobni za u</w:t>
      </w:r>
      <w:r w:rsidR="00F0212E" w:rsidRPr="008D1D2B">
        <w:rPr>
          <w:rFonts w:hint="eastAsia"/>
        </w:rPr>
        <w:t>č</w:t>
      </w:r>
      <w:r w:rsidR="00F0212E" w:rsidRPr="008D1D2B">
        <w:t>esnike u drumskom saobra</w:t>
      </w:r>
      <w:r w:rsidR="00F0212E" w:rsidRPr="008D1D2B">
        <w:rPr>
          <w:rFonts w:hint="eastAsia"/>
        </w:rPr>
        <w:t>ć</w:t>
      </w:r>
      <w:r w:rsidR="00F0212E" w:rsidRPr="008D1D2B">
        <w:t>aju, ma</w:t>
      </w:r>
      <w:r w:rsidR="004F2680" w:rsidRPr="008D1D2B">
        <w:rPr>
          <w:lang w:val="sr-Latn-BA"/>
        </w:rPr>
        <w:t xml:space="preserve"> </w:t>
      </w:r>
      <w:r w:rsidR="00F0212E" w:rsidRPr="008D1D2B">
        <w:t>da se sa pove</w:t>
      </w:r>
      <w:r w:rsidR="00F0212E" w:rsidRPr="008D1D2B">
        <w:rPr>
          <w:rFonts w:hint="eastAsia"/>
        </w:rPr>
        <w:t>ć</w:t>
      </w:r>
      <w:r w:rsidR="00F0212E" w:rsidRPr="008D1D2B">
        <w:t>anjem težine drumskih vozila i uvo</w:t>
      </w:r>
      <w:r w:rsidR="00F0212E" w:rsidRPr="008D1D2B">
        <w:rPr>
          <w:rFonts w:hint="eastAsia"/>
        </w:rPr>
        <w:t>đ</w:t>
      </w:r>
      <w:r w:rsidR="00F0212E" w:rsidRPr="008D1D2B">
        <w:t>enjem lakih putni</w:t>
      </w:r>
      <w:r w:rsidR="00F0212E" w:rsidRPr="008D1D2B">
        <w:rPr>
          <w:rFonts w:hint="eastAsia"/>
        </w:rPr>
        <w:t>č</w:t>
      </w:r>
      <w:r w:rsidR="00F0212E" w:rsidRPr="008D1D2B">
        <w:t>kih garnitura javlja sve ve</w:t>
      </w:r>
      <w:r w:rsidR="00F0212E" w:rsidRPr="008D1D2B">
        <w:rPr>
          <w:rFonts w:hint="eastAsia"/>
        </w:rPr>
        <w:t>ć</w:t>
      </w:r>
      <w:r w:rsidR="00F0212E" w:rsidRPr="008D1D2B">
        <w:t>i broj žrtava i me</w:t>
      </w:r>
      <w:r w:rsidR="00F0212E" w:rsidRPr="008D1D2B">
        <w:rPr>
          <w:rFonts w:hint="eastAsia"/>
        </w:rPr>
        <w:t>đ</w:t>
      </w:r>
      <w:r w:rsidR="00F0212E" w:rsidRPr="008D1D2B">
        <w:t>u u</w:t>
      </w:r>
      <w:r w:rsidR="00F0212E" w:rsidRPr="008D1D2B">
        <w:rPr>
          <w:rFonts w:hint="eastAsia"/>
        </w:rPr>
        <w:t>č</w:t>
      </w:r>
      <w:r w:rsidR="00F0212E" w:rsidRPr="008D1D2B">
        <w:t>esnicima u željezni</w:t>
      </w:r>
      <w:r w:rsidR="00F0212E" w:rsidRPr="008D1D2B">
        <w:rPr>
          <w:rFonts w:hint="eastAsia"/>
        </w:rPr>
        <w:t>č</w:t>
      </w:r>
      <w:r w:rsidR="00F0212E" w:rsidRPr="008D1D2B">
        <w:t>kom saobra</w:t>
      </w:r>
      <w:r w:rsidR="00F0212E" w:rsidRPr="008D1D2B">
        <w:rPr>
          <w:rFonts w:hint="eastAsia"/>
        </w:rPr>
        <w:t>ć</w:t>
      </w:r>
      <w:r w:rsidR="00F0212E" w:rsidRPr="008D1D2B">
        <w:t>aju. Vanredni doga</w:t>
      </w:r>
      <w:r w:rsidR="00F0212E" w:rsidRPr="008D1D2B">
        <w:rPr>
          <w:rFonts w:hint="eastAsia"/>
        </w:rPr>
        <w:t>đ</w:t>
      </w:r>
      <w:r w:rsidR="00F0212E" w:rsidRPr="008D1D2B">
        <w:t>aji na putnim prelazima odnose svake godine veliki broj ljudskih života i pri</w:t>
      </w:r>
      <w:r w:rsidR="00F0212E" w:rsidRPr="008D1D2B">
        <w:rPr>
          <w:rFonts w:hint="eastAsia"/>
        </w:rPr>
        <w:t>č</w:t>
      </w:r>
      <w:r w:rsidR="00F0212E" w:rsidRPr="008D1D2B">
        <w:t>injavaju znatne materijalne štete. Prosje</w:t>
      </w:r>
      <w:r w:rsidR="00F0212E" w:rsidRPr="008D1D2B">
        <w:rPr>
          <w:rFonts w:hint="eastAsia"/>
        </w:rPr>
        <w:t>č</w:t>
      </w:r>
      <w:r w:rsidR="00F0212E" w:rsidRPr="008D1D2B">
        <w:t xml:space="preserve">no godišnje na </w:t>
      </w:r>
      <w:r w:rsidR="0043023B" w:rsidRPr="008D1D2B">
        <w:rPr>
          <w:lang w:val="sr-Latn-BA"/>
        </w:rPr>
        <w:t>putnim</w:t>
      </w:r>
      <w:r w:rsidR="00F0212E" w:rsidRPr="008D1D2B">
        <w:t xml:space="preserve"> prelazima u Republici Srpskoj više od 5 ljudi izgubi život, dok više od 6 biva teško povrije</w:t>
      </w:r>
      <w:r w:rsidR="00F0212E" w:rsidRPr="008D1D2B">
        <w:rPr>
          <w:rFonts w:hint="eastAsia"/>
        </w:rPr>
        <w:t>đ</w:t>
      </w:r>
      <w:r w:rsidR="00F0212E" w:rsidRPr="008D1D2B">
        <w:t xml:space="preserve">eno. </w:t>
      </w:r>
    </w:p>
    <w:p w:rsidR="005E1AC0" w:rsidRPr="008D1D2B" w:rsidRDefault="00522677" w:rsidP="0043023B">
      <w:pPr>
        <w:pStyle w:val="Tekst"/>
        <w:rPr>
          <w:rFonts w:cs="Calibri"/>
          <w:lang w:val="bs-Latn-BA"/>
        </w:rPr>
      </w:pPr>
      <w:r w:rsidRPr="008D1D2B">
        <w:rPr>
          <w:rFonts w:cs="Calibri"/>
          <w:lang w:val="bs-Latn-BA"/>
        </w:rPr>
        <w:t>Vanredni događaj u željezničkom saobraćaju je događaj zbog koga je nastala najmanje jedna od sljedećih posl</w:t>
      </w:r>
      <w:r w:rsidR="00DB6C90" w:rsidRPr="008D1D2B">
        <w:rPr>
          <w:rFonts w:cs="Calibri"/>
          <w:lang w:val="bs-Latn-BA"/>
        </w:rPr>
        <w:t>j</w:t>
      </w:r>
      <w:r w:rsidRPr="008D1D2B">
        <w:rPr>
          <w:rFonts w:cs="Calibri"/>
          <w:lang w:val="bs-Latn-BA"/>
        </w:rPr>
        <w:t xml:space="preserve">edica: smrt, teža ili lakša ozljeda lica, materijalna šteta, prekid, ugrožavanje ili otežano odvijanje željezničkog saobraćaja. </w:t>
      </w:r>
    </w:p>
    <w:p w:rsidR="005E1AC0" w:rsidRPr="008D1D2B" w:rsidRDefault="00522677" w:rsidP="0043023B">
      <w:pPr>
        <w:pStyle w:val="Tekst"/>
        <w:rPr>
          <w:rFonts w:cs="Calibri"/>
          <w:lang w:val="bs-Latn-BA"/>
        </w:rPr>
      </w:pPr>
      <w:r w:rsidRPr="008D1D2B">
        <w:rPr>
          <w:rFonts w:cs="Calibri"/>
          <w:lang w:val="bs-Latn-BA"/>
        </w:rPr>
        <w:t>Vanredni događaji</w:t>
      </w:r>
      <w:r w:rsidR="008D1D2B" w:rsidRPr="008D1D2B">
        <w:rPr>
          <w:rFonts w:cs="Calibri"/>
          <w:lang w:val="bs-Latn-BA"/>
        </w:rPr>
        <w:t xml:space="preserve"> u željezničkom</w:t>
      </w:r>
      <w:r w:rsidRPr="008D1D2B">
        <w:rPr>
          <w:rFonts w:cs="Calibri"/>
          <w:lang w:val="bs-Latn-BA"/>
        </w:rPr>
        <w:t xml:space="preserve"> saobraćaju dijele se na</w:t>
      </w:r>
      <w:r w:rsidR="005E1AC0" w:rsidRPr="008D1D2B">
        <w:rPr>
          <w:rFonts w:cs="Calibri"/>
          <w:lang w:val="bs-Latn-BA"/>
        </w:rPr>
        <w:t>:</w:t>
      </w:r>
    </w:p>
    <w:p w:rsidR="005E1AC0" w:rsidRPr="008D1D2B" w:rsidRDefault="00AC3A0C" w:rsidP="00AC3A0C">
      <w:pPr>
        <w:pStyle w:val="Nabrajanje"/>
      </w:pPr>
      <w:r w:rsidRPr="008D1D2B">
        <w:t xml:space="preserve">udese </w:t>
      </w:r>
      <w:r w:rsidRPr="008D1D2B">
        <w:rPr>
          <w:lang w:val="sr-Latn-BA"/>
        </w:rPr>
        <w:t>i</w:t>
      </w:r>
    </w:p>
    <w:p w:rsidR="00AC3A0C" w:rsidRPr="008D1D2B" w:rsidRDefault="00AC3A0C" w:rsidP="00AC3A0C">
      <w:pPr>
        <w:pStyle w:val="Nabrajanje"/>
      </w:pPr>
      <w:r w:rsidRPr="008D1D2B">
        <w:lastRenderedPageBreak/>
        <w:t>nezgode</w:t>
      </w:r>
      <w:r w:rsidR="00522677" w:rsidRPr="008D1D2B">
        <w:t xml:space="preserve">. </w:t>
      </w:r>
      <w:bookmarkStart w:id="0" w:name="_GoBack"/>
      <w:bookmarkEnd w:id="0"/>
    </w:p>
    <w:p w:rsidR="008D1D2B" w:rsidRPr="008D1D2B" w:rsidRDefault="00AC3A0C" w:rsidP="00AC3A0C">
      <w:pPr>
        <w:pStyle w:val="Tekst"/>
        <w:rPr>
          <w:lang w:val="sr-Latn-BA"/>
        </w:rPr>
      </w:pPr>
      <w:r w:rsidRPr="008D1D2B">
        <w:t>Udes je vanredni doga</w:t>
      </w:r>
      <w:r w:rsidRPr="008D1D2B">
        <w:rPr>
          <w:rFonts w:hint="eastAsia"/>
        </w:rPr>
        <w:t>đ</w:t>
      </w:r>
      <w:r w:rsidRPr="008D1D2B">
        <w:t>aj u kome je jedno ili više lica poginulo ili teže povrije</w:t>
      </w:r>
      <w:r w:rsidRPr="008D1D2B">
        <w:rPr>
          <w:rFonts w:hint="eastAsia"/>
        </w:rPr>
        <w:t>đ</w:t>
      </w:r>
      <w:r w:rsidRPr="008D1D2B">
        <w:t>eno, u kome je nastala znatna materijalna šteta (ve</w:t>
      </w:r>
      <w:r w:rsidRPr="008D1D2B">
        <w:rPr>
          <w:rFonts w:hint="eastAsia"/>
        </w:rPr>
        <w:t>ć</w:t>
      </w:r>
      <w:r w:rsidRPr="008D1D2B">
        <w:t>a od 10.000,00 KM) ili ve</w:t>
      </w:r>
      <w:r w:rsidRPr="008D1D2B">
        <w:rPr>
          <w:rFonts w:hint="eastAsia"/>
        </w:rPr>
        <w:t>ć</w:t>
      </w:r>
      <w:r w:rsidRPr="008D1D2B">
        <w:t>i prekid odvijanja željezni</w:t>
      </w:r>
      <w:r w:rsidRPr="008D1D2B">
        <w:rPr>
          <w:rFonts w:hint="eastAsia"/>
        </w:rPr>
        <w:t>č</w:t>
      </w:r>
      <w:r w:rsidRPr="008D1D2B">
        <w:t>kog saobra</w:t>
      </w:r>
      <w:r w:rsidRPr="008D1D2B">
        <w:rPr>
          <w:rFonts w:hint="eastAsia"/>
        </w:rPr>
        <w:t>ć</w:t>
      </w:r>
      <w:r w:rsidRPr="008D1D2B">
        <w:t xml:space="preserve">aja (duži od šest </w:t>
      </w:r>
      <w:r w:rsidRPr="008D1D2B">
        <w:rPr>
          <w:rFonts w:hint="eastAsia"/>
        </w:rPr>
        <w:t>č</w:t>
      </w:r>
      <w:r w:rsidRPr="008D1D2B">
        <w:t>asova).</w:t>
      </w:r>
      <w:r w:rsidRPr="008D1D2B">
        <w:rPr>
          <w:lang w:val="sr-Latn-BA"/>
        </w:rPr>
        <w:t xml:space="preserve"> </w:t>
      </w:r>
    </w:p>
    <w:p w:rsidR="005E1AC0" w:rsidRPr="008D1D2B" w:rsidRDefault="005D301E" w:rsidP="00AC3A0C">
      <w:pPr>
        <w:pStyle w:val="Tekst"/>
        <w:rPr>
          <w:lang w:val="sr-Latn-RS"/>
        </w:rPr>
      </w:pPr>
      <w:r w:rsidRPr="008D1D2B">
        <w:rPr>
          <w:rFonts w:cs="Calibri"/>
          <w:lang w:val="bs-Latn-BA"/>
        </w:rPr>
        <w:t>Nezgoda je vanredni doga</w:t>
      </w:r>
      <w:r w:rsidRPr="008D1D2B">
        <w:rPr>
          <w:rFonts w:cs="Calibri" w:hint="eastAsia"/>
          <w:lang w:val="bs-Latn-BA"/>
        </w:rPr>
        <w:t>đ</w:t>
      </w:r>
      <w:r w:rsidRPr="008D1D2B">
        <w:rPr>
          <w:rFonts w:cs="Calibri"/>
          <w:lang w:val="bs-Latn-BA"/>
        </w:rPr>
        <w:t>aj u kome je jedno ili više lica lakše povrije</w:t>
      </w:r>
      <w:r w:rsidRPr="008D1D2B">
        <w:rPr>
          <w:rFonts w:cs="Calibri" w:hint="eastAsia"/>
          <w:lang w:val="bs-Latn-BA"/>
        </w:rPr>
        <w:t>đ</w:t>
      </w:r>
      <w:r w:rsidRPr="008D1D2B">
        <w:rPr>
          <w:rFonts w:cs="Calibri"/>
          <w:lang w:val="bs-Latn-BA"/>
        </w:rPr>
        <w:t>eno ili je nastala manja materijalna šteta, kra</w:t>
      </w:r>
      <w:r w:rsidRPr="008D1D2B">
        <w:rPr>
          <w:rFonts w:cs="Calibri" w:hint="eastAsia"/>
          <w:lang w:val="bs-Latn-BA"/>
        </w:rPr>
        <w:t>ć</w:t>
      </w:r>
      <w:r w:rsidRPr="008D1D2B">
        <w:rPr>
          <w:rFonts w:cs="Calibri"/>
          <w:lang w:val="bs-Latn-BA"/>
        </w:rPr>
        <w:t>i prekid odvijanja željezni</w:t>
      </w:r>
      <w:r w:rsidRPr="008D1D2B">
        <w:rPr>
          <w:rFonts w:cs="Calibri" w:hint="eastAsia"/>
          <w:lang w:val="bs-Latn-BA"/>
        </w:rPr>
        <w:t>č</w:t>
      </w:r>
      <w:r w:rsidRPr="008D1D2B">
        <w:rPr>
          <w:rFonts w:cs="Calibri"/>
          <w:lang w:val="bs-Latn-BA"/>
        </w:rPr>
        <w:t>kog saobra</w:t>
      </w:r>
      <w:r w:rsidRPr="008D1D2B">
        <w:rPr>
          <w:rFonts w:cs="Calibri" w:hint="eastAsia"/>
          <w:lang w:val="bs-Latn-BA"/>
        </w:rPr>
        <w:t>ć</w:t>
      </w:r>
      <w:r w:rsidRPr="008D1D2B">
        <w:rPr>
          <w:rFonts w:cs="Calibri"/>
          <w:lang w:val="bs-Latn-BA"/>
        </w:rPr>
        <w:t>aja ili ugrožavanje i otežano odvijanje željezni</w:t>
      </w:r>
      <w:r w:rsidRPr="008D1D2B">
        <w:rPr>
          <w:rFonts w:cs="Calibri" w:hint="eastAsia"/>
          <w:lang w:val="bs-Latn-BA"/>
        </w:rPr>
        <w:t>č</w:t>
      </w:r>
      <w:r w:rsidRPr="008D1D2B">
        <w:rPr>
          <w:rFonts w:cs="Calibri"/>
          <w:lang w:val="bs-Latn-BA"/>
        </w:rPr>
        <w:t>kog saobra</w:t>
      </w:r>
      <w:r w:rsidRPr="008D1D2B">
        <w:rPr>
          <w:rFonts w:cs="Calibri" w:hint="eastAsia"/>
          <w:lang w:val="bs-Latn-BA"/>
        </w:rPr>
        <w:t>ć</w:t>
      </w:r>
      <w:r w:rsidRPr="008D1D2B">
        <w:rPr>
          <w:rFonts w:cs="Calibri"/>
          <w:lang w:val="bs-Latn-BA"/>
        </w:rPr>
        <w:t xml:space="preserve">aja. </w:t>
      </w:r>
      <w:r w:rsidR="008D1D2B" w:rsidRPr="008D1D2B">
        <w:t>(Izvještaj o stanju bezbjednosti i urednosti u željezničkom saobraćaju, 2006-20015)</w:t>
      </w:r>
    </w:p>
    <w:p w:rsidR="00BC3AE1" w:rsidRPr="008D1D2B" w:rsidRDefault="005E1AC0" w:rsidP="00AC3A0C">
      <w:pPr>
        <w:pStyle w:val="Tekst"/>
        <w:rPr>
          <w:rFonts w:cs="Calibri"/>
          <w:lang w:val="bs-Latn-BA"/>
        </w:rPr>
      </w:pPr>
      <w:r w:rsidRPr="008D1D2B">
        <w:rPr>
          <w:rFonts w:cs="Calibri"/>
          <w:lang w:val="bs-Latn-BA"/>
        </w:rPr>
        <w:t>U ovom radu data je analiza stanja bezbjednosti na putnim prelazima u Republici Srpskoj z</w:t>
      </w:r>
      <w:r w:rsidR="00BC3AE1" w:rsidRPr="008D1D2B">
        <w:rPr>
          <w:rFonts w:cs="Calibri"/>
          <w:lang w:val="bs-Latn-BA"/>
        </w:rPr>
        <w:t>a period od 2006 – 2015. godine.</w:t>
      </w:r>
    </w:p>
    <w:p w:rsidR="00A918B2" w:rsidRPr="008D1D2B" w:rsidRDefault="008370A3" w:rsidP="00AC3A0C">
      <w:pPr>
        <w:pStyle w:val="Tekst"/>
        <w:rPr>
          <w:rFonts w:cs="Calibri"/>
          <w:lang w:val="bs-Latn-BA"/>
        </w:rPr>
      </w:pPr>
      <w:r w:rsidRPr="008D1D2B">
        <w:rPr>
          <w:rFonts w:cs="Calibri"/>
          <w:lang w:val="bs-Latn-BA"/>
        </w:rPr>
        <w:t>Cilj rada je da se na osnovu urađene analize poveća nivo bezbjednosti na putnim prelazima kao i da se smanji broj ljudskih žrtava i materijalne štete nastalih vanrednim događajima.</w:t>
      </w:r>
    </w:p>
    <w:p w:rsidR="00EF704E" w:rsidRPr="008D1D2B" w:rsidRDefault="00EF704E" w:rsidP="00EF704E">
      <w:pPr>
        <w:pStyle w:val="Heading1"/>
        <w:rPr>
          <w:rFonts w:eastAsia="Calibri"/>
          <w:lang w:val="bs-Latn-BA"/>
        </w:rPr>
      </w:pPr>
      <w:r w:rsidRPr="008D1D2B">
        <w:rPr>
          <w:rFonts w:eastAsia="Calibri"/>
          <w:lang w:val="bs-Latn-BA"/>
        </w:rPr>
        <w:t>Metod istraživanja</w:t>
      </w:r>
    </w:p>
    <w:p w:rsidR="00BC3AE1" w:rsidRPr="008D1D2B" w:rsidRDefault="00BC3AE1" w:rsidP="00827589">
      <w:pPr>
        <w:jc w:val="both"/>
        <w:rPr>
          <w:rFonts w:ascii="Calibri" w:eastAsia="Calibri" w:hAnsi="Calibri" w:cs="Calibri"/>
          <w:sz w:val="20"/>
          <w:lang w:val="bs-Latn-BA"/>
        </w:rPr>
      </w:pPr>
      <w:r w:rsidRPr="008D1D2B">
        <w:rPr>
          <w:rFonts w:ascii="Calibri" w:eastAsia="Calibri" w:hAnsi="Calibri" w:cs="Calibri"/>
          <w:sz w:val="20"/>
          <w:lang w:val="bs-Latn-BA"/>
        </w:rPr>
        <w:t>Podaci za analizu stanja bezbjednosti uzeti su iz Izvještaja</w:t>
      </w:r>
      <w:r w:rsidR="00827589" w:rsidRPr="008D1D2B">
        <w:rPr>
          <w:rFonts w:ascii="Calibri" w:eastAsia="Calibri" w:hAnsi="Calibri" w:cs="Calibri"/>
          <w:sz w:val="20"/>
          <w:lang w:val="bs-Latn-BA"/>
        </w:rPr>
        <w:t xml:space="preserve"> o stanju bezbjednosti i urednosti u željezničkom saobraćaju koji se rade svake godine na Željeznicama Republike Srpske. </w:t>
      </w:r>
      <w:r w:rsidR="00FA0CA1" w:rsidRPr="008D1D2B">
        <w:rPr>
          <w:rFonts w:ascii="Calibri" w:eastAsia="Calibri" w:hAnsi="Calibri" w:cs="Calibri"/>
          <w:sz w:val="20"/>
          <w:lang w:val="bs-Latn-BA"/>
        </w:rPr>
        <w:t xml:space="preserve"> Analiziran je period od deset godina.</w:t>
      </w:r>
      <w:r w:rsidR="00827589" w:rsidRPr="008D1D2B">
        <w:rPr>
          <w:rFonts w:ascii="Calibri" w:eastAsia="Calibri" w:hAnsi="Calibri" w:cs="Calibri"/>
          <w:sz w:val="20"/>
          <w:lang w:val="bs-Latn-BA"/>
        </w:rPr>
        <w:t xml:space="preserve"> Broj udesa na putnim prelazima dat je u Tabeli 1.</w:t>
      </w:r>
      <w:r w:rsidR="00AC3A0C" w:rsidRPr="008D1D2B">
        <w:rPr>
          <w:rFonts w:ascii="Calibri" w:eastAsia="Calibri" w:hAnsi="Calibri" w:cs="Calibri"/>
          <w:sz w:val="20"/>
          <w:lang w:val="bs-Latn-BA"/>
        </w:rPr>
        <w:t>,</w:t>
      </w:r>
      <w:r w:rsidR="00827589" w:rsidRPr="008D1D2B">
        <w:rPr>
          <w:rFonts w:ascii="Calibri" w:eastAsia="Calibri" w:hAnsi="Calibri" w:cs="Calibri"/>
          <w:sz w:val="20"/>
          <w:lang w:val="bs-Latn-BA"/>
        </w:rPr>
        <w:t xml:space="preserve"> a broj nezgoda na putnim prelazima dat je u Tabeli 2. </w:t>
      </w:r>
    </w:p>
    <w:p w:rsidR="005D301E" w:rsidRPr="008D1D2B" w:rsidRDefault="005D301E" w:rsidP="00827589">
      <w:pPr>
        <w:jc w:val="both"/>
        <w:rPr>
          <w:rFonts w:ascii="Calibri" w:eastAsia="Calibri" w:hAnsi="Calibri" w:cs="Calibri"/>
          <w:sz w:val="20"/>
          <w:lang w:val="bs-Latn-BA"/>
        </w:rPr>
      </w:pPr>
    </w:p>
    <w:p w:rsidR="009B7C46" w:rsidRPr="008D1D2B" w:rsidRDefault="00BC3AE1" w:rsidP="008E58E3">
      <w:pPr>
        <w:pStyle w:val="Tabelanatpis"/>
        <w:numPr>
          <w:ilvl w:val="0"/>
          <w:numId w:val="0"/>
        </w:numPr>
        <w:jc w:val="both"/>
      </w:pPr>
      <w:r w:rsidRPr="008D1D2B">
        <w:rPr>
          <w:b/>
        </w:rPr>
        <w:t>Tabela 1.</w:t>
      </w:r>
      <w:r w:rsidRPr="008D1D2B">
        <w:t xml:space="preserve"> </w:t>
      </w:r>
      <w:r w:rsidR="00B81FE5" w:rsidRPr="008D1D2B">
        <w:t>Broj</w:t>
      </w:r>
      <w:r w:rsidRPr="008D1D2B">
        <w:t xml:space="preserve"> </w:t>
      </w:r>
      <w:r w:rsidR="00B81FE5" w:rsidRPr="008D1D2B">
        <w:t>udesa</w:t>
      </w:r>
      <w:r w:rsidRPr="008D1D2B">
        <w:t xml:space="preserve"> na putnim prelazima</w:t>
      </w:r>
      <w:r w:rsidR="00827589" w:rsidRPr="008D1D2B">
        <w:tab/>
      </w:r>
      <w:r w:rsidR="005D301E" w:rsidRPr="008D1D2B">
        <w:t xml:space="preserve">                        </w:t>
      </w:r>
    </w:p>
    <w:tbl>
      <w:tblPr>
        <w:tblpPr w:leftFromText="180" w:rightFromText="180" w:vertAnchor="text" w:tblpXSpec="center" w:tblpY="1"/>
        <w:tblOverlap w:val="never"/>
        <w:tblW w:w="8221" w:type="dxa"/>
        <w:tblLook w:val="04A0" w:firstRow="1" w:lastRow="0" w:firstColumn="1" w:lastColumn="0" w:noHBand="0" w:noVBand="1"/>
      </w:tblPr>
      <w:tblGrid>
        <w:gridCol w:w="3727"/>
        <w:gridCol w:w="4494"/>
      </w:tblGrid>
      <w:tr w:rsidR="00827589" w:rsidRPr="008D1D2B" w:rsidTr="00AC3A0C">
        <w:trPr>
          <w:trHeight w:val="1170"/>
        </w:trPr>
        <w:tc>
          <w:tcPr>
            <w:tcW w:w="3727" w:type="dxa"/>
            <w:tcBorders>
              <w:top w:val="nil"/>
              <w:left w:val="nil"/>
              <w:bottom w:val="single" w:sz="8" w:space="0" w:color="FFFFFF"/>
              <w:right w:val="nil"/>
            </w:tcBorders>
            <w:shd w:val="clear" w:color="000000" w:fill="FBD4B4"/>
            <w:vAlign w:val="center"/>
            <w:hideMark/>
          </w:tcPr>
          <w:p w:rsidR="00744DC1" w:rsidRPr="008D1D2B" w:rsidRDefault="00744DC1" w:rsidP="00AC3A0C">
            <w:pPr>
              <w:jc w:val="center"/>
              <w:rPr>
                <w:rFonts w:ascii="Calibri" w:hAnsi="Calibri" w:cs="Calibri"/>
                <w:color w:val="FFFFFF"/>
                <w:sz w:val="20"/>
                <w:lang w:val="sr-Latn-RS" w:eastAsia="sr-Latn-RS"/>
              </w:rPr>
            </w:pPr>
            <w:r w:rsidRPr="008D1D2B">
              <w:rPr>
                <w:rFonts w:ascii="Calibri" w:hAnsi="Calibri" w:cs="Calibri"/>
                <w:sz w:val="20"/>
                <w:lang w:val="sr-Latn-RS" w:eastAsia="sr-Latn-RS"/>
              </w:rPr>
              <w:t>GODINA</w:t>
            </w:r>
          </w:p>
        </w:tc>
        <w:tc>
          <w:tcPr>
            <w:tcW w:w="4494" w:type="dxa"/>
            <w:tcBorders>
              <w:top w:val="nil"/>
              <w:left w:val="nil"/>
              <w:bottom w:val="single" w:sz="8" w:space="0" w:color="FFFFFF"/>
              <w:right w:val="nil"/>
            </w:tcBorders>
            <w:shd w:val="clear" w:color="000000" w:fill="FBD4B4"/>
            <w:vAlign w:val="center"/>
            <w:hideMark/>
          </w:tcPr>
          <w:p w:rsidR="00744DC1" w:rsidRPr="008D1D2B" w:rsidRDefault="00744DC1" w:rsidP="00827589">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UDESI NA PUTNIM PRELAZIMA</w:t>
            </w:r>
          </w:p>
        </w:tc>
      </w:tr>
      <w:tr w:rsidR="005F4CFF" w:rsidRPr="008D1D2B" w:rsidTr="005F4CFF">
        <w:trPr>
          <w:trHeight w:val="391"/>
        </w:trPr>
        <w:tc>
          <w:tcPr>
            <w:tcW w:w="3727" w:type="dxa"/>
            <w:tcBorders>
              <w:top w:val="nil"/>
              <w:left w:val="nil"/>
              <w:bottom w:val="single" w:sz="8" w:space="0" w:color="FFFFFF"/>
              <w:right w:val="nil"/>
            </w:tcBorders>
            <w:shd w:val="clear" w:color="000000" w:fill="E36C0A"/>
            <w:vAlign w:val="center"/>
            <w:hideMark/>
          </w:tcPr>
          <w:p w:rsidR="00827589" w:rsidRPr="008D1D2B" w:rsidRDefault="00827589" w:rsidP="00827589">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 xml:space="preserve">   </w:t>
            </w:r>
            <w:r w:rsidR="00744DC1" w:rsidRPr="008D1D2B">
              <w:rPr>
                <w:rFonts w:ascii="Calibri" w:hAnsi="Calibri" w:cs="Calibri"/>
                <w:color w:val="FFFFFF"/>
                <w:sz w:val="20"/>
                <w:lang w:val="sr-Latn-RS" w:eastAsia="sr-Latn-RS"/>
              </w:rPr>
              <w:t>2006</w:t>
            </w:r>
          </w:p>
        </w:tc>
        <w:tc>
          <w:tcPr>
            <w:tcW w:w="4494" w:type="dxa"/>
            <w:tcBorders>
              <w:top w:val="nil"/>
              <w:left w:val="nil"/>
              <w:bottom w:val="single" w:sz="8" w:space="0" w:color="FFFFFF"/>
              <w:right w:val="nil"/>
            </w:tcBorders>
            <w:shd w:val="clear" w:color="000000" w:fill="FBCAA2"/>
            <w:vAlign w:val="center"/>
            <w:hideMark/>
          </w:tcPr>
          <w:p w:rsidR="00744DC1" w:rsidRPr="008D1D2B" w:rsidRDefault="00744DC1" w:rsidP="00827589">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4</w:t>
            </w:r>
          </w:p>
        </w:tc>
      </w:tr>
      <w:tr w:rsidR="005F4CFF" w:rsidRPr="008D1D2B" w:rsidTr="005F4CFF">
        <w:trPr>
          <w:trHeight w:val="391"/>
        </w:trPr>
        <w:tc>
          <w:tcPr>
            <w:tcW w:w="3727" w:type="dxa"/>
            <w:tcBorders>
              <w:top w:val="nil"/>
              <w:left w:val="nil"/>
              <w:bottom w:val="single" w:sz="8" w:space="0" w:color="FFFFFF"/>
              <w:right w:val="nil"/>
            </w:tcBorders>
            <w:shd w:val="clear" w:color="000000" w:fill="E36C0A"/>
            <w:vAlign w:val="center"/>
            <w:hideMark/>
          </w:tcPr>
          <w:p w:rsidR="00827589" w:rsidRPr="008D1D2B" w:rsidRDefault="00744DC1" w:rsidP="00827589">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2007</w:t>
            </w:r>
          </w:p>
        </w:tc>
        <w:tc>
          <w:tcPr>
            <w:tcW w:w="4494" w:type="dxa"/>
            <w:tcBorders>
              <w:top w:val="nil"/>
              <w:left w:val="nil"/>
              <w:bottom w:val="single" w:sz="8" w:space="0" w:color="FFFFFF"/>
              <w:right w:val="nil"/>
            </w:tcBorders>
            <w:shd w:val="clear" w:color="000000" w:fill="FDE9D9"/>
            <w:vAlign w:val="center"/>
            <w:hideMark/>
          </w:tcPr>
          <w:p w:rsidR="00744DC1" w:rsidRPr="008D1D2B" w:rsidRDefault="00744DC1" w:rsidP="00827589">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3</w:t>
            </w:r>
          </w:p>
        </w:tc>
      </w:tr>
      <w:tr w:rsidR="005F4CFF" w:rsidRPr="008D1D2B" w:rsidTr="005F4CFF">
        <w:trPr>
          <w:trHeight w:val="391"/>
        </w:trPr>
        <w:tc>
          <w:tcPr>
            <w:tcW w:w="3727" w:type="dxa"/>
            <w:tcBorders>
              <w:top w:val="nil"/>
              <w:left w:val="nil"/>
              <w:bottom w:val="single" w:sz="8" w:space="0" w:color="FFFFFF"/>
              <w:right w:val="nil"/>
            </w:tcBorders>
            <w:shd w:val="clear" w:color="000000" w:fill="E36C0A"/>
            <w:vAlign w:val="center"/>
            <w:hideMark/>
          </w:tcPr>
          <w:p w:rsidR="00827589" w:rsidRPr="008D1D2B" w:rsidRDefault="00744DC1" w:rsidP="00827589">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2008</w:t>
            </w:r>
          </w:p>
        </w:tc>
        <w:tc>
          <w:tcPr>
            <w:tcW w:w="4494" w:type="dxa"/>
            <w:tcBorders>
              <w:top w:val="nil"/>
              <w:left w:val="nil"/>
              <w:bottom w:val="single" w:sz="8" w:space="0" w:color="FFFFFF"/>
              <w:right w:val="nil"/>
            </w:tcBorders>
            <w:shd w:val="clear" w:color="000000" w:fill="FBCAA2"/>
            <w:vAlign w:val="center"/>
            <w:hideMark/>
          </w:tcPr>
          <w:p w:rsidR="00744DC1" w:rsidRPr="008D1D2B" w:rsidRDefault="00744DC1" w:rsidP="00827589">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1</w:t>
            </w:r>
          </w:p>
        </w:tc>
      </w:tr>
      <w:tr w:rsidR="005F4CFF" w:rsidRPr="008D1D2B" w:rsidTr="005F4CFF">
        <w:trPr>
          <w:trHeight w:val="391"/>
        </w:trPr>
        <w:tc>
          <w:tcPr>
            <w:tcW w:w="3727" w:type="dxa"/>
            <w:tcBorders>
              <w:top w:val="nil"/>
              <w:left w:val="nil"/>
              <w:bottom w:val="single" w:sz="8" w:space="0" w:color="FFFFFF"/>
              <w:right w:val="nil"/>
            </w:tcBorders>
            <w:shd w:val="clear" w:color="000000" w:fill="E36C0A"/>
            <w:vAlign w:val="center"/>
            <w:hideMark/>
          </w:tcPr>
          <w:p w:rsidR="00827589" w:rsidRPr="008D1D2B" w:rsidRDefault="00744DC1" w:rsidP="00827589">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2009</w:t>
            </w:r>
          </w:p>
        </w:tc>
        <w:tc>
          <w:tcPr>
            <w:tcW w:w="4494" w:type="dxa"/>
            <w:tcBorders>
              <w:top w:val="nil"/>
              <w:left w:val="nil"/>
              <w:bottom w:val="single" w:sz="8" w:space="0" w:color="FFFFFF"/>
              <w:right w:val="nil"/>
            </w:tcBorders>
            <w:shd w:val="clear" w:color="000000" w:fill="FDE9D9"/>
            <w:vAlign w:val="center"/>
            <w:hideMark/>
          </w:tcPr>
          <w:p w:rsidR="00744DC1" w:rsidRPr="008D1D2B" w:rsidRDefault="00744DC1" w:rsidP="00827589">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2</w:t>
            </w:r>
          </w:p>
        </w:tc>
      </w:tr>
      <w:tr w:rsidR="005F4CFF" w:rsidRPr="008D1D2B" w:rsidTr="005F4CFF">
        <w:trPr>
          <w:trHeight w:val="391"/>
        </w:trPr>
        <w:tc>
          <w:tcPr>
            <w:tcW w:w="3727" w:type="dxa"/>
            <w:tcBorders>
              <w:top w:val="nil"/>
              <w:left w:val="nil"/>
              <w:bottom w:val="single" w:sz="8" w:space="0" w:color="FFFFFF"/>
              <w:right w:val="nil"/>
            </w:tcBorders>
            <w:shd w:val="clear" w:color="000000" w:fill="E36C0A"/>
            <w:vAlign w:val="center"/>
            <w:hideMark/>
          </w:tcPr>
          <w:p w:rsidR="00827589" w:rsidRPr="008D1D2B" w:rsidRDefault="00744DC1" w:rsidP="00827589">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2010</w:t>
            </w:r>
          </w:p>
        </w:tc>
        <w:tc>
          <w:tcPr>
            <w:tcW w:w="4494" w:type="dxa"/>
            <w:tcBorders>
              <w:top w:val="nil"/>
              <w:left w:val="nil"/>
              <w:bottom w:val="single" w:sz="8" w:space="0" w:color="FFFFFF"/>
              <w:right w:val="nil"/>
            </w:tcBorders>
            <w:shd w:val="clear" w:color="000000" w:fill="FBCAA2"/>
            <w:vAlign w:val="center"/>
            <w:hideMark/>
          </w:tcPr>
          <w:p w:rsidR="00744DC1" w:rsidRPr="008D1D2B" w:rsidRDefault="00744DC1" w:rsidP="005F4CFF">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6</w:t>
            </w:r>
          </w:p>
        </w:tc>
      </w:tr>
      <w:tr w:rsidR="005F4CFF" w:rsidRPr="008D1D2B" w:rsidTr="005F4CFF">
        <w:trPr>
          <w:trHeight w:val="391"/>
        </w:trPr>
        <w:tc>
          <w:tcPr>
            <w:tcW w:w="3727" w:type="dxa"/>
            <w:tcBorders>
              <w:top w:val="nil"/>
              <w:left w:val="nil"/>
              <w:bottom w:val="single" w:sz="8" w:space="0" w:color="FFFFFF"/>
              <w:right w:val="nil"/>
            </w:tcBorders>
            <w:shd w:val="clear" w:color="000000" w:fill="E36C0A"/>
            <w:vAlign w:val="center"/>
            <w:hideMark/>
          </w:tcPr>
          <w:p w:rsidR="00827589" w:rsidRPr="008D1D2B" w:rsidRDefault="00744DC1" w:rsidP="00827589">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2011</w:t>
            </w:r>
          </w:p>
        </w:tc>
        <w:tc>
          <w:tcPr>
            <w:tcW w:w="4494" w:type="dxa"/>
            <w:tcBorders>
              <w:top w:val="nil"/>
              <w:left w:val="nil"/>
              <w:bottom w:val="single" w:sz="8" w:space="0" w:color="FFFFFF"/>
              <w:right w:val="nil"/>
            </w:tcBorders>
            <w:shd w:val="clear" w:color="000000" w:fill="FDE9D9"/>
            <w:vAlign w:val="center"/>
            <w:hideMark/>
          </w:tcPr>
          <w:p w:rsidR="00744DC1" w:rsidRPr="008D1D2B" w:rsidRDefault="00744DC1" w:rsidP="00827589">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7</w:t>
            </w:r>
          </w:p>
        </w:tc>
      </w:tr>
      <w:tr w:rsidR="005F4CFF" w:rsidRPr="008D1D2B" w:rsidTr="005F4CFF">
        <w:trPr>
          <w:trHeight w:val="391"/>
        </w:trPr>
        <w:tc>
          <w:tcPr>
            <w:tcW w:w="3727" w:type="dxa"/>
            <w:tcBorders>
              <w:top w:val="nil"/>
              <w:left w:val="nil"/>
              <w:bottom w:val="single" w:sz="8" w:space="0" w:color="FFFFFF"/>
              <w:right w:val="nil"/>
            </w:tcBorders>
            <w:shd w:val="clear" w:color="000000" w:fill="E36C0A"/>
            <w:vAlign w:val="center"/>
            <w:hideMark/>
          </w:tcPr>
          <w:p w:rsidR="00827589" w:rsidRPr="008D1D2B" w:rsidRDefault="00744DC1" w:rsidP="00827589">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2012</w:t>
            </w:r>
          </w:p>
        </w:tc>
        <w:tc>
          <w:tcPr>
            <w:tcW w:w="4494" w:type="dxa"/>
            <w:tcBorders>
              <w:top w:val="nil"/>
              <w:left w:val="nil"/>
              <w:bottom w:val="single" w:sz="8" w:space="0" w:color="FFFFFF"/>
              <w:right w:val="nil"/>
            </w:tcBorders>
            <w:shd w:val="clear" w:color="000000" w:fill="FBCAA2"/>
            <w:vAlign w:val="center"/>
            <w:hideMark/>
          </w:tcPr>
          <w:p w:rsidR="00744DC1" w:rsidRPr="008D1D2B" w:rsidRDefault="00744DC1" w:rsidP="00827589">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4</w:t>
            </w:r>
          </w:p>
        </w:tc>
      </w:tr>
      <w:tr w:rsidR="005F4CFF" w:rsidRPr="008D1D2B" w:rsidTr="005F4CFF">
        <w:trPr>
          <w:trHeight w:val="391"/>
        </w:trPr>
        <w:tc>
          <w:tcPr>
            <w:tcW w:w="3727" w:type="dxa"/>
            <w:tcBorders>
              <w:top w:val="nil"/>
              <w:left w:val="nil"/>
              <w:bottom w:val="single" w:sz="8" w:space="0" w:color="FFFFFF"/>
              <w:right w:val="nil"/>
            </w:tcBorders>
            <w:shd w:val="clear" w:color="000000" w:fill="E36C0A"/>
            <w:vAlign w:val="center"/>
            <w:hideMark/>
          </w:tcPr>
          <w:p w:rsidR="00827589" w:rsidRPr="008D1D2B" w:rsidRDefault="00744DC1" w:rsidP="00827589">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2013</w:t>
            </w:r>
          </w:p>
        </w:tc>
        <w:tc>
          <w:tcPr>
            <w:tcW w:w="4494" w:type="dxa"/>
            <w:tcBorders>
              <w:top w:val="nil"/>
              <w:left w:val="nil"/>
              <w:bottom w:val="single" w:sz="8" w:space="0" w:color="FFFFFF"/>
              <w:right w:val="nil"/>
            </w:tcBorders>
            <w:shd w:val="clear" w:color="000000" w:fill="FDE9D9"/>
            <w:vAlign w:val="center"/>
            <w:hideMark/>
          </w:tcPr>
          <w:p w:rsidR="00744DC1" w:rsidRPr="008D1D2B" w:rsidRDefault="00744DC1" w:rsidP="00827589">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3</w:t>
            </w:r>
          </w:p>
        </w:tc>
      </w:tr>
      <w:tr w:rsidR="005F4CFF" w:rsidRPr="008D1D2B" w:rsidTr="005F4CFF">
        <w:trPr>
          <w:trHeight w:val="391"/>
        </w:trPr>
        <w:tc>
          <w:tcPr>
            <w:tcW w:w="3727" w:type="dxa"/>
            <w:tcBorders>
              <w:top w:val="nil"/>
              <w:left w:val="nil"/>
              <w:bottom w:val="single" w:sz="8" w:space="0" w:color="FFFFFF"/>
              <w:right w:val="nil"/>
            </w:tcBorders>
            <w:shd w:val="clear" w:color="000000" w:fill="E36C0A"/>
            <w:vAlign w:val="center"/>
            <w:hideMark/>
          </w:tcPr>
          <w:p w:rsidR="00827589" w:rsidRPr="008D1D2B" w:rsidRDefault="00744DC1" w:rsidP="00827589">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2014</w:t>
            </w:r>
          </w:p>
        </w:tc>
        <w:tc>
          <w:tcPr>
            <w:tcW w:w="4494" w:type="dxa"/>
            <w:tcBorders>
              <w:top w:val="nil"/>
              <w:left w:val="nil"/>
              <w:bottom w:val="single" w:sz="8" w:space="0" w:color="FFFFFF"/>
              <w:right w:val="nil"/>
            </w:tcBorders>
            <w:shd w:val="clear" w:color="000000" w:fill="FBCAA2"/>
            <w:vAlign w:val="center"/>
            <w:hideMark/>
          </w:tcPr>
          <w:p w:rsidR="00744DC1" w:rsidRPr="008D1D2B" w:rsidRDefault="00744DC1" w:rsidP="00827589">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2</w:t>
            </w:r>
          </w:p>
        </w:tc>
      </w:tr>
      <w:tr w:rsidR="005F4CFF" w:rsidRPr="008D1D2B" w:rsidTr="005F4CFF">
        <w:trPr>
          <w:trHeight w:val="371"/>
        </w:trPr>
        <w:tc>
          <w:tcPr>
            <w:tcW w:w="3727" w:type="dxa"/>
            <w:tcBorders>
              <w:top w:val="nil"/>
              <w:left w:val="nil"/>
              <w:bottom w:val="nil"/>
              <w:right w:val="nil"/>
            </w:tcBorders>
            <w:shd w:val="clear" w:color="000000" w:fill="E36C0A"/>
            <w:vAlign w:val="center"/>
            <w:hideMark/>
          </w:tcPr>
          <w:p w:rsidR="00827589" w:rsidRPr="008D1D2B" w:rsidRDefault="00744DC1" w:rsidP="00827589">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2015</w:t>
            </w:r>
          </w:p>
        </w:tc>
        <w:tc>
          <w:tcPr>
            <w:tcW w:w="4494" w:type="dxa"/>
            <w:tcBorders>
              <w:top w:val="nil"/>
              <w:left w:val="nil"/>
              <w:bottom w:val="nil"/>
              <w:right w:val="nil"/>
            </w:tcBorders>
            <w:shd w:val="clear" w:color="000000" w:fill="FDE9D9"/>
            <w:vAlign w:val="center"/>
            <w:hideMark/>
          </w:tcPr>
          <w:p w:rsidR="00744DC1" w:rsidRPr="008D1D2B" w:rsidRDefault="00744DC1" w:rsidP="00827589">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0</w:t>
            </w:r>
          </w:p>
        </w:tc>
      </w:tr>
    </w:tbl>
    <w:p w:rsidR="00744DC1" w:rsidRPr="008D1D2B" w:rsidRDefault="00744DC1" w:rsidP="00744DC1">
      <w:pPr>
        <w:rPr>
          <w:rFonts w:eastAsia="Calibri"/>
          <w:lang w:val="bs-Latn-BA"/>
        </w:rPr>
      </w:pPr>
    </w:p>
    <w:p w:rsidR="00A918B2" w:rsidRPr="008D1D2B" w:rsidRDefault="00A918B2" w:rsidP="00744DC1">
      <w:pPr>
        <w:rPr>
          <w:rFonts w:eastAsia="Calibri"/>
          <w:lang w:val="bs-Latn-BA"/>
        </w:rPr>
      </w:pPr>
    </w:p>
    <w:p w:rsidR="00AC3A0C" w:rsidRPr="008D1D2B" w:rsidRDefault="00AC3A0C" w:rsidP="00744DC1">
      <w:pPr>
        <w:rPr>
          <w:rFonts w:eastAsia="Calibri"/>
          <w:lang w:val="bs-Latn-BA"/>
        </w:rPr>
      </w:pPr>
    </w:p>
    <w:p w:rsidR="00AC3A0C" w:rsidRPr="008D1D2B" w:rsidRDefault="00AC3A0C" w:rsidP="00744DC1">
      <w:pPr>
        <w:rPr>
          <w:rFonts w:eastAsia="Calibri"/>
          <w:lang w:val="bs-Latn-BA"/>
        </w:rPr>
      </w:pPr>
    </w:p>
    <w:p w:rsidR="00AC3A0C" w:rsidRPr="008D1D2B" w:rsidRDefault="00AC3A0C" w:rsidP="00744DC1">
      <w:pPr>
        <w:rPr>
          <w:rFonts w:eastAsia="Calibri"/>
          <w:lang w:val="bs-Latn-BA"/>
        </w:rPr>
      </w:pPr>
    </w:p>
    <w:p w:rsidR="00AC3A0C" w:rsidRPr="008D1D2B" w:rsidRDefault="00AC3A0C" w:rsidP="00744DC1">
      <w:pPr>
        <w:rPr>
          <w:rFonts w:eastAsia="Calibri"/>
          <w:lang w:val="bs-Latn-BA"/>
        </w:rPr>
      </w:pPr>
    </w:p>
    <w:p w:rsidR="008D1D2B" w:rsidRPr="008D1D2B" w:rsidRDefault="008D1D2B" w:rsidP="00744DC1">
      <w:pPr>
        <w:rPr>
          <w:rFonts w:eastAsia="Calibri"/>
          <w:lang w:val="bs-Latn-BA"/>
        </w:rPr>
      </w:pPr>
    </w:p>
    <w:p w:rsidR="00AC3A0C" w:rsidRPr="008D1D2B" w:rsidRDefault="00AC3A0C" w:rsidP="00744DC1">
      <w:pPr>
        <w:rPr>
          <w:rFonts w:eastAsia="Calibri"/>
          <w:lang w:val="bs-Latn-BA"/>
        </w:rPr>
      </w:pPr>
    </w:p>
    <w:p w:rsidR="005F4CFF" w:rsidRPr="008D1D2B" w:rsidRDefault="00A918B2" w:rsidP="008E58E3">
      <w:pPr>
        <w:spacing w:before="120" w:after="120"/>
        <w:rPr>
          <w:rFonts w:ascii="Calibri" w:eastAsia="Calibri" w:hAnsi="Calibri" w:cs="Calibri"/>
          <w:i/>
          <w:sz w:val="18"/>
        </w:rPr>
      </w:pPr>
      <w:r w:rsidRPr="008D1D2B">
        <w:rPr>
          <w:rFonts w:ascii="Calibri" w:eastAsia="Calibri" w:hAnsi="Calibri" w:cs="Calibri"/>
          <w:b/>
          <w:i/>
          <w:sz w:val="18"/>
        </w:rPr>
        <w:t>Tabela 2.</w:t>
      </w:r>
      <w:r w:rsidRPr="008D1D2B">
        <w:rPr>
          <w:rFonts w:ascii="Calibri" w:eastAsia="Calibri" w:hAnsi="Calibri" w:cs="Calibri"/>
          <w:i/>
          <w:sz w:val="18"/>
        </w:rPr>
        <w:t xml:space="preserve"> Broj nezgoda na putnim prelazima</w:t>
      </w:r>
    </w:p>
    <w:tbl>
      <w:tblPr>
        <w:tblW w:w="8348" w:type="dxa"/>
        <w:jc w:val="center"/>
        <w:tblLook w:val="04A0" w:firstRow="1" w:lastRow="0" w:firstColumn="1" w:lastColumn="0" w:noHBand="0" w:noVBand="1"/>
      </w:tblPr>
      <w:tblGrid>
        <w:gridCol w:w="3800"/>
        <w:gridCol w:w="4548"/>
      </w:tblGrid>
      <w:tr w:rsidR="00A918B2" w:rsidRPr="008D1D2B" w:rsidTr="005F4CFF">
        <w:trPr>
          <w:trHeight w:val="1246"/>
          <w:jc w:val="center"/>
        </w:trPr>
        <w:tc>
          <w:tcPr>
            <w:tcW w:w="3800" w:type="dxa"/>
            <w:tcBorders>
              <w:top w:val="nil"/>
              <w:left w:val="nil"/>
              <w:bottom w:val="single" w:sz="8" w:space="0" w:color="FFFFFF"/>
              <w:right w:val="nil"/>
            </w:tcBorders>
            <w:shd w:val="clear" w:color="000000" w:fill="CCC0D9"/>
            <w:vAlign w:val="center"/>
            <w:hideMark/>
          </w:tcPr>
          <w:p w:rsidR="00A918B2" w:rsidRPr="008D1D2B" w:rsidRDefault="00A918B2" w:rsidP="006B051B">
            <w:pPr>
              <w:jc w:val="center"/>
              <w:rPr>
                <w:rFonts w:ascii="Calibri" w:hAnsi="Calibri" w:cs="Calibri"/>
                <w:color w:val="FFFFFF"/>
                <w:sz w:val="20"/>
                <w:lang w:val="sr-Latn-RS" w:eastAsia="sr-Latn-RS"/>
              </w:rPr>
            </w:pPr>
            <w:r w:rsidRPr="008D1D2B">
              <w:rPr>
                <w:rFonts w:ascii="Calibri" w:hAnsi="Calibri" w:cs="Calibri"/>
                <w:sz w:val="20"/>
                <w:lang w:val="sr-Latn-RS" w:eastAsia="sr-Latn-RS"/>
              </w:rPr>
              <w:lastRenderedPageBreak/>
              <w:t>GODINA</w:t>
            </w:r>
          </w:p>
        </w:tc>
        <w:tc>
          <w:tcPr>
            <w:tcW w:w="4548" w:type="dxa"/>
            <w:tcBorders>
              <w:top w:val="nil"/>
              <w:left w:val="nil"/>
              <w:bottom w:val="single" w:sz="8" w:space="0" w:color="FFFFFF"/>
              <w:right w:val="nil"/>
            </w:tcBorders>
            <w:shd w:val="clear" w:color="000000" w:fill="CCC0D9"/>
            <w:vAlign w:val="center"/>
            <w:hideMark/>
          </w:tcPr>
          <w:p w:rsidR="00A918B2" w:rsidRPr="008D1D2B" w:rsidRDefault="00A918B2" w:rsidP="006B051B">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NEZGODE NA PUTNIM PRELAZIMA</w:t>
            </w:r>
          </w:p>
        </w:tc>
      </w:tr>
      <w:tr w:rsidR="00A918B2" w:rsidRPr="008D1D2B" w:rsidTr="005F4CFF">
        <w:trPr>
          <w:trHeight w:val="415"/>
          <w:jc w:val="center"/>
        </w:trPr>
        <w:tc>
          <w:tcPr>
            <w:tcW w:w="3800" w:type="dxa"/>
            <w:tcBorders>
              <w:top w:val="nil"/>
              <w:left w:val="nil"/>
              <w:bottom w:val="single" w:sz="8" w:space="0" w:color="FFFFFF"/>
              <w:right w:val="nil"/>
            </w:tcBorders>
            <w:shd w:val="clear" w:color="000000" w:fill="5F497A"/>
            <w:hideMark/>
          </w:tcPr>
          <w:p w:rsidR="00A918B2" w:rsidRPr="008D1D2B" w:rsidRDefault="00A918B2" w:rsidP="006B051B">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2006</w:t>
            </w:r>
          </w:p>
        </w:tc>
        <w:tc>
          <w:tcPr>
            <w:tcW w:w="4548" w:type="dxa"/>
            <w:tcBorders>
              <w:top w:val="nil"/>
              <w:left w:val="nil"/>
              <w:bottom w:val="single" w:sz="8" w:space="0" w:color="FFFFFF"/>
              <w:right w:val="nil"/>
            </w:tcBorders>
            <w:shd w:val="clear" w:color="000000" w:fill="BFB1D0"/>
            <w:hideMark/>
          </w:tcPr>
          <w:p w:rsidR="00A918B2" w:rsidRPr="008D1D2B" w:rsidRDefault="00A918B2" w:rsidP="006B051B">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17</w:t>
            </w:r>
          </w:p>
        </w:tc>
      </w:tr>
      <w:tr w:rsidR="00A918B2" w:rsidRPr="008D1D2B" w:rsidTr="005F4CFF">
        <w:trPr>
          <w:trHeight w:val="415"/>
          <w:jc w:val="center"/>
        </w:trPr>
        <w:tc>
          <w:tcPr>
            <w:tcW w:w="3800" w:type="dxa"/>
            <w:tcBorders>
              <w:top w:val="nil"/>
              <w:left w:val="nil"/>
              <w:bottom w:val="single" w:sz="8" w:space="0" w:color="FFFFFF"/>
              <w:right w:val="nil"/>
            </w:tcBorders>
            <w:shd w:val="clear" w:color="000000" w:fill="5F497A"/>
            <w:hideMark/>
          </w:tcPr>
          <w:p w:rsidR="00A918B2" w:rsidRPr="008D1D2B" w:rsidRDefault="00A918B2" w:rsidP="006B051B">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2007</w:t>
            </w:r>
          </w:p>
        </w:tc>
        <w:tc>
          <w:tcPr>
            <w:tcW w:w="4548" w:type="dxa"/>
            <w:tcBorders>
              <w:top w:val="nil"/>
              <w:left w:val="nil"/>
              <w:bottom w:val="single" w:sz="8" w:space="0" w:color="FFFFFF"/>
              <w:right w:val="nil"/>
            </w:tcBorders>
            <w:shd w:val="clear" w:color="000000" w:fill="E5DFEC"/>
            <w:hideMark/>
          </w:tcPr>
          <w:p w:rsidR="00A918B2" w:rsidRPr="008D1D2B" w:rsidRDefault="00A918B2" w:rsidP="006B051B">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11</w:t>
            </w:r>
          </w:p>
        </w:tc>
      </w:tr>
      <w:tr w:rsidR="00A918B2" w:rsidRPr="008D1D2B" w:rsidTr="005F4CFF">
        <w:trPr>
          <w:trHeight w:val="415"/>
          <w:jc w:val="center"/>
        </w:trPr>
        <w:tc>
          <w:tcPr>
            <w:tcW w:w="3800" w:type="dxa"/>
            <w:tcBorders>
              <w:top w:val="nil"/>
              <w:left w:val="nil"/>
              <w:bottom w:val="single" w:sz="8" w:space="0" w:color="FFFFFF"/>
              <w:right w:val="nil"/>
            </w:tcBorders>
            <w:shd w:val="clear" w:color="000000" w:fill="5F497A"/>
            <w:hideMark/>
          </w:tcPr>
          <w:p w:rsidR="00A918B2" w:rsidRPr="008D1D2B" w:rsidRDefault="00A918B2" w:rsidP="006B051B">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2008</w:t>
            </w:r>
          </w:p>
        </w:tc>
        <w:tc>
          <w:tcPr>
            <w:tcW w:w="4548" w:type="dxa"/>
            <w:tcBorders>
              <w:top w:val="nil"/>
              <w:left w:val="nil"/>
              <w:bottom w:val="single" w:sz="8" w:space="0" w:color="FFFFFF"/>
              <w:right w:val="nil"/>
            </w:tcBorders>
            <w:shd w:val="clear" w:color="000000" w:fill="BFB1D0"/>
            <w:hideMark/>
          </w:tcPr>
          <w:p w:rsidR="00A918B2" w:rsidRPr="008D1D2B" w:rsidRDefault="00A918B2" w:rsidP="006B051B">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23</w:t>
            </w:r>
          </w:p>
        </w:tc>
      </w:tr>
      <w:tr w:rsidR="00A918B2" w:rsidRPr="008D1D2B" w:rsidTr="005F4CFF">
        <w:trPr>
          <w:trHeight w:val="415"/>
          <w:jc w:val="center"/>
        </w:trPr>
        <w:tc>
          <w:tcPr>
            <w:tcW w:w="3800" w:type="dxa"/>
            <w:tcBorders>
              <w:top w:val="nil"/>
              <w:left w:val="nil"/>
              <w:bottom w:val="single" w:sz="8" w:space="0" w:color="FFFFFF"/>
              <w:right w:val="nil"/>
            </w:tcBorders>
            <w:shd w:val="clear" w:color="000000" w:fill="5F497A"/>
            <w:hideMark/>
          </w:tcPr>
          <w:p w:rsidR="00A918B2" w:rsidRPr="008D1D2B" w:rsidRDefault="00A918B2" w:rsidP="006B051B">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2009</w:t>
            </w:r>
          </w:p>
        </w:tc>
        <w:tc>
          <w:tcPr>
            <w:tcW w:w="4548" w:type="dxa"/>
            <w:tcBorders>
              <w:top w:val="nil"/>
              <w:left w:val="nil"/>
              <w:bottom w:val="single" w:sz="8" w:space="0" w:color="FFFFFF"/>
              <w:right w:val="nil"/>
            </w:tcBorders>
            <w:shd w:val="clear" w:color="000000" w:fill="E5DFEC"/>
            <w:hideMark/>
          </w:tcPr>
          <w:p w:rsidR="00A918B2" w:rsidRPr="008D1D2B" w:rsidRDefault="00A918B2" w:rsidP="006B051B">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12</w:t>
            </w:r>
          </w:p>
        </w:tc>
      </w:tr>
      <w:tr w:rsidR="00A918B2" w:rsidRPr="008D1D2B" w:rsidTr="005F4CFF">
        <w:trPr>
          <w:trHeight w:val="415"/>
          <w:jc w:val="center"/>
        </w:trPr>
        <w:tc>
          <w:tcPr>
            <w:tcW w:w="3800" w:type="dxa"/>
            <w:tcBorders>
              <w:top w:val="nil"/>
              <w:left w:val="nil"/>
              <w:bottom w:val="single" w:sz="8" w:space="0" w:color="FFFFFF"/>
              <w:right w:val="nil"/>
            </w:tcBorders>
            <w:shd w:val="clear" w:color="000000" w:fill="5F497A"/>
            <w:hideMark/>
          </w:tcPr>
          <w:p w:rsidR="00A918B2" w:rsidRPr="008D1D2B" w:rsidRDefault="00A918B2" w:rsidP="006B051B">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2010</w:t>
            </w:r>
          </w:p>
        </w:tc>
        <w:tc>
          <w:tcPr>
            <w:tcW w:w="4548" w:type="dxa"/>
            <w:tcBorders>
              <w:top w:val="nil"/>
              <w:left w:val="nil"/>
              <w:bottom w:val="single" w:sz="8" w:space="0" w:color="FFFFFF"/>
              <w:right w:val="nil"/>
            </w:tcBorders>
            <w:shd w:val="clear" w:color="000000" w:fill="BFB1D0"/>
            <w:hideMark/>
          </w:tcPr>
          <w:p w:rsidR="00A918B2" w:rsidRPr="008D1D2B" w:rsidRDefault="00A918B2" w:rsidP="006B051B">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14</w:t>
            </w:r>
          </w:p>
        </w:tc>
      </w:tr>
      <w:tr w:rsidR="00A918B2" w:rsidRPr="008D1D2B" w:rsidTr="005F4CFF">
        <w:trPr>
          <w:trHeight w:val="415"/>
          <w:jc w:val="center"/>
        </w:trPr>
        <w:tc>
          <w:tcPr>
            <w:tcW w:w="3800" w:type="dxa"/>
            <w:tcBorders>
              <w:top w:val="nil"/>
              <w:left w:val="nil"/>
              <w:bottom w:val="single" w:sz="8" w:space="0" w:color="FFFFFF"/>
              <w:right w:val="nil"/>
            </w:tcBorders>
            <w:shd w:val="clear" w:color="000000" w:fill="5F497A"/>
            <w:hideMark/>
          </w:tcPr>
          <w:p w:rsidR="00A918B2" w:rsidRPr="008D1D2B" w:rsidRDefault="00A918B2" w:rsidP="006B051B">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2011</w:t>
            </w:r>
          </w:p>
        </w:tc>
        <w:tc>
          <w:tcPr>
            <w:tcW w:w="4548" w:type="dxa"/>
            <w:tcBorders>
              <w:top w:val="nil"/>
              <w:left w:val="nil"/>
              <w:bottom w:val="single" w:sz="8" w:space="0" w:color="FFFFFF"/>
              <w:right w:val="nil"/>
            </w:tcBorders>
            <w:shd w:val="clear" w:color="000000" w:fill="E5DFEC"/>
            <w:hideMark/>
          </w:tcPr>
          <w:p w:rsidR="00A918B2" w:rsidRPr="008D1D2B" w:rsidRDefault="00A918B2" w:rsidP="006B051B">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18</w:t>
            </w:r>
          </w:p>
        </w:tc>
      </w:tr>
      <w:tr w:rsidR="00A918B2" w:rsidRPr="008D1D2B" w:rsidTr="005F4CFF">
        <w:trPr>
          <w:trHeight w:val="415"/>
          <w:jc w:val="center"/>
        </w:trPr>
        <w:tc>
          <w:tcPr>
            <w:tcW w:w="3800" w:type="dxa"/>
            <w:tcBorders>
              <w:top w:val="nil"/>
              <w:left w:val="nil"/>
              <w:bottom w:val="single" w:sz="8" w:space="0" w:color="FFFFFF"/>
              <w:right w:val="nil"/>
            </w:tcBorders>
            <w:shd w:val="clear" w:color="000000" w:fill="5F497A"/>
            <w:hideMark/>
          </w:tcPr>
          <w:p w:rsidR="00A918B2" w:rsidRPr="008D1D2B" w:rsidRDefault="00A918B2" w:rsidP="006B051B">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2012</w:t>
            </w:r>
          </w:p>
        </w:tc>
        <w:tc>
          <w:tcPr>
            <w:tcW w:w="4548" w:type="dxa"/>
            <w:tcBorders>
              <w:top w:val="nil"/>
              <w:left w:val="nil"/>
              <w:bottom w:val="single" w:sz="8" w:space="0" w:color="FFFFFF"/>
              <w:right w:val="nil"/>
            </w:tcBorders>
            <w:shd w:val="clear" w:color="000000" w:fill="BFB1D0"/>
            <w:hideMark/>
          </w:tcPr>
          <w:p w:rsidR="00A918B2" w:rsidRPr="008D1D2B" w:rsidRDefault="00A918B2" w:rsidP="006B051B">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16</w:t>
            </w:r>
          </w:p>
        </w:tc>
      </w:tr>
      <w:tr w:rsidR="00A918B2" w:rsidRPr="008D1D2B" w:rsidTr="005F4CFF">
        <w:trPr>
          <w:trHeight w:val="415"/>
          <w:jc w:val="center"/>
        </w:trPr>
        <w:tc>
          <w:tcPr>
            <w:tcW w:w="3800" w:type="dxa"/>
            <w:tcBorders>
              <w:top w:val="nil"/>
              <w:left w:val="nil"/>
              <w:bottom w:val="single" w:sz="8" w:space="0" w:color="FFFFFF"/>
              <w:right w:val="nil"/>
            </w:tcBorders>
            <w:shd w:val="clear" w:color="000000" w:fill="5F497A"/>
            <w:hideMark/>
          </w:tcPr>
          <w:p w:rsidR="00A918B2" w:rsidRPr="008D1D2B" w:rsidRDefault="00A918B2" w:rsidP="006B051B">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2013</w:t>
            </w:r>
          </w:p>
        </w:tc>
        <w:tc>
          <w:tcPr>
            <w:tcW w:w="4548" w:type="dxa"/>
            <w:tcBorders>
              <w:top w:val="nil"/>
              <w:left w:val="nil"/>
              <w:bottom w:val="single" w:sz="8" w:space="0" w:color="FFFFFF"/>
              <w:right w:val="nil"/>
            </w:tcBorders>
            <w:shd w:val="clear" w:color="000000" w:fill="E5DFEC"/>
            <w:hideMark/>
          </w:tcPr>
          <w:p w:rsidR="00A918B2" w:rsidRPr="008D1D2B" w:rsidRDefault="00A918B2" w:rsidP="006B051B">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21</w:t>
            </w:r>
          </w:p>
        </w:tc>
      </w:tr>
      <w:tr w:rsidR="00A918B2" w:rsidRPr="008D1D2B" w:rsidTr="005F4CFF">
        <w:trPr>
          <w:trHeight w:val="415"/>
          <w:jc w:val="center"/>
        </w:trPr>
        <w:tc>
          <w:tcPr>
            <w:tcW w:w="3800" w:type="dxa"/>
            <w:tcBorders>
              <w:top w:val="nil"/>
              <w:left w:val="nil"/>
              <w:bottom w:val="single" w:sz="8" w:space="0" w:color="FFFFFF"/>
              <w:right w:val="nil"/>
            </w:tcBorders>
            <w:shd w:val="clear" w:color="000000" w:fill="5F497A"/>
            <w:hideMark/>
          </w:tcPr>
          <w:p w:rsidR="00A918B2" w:rsidRPr="008D1D2B" w:rsidRDefault="00A918B2" w:rsidP="006B051B">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2014</w:t>
            </w:r>
          </w:p>
        </w:tc>
        <w:tc>
          <w:tcPr>
            <w:tcW w:w="4548" w:type="dxa"/>
            <w:tcBorders>
              <w:top w:val="nil"/>
              <w:left w:val="nil"/>
              <w:bottom w:val="single" w:sz="8" w:space="0" w:color="FFFFFF"/>
              <w:right w:val="nil"/>
            </w:tcBorders>
            <w:shd w:val="clear" w:color="000000" w:fill="BFB1D0"/>
            <w:hideMark/>
          </w:tcPr>
          <w:p w:rsidR="00A918B2" w:rsidRPr="008D1D2B" w:rsidRDefault="00A918B2" w:rsidP="006B051B">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31</w:t>
            </w:r>
          </w:p>
        </w:tc>
      </w:tr>
      <w:tr w:rsidR="00A918B2" w:rsidRPr="008D1D2B" w:rsidTr="005F4CFF">
        <w:trPr>
          <w:trHeight w:val="397"/>
          <w:jc w:val="center"/>
        </w:trPr>
        <w:tc>
          <w:tcPr>
            <w:tcW w:w="3800" w:type="dxa"/>
            <w:tcBorders>
              <w:top w:val="nil"/>
              <w:left w:val="nil"/>
              <w:bottom w:val="nil"/>
              <w:right w:val="nil"/>
            </w:tcBorders>
            <w:shd w:val="clear" w:color="000000" w:fill="5F497A"/>
            <w:hideMark/>
          </w:tcPr>
          <w:p w:rsidR="00A918B2" w:rsidRPr="008D1D2B" w:rsidRDefault="00A918B2" w:rsidP="006B051B">
            <w:pPr>
              <w:jc w:val="center"/>
              <w:rPr>
                <w:rFonts w:ascii="Calibri" w:hAnsi="Calibri" w:cs="Calibri"/>
                <w:color w:val="FFFFFF"/>
                <w:sz w:val="20"/>
                <w:lang w:val="sr-Latn-RS" w:eastAsia="sr-Latn-RS"/>
              </w:rPr>
            </w:pPr>
            <w:r w:rsidRPr="008D1D2B">
              <w:rPr>
                <w:rFonts w:ascii="Calibri" w:hAnsi="Calibri" w:cs="Calibri"/>
                <w:color w:val="FFFFFF"/>
                <w:sz w:val="20"/>
                <w:lang w:val="sr-Latn-RS" w:eastAsia="sr-Latn-RS"/>
              </w:rPr>
              <w:t>2015</w:t>
            </w:r>
          </w:p>
        </w:tc>
        <w:tc>
          <w:tcPr>
            <w:tcW w:w="4548" w:type="dxa"/>
            <w:tcBorders>
              <w:top w:val="nil"/>
              <w:left w:val="nil"/>
              <w:bottom w:val="nil"/>
              <w:right w:val="nil"/>
            </w:tcBorders>
            <w:shd w:val="clear" w:color="000000" w:fill="E5DFEC"/>
            <w:hideMark/>
          </w:tcPr>
          <w:p w:rsidR="00A918B2" w:rsidRPr="008D1D2B" w:rsidRDefault="00A918B2" w:rsidP="006B051B">
            <w:pPr>
              <w:jc w:val="center"/>
              <w:rPr>
                <w:rFonts w:ascii="Calibri" w:hAnsi="Calibri" w:cs="Calibri"/>
                <w:color w:val="000000"/>
                <w:sz w:val="20"/>
                <w:lang w:val="sr-Latn-RS" w:eastAsia="sr-Latn-RS"/>
              </w:rPr>
            </w:pPr>
            <w:r w:rsidRPr="008D1D2B">
              <w:rPr>
                <w:rFonts w:ascii="Calibri" w:hAnsi="Calibri" w:cs="Calibri"/>
                <w:color w:val="000000"/>
                <w:sz w:val="20"/>
                <w:lang w:val="sr-Latn-RS" w:eastAsia="sr-Latn-RS"/>
              </w:rPr>
              <w:t>26</w:t>
            </w:r>
          </w:p>
        </w:tc>
      </w:tr>
    </w:tbl>
    <w:p w:rsidR="00304EAB" w:rsidRPr="008D1D2B" w:rsidRDefault="002C7933" w:rsidP="00F40E09">
      <w:pPr>
        <w:pStyle w:val="Heading1"/>
        <w:rPr>
          <w:rFonts w:eastAsia="Calibri"/>
        </w:rPr>
      </w:pPr>
      <w:r w:rsidRPr="008D1D2B">
        <w:rPr>
          <w:rFonts w:eastAsia="Calibri"/>
        </w:rPr>
        <w:t>Rezultati</w:t>
      </w:r>
      <w:r w:rsidR="001B7765" w:rsidRPr="008D1D2B">
        <w:rPr>
          <w:rFonts w:eastAsia="Calibri"/>
        </w:rPr>
        <w:t xml:space="preserve"> i diskusija</w:t>
      </w:r>
    </w:p>
    <w:p w:rsidR="003D5925" w:rsidRPr="008D1D2B" w:rsidRDefault="00AA3FF9" w:rsidP="00AC3A0C">
      <w:pPr>
        <w:pStyle w:val="Tekst"/>
        <w:rPr>
          <w:lang w:val="sr-Latn-BA"/>
        </w:rPr>
      </w:pPr>
      <w:r w:rsidRPr="008D1D2B">
        <w:rPr>
          <w:lang w:val="sr-Latn-BA"/>
        </w:rPr>
        <w:t>Na dijagramu (slika 1.) je prikazan broj udesa na putnim prelazima. Možemo uočiti da je u istaživnom peridu (2006.-2015.) broj udesa na putnim prelazima s</w:t>
      </w:r>
      <w:r w:rsidR="0004072B" w:rsidRPr="008D1D2B">
        <w:rPr>
          <w:lang w:val="sr-Latn-BA"/>
        </w:rPr>
        <w:t>manjio 2008. godine (1 udes), a zatim se broj udesa povećava i 2011. godine dostiže najveći broj udesa (7 udesa), da bi taj broj do 2015. godine opadao i došao do nivoa da u posljednjoj godini, koja se posmatra u ovom radu, nema ni jednog udesa.</w:t>
      </w:r>
    </w:p>
    <w:p w:rsidR="003D5925" w:rsidRPr="008D1D2B" w:rsidRDefault="008D1D2B" w:rsidP="00AC3A0C">
      <w:pPr>
        <w:pStyle w:val="Slika"/>
        <w:rPr>
          <w:b/>
        </w:rPr>
      </w:pPr>
      <w:r>
        <w:rPr>
          <w:noProof/>
          <w:lang w:val="en-US" w:eastAsia="en-US"/>
        </w:rPr>
        <w:drawing>
          <wp:inline distT="0" distB="0" distL="0" distR="0">
            <wp:extent cx="4568825" cy="2844800"/>
            <wp:effectExtent l="0" t="0" r="22225" b="1270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D5925" w:rsidRPr="008D1D2B" w:rsidRDefault="003D5925" w:rsidP="00AC3A0C">
      <w:pPr>
        <w:pStyle w:val="Slikanatpis"/>
        <w:numPr>
          <w:ilvl w:val="0"/>
          <w:numId w:val="0"/>
        </w:numPr>
        <w:ind w:left="709"/>
      </w:pPr>
      <w:r w:rsidRPr="008D1D2B">
        <w:rPr>
          <w:b/>
        </w:rPr>
        <w:t>Slika 1.</w:t>
      </w:r>
      <w:r w:rsidRPr="008D1D2B">
        <w:t xml:space="preserve"> Udesi na putnim prelazima</w:t>
      </w:r>
    </w:p>
    <w:p w:rsidR="00DA07C4" w:rsidRPr="008D1D2B" w:rsidRDefault="00B76A7F" w:rsidP="0004072B">
      <w:pPr>
        <w:pStyle w:val="Tekst"/>
        <w:rPr>
          <w:lang w:val="sr-Latn-BA"/>
        </w:rPr>
      </w:pPr>
      <w:r w:rsidRPr="008D1D2B">
        <w:rPr>
          <w:lang w:val="sr-Latn-BA"/>
        </w:rPr>
        <w:t>Na sledećem dijagramu</w:t>
      </w:r>
      <w:r w:rsidR="0004072B" w:rsidRPr="008D1D2B">
        <w:rPr>
          <w:lang w:val="sr-Latn-BA"/>
        </w:rPr>
        <w:t xml:space="preserve"> </w:t>
      </w:r>
      <w:r w:rsidRPr="008D1D2B">
        <w:rPr>
          <w:lang w:val="sr-Latn-BA"/>
        </w:rPr>
        <w:t>prikazane su nezgode na putnim prelazima. Sa slike 2. lako je uočljivo da je najmanji broj nezgoda na pitnim prelazima bio 2007. godine (7 nezgoda), te se vidi pad nezgoda 2009.  godine, i njihov rast nezgoda u odnosu na pomen</w:t>
      </w:r>
      <w:r w:rsidR="00E70503" w:rsidRPr="008D1D2B">
        <w:rPr>
          <w:lang w:val="sr-Latn-BA"/>
        </w:rPr>
        <w:t xml:space="preserve">utu godinu (2009.) </w:t>
      </w:r>
      <w:r w:rsidRPr="008D1D2B">
        <w:rPr>
          <w:lang w:val="sr-Latn-BA"/>
        </w:rPr>
        <w:t xml:space="preserve">do 2015. </w:t>
      </w:r>
      <w:r w:rsidR="00E70503" w:rsidRPr="008D1D2B">
        <w:rPr>
          <w:lang w:val="sr-Latn-BA"/>
        </w:rPr>
        <w:t>godine, s tim da je najveći broj nezgoda bio u 2014. godini (31 nezgoda).</w:t>
      </w:r>
    </w:p>
    <w:p w:rsidR="003D5925" w:rsidRPr="008D1D2B" w:rsidRDefault="003D5925" w:rsidP="003D5925">
      <w:pPr>
        <w:jc w:val="center"/>
        <w:rPr>
          <w:rFonts w:ascii="Calibri" w:hAnsi="Calibri" w:cs="Calibri"/>
          <w:sz w:val="20"/>
        </w:rPr>
      </w:pPr>
    </w:p>
    <w:p w:rsidR="00DA07C4" w:rsidRPr="008D1D2B" w:rsidRDefault="00DA07C4" w:rsidP="003D5925">
      <w:pPr>
        <w:jc w:val="center"/>
        <w:rPr>
          <w:rFonts w:ascii="Calibri" w:hAnsi="Calibri" w:cs="Calibri"/>
          <w:sz w:val="20"/>
        </w:rPr>
      </w:pPr>
    </w:p>
    <w:p w:rsidR="00DA07C4" w:rsidRPr="008D1D2B" w:rsidRDefault="008D1D2B" w:rsidP="00AC3A0C">
      <w:pPr>
        <w:pStyle w:val="Slika"/>
        <w:rPr>
          <w:rFonts w:cs="Calibri"/>
        </w:rPr>
      </w:pPr>
      <w:r>
        <w:rPr>
          <w:noProof/>
          <w:lang w:val="en-US" w:eastAsia="en-US"/>
        </w:rPr>
        <w:drawing>
          <wp:inline distT="0" distB="0" distL="0" distR="0">
            <wp:extent cx="4757420" cy="2997200"/>
            <wp:effectExtent l="0" t="0" r="24130" b="12700"/>
            <wp:docPr id="2"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A07C4" w:rsidRPr="008D1D2B" w:rsidRDefault="00DA07C4" w:rsidP="00AC3A0C">
      <w:pPr>
        <w:pStyle w:val="Slikanatpis"/>
        <w:numPr>
          <w:ilvl w:val="0"/>
          <w:numId w:val="0"/>
        </w:numPr>
        <w:ind w:left="709"/>
      </w:pPr>
      <w:r w:rsidRPr="008D1D2B">
        <w:rPr>
          <w:b/>
        </w:rPr>
        <w:t>Slika 2.</w:t>
      </w:r>
      <w:r w:rsidRPr="008D1D2B">
        <w:t xml:space="preserve"> Nezgode na putnim prelazima</w:t>
      </w:r>
    </w:p>
    <w:p w:rsidR="001A0F87" w:rsidRPr="008D1D2B" w:rsidRDefault="002B67C8" w:rsidP="00AC3A0C">
      <w:pPr>
        <w:pStyle w:val="Tekst"/>
        <w:rPr>
          <w:lang w:val="sr-Latn-BA"/>
        </w:rPr>
      </w:pPr>
      <w:r w:rsidRPr="008D1D2B">
        <w:t>Broj udesa na putnim prelazima u posmatranom periodu mnogo je manji od broja nezgoda, što predstavlja optimističan podatak ukoliko se uzmu u obzir njihove posljedice.</w:t>
      </w:r>
      <w:r w:rsidR="00704D43" w:rsidRPr="008D1D2B">
        <w:t xml:space="preserve"> P</w:t>
      </w:r>
      <w:r w:rsidR="00AC3A0C" w:rsidRPr="008D1D2B">
        <w:t xml:space="preserve">osmatrajući </w:t>
      </w:r>
      <w:r w:rsidR="00AC3A0C" w:rsidRPr="008D1D2B">
        <w:rPr>
          <w:lang w:val="sr-Latn-BA"/>
        </w:rPr>
        <w:t>s</w:t>
      </w:r>
      <w:r w:rsidR="00DA07C4" w:rsidRPr="008D1D2B">
        <w:t xml:space="preserve">liku 3. vidimo da se u poslednjih pet godina broj udesa konstantno smanjivao tako da u 2015. godini nije bio ni jedan </w:t>
      </w:r>
      <w:r w:rsidR="00AC3A0C" w:rsidRPr="008D1D2B">
        <w:rPr>
          <w:lang w:val="sr-Latn-BA"/>
        </w:rPr>
        <w:t xml:space="preserve">udes, </w:t>
      </w:r>
      <w:r w:rsidR="00DA07C4" w:rsidRPr="008D1D2B">
        <w:t>dok broj nezgoda nije imao tendenciju smanjenja</w:t>
      </w:r>
      <w:r w:rsidR="00704D43" w:rsidRPr="008D1D2B">
        <w:t>. Analiza nam pokazuje da nivo bezbjednosti nije zadovoljavajući i da se u narednom period moraju preduzeti mjere u cilju povećanja b</w:t>
      </w:r>
      <w:r w:rsidR="00811AB1" w:rsidRPr="008D1D2B">
        <w:t>ezbjednosti na putnim prelazima</w:t>
      </w:r>
      <w:r w:rsidR="00811AB1" w:rsidRPr="008D1D2B">
        <w:rPr>
          <w:lang w:val="sr-Latn-BA"/>
        </w:rPr>
        <w:t>, te</w:t>
      </w:r>
      <w:r w:rsidR="00704D43" w:rsidRPr="008D1D2B">
        <w:t xml:space="preserve"> smanjenja broja vanrednih događaja. </w:t>
      </w:r>
    </w:p>
    <w:p w:rsidR="001A0F87" w:rsidRPr="008D1D2B" w:rsidRDefault="008D1D2B" w:rsidP="00AC3A0C">
      <w:pPr>
        <w:pStyle w:val="Slika"/>
        <w:rPr>
          <w:rFonts w:cs="Calibri"/>
        </w:rPr>
      </w:pPr>
      <w:r>
        <w:rPr>
          <w:noProof/>
          <w:lang w:val="en-US" w:eastAsia="en-US"/>
        </w:rPr>
        <w:drawing>
          <wp:inline distT="0" distB="0" distL="0" distR="0">
            <wp:extent cx="4864735" cy="3048000"/>
            <wp:effectExtent l="0" t="0" r="12065" b="19050"/>
            <wp:docPr id="3"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A0F87" w:rsidRPr="008D1D2B" w:rsidRDefault="001A0F87" w:rsidP="00811AB1">
      <w:pPr>
        <w:pStyle w:val="Slikanatpis"/>
        <w:numPr>
          <w:ilvl w:val="0"/>
          <w:numId w:val="0"/>
        </w:numPr>
        <w:ind w:left="709"/>
        <w:rPr>
          <w:sz w:val="14"/>
          <w:lang w:val="en-US"/>
        </w:rPr>
      </w:pPr>
      <w:r w:rsidRPr="008D1D2B">
        <w:rPr>
          <w:b/>
        </w:rPr>
        <w:t>Slika 3.</w:t>
      </w:r>
      <w:r w:rsidRPr="008D1D2B">
        <w:t xml:space="preserve"> Odnos broja udesa i nezgoda na putnim prelazima</w:t>
      </w:r>
    </w:p>
    <w:p w:rsidR="000165E9" w:rsidRPr="008D1D2B" w:rsidRDefault="00811AB1" w:rsidP="00811AB1">
      <w:pPr>
        <w:pStyle w:val="Tekst"/>
        <w:rPr>
          <w:lang w:val="sr-Latn-BA"/>
        </w:rPr>
      </w:pPr>
      <w:r w:rsidRPr="008D1D2B">
        <w:t>Primjena odgovaraju</w:t>
      </w:r>
      <w:r w:rsidRPr="008D1D2B">
        <w:rPr>
          <w:lang w:val="sr-Latn-BA"/>
        </w:rPr>
        <w:t>ć</w:t>
      </w:r>
      <w:r w:rsidR="002B72A8" w:rsidRPr="008D1D2B">
        <w:t>ih tehničkih i tehnoloških rješenja, primjena zakona i edukovanje javnosti o rizicima i aktivnostima koje bi trebalo preduzeti, dovodi do poboljšanja bezbjednosti na prelazima puta preko željezničk</w:t>
      </w:r>
      <w:r w:rsidRPr="008D1D2B">
        <w:t xml:space="preserve">ih </w:t>
      </w:r>
      <w:r w:rsidR="002B72A8" w:rsidRPr="008D1D2B">
        <w:t>prug</w:t>
      </w:r>
      <w:r w:rsidRPr="008D1D2B">
        <w:rPr>
          <w:lang w:val="sr-Latn-BA"/>
        </w:rPr>
        <w:t>a</w:t>
      </w:r>
      <w:r w:rsidR="002B72A8" w:rsidRPr="008D1D2B">
        <w:t>.</w:t>
      </w:r>
      <w:r w:rsidR="000165E9" w:rsidRPr="008D1D2B">
        <w:t xml:space="preserve"> Sa pozicije bezbjednosti saobraćaja, putni prelazi su osigurani Zakonom propisanim sredstvima osiguranja. Poštovanje zakonske regulative svih učesnika u saobraćaju u znatnoj mjeri bi podiglo nivo bezbjednosti i sigurnosti na putnim prelazima. Neophodno je kontinualno podizanje saobraćajne kulture </w:t>
      </w:r>
      <w:r w:rsidR="000165E9" w:rsidRPr="008D1D2B">
        <w:lastRenderedPageBreak/>
        <w:t xml:space="preserve">i disciplinovanje ponašanje vozača. </w:t>
      </w:r>
      <w:r w:rsidR="008D1D2B" w:rsidRPr="008D1D2B">
        <w:rPr>
          <w:lang w:val="sr-Latn-RS"/>
        </w:rPr>
        <w:t xml:space="preserve">(Đuričić i dr, 2013) </w:t>
      </w:r>
      <w:r w:rsidR="000165E9" w:rsidRPr="008D1D2B">
        <w:t>Ovo ne zahtijeva materijalne troškove</w:t>
      </w:r>
      <w:r w:rsidRPr="008D1D2B">
        <w:rPr>
          <w:lang w:val="sr-Latn-BA"/>
        </w:rPr>
        <w:t>,</w:t>
      </w:r>
      <w:r w:rsidR="000165E9" w:rsidRPr="008D1D2B">
        <w:t xml:space="preserve"> a učinak u bezbjednosti saobraćaja na putnim prelazima može biti znatno veći.</w:t>
      </w:r>
    </w:p>
    <w:p w:rsidR="001A0F87" w:rsidRPr="008D1D2B" w:rsidRDefault="002B72A8" w:rsidP="00811AB1">
      <w:pPr>
        <w:pStyle w:val="Tekst"/>
        <w:rPr>
          <w:rFonts w:cs="Calibri"/>
          <w:lang w:val="sr-Latn-CS"/>
        </w:rPr>
      </w:pPr>
      <w:r w:rsidRPr="008D1D2B">
        <w:rPr>
          <w:rFonts w:cs="Calibri"/>
          <w:lang w:val="sr-Latn-CS"/>
        </w:rPr>
        <w:t xml:space="preserve"> Faktor ponašanja u velikoj mjeri utiče na bezbjednost saobraćaja posebno na putnim prelazima koji su osigurani samo drumskim saobraćajnim znakovima</w:t>
      </w:r>
      <w:r w:rsidR="00811AB1" w:rsidRPr="008D1D2B">
        <w:rPr>
          <w:rFonts w:cs="Calibri"/>
          <w:lang w:val="sr-Latn-CS"/>
        </w:rPr>
        <w:t>,</w:t>
      </w:r>
      <w:r w:rsidRPr="008D1D2B">
        <w:rPr>
          <w:rFonts w:cs="Calibri"/>
          <w:lang w:val="sr-Latn-CS"/>
        </w:rPr>
        <w:t xml:space="preserve"> dok se uvođenjem signalizacije i sredstava obavještenja učesnika u drumskom saobraćaju ovaj uticaj smanjuje, odnosno izgradnjom denivelisanih saobraćajnica ovaj uticaj svodi na najmanju moguću mjeru. Ponašanje učesnika, naročito u drumskom saobraćaju, bitno utiče na bezbjedn</w:t>
      </w:r>
      <w:r w:rsidR="00811AB1" w:rsidRPr="008D1D2B">
        <w:rPr>
          <w:rFonts w:cs="Calibri"/>
          <w:lang w:val="sr-Latn-CS"/>
        </w:rPr>
        <w:t>ost saobraćaja. Kako bi se poveć</w:t>
      </w:r>
      <w:r w:rsidRPr="008D1D2B">
        <w:rPr>
          <w:rFonts w:cs="Calibri"/>
          <w:lang w:val="sr-Latn-CS"/>
        </w:rPr>
        <w:t>ao nivo edukacije i svijesti vozača potrebno je organizivati javne informativne kampanje</w:t>
      </w:r>
      <w:r w:rsidR="000165E9" w:rsidRPr="008D1D2B">
        <w:rPr>
          <w:rFonts w:cs="Calibri"/>
          <w:lang w:val="sr-Latn-CS"/>
        </w:rPr>
        <w:t>.</w:t>
      </w:r>
      <w:r w:rsidR="008D1D2B" w:rsidRPr="008D1D2B">
        <w:rPr>
          <w:rFonts w:cs="Calibri"/>
          <w:lang w:val="sr-Latn-CS"/>
        </w:rPr>
        <w:t>( Mićić</w:t>
      </w:r>
      <w:r w:rsidR="00C92B91" w:rsidRPr="008D1D2B">
        <w:rPr>
          <w:rFonts w:cs="Calibri"/>
          <w:lang w:val="sr-Latn-CS"/>
        </w:rPr>
        <w:t xml:space="preserve"> i dr, 2009)</w:t>
      </w:r>
    </w:p>
    <w:p w:rsidR="003D5925" w:rsidRPr="008D1D2B" w:rsidRDefault="001A0F87" w:rsidP="00811AB1">
      <w:pPr>
        <w:pStyle w:val="Tekst"/>
        <w:rPr>
          <w:rFonts w:cs="Calibri"/>
          <w:lang w:val="sr-Latn-CS"/>
        </w:rPr>
      </w:pPr>
      <w:r w:rsidRPr="008D1D2B">
        <w:rPr>
          <w:rFonts w:cs="Calibri"/>
          <w:lang w:val="sr-Latn-CS"/>
        </w:rPr>
        <w:t>U cilju podizanja nivoa bezbjednosti željezničkog saobraćaja na mjestima ukrštanja puta i željezničke pruge, a koja nisu osigurana uređajima za zatvaranje drumskog saobraćaja ili uređajima za davanje svjetlosnih i zvučnih znakova pri nailasku voza, potrebno je podsticati aktivnije uključenje lokalne zajednice i preduzeća ko</w:t>
      </w:r>
      <w:r w:rsidR="00811AB1" w:rsidRPr="008D1D2B">
        <w:rPr>
          <w:rFonts w:cs="Calibri"/>
          <w:lang w:val="sr-Latn-CS"/>
        </w:rPr>
        <w:t>ja održavaju puteve kako bi se u</w:t>
      </w:r>
      <w:r w:rsidRPr="008D1D2B">
        <w:rPr>
          <w:rFonts w:cs="Calibri"/>
          <w:lang w:val="sr-Latn-CS"/>
        </w:rPr>
        <w:t xml:space="preserve"> potpunosti ispoštovale zakonske odredbe na održavanju istih.</w:t>
      </w:r>
    </w:p>
    <w:p w:rsidR="001A0F87" w:rsidRPr="008D1D2B" w:rsidRDefault="001A0F87" w:rsidP="00811AB1">
      <w:pPr>
        <w:pStyle w:val="Tekst"/>
        <w:rPr>
          <w:rFonts w:cs="Calibri"/>
          <w:lang w:val="sr-Latn-CS"/>
        </w:rPr>
      </w:pPr>
      <w:r w:rsidRPr="008D1D2B">
        <w:rPr>
          <w:rFonts w:cs="Calibri"/>
          <w:lang w:val="sr-Latn-CS"/>
        </w:rPr>
        <w:t>Evidentno je da je jedini bezbjedan način ukrštanja željezničkog i drumskog saobraćaja kada se isti</w:t>
      </w:r>
      <w:r w:rsidR="006A0A1F" w:rsidRPr="008D1D2B">
        <w:rPr>
          <w:rFonts w:cs="Calibri"/>
          <w:lang w:val="sr-Latn-CS"/>
        </w:rPr>
        <w:t xml:space="preserve"> odvija na različitim nivoima (</w:t>
      </w:r>
      <w:r w:rsidRPr="008D1D2B">
        <w:rPr>
          <w:rFonts w:cs="Calibri"/>
          <w:lang w:val="sr-Latn-CS"/>
        </w:rPr>
        <w:t>podvožnjak ili nadvožnjak), dok ukrštanje u nivou bez obzira na koji način je izvršeno osiguranje, neizbiježno nosi određeni rizik od nastanka vanrednog događaja.  Stoga</w:t>
      </w:r>
      <w:r w:rsidR="006A0A1F" w:rsidRPr="008D1D2B">
        <w:rPr>
          <w:rFonts w:cs="Calibri"/>
          <w:lang w:val="sr-Latn-CS"/>
        </w:rPr>
        <w:t>,</w:t>
      </w:r>
      <w:r w:rsidRPr="008D1D2B">
        <w:rPr>
          <w:rFonts w:cs="Calibri"/>
          <w:lang w:val="sr-Latn-CS"/>
        </w:rPr>
        <w:t xml:space="preserve"> neophodne mjere u cilju smanjenja rizika na putnim prelazima</w:t>
      </w:r>
      <w:r w:rsidR="006A0A1F" w:rsidRPr="008D1D2B">
        <w:rPr>
          <w:rFonts w:cs="Calibri"/>
          <w:lang w:val="sr-Latn-CS"/>
        </w:rPr>
        <w:t xml:space="preserve"> bi</w:t>
      </w:r>
      <w:r w:rsidRPr="008D1D2B">
        <w:rPr>
          <w:rFonts w:cs="Calibri"/>
          <w:lang w:val="sr-Latn-CS"/>
        </w:rPr>
        <w:t xml:space="preserve"> bile:</w:t>
      </w:r>
    </w:p>
    <w:p w:rsidR="003B1B8E" w:rsidRPr="008D1D2B" w:rsidRDefault="003B1B8E" w:rsidP="006A0A1F">
      <w:pPr>
        <w:pStyle w:val="Nabrajanje"/>
        <w:rPr>
          <w:b/>
        </w:rPr>
      </w:pPr>
      <w:r w:rsidRPr="008D1D2B">
        <w:rPr>
          <w:b/>
        </w:rPr>
        <w:t>Kratkoročn</w:t>
      </w:r>
      <w:r w:rsidR="006A0A1F" w:rsidRPr="008D1D2B">
        <w:rPr>
          <w:b/>
          <w:lang w:val="sr-Latn-BA"/>
        </w:rPr>
        <w:t xml:space="preserve">e </w:t>
      </w:r>
      <w:r w:rsidR="008D1D2B" w:rsidRPr="008D1D2B">
        <w:rPr>
          <w:b/>
          <w:lang w:val="sr-Latn-BA"/>
        </w:rPr>
        <w:t>mjere</w:t>
      </w:r>
      <w:r w:rsidRPr="008D1D2B">
        <w:rPr>
          <w:b/>
        </w:rPr>
        <w:t>:</w:t>
      </w:r>
      <w:r w:rsidR="006A0A1F" w:rsidRPr="008D1D2B">
        <w:rPr>
          <w:b/>
          <w:lang w:val="sr-Latn-BA"/>
        </w:rPr>
        <w:t xml:space="preserve"> </w:t>
      </w:r>
    </w:p>
    <w:p w:rsidR="003B1B8E" w:rsidRPr="008D1D2B" w:rsidRDefault="003B1B8E" w:rsidP="00811AB1">
      <w:pPr>
        <w:pStyle w:val="Nabrajanje"/>
        <w:rPr>
          <w:b/>
        </w:rPr>
      </w:pPr>
      <w:r w:rsidRPr="008D1D2B">
        <w:t>Sprovođenje kontrola i preventivnih mjera na željezničke radnike koji</w:t>
      </w:r>
      <w:r w:rsidR="00A918B2" w:rsidRPr="008D1D2B">
        <w:t xml:space="preserve"> direktno učestvuju u odvijanju saobraćaja na putnim prelazima;</w:t>
      </w:r>
    </w:p>
    <w:p w:rsidR="00A918B2" w:rsidRPr="008D1D2B" w:rsidRDefault="00A918B2" w:rsidP="00811AB1">
      <w:pPr>
        <w:pStyle w:val="Nabrajanje"/>
        <w:rPr>
          <w:b/>
        </w:rPr>
      </w:pPr>
      <w:r w:rsidRPr="008D1D2B">
        <w:t>Za sve druge korisnike stalno spro</w:t>
      </w:r>
      <w:r w:rsidR="00420CA4" w:rsidRPr="008D1D2B">
        <w:t>voditi informisanje da vozovi n</w:t>
      </w:r>
      <w:r w:rsidRPr="008D1D2B">
        <w:t>a</w:t>
      </w:r>
      <w:r w:rsidR="00420CA4" w:rsidRPr="008D1D2B">
        <w:t xml:space="preserve"> </w:t>
      </w:r>
      <w:r w:rsidRPr="008D1D2B">
        <w:t>putnim prelazima imaju pravo prvenstva prel</w:t>
      </w:r>
      <w:r w:rsidR="00420CA4" w:rsidRPr="008D1D2B">
        <w:t>aza u odnosu na drumska vozila i</w:t>
      </w:r>
      <w:r w:rsidRPr="008D1D2B">
        <w:t xml:space="preserve"> druge učesnike u saobraćaju;</w:t>
      </w:r>
    </w:p>
    <w:p w:rsidR="00A918B2" w:rsidRPr="008D1D2B" w:rsidRDefault="005F4CFF" w:rsidP="00811AB1">
      <w:pPr>
        <w:pStyle w:val="Nabrajanje"/>
      </w:pPr>
      <w:r w:rsidRPr="008D1D2B">
        <w:t>Analiza postojećeg stanja i prijedlog savremenih tendencija razvoja prevencije saobraćajnih nezgoda na putnim prelazima;</w:t>
      </w:r>
    </w:p>
    <w:p w:rsidR="005F4CFF" w:rsidRPr="008D1D2B" w:rsidRDefault="005F4CFF" w:rsidP="00811AB1">
      <w:pPr>
        <w:pStyle w:val="Nabrajanje"/>
      </w:pPr>
      <w:r w:rsidRPr="008D1D2B">
        <w:t>Animiranje lokalnih zajednica, Željeznica Republike Srpske, Ministarstva saobraćaja i veza i Vlade Republike Srpske da bezbjednost saobraćaja na putnim prelazima nije problem pojedinih kompanija već cijel</w:t>
      </w:r>
      <w:r w:rsidR="0063318F" w:rsidRPr="008D1D2B">
        <w:rPr>
          <w:lang w:val="sr-Latn-BA"/>
        </w:rPr>
        <w:t>og</w:t>
      </w:r>
      <w:r w:rsidRPr="008D1D2B">
        <w:t xml:space="preserve"> </w:t>
      </w:r>
      <w:r w:rsidR="0063318F" w:rsidRPr="008D1D2B">
        <w:rPr>
          <w:lang w:val="sr-Latn-BA"/>
        </w:rPr>
        <w:t>društva</w:t>
      </w:r>
      <w:r w:rsidRPr="008D1D2B">
        <w:t>;</w:t>
      </w:r>
    </w:p>
    <w:p w:rsidR="005F4CFF" w:rsidRPr="008D1D2B" w:rsidRDefault="005F4CFF" w:rsidP="00811AB1">
      <w:pPr>
        <w:pStyle w:val="Nabrajanje"/>
      </w:pPr>
      <w:r w:rsidRPr="008D1D2B">
        <w:t>Finansijski troškovi i odlučivanje o opremanju pojedinih putnih prelaza odgovarajućim uređajima za upozorenje, treba sa željezničkih, ravnomijerno prebaciti i u drumsku nadležnost;</w:t>
      </w:r>
    </w:p>
    <w:p w:rsidR="005F4CFF" w:rsidRPr="008D1D2B" w:rsidRDefault="005F4CFF" w:rsidP="00811AB1">
      <w:pPr>
        <w:pStyle w:val="Nabrajanje"/>
      </w:pPr>
      <w:r w:rsidRPr="008D1D2B">
        <w:t>Sistemski urediti i organizovati prenošenje znanja i iskustava iz najrazvijenijih zemalja i prilagoditi ih lokalnim uslovima naročito prilikom vođenja javnih kampanja;</w:t>
      </w:r>
    </w:p>
    <w:p w:rsidR="005F4CFF" w:rsidRPr="008D1D2B" w:rsidRDefault="005F4CFF" w:rsidP="00811AB1">
      <w:pPr>
        <w:pStyle w:val="Nabrajanje"/>
      </w:pPr>
      <w:r w:rsidRPr="008D1D2B">
        <w:t>Prilikom ukrštanja puta i pruge u istom nivou držati se zakonskih propisa vezanih za odvijanje željezničkog i drumskog saobraćaja;</w:t>
      </w:r>
    </w:p>
    <w:p w:rsidR="005F4CFF" w:rsidRPr="008D1D2B" w:rsidRDefault="005F4CFF" w:rsidP="00811AB1">
      <w:pPr>
        <w:pStyle w:val="Nabrajanje"/>
      </w:pPr>
      <w:r w:rsidRPr="008D1D2B">
        <w:t>Kod neosiguranih putnih prelaza i prelaza osiguranih sa svjetlosno-zvučnom signalizacijom, pojačati sankcije prema nesavje</w:t>
      </w:r>
      <w:r w:rsidR="008D1D2B" w:rsidRPr="008D1D2B">
        <w:t>snim vozačima češćim prisustvom</w:t>
      </w:r>
      <w:r w:rsidR="0063318F" w:rsidRPr="008D1D2B">
        <w:rPr>
          <w:lang w:val="sr-Latn-BA"/>
        </w:rPr>
        <w:t xml:space="preserve"> pripadnika MUPRS</w:t>
      </w:r>
      <w:r w:rsidRPr="008D1D2B">
        <w:t>;</w:t>
      </w:r>
    </w:p>
    <w:p w:rsidR="005F4CFF" w:rsidRPr="008D1D2B" w:rsidRDefault="008E58E3" w:rsidP="00811AB1">
      <w:pPr>
        <w:pStyle w:val="Nabrajanje"/>
      </w:pPr>
      <w:r w:rsidRPr="008D1D2B">
        <w:t xml:space="preserve">Kod putnih prelaza osiguranih sa svjetlosno-zvučnom signalizacijom sa ili bez polubranika ispred signala </w:t>
      </w:r>
      <w:r w:rsidR="0063318F" w:rsidRPr="008D1D2B">
        <w:rPr>
          <w:lang w:val="sr-Latn-BA"/>
        </w:rPr>
        <w:t xml:space="preserve">je </w:t>
      </w:r>
      <w:r w:rsidRPr="008D1D2B">
        <w:t>treptača sa crvenom svjetlošću</w:t>
      </w:r>
      <w:r w:rsidR="0063318F" w:rsidRPr="008D1D2B">
        <w:rPr>
          <w:lang w:val="sr-Latn-BA"/>
        </w:rPr>
        <w:t>,</w:t>
      </w:r>
      <w:r w:rsidRPr="008D1D2B">
        <w:t xml:space="preserve"> koj</w:t>
      </w:r>
      <w:r w:rsidR="0063318F" w:rsidRPr="008D1D2B">
        <w:rPr>
          <w:lang w:val="sr-Latn-BA"/>
        </w:rPr>
        <w:t>a</w:t>
      </w:r>
      <w:r w:rsidRPr="008D1D2B">
        <w:t xml:space="preserve"> se pal</w:t>
      </w:r>
      <w:r w:rsidR="0063318F" w:rsidRPr="008D1D2B">
        <w:rPr>
          <w:lang w:val="sr-Latn-BA"/>
        </w:rPr>
        <w:t>i</w:t>
      </w:r>
      <w:r w:rsidRPr="008D1D2B">
        <w:t xml:space="preserve"> u ritmu zvona</w:t>
      </w:r>
      <w:r w:rsidR="0063318F" w:rsidRPr="008D1D2B">
        <w:rPr>
          <w:lang w:val="sr-Latn-BA"/>
        </w:rPr>
        <w:t>,</w:t>
      </w:r>
      <w:r w:rsidRPr="008D1D2B">
        <w:t xml:space="preserve"> i to naizmjenično postaviti svjetlosne saobraćajne znake za označavanje radova ili prepreka na</w:t>
      </w:r>
      <w:r w:rsidR="0063318F" w:rsidRPr="008D1D2B">
        <w:rPr>
          <w:lang w:val="sr-Latn-BA"/>
        </w:rPr>
        <w:t xml:space="preserve"> </w:t>
      </w:r>
      <w:r w:rsidR="0063318F" w:rsidRPr="008D1D2B">
        <w:t>p</w:t>
      </w:r>
      <w:r w:rsidRPr="008D1D2B">
        <w:t>utu sa narandžastom svjetlošću (</w:t>
      </w:r>
      <w:r w:rsidR="00C92B91" w:rsidRPr="008D1D2B">
        <w:t>koja se pali u istom ritmu kao i</w:t>
      </w:r>
      <w:r w:rsidRPr="008D1D2B">
        <w:t xml:space="preserve"> signal treptač</w:t>
      </w:r>
      <w:r w:rsidR="0063318F" w:rsidRPr="008D1D2B">
        <w:rPr>
          <w:lang w:val="sr-Latn-BA"/>
        </w:rPr>
        <w:t>e</w:t>
      </w:r>
      <w:r w:rsidRPr="008D1D2B">
        <w:t>) na udaljenosti od 50 metara;</w:t>
      </w:r>
    </w:p>
    <w:p w:rsidR="008E58E3" w:rsidRPr="008D1D2B" w:rsidRDefault="008E58E3" w:rsidP="00811AB1">
      <w:pPr>
        <w:pStyle w:val="Nabrajanje"/>
      </w:pPr>
      <w:r w:rsidRPr="008D1D2B">
        <w:t>Usaglasiti postojeće evidencije željeznice o saobraćajnim nezgodama na putnim prelazima, sa evidencijama koje se vode u drumskom saobraćaju zbog lakšeg praćenja i statističke obrade.</w:t>
      </w:r>
    </w:p>
    <w:p w:rsidR="006A0A1F" w:rsidRPr="008D1D2B" w:rsidRDefault="006A0A1F" w:rsidP="006A0A1F">
      <w:pPr>
        <w:pStyle w:val="Nabrajanje"/>
        <w:rPr>
          <w:b/>
        </w:rPr>
      </w:pPr>
      <w:r w:rsidRPr="008D1D2B">
        <w:rPr>
          <w:b/>
        </w:rPr>
        <w:t>Srednjoročn</w:t>
      </w:r>
      <w:r w:rsidRPr="008D1D2B">
        <w:rPr>
          <w:b/>
          <w:lang w:val="sr-Latn-BA"/>
        </w:rPr>
        <w:t xml:space="preserve">e </w:t>
      </w:r>
      <w:r w:rsidR="008D1D2B" w:rsidRPr="008D1D2B">
        <w:rPr>
          <w:b/>
          <w:lang w:val="sr-Latn-BA"/>
        </w:rPr>
        <w:t>mjere</w:t>
      </w:r>
      <w:r w:rsidRPr="008D1D2B">
        <w:rPr>
          <w:b/>
        </w:rPr>
        <w:t>:</w:t>
      </w:r>
      <w:r w:rsidRPr="008D1D2B">
        <w:rPr>
          <w:b/>
          <w:lang w:val="sr-Latn-BA"/>
        </w:rPr>
        <w:t xml:space="preserve"> </w:t>
      </w:r>
    </w:p>
    <w:p w:rsidR="006A0A1F" w:rsidRPr="008D1D2B" w:rsidRDefault="006A0A1F" w:rsidP="006A0A1F">
      <w:pPr>
        <w:pStyle w:val="Nabrajanje"/>
        <w:rPr>
          <w:lang w:val="en-US"/>
        </w:rPr>
      </w:pPr>
      <w:r w:rsidRPr="008D1D2B">
        <w:t>Osiguranje prioritetnih putnih prelaza savremenim sistemima osiguranja, koristeći pogodne momente za to</w:t>
      </w:r>
      <w:r w:rsidRPr="008D1D2B">
        <w:rPr>
          <w:lang w:val="sr-Latn-BA"/>
        </w:rPr>
        <w:t>,</w:t>
      </w:r>
      <w:r w:rsidRPr="008D1D2B">
        <w:t xml:space="preserve"> kao što su </w:t>
      </w:r>
      <w:r w:rsidRPr="008D1D2B">
        <w:rPr>
          <w:lang w:val="sr-Latn-BA"/>
        </w:rPr>
        <w:t xml:space="preserve">na primjer </w:t>
      </w:r>
      <w:r w:rsidRPr="008D1D2B">
        <w:t>remonti pruga.</w:t>
      </w:r>
      <w:r w:rsidRPr="008D1D2B">
        <w:rPr>
          <w:lang w:val="sr-Latn-BA"/>
        </w:rPr>
        <w:t xml:space="preserve"> </w:t>
      </w:r>
      <w:r w:rsidR="008D1D2B" w:rsidRPr="008D1D2B">
        <w:t>(Vasiljević</w:t>
      </w:r>
      <w:r w:rsidRPr="008D1D2B">
        <w:t xml:space="preserve"> i dr, 2013)</w:t>
      </w:r>
    </w:p>
    <w:p w:rsidR="006A0A1F" w:rsidRPr="008D1D2B" w:rsidRDefault="006A0A1F" w:rsidP="006A0A1F">
      <w:pPr>
        <w:pStyle w:val="Nabrajanje"/>
        <w:rPr>
          <w:b/>
        </w:rPr>
      </w:pPr>
      <w:r w:rsidRPr="008D1D2B">
        <w:rPr>
          <w:b/>
        </w:rPr>
        <w:t>Dugoročn</w:t>
      </w:r>
      <w:r w:rsidRPr="008D1D2B">
        <w:rPr>
          <w:b/>
          <w:lang w:val="sr-Latn-BA"/>
        </w:rPr>
        <w:t>e</w:t>
      </w:r>
      <w:r w:rsidRPr="008D1D2B">
        <w:rPr>
          <w:b/>
        </w:rPr>
        <w:t xml:space="preserve"> </w:t>
      </w:r>
      <w:r w:rsidR="008D1D2B" w:rsidRPr="008D1D2B">
        <w:rPr>
          <w:b/>
          <w:lang w:val="sr-Latn-BA"/>
        </w:rPr>
        <w:t>mjere</w:t>
      </w:r>
      <w:r w:rsidRPr="008D1D2B">
        <w:rPr>
          <w:b/>
        </w:rPr>
        <w:t>:</w:t>
      </w:r>
      <w:r w:rsidRPr="008D1D2B">
        <w:rPr>
          <w:b/>
          <w:lang w:val="sr-Latn-BA"/>
        </w:rPr>
        <w:t xml:space="preserve"> </w:t>
      </w:r>
    </w:p>
    <w:p w:rsidR="006A0A1F" w:rsidRPr="008D1D2B" w:rsidRDefault="006A0A1F" w:rsidP="006A0A1F">
      <w:pPr>
        <w:pStyle w:val="Nabrajanje"/>
      </w:pPr>
      <w:r w:rsidRPr="008D1D2B">
        <w:t>Izvođenje denivelacije postojećih putnih prelaza</w:t>
      </w:r>
      <w:r w:rsidRPr="008D1D2B">
        <w:rPr>
          <w:lang w:val="sr-Latn-BA"/>
        </w:rPr>
        <w:t>,</w:t>
      </w:r>
      <w:r w:rsidRPr="008D1D2B">
        <w:t xml:space="preserve"> </w:t>
      </w:r>
      <w:r w:rsidRPr="008D1D2B">
        <w:rPr>
          <w:lang w:val="sr-Latn-BA"/>
        </w:rPr>
        <w:t>sa</w:t>
      </w:r>
      <w:r w:rsidRPr="008D1D2B">
        <w:t xml:space="preserve"> obzirom da to zahtijeva velika materijalna ulaganja</w:t>
      </w:r>
      <w:r w:rsidRPr="008D1D2B">
        <w:rPr>
          <w:lang w:val="sr-Latn-BA"/>
        </w:rPr>
        <w:t>,</w:t>
      </w:r>
      <w:r w:rsidRPr="008D1D2B">
        <w:t xml:space="preserve"> kao </w:t>
      </w:r>
      <w:r w:rsidRPr="008D1D2B">
        <w:rPr>
          <w:lang w:val="sr-Latn-BA"/>
        </w:rPr>
        <w:t>i</w:t>
      </w:r>
      <w:r w:rsidRPr="008D1D2B">
        <w:t xml:space="preserve"> da nije moguće sprovesti u kratkom vremenskom periodu.</w:t>
      </w:r>
    </w:p>
    <w:p w:rsidR="003D5925" w:rsidRPr="008D1D2B" w:rsidRDefault="003D5925" w:rsidP="008E58E3">
      <w:pPr>
        <w:jc w:val="both"/>
        <w:rPr>
          <w:rFonts w:ascii="TimesNewRoman" w:hAnsi="TimesNewRoman"/>
          <w:color w:val="000000"/>
          <w:sz w:val="20"/>
          <w:szCs w:val="20"/>
          <w:lang w:val="sr-Latn-RS"/>
        </w:rPr>
      </w:pPr>
    </w:p>
    <w:p w:rsidR="00F40E09" w:rsidRPr="008D1D2B" w:rsidRDefault="00F40E09" w:rsidP="00F40E09">
      <w:pPr>
        <w:pStyle w:val="Heading1"/>
        <w:rPr>
          <w:lang w:val="bs-Latn-BA"/>
        </w:rPr>
      </w:pPr>
      <w:r w:rsidRPr="008D1D2B">
        <w:rPr>
          <w:lang w:val="bs-Latn-BA"/>
        </w:rPr>
        <w:lastRenderedPageBreak/>
        <w:t>zaključak</w:t>
      </w:r>
    </w:p>
    <w:p w:rsidR="00886B5C" w:rsidRPr="008D1D2B" w:rsidRDefault="00C92B91" w:rsidP="00811AB1">
      <w:pPr>
        <w:pStyle w:val="Tekst"/>
      </w:pPr>
      <w:r w:rsidRPr="008D1D2B">
        <w:t xml:space="preserve">U radu je prikazana analiza stanja bezbjednosti </w:t>
      </w:r>
      <w:r w:rsidR="00886B5C" w:rsidRPr="008D1D2B">
        <w:t xml:space="preserve">saobraćaja </w:t>
      </w:r>
      <w:r w:rsidRPr="008D1D2B">
        <w:t>na putnim prelazima na mreži Željeznica  Repu</w:t>
      </w:r>
      <w:r w:rsidR="00886B5C" w:rsidRPr="008D1D2B">
        <w:t>blike S</w:t>
      </w:r>
      <w:r w:rsidRPr="008D1D2B">
        <w:t>rpske</w:t>
      </w:r>
      <w:r w:rsidR="00886B5C" w:rsidRPr="008D1D2B">
        <w:t xml:space="preserve">, izražena kroz broj vanrednih događaja, udesa i nezgoda na </w:t>
      </w:r>
      <w:r w:rsidR="004F2680" w:rsidRPr="008D1D2B">
        <w:rPr>
          <w:lang w:val="sr-Latn-BA"/>
        </w:rPr>
        <w:t>pružnim prelazima</w:t>
      </w:r>
      <w:r w:rsidR="00886B5C" w:rsidRPr="008D1D2B">
        <w:t xml:space="preserve">, kao i promjenu broja istih u periodu od deset godina. </w:t>
      </w:r>
      <w:r w:rsidR="00420CA4" w:rsidRPr="008D1D2B">
        <w:t xml:space="preserve">Mnogo aktivnosti treba uraditi kako bi se nivo bezbjednosti povećao. </w:t>
      </w:r>
      <w:r w:rsidR="00886B5C" w:rsidRPr="008D1D2B">
        <w:t>Obzirom da je najveći procenat nezgoda nastao kao posljedica ljudske nepažnje, potrebno je užurbano raditi na edukaciji svih učesnika u saobraćaju, kako u drumskom</w:t>
      </w:r>
      <w:r w:rsidR="004F2680" w:rsidRPr="008D1D2B">
        <w:rPr>
          <w:lang w:val="sr-Latn-BA"/>
        </w:rPr>
        <w:t>,</w:t>
      </w:r>
      <w:r w:rsidR="00886B5C" w:rsidRPr="008D1D2B">
        <w:t xml:space="preserve"> tako i u željezničkom</w:t>
      </w:r>
      <w:r w:rsidR="004F2680" w:rsidRPr="008D1D2B">
        <w:rPr>
          <w:lang w:val="sr-Latn-BA"/>
        </w:rPr>
        <w:t xml:space="preserve"> saobraćaju</w:t>
      </w:r>
      <w:r w:rsidR="00886B5C" w:rsidRPr="008D1D2B">
        <w:t>, jer to ne zahtijeva posebna materijalna ulaganja koja predstavljaju veliki problem u današnjem društvu, ali u velikoj mjeri može doprinijeti smanjenju broja povrijeđenih</w:t>
      </w:r>
      <w:r w:rsidR="004F2680" w:rsidRPr="008D1D2B">
        <w:rPr>
          <w:lang w:val="sr-Latn-BA"/>
        </w:rPr>
        <w:t>,</w:t>
      </w:r>
      <w:r w:rsidR="00886B5C" w:rsidRPr="008D1D2B">
        <w:t xml:space="preserve"> kao i materijalnih šteta.</w:t>
      </w:r>
      <w:r w:rsidR="00420CA4" w:rsidRPr="008D1D2B">
        <w:t xml:space="preserve"> Primjena zakonskih propisa treba da</w:t>
      </w:r>
      <w:r w:rsidR="000734C7" w:rsidRPr="008D1D2B">
        <w:t xml:space="preserve"> bude u potpunosti </w:t>
      </w:r>
      <w:r w:rsidR="00420CA4" w:rsidRPr="008D1D2B">
        <w:t>primijenjena</w:t>
      </w:r>
      <w:r w:rsidR="004F2680" w:rsidRPr="008D1D2B">
        <w:rPr>
          <w:lang w:val="sr-Latn-BA"/>
        </w:rPr>
        <w:t>,</w:t>
      </w:r>
      <w:r w:rsidR="00420CA4" w:rsidRPr="008D1D2B">
        <w:t xml:space="preserve"> kao i sankcije za nepoštovanje istih. Iskustva drugih zemalja koja su doprinijela smanjenju broja vanrednih događaja, treba primjenjivati.</w:t>
      </w:r>
      <w:r w:rsidR="000734C7" w:rsidRPr="008D1D2B">
        <w:t xml:space="preserve"> Analiza postojećih vanrednih događaja treba da bude vršena zajednički od strane Željeznica Republike Srpske, Puteva Republike Srpske, lokalnih zajednica, resornih Ministarstava i Vlade Republike Srpske, kako bi se preuzele neophodne mjere kojima bi se broj neželjenih događaja sveo na minimum.</w:t>
      </w:r>
    </w:p>
    <w:p w:rsidR="000734C7" w:rsidRPr="008D1D2B" w:rsidRDefault="00886B5C" w:rsidP="00811AB1">
      <w:pPr>
        <w:pStyle w:val="Tekst"/>
        <w:rPr>
          <w:lang w:val="sr-Latn-BA"/>
        </w:rPr>
      </w:pPr>
      <w:r w:rsidRPr="008D1D2B">
        <w:t>Dalja istraživ</w:t>
      </w:r>
      <w:r w:rsidR="004F2680" w:rsidRPr="008D1D2B">
        <w:t xml:space="preserve">anja će biti u pravcu uvođenja </w:t>
      </w:r>
      <w:r w:rsidR="004F2680" w:rsidRPr="008D1D2B">
        <w:rPr>
          <w:lang w:val="sr-Latn-BA"/>
        </w:rPr>
        <w:t>i</w:t>
      </w:r>
      <w:r w:rsidRPr="008D1D2B">
        <w:t xml:space="preserve">nteligentnih </w:t>
      </w:r>
      <w:r w:rsidR="004F2680" w:rsidRPr="008D1D2B">
        <w:rPr>
          <w:lang w:val="sr-Latn-BA"/>
        </w:rPr>
        <w:t>t</w:t>
      </w:r>
      <w:r w:rsidRPr="008D1D2B">
        <w:t>ransportnih sistema, čija primjena u velikoj mjeri povećava</w:t>
      </w:r>
      <w:r w:rsidR="00420CA4" w:rsidRPr="008D1D2B">
        <w:t xml:space="preserve"> nivo bezbjednosti u saobraćaju</w:t>
      </w:r>
      <w:r w:rsidR="004F2680" w:rsidRPr="008D1D2B">
        <w:rPr>
          <w:lang w:val="sr-Latn-BA"/>
        </w:rPr>
        <w:t>,</w:t>
      </w:r>
      <w:r w:rsidR="00420CA4" w:rsidRPr="008D1D2B">
        <w:t xml:space="preserve"> ali</w:t>
      </w:r>
      <w:r w:rsidR="004F2680" w:rsidRPr="008D1D2B">
        <w:rPr>
          <w:lang w:val="sr-Latn-BA"/>
        </w:rPr>
        <w:t xml:space="preserve"> i</w:t>
      </w:r>
      <w:r w:rsidR="00420CA4" w:rsidRPr="008D1D2B">
        <w:t xml:space="preserve"> zahtijeva velika materijalna ulaganja. </w:t>
      </w:r>
    </w:p>
    <w:p w:rsidR="00F40E09" w:rsidRPr="008D1D2B" w:rsidRDefault="000A4571" w:rsidP="00F40E09">
      <w:pPr>
        <w:pStyle w:val="Heading1"/>
        <w:rPr>
          <w:lang w:val="bs-Latn-BA"/>
        </w:rPr>
      </w:pPr>
      <w:r w:rsidRPr="008D1D2B">
        <w:rPr>
          <w:lang w:val="bs-Latn-BA"/>
        </w:rPr>
        <w:t>L</w:t>
      </w:r>
      <w:r w:rsidR="006F215F" w:rsidRPr="008D1D2B">
        <w:rPr>
          <w:lang w:val="bs-Latn-BA"/>
        </w:rPr>
        <w:t>ite</w:t>
      </w:r>
      <w:r w:rsidR="00F40E09" w:rsidRPr="008D1D2B">
        <w:rPr>
          <w:lang w:val="bs-Latn-BA"/>
        </w:rPr>
        <w:t>ratura</w:t>
      </w:r>
    </w:p>
    <w:p w:rsidR="00F40E09" w:rsidRPr="008D1D2B" w:rsidRDefault="00F40E09" w:rsidP="00811AB1">
      <w:pPr>
        <w:pStyle w:val="Literatura"/>
      </w:pPr>
      <w:r w:rsidRPr="008D1D2B">
        <w:t xml:space="preserve">[1] </w:t>
      </w:r>
      <w:r w:rsidR="009212BB" w:rsidRPr="008D1D2B">
        <w:t>Đuričić R., Malčić V.,</w:t>
      </w:r>
      <w:r w:rsidR="004F2680" w:rsidRPr="008D1D2B">
        <w:t xml:space="preserve"> </w:t>
      </w:r>
      <w:r w:rsidR="009212BB" w:rsidRPr="008D1D2B">
        <w:t>Sarić Z., (2013)</w:t>
      </w:r>
      <w:r w:rsidR="00D438B3" w:rsidRPr="008D1D2B">
        <w:t>.</w:t>
      </w:r>
      <w:r w:rsidR="009212BB" w:rsidRPr="008D1D2B">
        <w:t xml:space="preserve"> Povećanje bezbjednosti saobraćaja podizanjem nivoa osiguranja na prioritetnim putnim prelazima, Bezbjednost saobraćaja, Doboj,</w:t>
      </w:r>
      <w:r w:rsidR="004F2680" w:rsidRPr="008D1D2B">
        <w:t xml:space="preserve"> </w:t>
      </w:r>
      <w:r w:rsidR="009212BB" w:rsidRPr="008D1D2B">
        <w:t>96-101.</w:t>
      </w:r>
    </w:p>
    <w:p w:rsidR="00084EF9" w:rsidRPr="008D1D2B" w:rsidRDefault="00084EF9" w:rsidP="00811AB1">
      <w:pPr>
        <w:pStyle w:val="Literatura"/>
      </w:pPr>
      <w:r w:rsidRPr="008D1D2B">
        <w:t xml:space="preserve">[2] </w:t>
      </w:r>
      <w:r w:rsidR="009212BB" w:rsidRPr="008D1D2B">
        <w:t>Izvještaj o stanju bezbjednosti i urednosti u želj</w:t>
      </w:r>
      <w:r w:rsidR="00D438B3" w:rsidRPr="008D1D2B">
        <w:t>ezničkom saobraćaju, (2006-2015</w:t>
      </w:r>
      <w:r w:rsidR="009212BB" w:rsidRPr="008D1D2B">
        <w:t>)</w:t>
      </w:r>
      <w:r w:rsidR="00D438B3" w:rsidRPr="008D1D2B">
        <w:t>.</w:t>
      </w:r>
      <w:r w:rsidR="009212BB" w:rsidRPr="008D1D2B">
        <w:t xml:space="preserve"> ŽRS, Doboj</w:t>
      </w:r>
      <w:r w:rsidR="004F2680" w:rsidRPr="008D1D2B">
        <w:t>.</w:t>
      </w:r>
    </w:p>
    <w:p w:rsidR="00084EF9" w:rsidRPr="008D1D2B" w:rsidRDefault="00084EF9" w:rsidP="00811AB1">
      <w:pPr>
        <w:pStyle w:val="Literatura"/>
      </w:pPr>
      <w:r w:rsidRPr="008D1D2B">
        <w:t xml:space="preserve">[3] </w:t>
      </w:r>
      <w:r w:rsidR="009212BB" w:rsidRPr="008D1D2B">
        <w:t>Mićić M., Subotić M., Radić Ž., (2009)</w:t>
      </w:r>
      <w:r w:rsidR="00D438B3" w:rsidRPr="008D1D2B">
        <w:t>.</w:t>
      </w:r>
      <w:r w:rsidR="009212BB" w:rsidRPr="008D1D2B">
        <w:t xml:space="preserve"> </w:t>
      </w:r>
      <w:r w:rsidR="00D438B3" w:rsidRPr="008D1D2B">
        <w:t>Željeznički putni prelazi sa aspekta bezbjednosti saobraćaja, NOBI HORIZONTI SAOBRAĆAJA I KOMUNIKACIJA, Doboj</w:t>
      </w:r>
      <w:r w:rsidR="008D1D2B" w:rsidRPr="008D1D2B">
        <w:t>.</w:t>
      </w:r>
    </w:p>
    <w:p w:rsidR="00F40E09" w:rsidRPr="00811AB1" w:rsidRDefault="00F40E09" w:rsidP="00811AB1">
      <w:pPr>
        <w:pStyle w:val="Literatura"/>
      </w:pPr>
      <w:r w:rsidRPr="008D1D2B">
        <w:t xml:space="preserve">[4] </w:t>
      </w:r>
      <w:r w:rsidR="00D438B3" w:rsidRPr="008D1D2B">
        <w:t>Vasiljević M., Radić Ž., (2013). Rizik od vanrednog događaja na putnim prelazima u Republici Srpskoj, Bezbjednost saobraćaja, Doboj, 87-95.</w:t>
      </w:r>
    </w:p>
    <w:p w:rsidR="00090165" w:rsidRPr="008B5A46" w:rsidRDefault="00090165" w:rsidP="008B5A46">
      <w:pPr>
        <w:tabs>
          <w:tab w:val="left" w:pos="5025"/>
        </w:tabs>
        <w:rPr>
          <w:lang w:val="bs-Latn-BA" w:eastAsia="sr-Latn-CS"/>
        </w:rPr>
      </w:pPr>
    </w:p>
    <w:sectPr w:rsidR="00090165" w:rsidRPr="008B5A46" w:rsidSect="001560A3">
      <w:headerReference w:type="even" r:id="rId11"/>
      <w:headerReference w:type="default" r:id="rId12"/>
      <w:footerReference w:type="even" r:id="rId13"/>
      <w:footerReference w:type="default" r:id="rId14"/>
      <w:headerReference w:type="first" r:id="rId15"/>
      <w:footerReference w:type="first" r:id="rId16"/>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96F" w:rsidRDefault="007D096F" w:rsidP="004A4828">
      <w:r>
        <w:separator/>
      </w:r>
    </w:p>
  </w:endnote>
  <w:endnote w:type="continuationSeparator" w:id="0">
    <w:p w:rsidR="007D096F" w:rsidRDefault="007D096F"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84B" w:rsidRDefault="0080584B">
    <w:pPr>
      <w:pStyle w:val="Footer"/>
      <w:rPr>
        <w:sz w:val="16"/>
        <w:szCs w:val="16"/>
      </w:rPr>
    </w:pPr>
  </w:p>
  <w:p w:rsidR="0080584B" w:rsidRPr="00B17DA9" w:rsidRDefault="00925D86" w:rsidP="00D4333B">
    <w:pPr>
      <w:pStyle w:val="Footer"/>
      <w:pBdr>
        <w:top w:val="single" w:sz="4" w:space="1" w:color="auto"/>
      </w:pBdr>
      <w:rPr>
        <w:rFonts w:ascii="Calibri" w:hAnsi="Calibri"/>
        <w:sz w:val="16"/>
        <w:szCs w:val="16"/>
      </w:rPr>
    </w:pPr>
    <w:r w:rsidRPr="00B17DA9">
      <w:rPr>
        <w:rFonts w:ascii="Calibri" w:hAnsi="Calibri"/>
        <w:sz w:val="16"/>
        <w:szCs w:val="16"/>
      </w:rPr>
      <w:fldChar w:fldCharType="begin"/>
    </w:r>
    <w:r w:rsidR="0080584B" w:rsidRPr="00B17DA9">
      <w:rPr>
        <w:rFonts w:ascii="Calibri" w:hAnsi="Calibri"/>
        <w:sz w:val="16"/>
        <w:szCs w:val="16"/>
      </w:rPr>
      <w:instrText xml:space="preserve"> PAGE  \* Arabic  \* MERGEFORMAT </w:instrText>
    </w:r>
    <w:r w:rsidRPr="00B17DA9">
      <w:rPr>
        <w:rFonts w:ascii="Calibri" w:hAnsi="Calibri"/>
        <w:sz w:val="16"/>
        <w:szCs w:val="16"/>
      </w:rPr>
      <w:fldChar w:fldCharType="separate"/>
    </w:r>
    <w:r w:rsidR="002D384D">
      <w:rPr>
        <w:rFonts w:ascii="Calibri" w:hAnsi="Calibri"/>
        <w:noProof/>
        <w:sz w:val="16"/>
        <w:szCs w:val="16"/>
      </w:rPr>
      <w:t>6</w:t>
    </w:r>
    <w:r w:rsidRPr="00B17DA9">
      <w:rPr>
        <w:rFonts w:ascii="Calibri" w:hAnsi="Calibr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84B" w:rsidRPr="00D4333B" w:rsidRDefault="0080584B" w:rsidP="00DD360D">
    <w:pPr>
      <w:pStyle w:val="Footer"/>
      <w:rPr>
        <w:rFonts w:ascii="Times New Roman" w:hAnsi="Times New Roman"/>
        <w:sz w:val="16"/>
        <w:szCs w:val="16"/>
      </w:rPr>
    </w:pPr>
  </w:p>
  <w:p w:rsidR="0080584B" w:rsidRPr="00B17DA9" w:rsidRDefault="00925D86" w:rsidP="00D4333B">
    <w:pPr>
      <w:pStyle w:val="Footer"/>
      <w:pBdr>
        <w:top w:val="single" w:sz="4" w:space="1" w:color="auto"/>
      </w:pBdr>
      <w:jc w:val="right"/>
      <w:rPr>
        <w:rFonts w:ascii="Calibri" w:hAnsi="Calibri"/>
        <w:sz w:val="16"/>
        <w:szCs w:val="16"/>
      </w:rPr>
    </w:pPr>
    <w:r w:rsidRPr="00B17DA9">
      <w:rPr>
        <w:rFonts w:ascii="Calibri" w:hAnsi="Calibri"/>
        <w:sz w:val="16"/>
        <w:szCs w:val="16"/>
      </w:rPr>
      <w:fldChar w:fldCharType="begin"/>
    </w:r>
    <w:r w:rsidR="0080584B" w:rsidRPr="00B17DA9">
      <w:rPr>
        <w:rFonts w:ascii="Calibri" w:hAnsi="Calibri"/>
        <w:sz w:val="16"/>
        <w:szCs w:val="16"/>
      </w:rPr>
      <w:instrText xml:space="preserve"> PAGE  \* Arabic  \* MERGEFORMAT </w:instrText>
    </w:r>
    <w:r w:rsidRPr="00B17DA9">
      <w:rPr>
        <w:rFonts w:ascii="Calibri" w:hAnsi="Calibri"/>
        <w:sz w:val="16"/>
        <w:szCs w:val="16"/>
      </w:rPr>
      <w:fldChar w:fldCharType="separate"/>
    </w:r>
    <w:r w:rsidR="002D384D">
      <w:rPr>
        <w:rFonts w:ascii="Calibri" w:hAnsi="Calibri"/>
        <w:noProof/>
        <w:sz w:val="16"/>
        <w:szCs w:val="16"/>
      </w:rPr>
      <w:t>5</w:t>
    </w:r>
    <w:r w:rsidRPr="00B17DA9">
      <w:rPr>
        <w:rFonts w:ascii="Calibri" w:hAnsi="Calibr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84B" w:rsidRPr="00B17DA9" w:rsidRDefault="0080584B" w:rsidP="00D4333B">
    <w:pPr>
      <w:pStyle w:val="Footer"/>
      <w:pBdr>
        <w:top w:val="single" w:sz="4" w:space="1" w:color="auto"/>
      </w:pBdr>
      <w:jc w:val="right"/>
      <w:rPr>
        <w:rFonts w:ascii="Calibri" w:hAnsi="Calibr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96F" w:rsidRDefault="007D096F" w:rsidP="004A4828">
      <w:r>
        <w:separator/>
      </w:r>
    </w:p>
  </w:footnote>
  <w:footnote w:type="continuationSeparator" w:id="0">
    <w:p w:rsidR="007D096F" w:rsidRDefault="007D096F"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84B" w:rsidRPr="00B17DA9" w:rsidRDefault="005E1AC0" w:rsidP="00D4333B">
    <w:pPr>
      <w:pStyle w:val="Header"/>
      <w:jc w:val="center"/>
      <w:rPr>
        <w:rFonts w:ascii="Calibri" w:hAnsi="Calibri"/>
        <w:sz w:val="16"/>
        <w:szCs w:val="16"/>
      </w:rPr>
    </w:pPr>
    <w:r>
      <w:rPr>
        <w:rFonts w:ascii="Calibri" w:hAnsi="Calibri"/>
        <w:sz w:val="16"/>
        <w:szCs w:val="16"/>
      </w:rPr>
      <w:t>ANALIZA BEZBJEDNOSTI SAOBRAĆAJA NA PUTNIM PRELAZIMA U REPUBLICI SRPSKOJ</w:t>
    </w:r>
  </w:p>
  <w:p w:rsidR="0080584B" w:rsidRDefault="0080584B" w:rsidP="00D4333B">
    <w:pPr>
      <w:pStyle w:val="Header"/>
      <w:pBdr>
        <w:bottom w:val="single" w:sz="4" w:space="1" w:color="auto"/>
      </w:pBdr>
      <w:rPr>
        <w:rFonts w:ascii="Times New Roman" w:hAnsi="Times New Roman"/>
        <w:sz w:val="16"/>
        <w:szCs w:val="16"/>
      </w:rPr>
    </w:pPr>
  </w:p>
  <w:p w:rsidR="0080584B" w:rsidRPr="00D4333B" w:rsidRDefault="0080584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84B" w:rsidRPr="0064534C" w:rsidRDefault="0080584B" w:rsidP="00D4333B">
    <w:pPr>
      <w:pStyle w:val="Header"/>
      <w:jc w:val="center"/>
      <w:rPr>
        <w:rFonts w:ascii="Calibri" w:hAnsi="Calibri"/>
        <w:sz w:val="16"/>
        <w:szCs w:val="16"/>
      </w:rPr>
    </w:pPr>
    <w:r w:rsidRPr="0064534C">
      <w:rPr>
        <w:rFonts w:ascii="Calibri" w:hAnsi="Calibri"/>
        <w:sz w:val="16"/>
        <w:szCs w:val="16"/>
      </w:rPr>
      <w:t xml:space="preserve">5. </w:t>
    </w:r>
    <w:r>
      <w:rPr>
        <w:rFonts w:ascii="Calibri" w:hAnsi="Calibri"/>
        <w:sz w:val="16"/>
        <w:szCs w:val="16"/>
      </w:rPr>
      <w:t>Međunarodna Konferencija</w:t>
    </w:r>
  </w:p>
  <w:p w:rsidR="0080584B" w:rsidRPr="0064534C" w:rsidRDefault="0080584B" w:rsidP="00D4333B">
    <w:pPr>
      <w:pStyle w:val="Header"/>
      <w:jc w:val="center"/>
      <w:rPr>
        <w:rFonts w:ascii="Calibri" w:hAnsi="Calibri"/>
        <w:sz w:val="16"/>
        <w:szCs w:val="16"/>
      </w:rPr>
    </w:pPr>
    <w:r w:rsidRPr="0064534C">
      <w:rPr>
        <w:rFonts w:ascii="Calibri" w:hAnsi="Calibri"/>
        <w:sz w:val="16"/>
        <w:szCs w:val="16"/>
      </w:rPr>
      <w:t>„</w:t>
    </w:r>
    <w:r>
      <w:rPr>
        <w:rFonts w:ascii="Calibri" w:hAnsi="Calibri"/>
        <w:sz w:val="16"/>
        <w:szCs w:val="16"/>
      </w:rPr>
      <w:t>Bezbjednost saobraćaja u lokalnoj zajednici</w:t>
    </w:r>
    <w:r w:rsidRPr="0064534C">
      <w:rPr>
        <w:rFonts w:ascii="Calibri" w:hAnsi="Calibri"/>
        <w:sz w:val="16"/>
        <w:szCs w:val="16"/>
      </w:rPr>
      <w:t xml:space="preserve">“, </w:t>
    </w:r>
    <w:r>
      <w:rPr>
        <w:rFonts w:ascii="Calibri" w:hAnsi="Calibri"/>
        <w:sz w:val="16"/>
        <w:szCs w:val="16"/>
      </w:rPr>
      <w:t>Republika Srpska</w:t>
    </w:r>
    <w:r w:rsidRPr="0064534C">
      <w:rPr>
        <w:rFonts w:ascii="Calibri" w:hAnsi="Calibri"/>
        <w:sz w:val="16"/>
        <w:szCs w:val="16"/>
      </w:rPr>
      <w:t xml:space="preserve">, </w:t>
    </w:r>
    <w:r>
      <w:rPr>
        <w:rFonts w:ascii="Calibri" w:hAnsi="Calibri"/>
        <w:sz w:val="16"/>
        <w:szCs w:val="16"/>
      </w:rPr>
      <w:t>Banja Luka</w:t>
    </w:r>
    <w:r w:rsidRPr="0064534C">
      <w:rPr>
        <w:rFonts w:ascii="Calibri" w:hAnsi="Calibri"/>
        <w:sz w:val="16"/>
        <w:szCs w:val="16"/>
      </w:rPr>
      <w:t xml:space="preserve">, 27 – 28. </w:t>
    </w:r>
    <w:r>
      <w:rPr>
        <w:rFonts w:ascii="Calibri" w:hAnsi="Calibri"/>
        <w:sz w:val="16"/>
        <w:szCs w:val="16"/>
      </w:rPr>
      <w:t>oktobar</w:t>
    </w:r>
    <w:r w:rsidRPr="0064534C">
      <w:rPr>
        <w:rFonts w:ascii="Calibri" w:hAnsi="Calibri"/>
        <w:sz w:val="16"/>
        <w:szCs w:val="16"/>
      </w:rPr>
      <w:t xml:space="preserve"> 2016.</w:t>
    </w:r>
  </w:p>
  <w:p w:rsidR="0080584B" w:rsidRPr="00D4333B" w:rsidRDefault="0080584B" w:rsidP="00384E97">
    <w:pPr>
      <w:pStyle w:val="Header"/>
      <w:pBdr>
        <w:bottom w:val="single" w:sz="4" w:space="1" w:color="auto"/>
      </w:pBdr>
      <w:rPr>
        <w:rFonts w:ascii="Times New Roman" w:hAnsi="Times New Roman"/>
        <w:sz w:val="16"/>
        <w:szCs w:val="16"/>
      </w:rPr>
    </w:pPr>
  </w:p>
  <w:p w:rsidR="0080584B" w:rsidRPr="00D4333B" w:rsidRDefault="0080584B"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80584B" w:rsidRPr="00083C62" w:rsidTr="00BB119F">
      <w:trPr>
        <w:trHeight w:val="709"/>
        <w:jc w:val="center"/>
      </w:trPr>
      <w:tc>
        <w:tcPr>
          <w:tcW w:w="2679" w:type="pct"/>
          <w:tcBorders>
            <w:bottom w:val="single" w:sz="4" w:space="0" w:color="auto"/>
          </w:tcBorders>
          <w:vAlign w:val="center"/>
        </w:tcPr>
        <w:p w:rsidR="0080584B" w:rsidRPr="00E80CBE" w:rsidRDefault="0080584B" w:rsidP="004E13CC">
          <w:pPr>
            <w:jc w:val="center"/>
            <w:rPr>
              <w:rFonts w:ascii="Calibri" w:hAnsi="Calibri"/>
              <w:b/>
              <w:bCs/>
              <w:i/>
              <w:iCs/>
              <w:sz w:val="14"/>
              <w:szCs w:val="14"/>
            </w:rPr>
          </w:pPr>
          <w:r w:rsidRPr="00E80CBE">
            <w:rPr>
              <w:rFonts w:ascii="Calibri" w:hAnsi="Calibri"/>
              <w:b/>
              <w:bCs/>
              <w:i/>
              <w:iCs/>
              <w:sz w:val="14"/>
              <w:szCs w:val="14"/>
            </w:rPr>
            <w:t xml:space="preserve">5. </w:t>
          </w:r>
          <w:r>
            <w:rPr>
              <w:rFonts w:ascii="Calibri" w:hAnsi="Calibri"/>
              <w:b/>
              <w:bCs/>
              <w:i/>
              <w:iCs/>
              <w:sz w:val="14"/>
              <w:szCs w:val="14"/>
            </w:rPr>
            <w:t>Međunarodna Konferencija</w:t>
          </w:r>
        </w:p>
        <w:p w:rsidR="0080584B" w:rsidRPr="00E80CBE" w:rsidRDefault="0080584B" w:rsidP="001560A3">
          <w:pPr>
            <w:jc w:val="center"/>
            <w:rPr>
              <w:rFonts w:ascii="Calibri" w:hAnsi="Calibri"/>
              <w:b/>
              <w:bCs/>
              <w:i/>
              <w:iCs/>
              <w:sz w:val="14"/>
              <w:szCs w:val="14"/>
            </w:rPr>
          </w:pPr>
          <w:r w:rsidRPr="00E80CBE">
            <w:rPr>
              <w:rFonts w:ascii="Calibri" w:hAnsi="Calibri"/>
              <w:b/>
              <w:bCs/>
              <w:i/>
              <w:iCs/>
              <w:sz w:val="14"/>
              <w:szCs w:val="14"/>
            </w:rPr>
            <w:t>„</w:t>
          </w:r>
          <w:r>
            <w:rPr>
              <w:rFonts w:ascii="Calibri" w:hAnsi="Calibri"/>
              <w:b/>
              <w:bCs/>
              <w:i/>
              <w:iCs/>
              <w:sz w:val="14"/>
              <w:szCs w:val="14"/>
            </w:rPr>
            <w:t>Bezb</w:t>
          </w:r>
          <w:r w:rsidRPr="00E80CBE">
            <w:rPr>
              <w:rFonts w:ascii="Calibri" w:hAnsi="Calibri"/>
              <w:b/>
              <w:bCs/>
              <w:i/>
              <w:iCs/>
              <w:sz w:val="14"/>
              <w:szCs w:val="14"/>
              <w:lang w:val="sr-Latn-BA"/>
            </w:rPr>
            <w:t>j</w:t>
          </w:r>
          <w:r>
            <w:rPr>
              <w:rFonts w:ascii="Calibri" w:hAnsi="Calibri"/>
              <w:b/>
              <w:bCs/>
              <w:i/>
              <w:iCs/>
              <w:sz w:val="14"/>
              <w:szCs w:val="14"/>
            </w:rPr>
            <w:t>ednost saobraćaja u lokalnoj zajednici</w:t>
          </w:r>
          <w:r w:rsidRPr="00E80CBE">
            <w:rPr>
              <w:rFonts w:ascii="Calibri" w:hAnsi="Calibri"/>
              <w:b/>
              <w:bCs/>
              <w:i/>
              <w:iCs/>
              <w:sz w:val="14"/>
              <w:szCs w:val="14"/>
            </w:rPr>
            <w:t>“</w:t>
          </w:r>
          <w:r w:rsidRPr="00E80CBE">
            <w:rPr>
              <w:rFonts w:ascii="Calibri" w:hAnsi="Calibri"/>
              <w:b/>
              <w:bCs/>
              <w:i/>
              <w:iCs/>
              <w:sz w:val="14"/>
              <w:szCs w:val="14"/>
            </w:rPr>
            <w:br/>
          </w:r>
          <w:r>
            <w:rPr>
              <w:rFonts w:ascii="Calibri" w:hAnsi="Calibri"/>
              <w:b/>
              <w:bCs/>
              <w:i/>
              <w:iCs/>
              <w:sz w:val="14"/>
              <w:szCs w:val="14"/>
            </w:rPr>
            <w:t>Republika Srpska</w:t>
          </w:r>
          <w:r w:rsidRPr="00E80CBE">
            <w:rPr>
              <w:rFonts w:ascii="Calibri" w:hAnsi="Calibri"/>
              <w:b/>
              <w:bCs/>
              <w:i/>
              <w:iCs/>
              <w:sz w:val="14"/>
              <w:szCs w:val="14"/>
            </w:rPr>
            <w:t xml:space="preserve">, </w:t>
          </w:r>
          <w:r>
            <w:rPr>
              <w:rFonts w:ascii="Calibri" w:hAnsi="Calibri"/>
              <w:b/>
              <w:bCs/>
              <w:i/>
              <w:iCs/>
              <w:sz w:val="14"/>
              <w:szCs w:val="14"/>
            </w:rPr>
            <w:t>Banja Luka</w:t>
          </w:r>
          <w:r w:rsidRPr="00E80CBE">
            <w:rPr>
              <w:rFonts w:ascii="Calibri" w:hAnsi="Calibri"/>
              <w:b/>
              <w:bCs/>
              <w:i/>
              <w:iCs/>
              <w:sz w:val="14"/>
              <w:szCs w:val="14"/>
            </w:rPr>
            <w:br/>
            <w:t xml:space="preserve">27 – 28. </w:t>
          </w:r>
          <w:r>
            <w:rPr>
              <w:rFonts w:ascii="Calibri" w:hAnsi="Calibri"/>
              <w:b/>
              <w:bCs/>
              <w:i/>
              <w:iCs/>
              <w:sz w:val="14"/>
              <w:szCs w:val="14"/>
            </w:rPr>
            <w:t>oktobar</w:t>
          </w:r>
          <w:r w:rsidRPr="00E80CBE">
            <w:rPr>
              <w:rFonts w:ascii="Calibri" w:hAnsi="Calibri"/>
              <w:b/>
              <w:bCs/>
              <w:i/>
              <w:iCs/>
              <w:sz w:val="14"/>
              <w:szCs w:val="14"/>
            </w:rPr>
            <w:t xml:space="preserve"> 2016.</w:t>
          </w:r>
        </w:p>
      </w:tc>
      <w:tc>
        <w:tcPr>
          <w:tcW w:w="2321" w:type="pct"/>
          <w:tcBorders>
            <w:bottom w:val="single" w:sz="4" w:space="0" w:color="auto"/>
          </w:tcBorders>
          <w:vAlign w:val="center"/>
        </w:tcPr>
        <w:p w:rsidR="0080584B" w:rsidRPr="00E80CBE" w:rsidRDefault="0080584B" w:rsidP="004E13CC">
          <w:pPr>
            <w:jc w:val="center"/>
            <w:rPr>
              <w:rFonts w:ascii="Calibri" w:hAnsi="Calibri"/>
              <w:b/>
              <w:bCs/>
              <w:i/>
              <w:iCs/>
              <w:sz w:val="14"/>
              <w:szCs w:val="14"/>
            </w:rPr>
          </w:pPr>
          <w:r w:rsidRPr="00E80CBE">
            <w:rPr>
              <w:rFonts w:ascii="Calibri" w:hAnsi="Calibri"/>
              <w:b/>
              <w:bCs/>
              <w:i/>
              <w:iCs/>
              <w:sz w:val="14"/>
              <w:szCs w:val="14"/>
            </w:rPr>
            <w:t>5</w:t>
          </w:r>
          <w:r w:rsidRPr="00E80CBE">
            <w:rPr>
              <w:rFonts w:ascii="Calibri" w:hAnsi="Calibri"/>
              <w:b/>
              <w:bCs/>
              <w:i/>
              <w:iCs/>
              <w:sz w:val="14"/>
              <w:szCs w:val="14"/>
              <w:vertAlign w:val="superscript"/>
            </w:rPr>
            <w:t>th</w:t>
          </w:r>
          <w:r w:rsidRPr="00E80CBE">
            <w:rPr>
              <w:rFonts w:ascii="Calibri" w:hAnsi="Calibri"/>
              <w:b/>
              <w:bCs/>
              <w:i/>
              <w:iCs/>
              <w:sz w:val="14"/>
              <w:szCs w:val="14"/>
            </w:rPr>
            <w:t xml:space="preserve"> International Conference </w:t>
          </w:r>
        </w:p>
        <w:p w:rsidR="0080584B" w:rsidRPr="00E80CBE" w:rsidRDefault="0080584B" w:rsidP="001560A3">
          <w:pPr>
            <w:jc w:val="center"/>
            <w:rPr>
              <w:rFonts w:ascii="Calibri" w:hAnsi="Calibri"/>
              <w:b/>
              <w:bCs/>
              <w:i/>
              <w:iCs/>
              <w:sz w:val="14"/>
              <w:szCs w:val="14"/>
            </w:rPr>
          </w:pPr>
          <w:r w:rsidRPr="00E80CBE">
            <w:rPr>
              <w:rFonts w:ascii="Calibri" w:hAnsi="Calibri"/>
              <w:b/>
              <w:bCs/>
              <w:i/>
              <w:iCs/>
              <w:sz w:val="14"/>
              <w:szCs w:val="14"/>
            </w:rPr>
            <w:t>“Road Safety in Local Community”</w:t>
          </w:r>
        </w:p>
        <w:p w:rsidR="0080584B" w:rsidRPr="00E80CBE" w:rsidRDefault="0080584B" w:rsidP="001560A3">
          <w:pPr>
            <w:jc w:val="center"/>
            <w:rPr>
              <w:rFonts w:ascii="Calibri" w:hAnsi="Calibri"/>
              <w:b/>
              <w:bCs/>
              <w:i/>
              <w:iCs/>
              <w:sz w:val="14"/>
              <w:szCs w:val="14"/>
            </w:rPr>
          </w:pPr>
          <w:r w:rsidRPr="00E80CBE">
            <w:rPr>
              <w:rFonts w:ascii="Calibri" w:hAnsi="Calibri"/>
              <w:b/>
              <w:bCs/>
              <w:i/>
              <w:iCs/>
              <w:sz w:val="14"/>
              <w:szCs w:val="14"/>
            </w:rPr>
            <w:t xml:space="preserve">Republic of Srpska, Banja Luka, </w:t>
          </w:r>
        </w:p>
        <w:p w:rsidR="0080584B" w:rsidRPr="00E80CBE" w:rsidRDefault="0080584B" w:rsidP="001560A3">
          <w:pPr>
            <w:jc w:val="center"/>
            <w:rPr>
              <w:rFonts w:ascii="Calibri" w:hAnsi="Calibri"/>
              <w:b/>
              <w:bCs/>
              <w:i/>
              <w:iCs/>
              <w:sz w:val="14"/>
              <w:szCs w:val="14"/>
            </w:rPr>
          </w:pPr>
          <w:r w:rsidRPr="00E80CBE">
            <w:rPr>
              <w:rFonts w:ascii="Calibri" w:hAnsi="Calibri"/>
              <w:b/>
              <w:bCs/>
              <w:i/>
              <w:iCs/>
              <w:sz w:val="14"/>
              <w:szCs w:val="14"/>
            </w:rPr>
            <w:t>October 27 – 28, 201</w:t>
          </w:r>
          <w:r w:rsidRPr="00E80CBE">
            <w:rPr>
              <w:rFonts w:ascii="Calibri" w:hAnsi="Calibri"/>
              <w:b/>
              <w:bCs/>
              <w:i/>
              <w:iCs/>
              <w:sz w:val="14"/>
              <w:szCs w:val="14"/>
              <w:lang w:val="sr-Cyrl-CS"/>
            </w:rPr>
            <w:t>6</w:t>
          </w:r>
        </w:p>
      </w:tc>
    </w:tr>
    <w:tr w:rsidR="0080584B" w:rsidRPr="00083C62" w:rsidTr="00BB119F">
      <w:trPr>
        <w:trHeight w:val="231"/>
        <w:jc w:val="center"/>
      </w:trPr>
      <w:tc>
        <w:tcPr>
          <w:tcW w:w="2679" w:type="pct"/>
          <w:tcBorders>
            <w:top w:val="single" w:sz="4" w:space="0" w:color="auto"/>
          </w:tcBorders>
          <w:vAlign w:val="center"/>
        </w:tcPr>
        <w:p w:rsidR="0080584B" w:rsidRPr="00083C62" w:rsidRDefault="0080584B" w:rsidP="004E13CC">
          <w:pPr>
            <w:rPr>
              <w:rFonts w:ascii="Cambria" w:hAnsi="Cambria"/>
              <w:b/>
              <w:bCs/>
              <w:i/>
              <w:iCs/>
              <w:sz w:val="16"/>
              <w:szCs w:val="18"/>
            </w:rPr>
          </w:pPr>
        </w:p>
      </w:tc>
      <w:tc>
        <w:tcPr>
          <w:tcW w:w="2321" w:type="pct"/>
          <w:tcBorders>
            <w:top w:val="single" w:sz="4" w:space="0" w:color="auto"/>
          </w:tcBorders>
          <w:vAlign w:val="center"/>
        </w:tcPr>
        <w:p w:rsidR="0080584B" w:rsidRPr="00E80CBE" w:rsidRDefault="0080584B" w:rsidP="004E13CC">
          <w:pPr>
            <w:rPr>
              <w:rFonts w:ascii="Calibri" w:hAnsi="Calibri"/>
              <w:b/>
              <w:bCs/>
              <w:i/>
              <w:sz w:val="16"/>
              <w:szCs w:val="18"/>
            </w:rPr>
          </w:pPr>
          <w:r w:rsidRPr="00E80CBE">
            <w:rPr>
              <w:rFonts w:ascii="Calibri" w:hAnsi="Calibri"/>
              <w:b/>
              <w:bCs/>
              <w:i/>
              <w:sz w:val="16"/>
              <w:szCs w:val="18"/>
            </w:rPr>
            <w:t>UDK:</w:t>
          </w:r>
        </w:p>
      </w:tc>
    </w:tr>
  </w:tbl>
  <w:p w:rsidR="0080584B" w:rsidRDefault="0080584B"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07A57D4"/>
    <w:multiLevelType w:val="hybridMultilevel"/>
    <w:tmpl w:val="DBDC051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2143369D"/>
    <w:multiLevelType w:val="hybridMultilevel"/>
    <w:tmpl w:val="D7E62742"/>
    <w:lvl w:ilvl="0" w:tplc="8D3A6632">
      <w:start w:val="1"/>
      <w:numFmt w:val="bullet"/>
      <w:lvlText w:val=""/>
      <w:lvlJc w:val="left"/>
      <w:pPr>
        <w:ind w:left="720" w:hanging="360"/>
      </w:pPr>
      <w:rPr>
        <w:rFonts w:ascii="Symbol" w:hAnsi="Symbol" w:hint="default"/>
        <w:sz w:val="20"/>
        <w:szCs w:val="20"/>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15:restartNumberingAfterBreak="0">
    <w:nsid w:val="230818B0"/>
    <w:multiLevelType w:val="hybridMultilevel"/>
    <w:tmpl w:val="8C9A721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15:restartNumberingAfterBreak="0">
    <w:nsid w:val="24726EF9"/>
    <w:multiLevelType w:val="hybridMultilevel"/>
    <w:tmpl w:val="39B2B834"/>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15:restartNumberingAfterBreak="0">
    <w:nsid w:val="24EF17DE"/>
    <w:multiLevelType w:val="hybridMultilevel"/>
    <w:tmpl w:val="A3E87E5A"/>
    <w:lvl w:ilvl="0" w:tplc="8D3A6632">
      <w:start w:val="1"/>
      <w:numFmt w:val="bullet"/>
      <w:lvlText w:val=""/>
      <w:lvlJc w:val="left"/>
      <w:pPr>
        <w:ind w:left="720" w:hanging="360"/>
      </w:pPr>
      <w:rPr>
        <w:rFonts w:ascii="Symbol" w:hAnsi="Symbol" w:hint="default"/>
        <w:sz w:val="20"/>
        <w:szCs w:val="20"/>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5CE6D4C"/>
    <w:multiLevelType w:val="hybridMultilevel"/>
    <w:tmpl w:val="CAC2309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41912056"/>
    <w:multiLevelType w:val="hybridMultilevel"/>
    <w:tmpl w:val="376C751E"/>
    <w:lvl w:ilvl="0" w:tplc="6B9C999E">
      <w:start w:val="1"/>
      <w:numFmt w:val="bullet"/>
      <w:lvlText w:val=""/>
      <w:lvlJc w:val="left"/>
      <w:pPr>
        <w:ind w:left="720" w:hanging="360"/>
      </w:pPr>
      <w:rPr>
        <w:rFonts w:ascii="Symbol" w:hAnsi="Symbol" w:hint="default"/>
        <w:sz w:val="20"/>
        <w:szCs w:val="20"/>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D7A065F"/>
    <w:multiLevelType w:val="hybridMultilevel"/>
    <w:tmpl w:val="440A7F24"/>
    <w:lvl w:ilvl="0" w:tplc="29A61F52">
      <w:start w:val="1"/>
      <w:numFmt w:val="bullet"/>
      <w:pStyle w:val="Nabrajanje"/>
      <w:lvlText w:val=""/>
      <w:lvlJc w:val="left"/>
      <w:pPr>
        <w:ind w:left="2062"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15:restartNumberingAfterBreak="0">
    <w:nsid w:val="4D9B7532"/>
    <w:multiLevelType w:val="hybridMultilevel"/>
    <w:tmpl w:val="A16E6D9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4EC47143"/>
    <w:multiLevelType w:val="hybridMultilevel"/>
    <w:tmpl w:val="D9288CC6"/>
    <w:lvl w:ilvl="0" w:tplc="6B9C999E">
      <w:start w:val="1"/>
      <w:numFmt w:val="bullet"/>
      <w:lvlText w:val=""/>
      <w:lvlJc w:val="left"/>
      <w:pPr>
        <w:ind w:left="720" w:hanging="360"/>
      </w:pPr>
      <w:rPr>
        <w:rFonts w:ascii="Symbol" w:hAnsi="Symbol" w:hint="default"/>
        <w:sz w:val="20"/>
        <w:szCs w:val="20"/>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3"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15:restartNumberingAfterBreak="0">
    <w:nsid w:val="71FB7F3B"/>
    <w:multiLevelType w:val="hybridMultilevel"/>
    <w:tmpl w:val="BBB0D252"/>
    <w:lvl w:ilvl="0" w:tplc="106C76F6">
      <w:start w:val="1"/>
      <w:numFmt w:val="bullet"/>
      <w:lvlText w:val=""/>
      <w:lvlJc w:val="left"/>
      <w:pPr>
        <w:ind w:left="720" w:hanging="360"/>
      </w:pPr>
      <w:rPr>
        <w:rFonts w:ascii="Symbol" w:hAnsi="Symbol" w:hint="default"/>
        <w:b w:val="0"/>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6" w15:restartNumberingAfterBreak="0">
    <w:nsid w:val="72060E65"/>
    <w:multiLevelType w:val="hybridMultilevel"/>
    <w:tmpl w:val="D8FA8BB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7" w15:restartNumberingAfterBreak="0">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24"/>
  </w:num>
  <w:num w:numId="2">
    <w:abstractNumId w:val="23"/>
  </w:num>
  <w:num w:numId="3">
    <w:abstractNumId w:val="18"/>
  </w:num>
  <w:num w:numId="4">
    <w:abstractNumId w:val="21"/>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9"/>
  </w:num>
  <w:num w:numId="17">
    <w:abstractNumId w:val="27"/>
  </w:num>
  <w:num w:numId="18">
    <w:abstractNumId w:val="16"/>
  </w:num>
  <w:num w:numId="19">
    <w:abstractNumId w:val="26"/>
  </w:num>
  <w:num w:numId="20">
    <w:abstractNumId w:val="11"/>
  </w:num>
  <w:num w:numId="21">
    <w:abstractNumId w:val="14"/>
  </w:num>
  <w:num w:numId="22">
    <w:abstractNumId w:val="10"/>
  </w:num>
  <w:num w:numId="23">
    <w:abstractNumId w:val="22"/>
  </w:num>
  <w:num w:numId="24">
    <w:abstractNumId w:val="13"/>
  </w:num>
  <w:num w:numId="25">
    <w:abstractNumId w:val="17"/>
  </w:num>
  <w:num w:numId="26">
    <w:abstractNumId w:val="12"/>
  </w:num>
  <w:num w:numId="27">
    <w:abstractNumId w:val="20"/>
  </w:num>
  <w:num w:numId="28">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3A9"/>
    <w:rsid w:val="000075B6"/>
    <w:rsid w:val="00007694"/>
    <w:rsid w:val="000079AC"/>
    <w:rsid w:val="0001064F"/>
    <w:rsid w:val="00012F13"/>
    <w:rsid w:val="000165E9"/>
    <w:rsid w:val="000210E4"/>
    <w:rsid w:val="00024184"/>
    <w:rsid w:val="00033001"/>
    <w:rsid w:val="00034BEB"/>
    <w:rsid w:val="00035708"/>
    <w:rsid w:val="0004072B"/>
    <w:rsid w:val="00044340"/>
    <w:rsid w:val="0004617D"/>
    <w:rsid w:val="00054AA0"/>
    <w:rsid w:val="000633B9"/>
    <w:rsid w:val="000668C9"/>
    <w:rsid w:val="0006733E"/>
    <w:rsid w:val="000734C7"/>
    <w:rsid w:val="000811DF"/>
    <w:rsid w:val="00083C62"/>
    <w:rsid w:val="000845B4"/>
    <w:rsid w:val="00084EF9"/>
    <w:rsid w:val="00087849"/>
    <w:rsid w:val="00090165"/>
    <w:rsid w:val="000A4571"/>
    <w:rsid w:val="000A4F6D"/>
    <w:rsid w:val="000A588B"/>
    <w:rsid w:val="000A5FAA"/>
    <w:rsid w:val="000A6197"/>
    <w:rsid w:val="000A6C1C"/>
    <w:rsid w:val="000B1008"/>
    <w:rsid w:val="000B503F"/>
    <w:rsid w:val="000B5FF2"/>
    <w:rsid w:val="000B721D"/>
    <w:rsid w:val="000B7771"/>
    <w:rsid w:val="000C3BB8"/>
    <w:rsid w:val="000C79E0"/>
    <w:rsid w:val="000D0D42"/>
    <w:rsid w:val="000D46E7"/>
    <w:rsid w:val="000D4F94"/>
    <w:rsid w:val="000E10D5"/>
    <w:rsid w:val="000E23BC"/>
    <w:rsid w:val="000E5198"/>
    <w:rsid w:val="000E6BD0"/>
    <w:rsid w:val="000E7D48"/>
    <w:rsid w:val="000F029A"/>
    <w:rsid w:val="000F10A5"/>
    <w:rsid w:val="00102380"/>
    <w:rsid w:val="001065D5"/>
    <w:rsid w:val="0010710A"/>
    <w:rsid w:val="00111B90"/>
    <w:rsid w:val="0012088E"/>
    <w:rsid w:val="00123482"/>
    <w:rsid w:val="00123E5E"/>
    <w:rsid w:val="001316AC"/>
    <w:rsid w:val="001334B7"/>
    <w:rsid w:val="00143154"/>
    <w:rsid w:val="00146AF4"/>
    <w:rsid w:val="00154C2B"/>
    <w:rsid w:val="001560A3"/>
    <w:rsid w:val="00177686"/>
    <w:rsid w:val="001815B6"/>
    <w:rsid w:val="00186416"/>
    <w:rsid w:val="00186642"/>
    <w:rsid w:val="00186E1E"/>
    <w:rsid w:val="00194243"/>
    <w:rsid w:val="00194E9B"/>
    <w:rsid w:val="001951A1"/>
    <w:rsid w:val="00196F0D"/>
    <w:rsid w:val="001A00CE"/>
    <w:rsid w:val="001A074F"/>
    <w:rsid w:val="001A0C1C"/>
    <w:rsid w:val="001A0F87"/>
    <w:rsid w:val="001A19AB"/>
    <w:rsid w:val="001A714C"/>
    <w:rsid w:val="001B33DA"/>
    <w:rsid w:val="001B41BD"/>
    <w:rsid w:val="001B75CE"/>
    <w:rsid w:val="001B7765"/>
    <w:rsid w:val="001C042C"/>
    <w:rsid w:val="001D568D"/>
    <w:rsid w:val="001E1716"/>
    <w:rsid w:val="001E2107"/>
    <w:rsid w:val="001E210C"/>
    <w:rsid w:val="001E6E1D"/>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90AC9"/>
    <w:rsid w:val="00291E86"/>
    <w:rsid w:val="002A6A56"/>
    <w:rsid w:val="002A7CB6"/>
    <w:rsid w:val="002B67C8"/>
    <w:rsid w:val="002B72A8"/>
    <w:rsid w:val="002C3DAF"/>
    <w:rsid w:val="002C7933"/>
    <w:rsid w:val="002D384D"/>
    <w:rsid w:val="002E66F9"/>
    <w:rsid w:val="00304EAB"/>
    <w:rsid w:val="00310344"/>
    <w:rsid w:val="00312169"/>
    <w:rsid w:val="00317F6F"/>
    <w:rsid w:val="003222B1"/>
    <w:rsid w:val="00326D1B"/>
    <w:rsid w:val="003315A0"/>
    <w:rsid w:val="0033406E"/>
    <w:rsid w:val="00334075"/>
    <w:rsid w:val="00335659"/>
    <w:rsid w:val="00341118"/>
    <w:rsid w:val="0034221A"/>
    <w:rsid w:val="003426DD"/>
    <w:rsid w:val="00344A12"/>
    <w:rsid w:val="00347AE4"/>
    <w:rsid w:val="0035163B"/>
    <w:rsid w:val="00354282"/>
    <w:rsid w:val="00355C11"/>
    <w:rsid w:val="00361CF3"/>
    <w:rsid w:val="00366111"/>
    <w:rsid w:val="00370C61"/>
    <w:rsid w:val="00371D70"/>
    <w:rsid w:val="00376D6A"/>
    <w:rsid w:val="00384C8B"/>
    <w:rsid w:val="00384E97"/>
    <w:rsid w:val="00385522"/>
    <w:rsid w:val="003926F2"/>
    <w:rsid w:val="00396FE8"/>
    <w:rsid w:val="003A6BB7"/>
    <w:rsid w:val="003A7AE3"/>
    <w:rsid w:val="003B00BF"/>
    <w:rsid w:val="003B1721"/>
    <w:rsid w:val="003B1B8E"/>
    <w:rsid w:val="003C5164"/>
    <w:rsid w:val="003C64E2"/>
    <w:rsid w:val="003D5925"/>
    <w:rsid w:val="003D64C1"/>
    <w:rsid w:val="003E1E03"/>
    <w:rsid w:val="003E406F"/>
    <w:rsid w:val="003E5002"/>
    <w:rsid w:val="003F4031"/>
    <w:rsid w:val="003F6279"/>
    <w:rsid w:val="003F6CFF"/>
    <w:rsid w:val="00400CA2"/>
    <w:rsid w:val="004129D4"/>
    <w:rsid w:val="00414EFC"/>
    <w:rsid w:val="00420CA4"/>
    <w:rsid w:val="00424585"/>
    <w:rsid w:val="0043023B"/>
    <w:rsid w:val="00430992"/>
    <w:rsid w:val="00430BE9"/>
    <w:rsid w:val="00434829"/>
    <w:rsid w:val="004358A7"/>
    <w:rsid w:val="00437F0E"/>
    <w:rsid w:val="004432FC"/>
    <w:rsid w:val="00443D79"/>
    <w:rsid w:val="004467A0"/>
    <w:rsid w:val="004512C2"/>
    <w:rsid w:val="00451541"/>
    <w:rsid w:val="00451FBC"/>
    <w:rsid w:val="0045425D"/>
    <w:rsid w:val="004543B1"/>
    <w:rsid w:val="004545C5"/>
    <w:rsid w:val="00456B3F"/>
    <w:rsid w:val="00466F12"/>
    <w:rsid w:val="00471724"/>
    <w:rsid w:val="00472E02"/>
    <w:rsid w:val="004730BD"/>
    <w:rsid w:val="00477710"/>
    <w:rsid w:val="00483486"/>
    <w:rsid w:val="00487D83"/>
    <w:rsid w:val="004956B5"/>
    <w:rsid w:val="00496276"/>
    <w:rsid w:val="00497054"/>
    <w:rsid w:val="004A06BF"/>
    <w:rsid w:val="004A4828"/>
    <w:rsid w:val="004B1F57"/>
    <w:rsid w:val="004B3C75"/>
    <w:rsid w:val="004B49E2"/>
    <w:rsid w:val="004D6E14"/>
    <w:rsid w:val="004D7C15"/>
    <w:rsid w:val="004E13CC"/>
    <w:rsid w:val="004F2680"/>
    <w:rsid w:val="004F36EE"/>
    <w:rsid w:val="004F4AC2"/>
    <w:rsid w:val="004F5EE3"/>
    <w:rsid w:val="005051F0"/>
    <w:rsid w:val="0050578A"/>
    <w:rsid w:val="005058CF"/>
    <w:rsid w:val="005062B8"/>
    <w:rsid w:val="00515046"/>
    <w:rsid w:val="00515D9E"/>
    <w:rsid w:val="005163C2"/>
    <w:rsid w:val="00522677"/>
    <w:rsid w:val="00522FB8"/>
    <w:rsid w:val="0052431A"/>
    <w:rsid w:val="00526E22"/>
    <w:rsid w:val="00537F70"/>
    <w:rsid w:val="005416D0"/>
    <w:rsid w:val="00544047"/>
    <w:rsid w:val="00555C57"/>
    <w:rsid w:val="00564709"/>
    <w:rsid w:val="0056774C"/>
    <w:rsid w:val="0057620C"/>
    <w:rsid w:val="00576343"/>
    <w:rsid w:val="00587AD2"/>
    <w:rsid w:val="00591C75"/>
    <w:rsid w:val="0059232D"/>
    <w:rsid w:val="00594EE8"/>
    <w:rsid w:val="005962C9"/>
    <w:rsid w:val="005A6E4A"/>
    <w:rsid w:val="005B5169"/>
    <w:rsid w:val="005B7E45"/>
    <w:rsid w:val="005C66F0"/>
    <w:rsid w:val="005D0D86"/>
    <w:rsid w:val="005D2D54"/>
    <w:rsid w:val="005D301E"/>
    <w:rsid w:val="005D6040"/>
    <w:rsid w:val="005E03FF"/>
    <w:rsid w:val="005E1AC0"/>
    <w:rsid w:val="005E76E0"/>
    <w:rsid w:val="005F3E4C"/>
    <w:rsid w:val="005F4CFF"/>
    <w:rsid w:val="0060039F"/>
    <w:rsid w:val="0060396E"/>
    <w:rsid w:val="006053A6"/>
    <w:rsid w:val="006074ED"/>
    <w:rsid w:val="006128ED"/>
    <w:rsid w:val="00616E87"/>
    <w:rsid w:val="006221EB"/>
    <w:rsid w:val="00627624"/>
    <w:rsid w:val="0063121F"/>
    <w:rsid w:val="00631E7B"/>
    <w:rsid w:val="0063318F"/>
    <w:rsid w:val="0064298E"/>
    <w:rsid w:val="00643281"/>
    <w:rsid w:val="0064504B"/>
    <w:rsid w:val="0064534C"/>
    <w:rsid w:val="006459FF"/>
    <w:rsid w:val="006473A9"/>
    <w:rsid w:val="006724C6"/>
    <w:rsid w:val="00677A97"/>
    <w:rsid w:val="00681414"/>
    <w:rsid w:val="006835A0"/>
    <w:rsid w:val="00685363"/>
    <w:rsid w:val="00691F27"/>
    <w:rsid w:val="006939D3"/>
    <w:rsid w:val="0069680E"/>
    <w:rsid w:val="006A0A1F"/>
    <w:rsid w:val="006A4762"/>
    <w:rsid w:val="006A6A1B"/>
    <w:rsid w:val="006A6F35"/>
    <w:rsid w:val="006A782D"/>
    <w:rsid w:val="006B051B"/>
    <w:rsid w:val="006B1E43"/>
    <w:rsid w:val="006B57AE"/>
    <w:rsid w:val="006B764B"/>
    <w:rsid w:val="006D4B93"/>
    <w:rsid w:val="006E1C65"/>
    <w:rsid w:val="006E2C7F"/>
    <w:rsid w:val="006E6361"/>
    <w:rsid w:val="006F023C"/>
    <w:rsid w:val="006F0A57"/>
    <w:rsid w:val="006F215F"/>
    <w:rsid w:val="006F3518"/>
    <w:rsid w:val="0070417D"/>
    <w:rsid w:val="00704D43"/>
    <w:rsid w:val="007077FE"/>
    <w:rsid w:val="00711A0E"/>
    <w:rsid w:val="0071384E"/>
    <w:rsid w:val="007305BC"/>
    <w:rsid w:val="00732624"/>
    <w:rsid w:val="0073767A"/>
    <w:rsid w:val="00744DC1"/>
    <w:rsid w:val="00744E87"/>
    <w:rsid w:val="00752470"/>
    <w:rsid w:val="00756130"/>
    <w:rsid w:val="00760198"/>
    <w:rsid w:val="00763149"/>
    <w:rsid w:val="00764916"/>
    <w:rsid w:val="00767DB9"/>
    <w:rsid w:val="00785488"/>
    <w:rsid w:val="00796FC3"/>
    <w:rsid w:val="007A0F4C"/>
    <w:rsid w:val="007B144F"/>
    <w:rsid w:val="007B423E"/>
    <w:rsid w:val="007C04BC"/>
    <w:rsid w:val="007C5332"/>
    <w:rsid w:val="007D096F"/>
    <w:rsid w:val="007E67AD"/>
    <w:rsid w:val="007F4A26"/>
    <w:rsid w:val="007F4F50"/>
    <w:rsid w:val="00800531"/>
    <w:rsid w:val="0080584B"/>
    <w:rsid w:val="00811AB1"/>
    <w:rsid w:val="00817D04"/>
    <w:rsid w:val="00820F4E"/>
    <w:rsid w:val="0082324E"/>
    <w:rsid w:val="00824063"/>
    <w:rsid w:val="008244CB"/>
    <w:rsid w:val="00827589"/>
    <w:rsid w:val="00833E37"/>
    <w:rsid w:val="008370A3"/>
    <w:rsid w:val="00841E63"/>
    <w:rsid w:val="00855249"/>
    <w:rsid w:val="00855BF7"/>
    <w:rsid w:val="00856C69"/>
    <w:rsid w:val="00856CE3"/>
    <w:rsid w:val="00861FAA"/>
    <w:rsid w:val="008632AA"/>
    <w:rsid w:val="00863AFA"/>
    <w:rsid w:val="00873870"/>
    <w:rsid w:val="00873EEE"/>
    <w:rsid w:val="008757F1"/>
    <w:rsid w:val="00880B11"/>
    <w:rsid w:val="008814B7"/>
    <w:rsid w:val="00883ED5"/>
    <w:rsid w:val="00884E1C"/>
    <w:rsid w:val="00886B5C"/>
    <w:rsid w:val="00891ED5"/>
    <w:rsid w:val="008A06F5"/>
    <w:rsid w:val="008A1905"/>
    <w:rsid w:val="008A256F"/>
    <w:rsid w:val="008A4006"/>
    <w:rsid w:val="008B414F"/>
    <w:rsid w:val="008B5A46"/>
    <w:rsid w:val="008B5DCA"/>
    <w:rsid w:val="008C40C8"/>
    <w:rsid w:val="008C6065"/>
    <w:rsid w:val="008D1D2B"/>
    <w:rsid w:val="008D53C6"/>
    <w:rsid w:val="008E02F5"/>
    <w:rsid w:val="008E537E"/>
    <w:rsid w:val="008E58E3"/>
    <w:rsid w:val="008F3C30"/>
    <w:rsid w:val="008F4790"/>
    <w:rsid w:val="009028CB"/>
    <w:rsid w:val="00906AB9"/>
    <w:rsid w:val="00910D99"/>
    <w:rsid w:val="00914B5D"/>
    <w:rsid w:val="009212BB"/>
    <w:rsid w:val="00922685"/>
    <w:rsid w:val="00925B44"/>
    <w:rsid w:val="00925D86"/>
    <w:rsid w:val="0093537F"/>
    <w:rsid w:val="00936551"/>
    <w:rsid w:val="00942FF5"/>
    <w:rsid w:val="00954105"/>
    <w:rsid w:val="00961012"/>
    <w:rsid w:val="00964317"/>
    <w:rsid w:val="00965373"/>
    <w:rsid w:val="0096766D"/>
    <w:rsid w:val="00970F55"/>
    <w:rsid w:val="009755EC"/>
    <w:rsid w:val="009762F5"/>
    <w:rsid w:val="009805CA"/>
    <w:rsid w:val="00985514"/>
    <w:rsid w:val="00990AE8"/>
    <w:rsid w:val="009916D9"/>
    <w:rsid w:val="009A6689"/>
    <w:rsid w:val="009B49C0"/>
    <w:rsid w:val="009B52E7"/>
    <w:rsid w:val="009B7C46"/>
    <w:rsid w:val="009C3250"/>
    <w:rsid w:val="009C3255"/>
    <w:rsid w:val="009D6596"/>
    <w:rsid w:val="009E122B"/>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0393"/>
    <w:rsid w:val="00A4518B"/>
    <w:rsid w:val="00A455A3"/>
    <w:rsid w:val="00A57CEA"/>
    <w:rsid w:val="00A63A15"/>
    <w:rsid w:val="00A7302B"/>
    <w:rsid w:val="00A83322"/>
    <w:rsid w:val="00A844A5"/>
    <w:rsid w:val="00A90A96"/>
    <w:rsid w:val="00A90B64"/>
    <w:rsid w:val="00A918B2"/>
    <w:rsid w:val="00A92861"/>
    <w:rsid w:val="00A95050"/>
    <w:rsid w:val="00AA3FF9"/>
    <w:rsid w:val="00AA6D72"/>
    <w:rsid w:val="00AA7049"/>
    <w:rsid w:val="00AB1EF7"/>
    <w:rsid w:val="00AB6994"/>
    <w:rsid w:val="00AB7D33"/>
    <w:rsid w:val="00AC3A0C"/>
    <w:rsid w:val="00AC49BC"/>
    <w:rsid w:val="00AC62A1"/>
    <w:rsid w:val="00AD7972"/>
    <w:rsid w:val="00B01A75"/>
    <w:rsid w:val="00B04BE4"/>
    <w:rsid w:val="00B0501C"/>
    <w:rsid w:val="00B10DE6"/>
    <w:rsid w:val="00B15F52"/>
    <w:rsid w:val="00B17DA9"/>
    <w:rsid w:val="00B21165"/>
    <w:rsid w:val="00B24531"/>
    <w:rsid w:val="00B47690"/>
    <w:rsid w:val="00B51DD3"/>
    <w:rsid w:val="00B533C0"/>
    <w:rsid w:val="00B543FF"/>
    <w:rsid w:val="00B6178D"/>
    <w:rsid w:val="00B629D0"/>
    <w:rsid w:val="00B63457"/>
    <w:rsid w:val="00B652F8"/>
    <w:rsid w:val="00B65E38"/>
    <w:rsid w:val="00B706FC"/>
    <w:rsid w:val="00B7699C"/>
    <w:rsid w:val="00B76A7F"/>
    <w:rsid w:val="00B81FE5"/>
    <w:rsid w:val="00B903E3"/>
    <w:rsid w:val="00BA2D87"/>
    <w:rsid w:val="00BB002C"/>
    <w:rsid w:val="00BB119F"/>
    <w:rsid w:val="00BB5B71"/>
    <w:rsid w:val="00BB67AD"/>
    <w:rsid w:val="00BB6C67"/>
    <w:rsid w:val="00BC1A97"/>
    <w:rsid w:val="00BC3AE1"/>
    <w:rsid w:val="00BC3F33"/>
    <w:rsid w:val="00BE2ACB"/>
    <w:rsid w:val="00BE597E"/>
    <w:rsid w:val="00C0091F"/>
    <w:rsid w:val="00C02CBE"/>
    <w:rsid w:val="00C1387B"/>
    <w:rsid w:val="00C14124"/>
    <w:rsid w:val="00C26E74"/>
    <w:rsid w:val="00C368BE"/>
    <w:rsid w:val="00C577B6"/>
    <w:rsid w:val="00C6184C"/>
    <w:rsid w:val="00C674AA"/>
    <w:rsid w:val="00C70C78"/>
    <w:rsid w:val="00C71995"/>
    <w:rsid w:val="00C75E0E"/>
    <w:rsid w:val="00C829D2"/>
    <w:rsid w:val="00C92B91"/>
    <w:rsid w:val="00C92FDE"/>
    <w:rsid w:val="00C93787"/>
    <w:rsid w:val="00CA6D33"/>
    <w:rsid w:val="00CB0A2A"/>
    <w:rsid w:val="00CC0037"/>
    <w:rsid w:val="00CD05E5"/>
    <w:rsid w:val="00CD0ABE"/>
    <w:rsid w:val="00CD4590"/>
    <w:rsid w:val="00CD4D62"/>
    <w:rsid w:val="00CE0748"/>
    <w:rsid w:val="00CE41BF"/>
    <w:rsid w:val="00CF3C71"/>
    <w:rsid w:val="00D0308C"/>
    <w:rsid w:val="00D03678"/>
    <w:rsid w:val="00D12276"/>
    <w:rsid w:val="00D1288B"/>
    <w:rsid w:val="00D15DC9"/>
    <w:rsid w:val="00D16486"/>
    <w:rsid w:val="00D239B8"/>
    <w:rsid w:val="00D25266"/>
    <w:rsid w:val="00D275E7"/>
    <w:rsid w:val="00D37249"/>
    <w:rsid w:val="00D42428"/>
    <w:rsid w:val="00D4333B"/>
    <w:rsid w:val="00D438B3"/>
    <w:rsid w:val="00D462E3"/>
    <w:rsid w:val="00D469AC"/>
    <w:rsid w:val="00D47D26"/>
    <w:rsid w:val="00D54071"/>
    <w:rsid w:val="00D57E09"/>
    <w:rsid w:val="00D61168"/>
    <w:rsid w:val="00D61858"/>
    <w:rsid w:val="00D715F8"/>
    <w:rsid w:val="00D71E01"/>
    <w:rsid w:val="00D74894"/>
    <w:rsid w:val="00D77646"/>
    <w:rsid w:val="00D83D10"/>
    <w:rsid w:val="00D84B41"/>
    <w:rsid w:val="00DA07C4"/>
    <w:rsid w:val="00DA608F"/>
    <w:rsid w:val="00DB4DA8"/>
    <w:rsid w:val="00DB6422"/>
    <w:rsid w:val="00DB6C90"/>
    <w:rsid w:val="00DD360D"/>
    <w:rsid w:val="00DD458B"/>
    <w:rsid w:val="00DD644C"/>
    <w:rsid w:val="00DD671B"/>
    <w:rsid w:val="00DE16C7"/>
    <w:rsid w:val="00DF19FC"/>
    <w:rsid w:val="00DF2F0C"/>
    <w:rsid w:val="00DF4B3F"/>
    <w:rsid w:val="00DF60AB"/>
    <w:rsid w:val="00DF6EB9"/>
    <w:rsid w:val="00E00F93"/>
    <w:rsid w:val="00E013EB"/>
    <w:rsid w:val="00E01633"/>
    <w:rsid w:val="00E040BB"/>
    <w:rsid w:val="00E053A5"/>
    <w:rsid w:val="00E05CB1"/>
    <w:rsid w:val="00E07E56"/>
    <w:rsid w:val="00E118AC"/>
    <w:rsid w:val="00E15D62"/>
    <w:rsid w:val="00E23929"/>
    <w:rsid w:val="00E32601"/>
    <w:rsid w:val="00E354E3"/>
    <w:rsid w:val="00E35824"/>
    <w:rsid w:val="00E36A37"/>
    <w:rsid w:val="00E370F8"/>
    <w:rsid w:val="00E371B2"/>
    <w:rsid w:val="00E47947"/>
    <w:rsid w:val="00E510D5"/>
    <w:rsid w:val="00E52935"/>
    <w:rsid w:val="00E54981"/>
    <w:rsid w:val="00E63676"/>
    <w:rsid w:val="00E66562"/>
    <w:rsid w:val="00E70503"/>
    <w:rsid w:val="00E77FDE"/>
    <w:rsid w:val="00E80CBE"/>
    <w:rsid w:val="00E8329A"/>
    <w:rsid w:val="00E86DE2"/>
    <w:rsid w:val="00E920B5"/>
    <w:rsid w:val="00E931D7"/>
    <w:rsid w:val="00E93FF5"/>
    <w:rsid w:val="00E956CA"/>
    <w:rsid w:val="00EA09D9"/>
    <w:rsid w:val="00EA6A31"/>
    <w:rsid w:val="00EB1932"/>
    <w:rsid w:val="00EB3111"/>
    <w:rsid w:val="00EB6030"/>
    <w:rsid w:val="00EC1A47"/>
    <w:rsid w:val="00EC1B84"/>
    <w:rsid w:val="00EC4892"/>
    <w:rsid w:val="00EC69DB"/>
    <w:rsid w:val="00EE7EE4"/>
    <w:rsid w:val="00EF38EA"/>
    <w:rsid w:val="00EF47F9"/>
    <w:rsid w:val="00EF704E"/>
    <w:rsid w:val="00EF7E20"/>
    <w:rsid w:val="00F0165B"/>
    <w:rsid w:val="00F0212E"/>
    <w:rsid w:val="00F04694"/>
    <w:rsid w:val="00F1451F"/>
    <w:rsid w:val="00F14650"/>
    <w:rsid w:val="00F17484"/>
    <w:rsid w:val="00F22E4B"/>
    <w:rsid w:val="00F236A4"/>
    <w:rsid w:val="00F23A7F"/>
    <w:rsid w:val="00F23E9C"/>
    <w:rsid w:val="00F277BE"/>
    <w:rsid w:val="00F30769"/>
    <w:rsid w:val="00F3427A"/>
    <w:rsid w:val="00F35CFB"/>
    <w:rsid w:val="00F40E09"/>
    <w:rsid w:val="00F42F9A"/>
    <w:rsid w:val="00F44D84"/>
    <w:rsid w:val="00F47F71"/>
    <w:rsid w:val="00F50B0F"/>
    <w:rsid w:val="00F5691E"/>
    <w:rsid w:val="00F609E8"/>
    <w:rsid w:val="00F60A11"/>
    <w:rsid w:val="00F81F47"/>
    <w:rsid w:val="00F83D4A"/>
    <w:rsid w:val="00F83FF2"/>
    <w:rsid w:val="00F84D46"/>
    <w:rsid w:val="00F85350"/>
    <w:rsid w:val="00F9104E"/>
    <w:rsid w:val="00F9258C"/>
    <w:rsid w:val="00FA0CA1"/>
    <w:rsid w:val="00FA36CC"/>
    <w:rsid w:val="00FA7248"/>
    <w:rsid w:val="00FB2B72"/>
    <w:rsid w:val="00FB3099"/>
    <w:rsid w:val="00FB79C5"/>
    <w:rsid w:val="00FC23C3"/>
    <w:rsid w:val="00FD0286"/>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687C8B"/>
  <w15:docId w15:val="{449BA1FC-A188-4303-9C09-7B8074075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Calibri" w:hAnsi="Calibr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Calibri" w:hAnsi="Calibr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Calibri" w:hAnsi="Calibr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eastAsia="Calibri"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eastAsia="Calibri"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rFonts w:eastAsia="Calibri"/>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rsid w:val="000B1008"/>
    <w:pPr>
      <w:autoSpaceDE w:val="0"/>
      <w:autoSpaceDN w:val="0"/>
      <w:adjustRightInd w:val="0"/>
    </w:pPr>
    <w:rPr>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rPr>
      <w:rFonts w:eastAsia="Calibri"/>
    </w:r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rPr>
      <w:rFonts w:eastAsia="Calibri"/>
    </w:r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eastAsia="Calibri"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Calibri" w:eastAsia="Times New Roman" w:hAnsi="Calibri"/>
      <w:b/>
      <w:bCs/>
      <w:sz w:val="24"/>
      <w:szCs w:val="22"/>
    </w:rPr>
  </w:style>
  <w:style w:type="paragraph" w:customStyle="1" w:styleId="Autori">
    <w:name w:val="Autori"/>
    <w:basedOn w:val="Default"/>
    <w:link w:val="AutoriChar"/>
    <w:qFormat/>
    <w:rsid w:val="00E80CBE"/>
    <w:pPr>
      <w:jc w:val="center"/>
    </w:pPr>
    <w:rPr>
      <w:rFonts w:ascii="Calibri" w:eastAsia="Times New Roman" w:hAnsi="Calibr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Calibri" w:eastAsia="Times New Roman" w:hAnsi="Calibr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Calibri" w:hAnsi="Calibri"/>
      <w:bCs/>
      <w:sz w:val="18"/>
      <w:szCs w:val="18"/>
      <w:lang w:val="sr-Cyrl-CS"/>
    </w:rPr>
  </w:style>
  <w:style w:type="character" w:customStyle="1" w:styleId="AutoriChar">
    <w:name w:val="Autori Char"/>
    <w:link w:val="Autori"/>
    <w:rsid w:val="00E80CBE"/>
    <w:rPr>
      <w:rFonts w:ascii="Calibri" w:eastAsia="Times New Roman" w:hAnsi="Calibri"/>
      <w:b/>
      <w:bCs/>
      <w:color w:val="000000"/>
      <w:lang w:val="sr-Latn-CS" w:eastAsia="sr-Latn-CS"/>
    </w:rPr>
  </w:style>
  <w:style w:type="paragraph" w:customStyle="1" w:styleId="Tekst">
    <w:name w:val="Tekst"/>
    <w:basedOn w:val="Default"/>
    <w:link w:val="TekstChar"/>
    <w:qFormat/>
    <w:rsid w:val="00E80CBE"/>
    <w:pPr>
      <w:spacing w:after="120"/>
      <w:jc w:val="both"/>
    </w:pPr>
    <w:rPr>
      <w:rFonts w:ascii="Calibri" w:eastAsia="Times New Roman" w:hAnsi="Calibri"/>
      <w:szCs w:val="20"/>
      <w:lang w:val="sr-Cyrl-CS"/>
    </w:rPr>
  </w:style>
  <w:style w:type="character" w:customStyle="1" w:styleId="Rezime-KljuneChar">
    <w:name w:val="Rezime-Ključne Char"/>
    <w:link w:val="Rezime-Kljune"/>
    <w:rsid w:val="00E80CBE"/>
    <w:rPr>
      <w:rFonts w:ascii="Calibri" w:eastAsia="Times New Roman" w:hAnsi="Calibri"/>
      <w:bCs/>
      <w:sz w:val="18"/>
      <w:szCs w:val="18"/>
      <w:lang w:val="sr-Cyrl-CS" w:eastAsia="en-US"/>
    </w:rPr>
  </w:style>
  <w:style w:type="character" w:customStyle="1" w:styleId="TekstChar">
    <w:name w:val="Tekst Char"/>
    <w:link w:val="Tekst"/>
    <w:rsid w:val="00E80CBE"/>
    <w:rPr>
      <w:rFonts w:ascii="Calibri" w:eastAsia="Times New Roman" w:hAnsi="Calibr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Calibri" w:eastAsia="Times New Roman" w:hAnsi="Calibri"/>
      <w:i/>
      <w:sz w:val="18"/>
      <w:szCs w:val="18"/>
    </w:rPr>
  </w:style>
  <w:style w:type="character" w:customStyle="1" w:styleId="TabelanatpisChar">
    <w:name w:val="Tabela natpis Char"/>
    <w:link w:val="Tabelanatpis"/>
    <w:rsid w:val="00237BB5"/>
    <w:rPr>
      <w:rFonts w:ascii="Calibri" w:eastAsia="Times New Roman" w:hAnsi="Calibr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Calibri" w:eastAsia="Times New Roman" w:hAnsi="Calibri"/>
      <w:b/>
      <w:caps/>
      <w:szCs w:val="32"/>
      <w:lang w:val="en-US" w:eastAsia="en-US"/>
    </w:rPr>
  </w:style>
  <w:style w:type="character" w:customStyle="1" w:styleId="Heading2Char">
    <w:name w:val="Heading 2 Char"/>
    <w:aliases w:val="2. Naslov Char"/>
    <w:link w:val="Heading2"/>
    <w:uiPriority w:val="9"/>
    <w:rsid w:val="009F3740"/>
    <w:rPr>
      <w:rFonts w:ascii="Calibri" w:eastAsia="Times New Roman" w:hAnsi="Calibri"/>
      <w:b/>
      <w:szCs w:val="26"/>
      <w:lang w:val="en-US" w:eastAsia="en-US"/>
    </w:rPr>
  </w:style>
  <w:style w:type="character" w:customStyle="1" w:styleId="Heading3Char">
    <w:name w:val="Heading 3 Char"/>
    <w:aliases w:val="3. Naslov Char"/>
    <w:link w:val="Heading3"/>
    <w:uiPriority w:val="9"/>
    <w:rsid w:val="00C70C78"/>
    <w:rPr>
      <w:rFonts w:ascii="Calibri" w:eastAsia="Times New Roman" w:hAnsi="Calibr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Calibri" w:hAnsi="Calibr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Calibri" w:eastAsia="Times New Roman" w:hAnsi="Calibri"/>
      <w:i/>
      <w:sz w:val="18"/>
      <w:szCs w:val="20"/>
    </w:rPr>
  </w:style>
  <w:style w:type="character" w:customStyle="1" w:styleId="LiteraturaChar">
    <w:name w:val="Literatura Char"/>
    <w:link w:val="Literatura"/>
    <w:rsid w:val="003315A0"/>
    <w:rPr>
      <w:rFonts w:ascii="Calibri" w:eastAsia="Times New Roman" w:hAnsi="Calibri"/>
      <w:sz w:val="16"/>
      <w:szCs w:val="18"/>
      <w:lang w:val="en-US" w:eastAsia="en-US"/>
    </w:rPr>
  </w:style>
  <w:style w:type="paragraph" w:customStyle="1" w:styleId="Slika">
    <w:name w:val="Slika"/>
    <w:basedOn w:val="Default"/>
    <w:link w:val="SlikaChar"/>
    <w:qFormat/>
    <w:rsid w:val="00C70C78"/>
    <w:pPr>
      <w:jc w:val="center"/>
    </w:pPr>
    <w:rPr>
      <w:rFonts w:ascii="Calibri" w:eastAsia="Times New Roman" w:hAnsi="Calibri"/>
      <w:szCs w:val="20"/>
    </w:rPr>
  </w:style>
  <w:style w:type="character" w:customStyle="1" w:styleId="SlikanatpisChar">
    <w:name w:val="Slika natpis Char"/>
    <w:link w:val="Slikanatpis"/>
    <w:rsid w:val="00E80CBE"/>
    <w:rPr>
      <w:rFonts w:ascii="Calibri" w:eastAsia="Times New Roman" w:hAnsi="Calibri"/>
      <w:i/>
      <w:color w:val="000000"/>
      <w:sz w:val="18"/>
      <w:lang w:val="sr-Latn-CS" w:eastAsia="sr-Latn-CS"/>
    </w:rPr>
  </w:style>
  <w:style w:type="paragraph" w:customStyle="1" w:styleId="Fusnota">
    <w:name w:val="Fusnota"/>
    <w:basedOn w:val="FootnoteText"/>
    <w:link w:val="FusnotaChar"/>
    <w:qFormat/>
    <w:rsid w:val="00E80CBE"/>
    <w:pPr>
      <w:jc w:val="both"/>
    </w:pPr>
    <w:rPr>
      <w:rFonts w:ascii="Calibri" w:eastAsia="Times New Roman" w:hAnsi="Calibri"/>
      <w:sz w:val="16"/>
      <w:szCs w:val="18"/>
    </w:rPr>
  </w:style>
  <w:style w:type="character" w:customStyle="1" w:styleId="SlikaChar">
    <w:name w:val="Slika Char"/>
    <w:link w:val="Slika"/>
    <w:rsid w:val="00C70C78"/>
    <w:rPr>
      <w:rFonts w:ascii="Calibri" w:eastAsia="Times New Roman" w:hAnsi="Calibri"/>
      <w:color w:val="000000"/>
      <w:lang w:val="sr-Latn-CS" w:eastAsia="sr-Latn-CS"/>
    </w:rPr>
  </w:style>
  <w:style w:type="character" w:customStyle="1" w:styleId="FusnotaChar">
    <w:name w:val="Fusnota Char"/>
    <w:link w:val="Fusnota"/>
    <w:rsid w:val="00E80CBE"/>
    <w:rPr>
      <w:rFonts w:ascii="Calibri" w:eastAsia="Times New Roman" w:hAnsi="Calibr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Calibri" w:eastAsia="Times New Roman" w:hAnsi="Calibr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semiHidden/>
    <w:rsid w:val="000B1008"/>
    <w:rPr>
      <w:i/>
      <w:iCs/>
    </w:rPr>
  </w:style>
  <w:style w:type="character" w:styleId="HTMLCode">
    <w:name w:val="HTML Code"/>
    <w:semiHidden/>
    <w:rsid w:val="000B1008"/>
    <w:rPr>
      <w:rFonts w:ascii="Courier New" w:hAnsi="Courier New" w:cs="Courier New"/>
      <w:sz w:val="20"/>
      <w:szCs w:val="20"/>
    </w:rPr>
  </w:style>
  <w:style w:type="character" w:styleId="HTMLDefinition">
    <w:name w:val="HTML Definition"/>
    <w:semiHidden/>
    <w:rsid w:val="000B1008"/>
    <w:rPr>
      <w:i/>
      <w:iCs/>
    </w:rPr>
  </w:style>
  <w:style w:type="character" w:styleId="HTMLKeyboard">
    <w:name w:val="HTML Keyboard"/>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semiHidden/>
    <w:rsid w:val="000B1008"/>
    <w:rPr>
      <w:rFonts w:ascii="Courier New" w:hAnsi="Courier New" w:cs="Courier New"/>
    </w:rPr>
  </w:style>
  <w:style w:type="character" w:styleId="HTMLTypewriter">
    <w:name w:val="HTML Typewriter"/>
    <w:semiHidden/>
    <w:rsid w:val="000B1008"/>
    <w:rPr>
      <w:rFonts w:ascii="Courier New" w:hAnsi="Courier New" w:cs="Courier New"/>
      <w:sz w:val="20"/>
      <w:szCs w:val="20"/>
    </w:rPr>
  </w:style>
  <w:style w:type="character" w:styleId="HTMLVariable">
    <w:name w:val="HTML Variable"/>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34221A"/>
    <w:pPr>
      <w:ind w:left="720"/>
      <w:contextualSpacing/>
    </w:pPr>
    <w:rPr>
      <w:rFonts w:ascii="Arial" w:hAnsi="Arial"/>
    </w:rPr>
  </w:style>
  <w:style w:type="table" w:customStyle="1" w:styleId="LightShading-Accent11">
    <w:name w:val="Light Shading - Accent 11"/>
    <w:basedOn w:val="TableNormal"/>
    <w:uiPriority w:val="60"/>
    <w:rsid w:val="0006733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horttext">
    <w:name w:val="short_text"/>
    <w:rsid w:val="008D1D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32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[PODACI.xls]Sheet1!$C$4</c:f>
              <c:strCache>
                <c:ptCount val="1"/>
                <c:pt idx="0">
                  <c:v>UDESI NA PUTNIM PRELAZIMA</c:v>
                </c:pt>
              </c:strCache>
            </c:strRef>
          </c:tx>
          <c:invertIfNegative val="0"/>
          <c:cat>
            <c:numRef>
              <c:f>[PODACI.xls]Sheet1!$B$5:$B$14</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[PODACI.xls]Sheet1!$C$5:$C$14</c:f>
              <c:numCache>
                <c:formatCode>General</c:formatCode>
                <c:ptCount val="10"/>
                <c:pt idx="0">
                  <c:v>4</c:v>
                </c:pt>
                <c:pt idx="1">
                  <c:v>3</c:v>
                </c:pt>
                <c:pt idx="2">
                  <c:v>1</c:v>
                </c:pt>
                <c:pt idx="3">
                  <c:v>2</c:v>
                </c:pt>
                <c:pt idx="4">
                  <c:v>6</c:v>
                </c:pt>
                <c:pt idx="5">
                  <c:v>7</c:v>
                </c:pt>
                <c:pt idx="6">
                  <c:v>4</c:v>
                </c:pt>
                <c:pt idx="7">
                  <c:v>3</c:v>
                </c:pt>
                <c:pt idx="8">
                  <c:v>2</c:v>
                </c:pt>
                <c:pt idx="9">
                  <c:v>0</c:v>
                </c:pt>
              </c:numCache>
            </c:numRef>
          </c:val>
          <c:extLst>
            <c:ext xmlns:c16="http://schemas.microsoft.com/office/drawing/2014/chart" uri="{C3380CC4-5D6E-409C-BE32-E72D297353CC}">
              <c16:uniqueId val="{00000000-4557-4A3C-AF29-DF4B90E15F3B}"/>
            </c:ext>
          </c:extLst>
        </c:ser>
        <c:dLbls>
          <c:showLegendKey val="0"/>
          <c:showVal val="0"/>
          <c:showCatName val="0"/>
          <c:showSerName val="0"/>
          <c:showPercent val="0"/>
          <c:showBubbleSize val="0"/>
        </c:dLbls>
        <c:gapWidth val="150"/>
        <c:shape val="box"/>
        <c:axId val="131766528"/>
        <c:axId val="137211904"/>
        <c:axId val="0"/>
      </c:bar3DChart>
      <c:catAx>
        <c:axId val="131766528"/>
        <c:scaling>
          <c:orientation val="minMax"/>
        </c:scaling>
        <c:delete val="0"/>
        <c:axPos val="b"/>
        <c:numFmt formatCode="General" sourceLinked="1"/>
        <c:majorTickMark val="none"/>
        <c:minorTickMark val="none"/>
        <c:tickLblPos val="nextTo"/>
        <c:crossAx val="137211904"/>
        <c:crosses val="autoZero"/>
        <c:auto val="1"/>
        <c:lblAlgn val="ctr"/>
        <c:lblOffset val="100"/>
        <c:noMultiLvlLbl val="0"/>
      </c:catAx>
      <c:valAx>
        <c:axId val="137211904"/>
        <c:scaling>
          <c:orientation val="minMax"/>
        </c:scaling>
        <c:delete val="0"/>
        <c:axPos val="l"/>
        <c:majorGridlines/>
        <c:numFmt formatCode="General" sourceLinked="1"/>
        <c:majorTickMark val="none"/>
        <c:minorTickMark val="none"/>
        <c:tickLblPos val="nextTo"/>
        <c:crossAx val="131766528"/>
        <c:crosses val="autoZero"/>
        <c:crossBetween val="between"/>
      </c:valAx>
      <c:spPr>
        <a:noFill/>
        <a:ln w="25400">
          <a:noFill/>
        </a:ln>
      </c:spPr>
    </c:plotArea>
    <c:legend>
      <c:legendPos val="r"/>
      <c:overlay val="0"/>
    </c:legend>
    <c:plotVisOnly val="1"/>
    <c:dispBlanksAs val="gap"/>
    <c:showDLblsOverMax val="0"/>
  </c:chart>
  <c:txPr>
    <a:bodyPr/>
    <a:lstStyle/>
    <a:p>
      <a:pPr>
        <a:defRPr>
          <a:latin typeface="Calibri" panose="020F0502020204030204" pitchFamily="34" charset="0"/>
          <a:cs typeface="Calibri" panose="020F0502020204030204" pitchFamily="34"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overlay val="0"/>
    </c:title>
    <c:autoTitleDeleted val="0"/>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tx>
            <c:strRef>
              <c:f>[PODACI.xls]Sheet1!$G$4</c:f>
              <c:strCache>
                <c:ptCount val="1"/>
                <c:pt idx="0">
                  <c:v>NEZGODE NA PUTNIM PRELAZIMA</c:v>
                </c:pt>
              </c:strCache>
            </c:strRef>
          </c:tx>
          <c:invertIfNegative val="0"/>
          <c:cat>
            <c:numRef>
              <c:f>[PODACI.xls]Sheet1!$F$5:$F$14</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[PODACI.xls]Sheet1!$G$5:$G$14</c:f>
              <c:numCache>
                <c:formatCode>General</c:formatCode>
                <c:ptCount val="10"/>
                <c:pt idx="0">
                  <c:v>17</c:v>
                </c:pt>
                <c:pt idx="1">
                  <c:v>11</c:v>
                </c:pt>
                <c:pt idx="2">
                  <c:v>23</c:v>
                </c:pt>
                <c:pt idx="3">
                  <c:v>12</c:v>
                </c:pt>
                <c:pt idx="4">
                  <c:v>14</c:v>
                </c:pt>
                <c:pt idx="5">
                  <c:v>18</c:v>
                </c:pt>
                <c:pt idx="6">
                  <c:v>16</c:v>
                </c:pt>
                <c:pt idx="7">
                  <c:v>21</c:v>
                </c:pt>
                <c:pt idx="8">
                  <c:v>31</c:v>
                </c:pt>
                <c:pt idx="9">
                  <c:v>26</c:v>
                </c:pt>
              </c:numCache>
            </c:numRef>
          </c:val>
          <c:extLst>
            <c:ext xmlns:c16="http://schemas.microsoft.com/office/drawing/2014/chart" uri="{C3380CC4-5D6E-409C-BE32-E72D297353CC}">
              <c16:uniqueId val="{00000000-42CC-49E3-AD88-9710C2CBCA0C}"/>
            </c:ext>
          </c:extLst>
        </c:ser>
        <c:dLbls>
          <c:showLegendKey val="0"/>
          <c:showVal val="0"/>
          <c:showCatName val="0"/>
          <c:showSerName val="0"/>
          <c:showPercent val="0"/>
          <c:showBubbleSize val="0"/>
        </c:dLbls>
        <c:gapWidth val="150"/>
        <c:shape val="box"/>
        <c:axId val="69735936"/>
        <c:axId val="69737472"/>
        <c:axId val="0"/>
      </c:bar3DChart>
      <c:catAx>
        <c:axId val="69735936"/>
        <c:scaling>
          <c:orientation val="minMax"/>
        </c:scaling>
        <c:delete val="0"/>
        <c:axPos val="b"/>
        <c:numFmt formatCode="General" sourceLinked="1"/>
        <c:majorTickMark val="out"/>
        <c:minorTickMark val="none"/>
        <c:tickLblPos val="nextTo"/>
        <c:crossAx val="69737472"/>
        <c:crosses val="autoZero"/>
        <c:auto val="1"/>
        <c:lblAlgn val="ctr"/>
        <c:lblOffset val="100"/>
        <c:noMultiLvlLbl val="0"/>
      </c:catAx>
      <c:valAx>
        <c:axId val="69737472"/>
        <c:scaling>
          <c:orientation val="minMax"/>
        </c:scaling>
        <c:delete val="0"/>
        <c:axPos val="l"/>
        <c:majorGridlines/>
        <c:numFmt formatCode="General" sourceLinked="1"/>
        <c:majorTickMark val="out"/>
        <c:minorTickMark val="none"/>
        <c:tickLblPos val="nextTo"/>
        <c:crossAx val="69735936"/>
        <c:crosses val="autoZero"/>
        <c:crossBetween val="between"/>
      </c:valAx>
      <c:spPr>
        <a:noFill/>
        <a:ln w="25400">
          <a:noFill/>
        </a:ln>
      </c:spPr>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[PODACI.xls]Sheet1!$K$4</c:f>
              <c:strCache>
                <c:ptCount val="1"/>
                <c:pt idx="0">
                  <c:v>UDESI NA PUTNIM PRELAZIMA</c:v>
                </c:pt>
              </c:strCache>
            </c:strRef>
          </c:tx>
          <c:xVal>
            <c:numRef>
              <c:f>[PODACI.xls]Sheet1!$J$5:$J$14</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xVal>
          <c:yVal>
            <c:numRef>
              <c:f>[PODACI.xls]Sheet1!$K$5:$K$14</c:f>
              <c:numCache>
                <c:formatCode>General</c:formatCode>
                <c:ptCount val="10"/>
                <c:pt idx="0">
                  <c:v>4</c:v>
                </c:pt>
                <c:pt idx="1">
                  <c:v>3</c:v>
                </c:pt>
                <c:pt idx="2">
                  <c:v>1</c:v>
                </c:pt>
                <c:pt idx="3">
                  <c:v>2</c:v>
                </c:pt>
                <c:pt idx="4">
                  <c:v>6</c:v>
                </c:pt>
                <c:pt idx="5">
                  <c:v>7</c:v>
                </c:pt>
                <c:pt idx="6">
                  <c:v>4</c:v>
                </c:pt>
                <c:pt idx="7">
                  <c:v>3</c:v>
                </c:pt>
                <c:pt idx="8">
                  <c:v>2</c:v>
                </c:pt>
                <c:pt idx="9">
                  <c:v>0</c:v>
                </c:pt>
              </c:numCache>
            </c:numRef>
          </c:yVal>
          <c:smooth val="1"/>
          <c:extLst>
            <c:ext xmlns:c16="http://schemas.microsoft.com/office/drawing/2014/chart" uri="{C3380CC4-5D6E-409C-BE32-E72D297353CC}">
              <c16:uniqueId val="{00000000-7D93-43BE-8FC4-31D3EE5C2F49}"/>
            </c:ext>
          </c:extLst>
        </c:ser>
        <c:ser>
          <c:idx val="1"/>
          <c:order val="1"/>
          <c:tx>
            <c:strRef>
              <c:f>[PODACI.xls]Sheet1!$L$4</c:f>
              <c:strCache>
                <c:ptCount val="1"/>
                <c:pt idx="0">
                  <c:v>NEZGODE NA PUTNIM PRELAZIMA</c:v>
                </c:pt>
              </c:strCache>
            </c:strRef>
          </c:tx>
          <c:xVal>
            <c:numRef>
              <c:f>[PODACI.xls]Sheet1!$J$5:$J$14</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xVal>
          <c:yVal>
            <c:numRef>
              <c:f>[PODACI.xls]Sheet1!$L$5:$L$14</c:f>
              <c:numCache>
                <c:formatCode>General</c:formatCode>
                <c:ptCount val="10"/>
                <c:pt idx="0">
                  <c:v>17</c:v>
                </c:pt>
                <c:pt idx="1">
                  <c:v>11</c:v>
                </c:pt>
                <c:pt idx="2">
                  <c:v>23</c:v>
                </c:pt>
                <c:pt idx="3">
                  <c:v>12</c:v>
                </c:pt>
                <c:pt idx="4">
                  <c:v>14</c:v>
                </c:pt>
                <c:pt idx="5">
                  <c:v>18</c:v>
                </c:pt>
                <c:pt idx="6">
                  <c:v>16</c:v>
                </c:pt>
                <c:pt idx="7">
                  <c:v>21</c:v>
                </c:pt>
                <c:pt idx="8">
                  <c:v>31</c:v>
                </c:pt>
                <c:pt idx="9">
                  <c:v>26</c:v>
                </c:pt>
              </c:numCache>
            </c:numRef>
          </c:yVal>
          <c:smooth val="1"/>
          <c:extLst>
            <c:ext xmlns:c16="http://schemas.microsoft.com/office/drawing/2014/chart" uri="{C3380CC4-5D6E-409C-BE32-E72D297353CC}">
              <c16:uniqueId val="{00000001-7D93-43BE-8FC4-31D3EE5C2F49}"/>
            </c:ext>
          </c:extLst>
        </c:ser>
        <c:dLbls>
          <c:showLegendKey val="0"/>
          <c:showVal val="0"/>
          <c:showCatName val="0"/>
          <c:showSerName val="0"/>
          <c:showPercent val="0"/>
          <c:showBubbleSize val="0"/>
        </c:dLbls>
        <c:axId val="125349888"/>
        <c:axId val="125351424"/>
      </c:scatterChart>
      <c:valAx>
        <c:axId val="125349888"/>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25351424"/>
        <c:crosses val="autoZero"/>
        <c:crossBetween val="midCat"/>
      </c:valAx>
      <c:valAx>
        <c:axId val="125351424"/>
        <c:scaling>
          <c:orientation val="minMax"/>
        </c:scaling>
        <c:delete val="0"/>
        <c:axPos val="l"/>
        <c:majorGridlines/>
        <c:numFmt formatCode="General" sourceLinked="1"/>
        <c:majorTickMark val="out"/>
        <c:minorTickMark val="none"/>
        <c:tickLblPos val="nextTo"/>
        <c:crossAx val="125349888"/>
        <c:crosses val="autoZero"/>
        <c:crossBetween val="midCat"/>
      </c:valAx>
    </c:plotArea>
    <c:legend>
      <c:legendPos val="r"/>
      <c:layout>
        <c:manualLayout>
          <c:xMode val="edge"/>
          <c:yMode val="edge"/>
          <c:x val="0.64241557305336838"/>
          <c:y val="0.3603433945756781"/>
          <c:w val="0.33536220472440947"/>
          <c:h val="0.27931321084864391"/>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B8EF7-08AE-4770-9D92-9903EB3FD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latinica</Template>
  <TotalTime>1</TotalTime>
  <Pages>6</Pages>
  <Words>2051</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SF</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Ivana Trajkovska</cp:lastModifiedBy>
  <cp:revision>1</cp:revision>
  <cp:lastPrinted>2016-06-30T07:57:00Z</cp:lastPrinted>
  <dcterms:created xsi:type="dcterms:W3CDTF">2016-08-22T08:38:00Z</dcterms:created>
  <dcterms:modified xsi:type="dcterms:W3CDTF">2016-08-23T09:38:00Z</dcterms:modified>
</cp:coreProperties>
</file>