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BF2EE1" w:rsidRDefault="00BF2EE1" w:rsidP="00BB002C">
      <w:pPr>
        <w:pStyle w:val="a2"/>
      </w:pPr>
      <w:r w:rsidRPr="00BF2EE1">
        <w:rPr>
          <w:szCs w:val="24"/>
        </w:rPr>
        <w:t>У</w:t>
      </w:r>
      <w:r>
        <w:rPr>
          <w:szCs w:val="24"/>
        </w:rPr>
        <w:t>ПОРЕДНА АНАЛИЗА БЕЗБЕДНОСТИ ДЕЦЕ У САОБРАЋАЈУ У УРБАНОМ И РУРАЛНОМ ДЕЛУ ГРАДА БЕОГРАДА И ОПШТИНЕ СМЕДЕРЕВСКА ПАЛАНКА</w:t>
      </w:r>
    </w:p>
    <w:p w:rsidR="0002037B" w:rsidRDefault="0002037B" w:rsidP="008E537E">
      <w:pPr>
        <w:pStyle w:val="a3"/>
        <w:rPr>
          <w:sz w:val="24"/>
          <w:szCs w:val="22"/>
        </w:rPr>
      </w:pPr>
      <w:r>
        <w:rPr>
          <w:sz w:val="24"/>
          <w:szCs w:val="22"/>
        </w:rPr>
        <w:t>CОMPARATIVE ANALYSIS OF THE SAFETY OF CHILDREN IN TRAFFIC IN URBAN AND RURAL AREAS OF THE CITY OF BELGRADE AND THE MUNICIPALITY OF SMEDEREVSKA PALANKA</w:t>
      </w:r>
    </w:p>
    <w:p w:rsidR="0002037B" w:rsidRPr="0002037B" w:rsidRDefault="0002037B" w:rsidP="0002037B">
      <w:pPr>
        <w:pStyle w:val="Autori"/>
        <w:rPr>
          <w:rFonts w:asciiTheme="minorHAnsi" w:hAnsiTheme="minorHAnsi"/>
          <w:color w:val="auto"/>
          <w:sz w:val="20"/>
          <w:szCs w:val="20"/>
        </w:rPr>
      </w:pPr>
      <w:bookmarkStart w:id="0" w:name="_GoBack"/>
      <w:bookmarkEnd w:id="0"/>
    </w:p>
    <w:p w:rsidR="004A4828" w:rsidRPr="00451541" w:rsidRDefault="004A4828" w:rsidP="008E537E">
      <w:pPr>
        <w:pStyle w:val="a3"/>
      </w:pPr>
    </w:p>
    <w:p w:rsidR="004A4828" w:rsidRPr="006459FF" w:rsidRDefault="004A4828" w:rsidP="004A4828">
      <w:pPr>
        <w:pStyle w:val="Subtitle"/>
        <w:rPr>
          <w:rFonts w:ascii="Times New Roman" w:hAnsi="Times New Roman"/>
          <w:sz w:val="20"/>
          <w:szCs w:val="20"/>
        </w:rPr>
      </w:pPr>
    </w:p>
    <w:p w:rsidR="0002037B" w:rsidRPr="0002037B" w:rsidRDefault="0002037B" w:rsidP="0002037B">
      <w:pPr>
        <w:jc w:val="both"/>
        <w:rPr>
          <w:rFonts w:asciiTheme="minorHAnsi" w:hAnsiTheme="minorHAnsi"/>
          <w:sz w:val="18"/>
          <w:szCs w:val="18"/>
          <w:lang w:val="es-ES"/>
        </w:rPr>
      </w:pPr>
      <w:r w:rsidRPr="0002037B">
        <w:rPr>
          <w:rFonts w:asciiTheme="minorHAnsi" w:hAnsiTheme="minorHAnsi"/>
          <w:b/>
          <w:sz w:val="18"/>
          <w:szCs w:val="18"/>
          <w:lang w:val="es-ES"/>
        </w:rPr>
        <w:t>Резиме:</w:t>
      </w:r>
      <w:r w:rsidRPr="0002037B">
        <w:rPr>
          <w:rFonts w:asciiTheme="minorHAnsi" w:hAnsiTheme="minorHAnsi"/>
          <w:sz w:val="18"/>
          <w:szCs w:val="18"/>
          <w:lang w:val="es-ES"/>
        </w:rPr>
        <w:t xml:space="preserve"> </w:t>
      </w:r>
      <w:r w:rsidRPr="0002037B">
        <w:rPr>
          <w:rFonts w:asciiTheme="minorHAnsi" w:hAnsiTheme="minorHAnsi"/>
          <w:sz w:val="18"/>
          <w:szCs w:val="18"/>
        </w:rPr>
        <w:t xml:space="preserve">Основни циљ истраживања овог рада јесте да се утврди понашање, знање и искуство деце школског узраста од првог до четвртог разреда о безбедности саобраћаја на територији града Београда и општине Смедеревска Паланка и да се изврши упоређивање резултата анкете за урбани и рурални део истраживања. </w:t>
      </w:r>
      <w:r w:rsidRPr="0002037B">
        <w:rPr>
          <w:rFonts w:asciiTheme="minorHAnsi" w:eastAsia="Calibri" w:hAnsiTheme="minorHAnsi"/>
          <w:sz w:val="18"/>
          <w:szCs w:val="18"/>
        </w:rPr>
        <w:t>На основу статисти</w:t>
      </w:r>
      <w:r w:rsidRPr="0002037B">
        <w:rPr>
          <w:rFonts w:asciiTheme="minorHAnsi" w:hAnsiTheme="minorHAnsi"/>
          <w:sz w:val="18"/>
          <w:szCs w:val="18"/>
          <w:lang w:val="sr-Latn-CS"/>
        </w:rPr>
        <w:t>чке обраде података, утвр</w:t>
      </w:r>
      <w:r w:rsidRPr="0002037B">
        <w:rPr>
          <w:rFonts w:asciiTheme="minorHAnsi" w:hAnsiTheme="minorHAnsi"/>
          <w:sz w:val="18"/>
          <w:szCs w:val="18"/>
        </w:rPr>
        <w:t>ђена је</w:t>
      </w:r>
      <w:r w:rsidRPr="0002037B">
        <w:rPr>
          <w:rFonts w:asciiTheme="minorHAnsi" w:hAnsiTheme="minorHAnsi"/>
          <w:sz w:val="18"/>
          <w:szCs w:val="18"/>
          <w:lang w:val="sr-Latn-CS"/>
        </w:rPr>
        <w:t xml:space="preserve"> евентуалн</w:t>
      </w:r>
      <w:r w:rsidRPr="0002037B">
        <w:rPr>
          <w:rFonts w:asciiTheme="minorHAnsi" w:hAnsiTheme="minorHAnsi"/>
          <w:sz w:val="18"/>
          <w:szCs w:val="18"/>
        </w:rPr>
        <w:t>а</w:t>
      </w:r>
      <w:r w:rsidRPr="0002037B">
        <w:rPr>
          <w:rFonts w:asciiTheme="minorHAnsi" w:hAnsiTheme="minorHAnsi"/>
          <w:sz w:val="18"/>
          <w:szCs w:val="18"/>
          <w:lang w:val="sr-Latn-CS"/>
        </w:rPr>
        <w:t xml:space="preserve"> зависност између ставова, понашања и знања ученика од првог до четвртог разреда основне школе у урбаним и руралним подручјима. У ово</w:t>
      </w:r>
      <w:r w:rsidRPr="0002037B">
        <w:rPr>
          <w:rFonts w:asciiTheme="minorHAnsi" w:hAnsiTheme="minorHAnsi"/>
          <w:sz w:val="18"/>
          <w:szCs w:val="18"/>
        </w:rPr>
        <w:t>ј</w:t>
      </w:r>
      <w:r w:rsidRPr="0002037B">
        <w:rPr>
          <w:rFonts w:asciiTheme="minorHAnsi" w:hAnsiTheme="minorHAnsi"/>
          <w:sz w:val="18"/>
          <w:szCs w:val="18"/>
          <w:lang w:val="sr-Latn-CS"/>
        </w:rPr>
        <w:t xml:space="preserve"> студији коришћен је</w:t>
      </w:r>
      <w:r w:rsidRPr="0002037B">
        <w:rPr>
          <w:rFonts w:asciiTheme="minorHAnsi" w:hAnsiTheme="minorHAnsi"/>
          <w:b/>
          <w:sz w:val="18"/>
          <w:szCs w:val="18"/>
          <w:lang w:val="sr-Latn-CS"/>
        </w:rPr>
        <w:t xml:space="preserve"> </w:t>
      </w:r>
      <w:r w:rsidRPr="0002037B">
        <w:rPr>
          <w:rFonts w:asciiTheme="minorHAnsi" w:hAnsiTheme="minorHAnsi"/>
          <w:sz w:val="18"/>
          <w:szCs w:val="18"/>
          <w:lang w:val="sr-Latn-CS"/>
        </w:rPr>
        <w:t>метод анкете, отвореног и затвореног типа и статисти</w:t>
      </w:r>
      <w:r w:rsidRPr="0002037B">
        <w:rPr>
          <w:rFonts w:asciiTheme="minorHAnsi" w:hAnsiTheme="minorHAnsi"/>
          <w:sz w:val="18"/>
          <w:szCs w:val="18"/>
        </w:rPr>
        <w:t>ч</w:t>
      </w:r>
      <w:r w:rsidRPr="0002037B">
        <w:rPr>
          <w:rFonts w:asciiTheme="minorHAnsi" w:hAnsiTheme="minorHAnsi"/>
          <w:sz w:val="18"/>
          <w:szCs w:val="18"/>
          <w:lang w:val="sr-Latn-CS"/>
        </w:rPr>
        <w:t xml:space="preserve">ки метод. </w:t>
      </w:r>
      <w:r w:rsidRPr="0002037B">
        <w:rPr>
          <w:rFonts w:asciiTheme="minorHAnsi" w:hAnsiTheme="minorHAnsi"/>
          <w:bCs/>
          <w:sz w:val="18"/>
          <w:szCs w:val="18"/>
        </w:rPr>
        <w:t>Анализом добијених података могу се утврдити најефикасније мере за побољшање безбедности деце у саобраћају, зависно од подручја истраживања.</w:t>
      </w:r>
    </w:p>
    <w:p w:rsidR="0002037B" w:rsidRPr="0002037B" w:rsidRDefault="0002037B" w:rsidP="0002037B">
      <w:pPr>
        <w:rPr>
          <w:rFonts w:asciiTheme="minorHAnsi" w:hAnsiTheme="minorHAnsi"/>
          <w:bCs/>
          <w:sz w:val="18"/>
          <w:szCs w:val="18"/>
        </w:rPr>
      </w:pPr>
    </w:p>
    <w:p w:rsidR="0002037B" w:rsidRPr="0002037B" w:rsidRDefault="0002037B" w:rsidP="0002037B">
      <w:pPr>
        <w:rPr>
          <w:rFonts w:asciiTheme="minorHAnsi" w:hAnsiTheme="minorHAnsi"/>
          <w:sz w:val="18"/>
          <w:szCs w:val="18"/>
        </w:rPr>
      </w:pPr>
      <w:r w:rsidRPr="0002037B">
        <w:rPr>
          <w:rFonts w:asciiTheme="minorHAnsi" w:hAnsiTheme="minorHAnsi"/>
          <w:b/>
          <w:sz w:val="18"/>
          <w:szCs w:val="18"/>
        </w:rPr>
        <w:t>Кључне речи:</w:t>
      </w:r>
      <w:r w:rsidRPr="0002037B">
        <w:rPr>
          <w:rFonts w:asciiTheme="minorHAnsi" w:hAnsiTheme="minorHAnsi"/>
          <w:sz w:val="18"/>
          <w:szCs w:val="18"/>
        </w:rPr>
        <w:t xml:space="preserve"> деца школског узраста, безебдност саобраћаја, саобраћајне незгоде, урбана подручја, рурална подручја</w:t>
      </w:r>
    </w:p>
    <w:p w:rsidR="0002037B" w:rsidRDefault="006459FF" w:rsidP="00A26BDF">
      <w:pPr>
        <w:pStyle w:val="-"/>
        <w:rPr>
          <w:lang w:val="en-US"/>
        </w:rPr>
      </w:pPr>
      <w:r w:rsidRPr="00451541">
        <w:t>.</w:t>
      </w:r>
    </w:p>
    <w:p w:rsidR="004A4828" w:rsidRPr="0002037B" w:rsidRDefault="006459FF" w:rsidP="00A26BDF">
      <w:pPr>
        <w:pStyle w:val="-"/>
      </w:pPr>
      <w:r w:rsidRPr="001E1716">
        <w:rPr>
          <w:b/>
          <w:lang w:val="en-GB"/>
        </w:rPr>
        <w:t xml:space="preserve">Abstract: </w:t>
      </w:r>
      <w:r w:rsidR="0002037B" w:rsidRPr="002924AD">
        <w:rPr>
          <w:szCs w:val="24"/>
        </w:rPr>
        <w:t>Main goal of research of this thesis is to determine the behavior, knowledge and experiance in traffic and traffic safety of children whom attedn first four grades of elementary school in Belgrade and Smedervska Palanka, and to compare survey resaults for urban and rural areas. Based on the statistical data processing, eventual corelation between the attitudes, knowledge and actions of children whom attend first four grades of elementary school in urban and rural areas was determined. In this thesis opened and closed survey and statistical methods are used. By analysis of collected data, most effective measures, in regard of area, can be determined for improving childrens safety in traffic.</w:t>
      </w:r>
    </w:p>
    <w:p w:rsidR="004A4828" w:rsidRPr="00621DF4" w:rsidRDefault="006459FF" w:rsidP="00621DF4">
      <w:pPr>
        <w:rPr>
          <w:rFonts w:asciiTheme="minorHAnsi" w:hAnsiTheme="minorHAnsi"/>
          <w:sz w:val="18"/>
          <w:szCs w:val="18"/>
        </w:rPr>
      </w:pPr>
      <w:r w:rsidRPr="0002037B">
        <w:rPr>
          <w:rFonts w:asciiTheme="minorHAnsi" w:hAnsiTheme="minorHAnsi"/>
          <w:b/>
          <w:sz w:val="18"/>
          <w:szCs w:val="18"/>
          <w:lang w:val="en-GB"/>
        </w:rPr>
        <w:t xml:space="preserve">Keywords: </w:t>
      </w:r>
      <w:r w:rsidR="0002037B" w:rsidRPr="0002037B">
        <w:rPr>
          <w:rFonts w:asciiTheme="minorHAnsi" w:hAnsiTheme="minorHAnsi"/>
          <w:sz w:val="18"/>
          <w:szCs w:val="18"/>
        </w:rPr>
        <w:t>children whom attend elementary school, road safety, traffic accidents, urban area, rural area</w:t>
      </w:r>
    </w:p>
    <w:p w:rsidR="004A4828" w:rsidRPr="006459FF" w:rsidRDefault="006459FF" w:rsidP="006459FF">
      <w:pPr>
        <w:pStyle w:val="Heading1"/>
      </w:pPr>
      <w:r w:rsidRPr="006459FF">
        <w:rPr>
          <w:bCs/>
        </w:rPr>
        <w:t xml:space="preserve">УВОД </w:t>
      </w:r>
    </w:p>
    <w:p w:rsidR="0002037B" w:rsidRPr="0002037B" w:rsidRDefault="0002037B" w:rsidP="0002037B">
      <w:pPr>
        <w:jc w:val="both"/>
        <w:rPr>
          <w:rFonts w:asciiTheme="minorHAnsi" w:hAnsiTheme="minorHAnsi"/>
          <w:sz w:val="20"/>
          <w:szCs w:val="20"/>
        </w:rPr>
      </w:pPr>
      <w:r w:rsidRPr="0002037B">
        <w:rPr>
          <w:rFonts w:asciiTheme="minorHAnsi" w:hAnsiTheme="minorHAnsi"/>
          <w:sz w:val="20"/>
          <w:szCs w:val="20"/>
        </w:rPr>
        <w:t>С</w:t>
      </w:r>
      <w:r w:rsidRPr="0002037B">
        <w:rPr>
          <w:rFonts w:asciiTheme="minorHAnsi" w:hAnsiTheme="minorHAnsi"/>
          <w:sz w:val="20"/>
          <w:szCs w:val="20"/>
          <w:lang w:val="sr-Cyrl-CS"/>
        </w:rPr>
        <w:t>ваке године у свету преко 1</w:t>
      </w:r>
      <w:r w:rsidRPr="0002037B">
        <w:rPr>
          <w:rFonts w:asciiTheme="minorHAnsi" w:hAnsiTheme="minorHAnsi"/>
          <w:sz w:val="20"/>
          <w:szCs w:val="20"/>
        </w:rPr>
        <w:t>,</w:t>
      </w:r>
      <w:r w:rsidRPr="0002037B">
        <w:rPr>
          <w:rFonts w:asciiTheme="minorHAnsi" w:hAnsiTheme="minorHAnsi"/>
          <w:sz w:val="20"/>
          <w:szCs w:val="20"/>
          <w:lang w:val="sr-Cyrl-CS"/>
        </w:rPr>
        <w:t>2 милиона људи умре од последица саобраћајних незгода, а 50 милиона их буде повређено. Око 46% смртно стр</w:t>
      </w:r>
      <w:r w:rsidRPr="0002037B">
        <w:rPr>
          <w:rFonts w:asciiTheme="minorHAnsi" w:hAnsiTheme="minorHAnsi"/>
          <w:sz w:val="20"/>
          <w:szCs w:val="20"/>
        </w:rPr>
        <w:t>а</w:t>
      </w:r>
      <w:r w:rsidRPr="0002037B">
        <w:rPr>
          <w:rFonts w:asciiTheme="minorHAnsi" w:hAnsiTheme="minorHAnsi"/>
          <w:sz w:val="20"/>
          <w:szCs w:val="20"/>
          <w:lang w:val="sr-Cyrl-CS"/>
        </w:rPr>
        <w:t>далих су пешаци, бициклисти, мотоциклисти и путници на двоточкашима (ове бројке су још веће за сиромашније земље света</w:t>
      </w:r>
      <w:r w:rsidR="006149B0">
        <w:rPr>
          <w:rFonts w:asciiTheme="minorHAnsi" w:hAnsiTheme="minorHAnsi"/>
          <w:sz w:val="20"/>
          <w:szCs w:val="20"/>
        </w:rPr>
        <w:t>).</w:t>
      </w:r>
    </w:p>
    <w:p w:rsidR="0002037B" w:rsidRPr="0002037B" w:rsidRDefault="0002037B" w:rsidP="0002037B">
      <w:pPr>
        <w:jc w:val="both"/>
        <w:rPr>
          <w:rFonts w:asciiTheme="minorHAnsi" w:hAnsiTheme="minorHAnsi"/>
          <w:sz w:val="20"/>
          <w:szCs w:val="20"/>
          <w:vertAlign w:val="superscript"/>
        </w:rPr>
      </w:pPr>
      <w:r w:rsidRPr="0002037B">
        <w:rPr>
          <w:rFonts w:asciiTheme="minorHAnsi" w:hAnsiTheme="minorHAnsi"/>
          <w:sz w:val="20"/>
          <w:szCs w:val="20"/>
          <w:lang w:val="sr-Cyrl-CS"/>
        </w:rPr>
        <w:t>Према истраживању Светске Здравствене Организације, саобраћајне незгоде су се 2004. год. налазиле на 9. месту на листи водећих узрока смрти у свету, док је прогноза да ће се оне 2030. године налазити на 5. месту. Међутим, према старосној структури, код деце узраста 5-14 год. већ 2004. године саобраћајне незгоде су биле на 2. месту на листи најчешћих узрочника смрти.</w:t>
      </w:r>
      <w:r w:rsidRPr="0002037B">
        <w:rPr>
          <w:rFonts w:asciiTheme="minorHAnsi" w:hAnsiTheme="minorHAnsi"/>
          <w:sz w:val="20"/>
          <w:szCs w:val="20"/>
        </w:rPr>
        <w:t xml:space="preserve"> </w:t>
      </w:r>
    </w:p>
    <w:p w:rsidR="0002037B" w:rsidRPr="0002037B" w:rsidRDefault="0002037B" w:rsidP="0002037B">
      <w:pPr>
        <w:jc w:val="both"/>
        <w:rPr>
          <w:rFonts w:asciiTheme="minorHAnsi" w:hAnsiTheme="minorHAnsi"/>
          <w:sz w:val="20"/>
          <w:szCs w:val="20"/>
        </w:rPr>
      </w:pPr>
      <w:r w:rsidRPr="0002037B">
        <w:rPr>
          <w:rFonts w:asciiTheme="minorHAnsi" w:hAnsiTheme="minorHAnsi"/>
          <w:sz w:val="20"/>
          <w:szCs w:val="20"/>
          <w:lang w:val="sr-Cyrl-CS"/>
        </w:rPr>
        <w:t>Сваког сата, 40 младих смртно страда од последица саобраћајних незгода. То значи да сваки дан нових хиљаду породица мора да се суочи са неочекиваном смрћу свог ближњег. Губитак детета никада није лак. Чињеница да је дете изгубљено у ситуацији, односно незгоди, која је могла бити спречена, може додатно да повећа бол и патњу, и може оставити породицу и заједницу са ранама за чије зацељење некада нису довољне ни деценије.</w:t>
      </w:r>
      <w:r w:rsidRPr="0002037B">
        <w:rPr>
          <w:rFonts w:asciiTheme="minorHAnsi" w:hAnsiTheme="minorHAnsi"/>
          <w:sz w:val="20"/>
          <w:szCs w:val="20"/>
        </w:rPr>
        <w:t xml:space="preserve"> У старосној структури пешака најизложенији ризику у саобраћају су школска деца од 7 до 14 година старости који свакодневно на путу од куће до школе и обрнуто учествују у саобраћају. Висок степен угрожености школске деце у саобраћају је поред осталог и последица високих захтева које саобраћај пред њих поставља у односу на њихову припремљеност за самостално учешће у саобраћају, недовољно позитивно искуство и остале психо-физичке карактеристике, али и у односу на стечене негативне навике које су преузели од родитеља и одраслих. </w:t>
      </w:r>
    </w:p>
    <w:p w:rsidR="0002037B" w:rsidRPr="0002037B" w:rsidRDefault="0002037B" w:rsidP="00621DF4">
      <w:pPr>
        <w:jc w:val="both"/>
        <w:rPr>
          <w:rFonts w:asciiTheme="minorHAnsi" w:hAnsiTheme="minorHAnsi"/>
          <w:sz w:val="20"/>
          <w:szCs w:val="20"/>
        </w:rPr>
      </w:pPr>
      <w:r w:rsidRPr="0002037B">
        <w:rPr>
          <w:rFonts w:asciiTheme="minorHAnsi" w:hAnsiTheme="minorHAnsi"/>
          <w:sz w:val="20"/>
          <w:szCs w:val="20"/>
        </w:rPr>
        <w:t>Висок фактор ризика са којим деца учествују у саобраћају захтева целовито структурално сагледавање и анализирање стања понашања деце и свих других учесника у саобраћају како би се могле предузети одговарајуће мере превенције у свакој конкретној зони школских објеката. Разумевање понашања деце у саобраћају је неопходан услов за дефинисање кључних фактора настанка опасних ситуација у којима учествују деца.</w:t>
      </w:r>
      <w:r w:rsidR="00621DF4">
        <w:rPr>
          <w:rFonts w:asciiTheme="minorHAnsi" w:hAnsiTheme="minorHAnsi"/>
          <w:sz w:val="20"/>
          <w:szCs w:val="20"/>
        </w:rPr>
        <w:t xml:space="preserve"> </w:t>
      </w:r>
      <w:r w:rsidRPr="0002037B">
        <w:rPr>
          <w:rFonts w:asciiTheme="minorHAnsi" w:hAnsiTheme="minorHAnsi"/>
          <w:b/>
          <w:sz w:val="20"/>
          <w:szCs w:val="20"/>
        </w:rPr>
        <w:t>Предмет истраживања</w:t>
      </w:r>
      <w:r w:rsidRPr="0002037B">
        <w:rPr>
          <w:rFonts w:asciiTheme="minorHAnsi" w:hAnsiTheme="minorHAnsi"/>
          <w:sz w:val="20"/>
          <w:szCs w:val="20"/>
        </w:rPr>
        <w:t xml:space="preserve"> овог рада јесте утврђивање разлика између ђака од првог до четвртог разреда основних школа у урбаној и руралној средини, поступцима едукације у </w:t>
      </w:r>
      <w:r w:rsidRPr="0002037B">
        <w:rPr>
          <w:rFonts w:asciiTheme="minorHAnsi" w:hAnsiTheme="minorHAnsi"/>
          <w:sz w:val="20"/>
          <w:szCs w:val="20"/>
        </w:rPr>
        <w:lastRenderedPageBreak/>
        <w:t xml:space="preserve">основним школама о безбедном учествовању у саобраћају, као и начинима спровођења обуке како би они то учинили на најбезбеднији начин. </w:t>
      </w:r>
      <w:r w:rsidRPr="0002037B">
        <w:rPr>
          <w:rFonts w:asciiTheme="minorHAnsi" w:hAnsiTheme="minorHAnsi"/>
          <w:b/>
          <w:sz w:val="20"/>
          <w:szCs w:val="20"/>
        </w:rPr>
        <w:t>Циљ истраживања</w:t>
      </w:r>
      <w:r w:rsidRPr="0002037B">
        <w:rPr>
          <w:rFonts w:asciiTheme="minorHAnsi" w:hAnsiTheme="minorHAnsi"/>
          <w:sz w:val="20"/>
          <w:szCs w:val="20"/>
        </w:rPr>
        <w:t xml:space="preserve"> је да се утврди начин заступљености деце као учесника у саобраћајним незгодама, понашање, знање и искуство деце школског узраста од првог до четвртог разреда о безбедности саобраћаја, упознају опште психо – физичке особине деце и њихов утицај на безбедност деце у саобраћају, а самим тим и развој и изградња модела безбедног понашања у саобраћају код деце. На тај начин је могуће решити проблематику саобраћајног васпитања деце која директно утиче на повећање њихове безбедности као са</w:t>
      </w:r>
      <w:r w:rsidR="006149B0">
        <w:rPr>
          <w:rFonts w:asciiTheme="minorHAnsi" w:hAnsiTheme="minorHAnsi"/>
          <w:sz w:val="20"/>
          <w:szCs w:val="20"/>
        </w:rPr>
        <w:t>мосталних учесника у саобраћају</w:t>
      </w:r>
      <w:r w:rsidRPr="0002037B">
        <w:rPr>
          <w:rFonts w:asciiTheme="minorHAnsi" w:hAnsiTheme="minorHAnsi"/>
          <w:sz w:val="20"/>
          <w:szCs w:val="20"/>
        </w:rPr>
        <w:t>.</w:t>
      </w:r>
    </w:p>
    <w:p w:rsidR="004A4828" w:rsidRPr="006459FF" w:rsidRDefault="00542582" w:rsidP="00A26BDF">
      <w:pPr>
        <w:pStyle w:val="Heading1"/>
      </w:pPr>
      <w:r w:rsidRPr="006459FF">
        <w:t>Материјал и методе</w:t>
      </w:r>
    </w:p>
    <w:p w:rsidR="00D61168" w:rsidRPr="00621DF4" w:rsidRDefault="00542582" w:rsidP="00621DF4">
      <w:pPr>
        <w:jc w:val="both"/>
        <w:rPr>
          <w:rFonts w:asciiTheme="minorHAnsi" w:hAnsiTheme="minorHAnsi"/>
          <w:sz w:val="20"/>
          <w:szCs w:val="20"/>
        </w:rPr>
      </w:pPr>
      <w:r w:rsidRPr="00542582">
        <w:rPr>
          <w:rFonts w:asciiTheme="minorHAnsi" w:hAnsiTheme="minorHAnsi"/>
          <w:sz w:val="20"/>
          <w:szCs w:val="20"/>
        </w:rPr>
        <w:t xml:space="preserve">Истраживање је спроведено у периоду од 7. до 11. септембра 2015. године. </w:t>
      </w:r>
      <w:r w:rsidRPr="00542582">
        <w:rPr>
          <w:rFonts w:asciiTheme="minorHAnsi" w:hAnsiTheme="minorHAnsi"/>
          <w:bCs/>
          <w:sz w:val="20"/>
          <w:szCs w:val="20"/>
        </w:rPr>
        <w:t>Било је подељено на четири подручја (урбано подручје Београд, урбано подручје Смедеревска Паланка, рурално подручје Бели Поток град Београд, рурално подручје Азања и Кусадак општина Смедеревска Паланка) и спроведено је у седам основних школа.</w:t>
      </w:r>
      <w:r w:rsidRPr="00542582">
        <w:rPr>
          <w:rFonts w:asciiTheme="minorHAnsi" w:hAnsiTheme="minorHAnsi"/>
          <w:sz w:val="20"/>
          <w:szCs w:val="20"/>
        </w:rPr>
        <w:t xml:space="preserve"> </w:t>
      </w:r>
      <w:r w:rsidRPr="00542582">
        <w:rPr>
          <w:rFonts w:asciiTheme="minorHAnsi" w:hAnsiTheme="minorHAnsi"/>
          <w:bCs/>
          <w:sz w:val="20"/>
          <w:szCs w:val="20"/>
        </w:rPr>
        <w:t>У урбаном подручју Београда то су основне школе „</w:t>
      </w:r>
      <w:r w:rsidRPr="00542582">
        <w:rPr>
          <w:rFonts w:asciiTheme="minorHAnsi" w:hAnsiTheme="minorHAnsi"/>
          <w:sz w:val="20"/>
          <w:szCs w:val="20"/>
        </w:rPr>
        <w:t>Војвода Степа Степановић</w:t>
      </w:r>
      <w:r w:rsidRPr="00542582">
        <w:rPr>
          <w:rFonts w:asciiTheme="minorHAnsi" w:hAnsiTheme="minorHAnsi"/>
          <w:bCs/>
          <w:sz w:val="20"/>
          <w:szCs w:val="20"/>
        </w:rPr>
        <w:t xml:space="preserve">“ и </w:t>
      </w:r>
      <w:r w:rsidRPr="00542582">
        <w:rPr>
          <w:rFonts w:asciiTheme="minorHAnsi" w:hAnsiTheme="minorHAnsi"/>
          <w:sz w:val="20"/>
          <w:szCs w:val="20"/>
        </w:rPr>
        <w:t>„Јелена Ћетковић”</w:t>
      </w:r>
      <w:r w:rsidRPr="00542582">
        <w:rPr>
          <w:rFonts w:asciiTheme="minorHAnsi" w:hAnsiTheme="minorHAnsi"/>
          <w:bCs/>
          <w:sz w:val="20"/>
          <w:szCs w:val="20"/>
        </w:rPr>
        <w:t>, а у руралном то је основна школа „</w:t>
      </w:r>
      <w:r w:rsidRPr="00542582">
        <w:rPr>
          <w:rFonts w:asciiTheme="minorHAnsi" w:hAnsiTheme="minorHAnsi"/>
          <w:sz w:val="20"/>
          <w:szCs w:val="20"/>
        </w:rPr>
        <w:t>Васа Чарапић</w:t>
      </w:r>
      <w:r w:rsidRPr="00542582">
        <w:rPr>
          <w:rFonts w:asciiTheme="minorHAnsi" w:hAnsiTheme="minorHAnsi"/>
          <w:bCs/>
          <w:sz w:val="20"/>
          <w:szCs w:val="20"/>
        </w:rPr>
        <w:t xml:space="preserve">“. Приликом истраживања у Смедеревској Паланци, у урбаном подручју то су основне школе „Херој Иван Мукер“ и „Вук Караџић“, а у руралном то су основна школа „Радомир Лазић“ и „Брана Јевтић”. </w:t>
      </w:r>
      <w:r w:rsidRPr="00542582">
        <w:rPr>
          <w:rFonts w:asciiTheme="minorHAnsi" w:hAnsiTheme="minorHAnsi"/>
          <w:sz w:val="20"/>
          <w:szCs w:val="20"/>
        </w:rPr>
        <w:t xml:space="preserve"> Укупан број анкетиране деце на подручју урбаног дела града Београда је 315 ученика, у руралном 213 ученика, на подручју урбаног дела општине Смедеревска Паланка анкетирано је 396 ученика и на подручју руралног 226 ученика, а укупан број анкетиране деце је 1150.</w:t>
      </w:r>
      <w:r w:rsidR="00621DF4">
        <w:rPr>
          <w:rFonts w:asciiTheme="minorHAnsi" w:hAnsiTheme="minorHAnsi"/>
          <w:sz w:val="20"/>
          <w:szCs w:val="20"/>
        </w:rPr>
        <w:t xml:space="preserve"> </w:t>
      </w:r>
      <w:r w:rsidRPr="00542582">
        <w:rPr>
          <w:rFonts w:asciiTheme="minorHAnsi" w:hAnsiTheme="minorHAnsi"/>
          <w:sz w:val="20"/>
          <w:szCs w:val="20"/>
        </w:rPr>
        <w:t>Циљну групу у спроведеном истраживању чине деца од првог до четвртог разреда основне школе.</w:t>
      </w:r>
      <w:r w:rsidR="00621DF4">
        <w:rPr>
          <w:rFonts w:asciiTheme="minorHAnsi" w:hAnsiTheme="minorHAnsi"/>
          <w:sz w:val="20"/>
          <w:szCs w:val="20"/>
        </w:rPr>
        <w:t xml:space="preserve"> </w:t>
      </w:r>
      <w:r w:rsidRPr="00542582">
        <w:rPr>
          <w:rFonts w:asciiTheme="minorHAnsi" w:hAnsiTheme="minorHAnsi"/>
          <w:sz w:val="20"/>
          <w:szCs w:val="20"/>
        </w:rPr>
        <w:t xml:space="preserve">База података формирана је у статистичком софтверском пакету IBM SPSS Statistics v. 20. Подаци су анализирани у поменутом статистичком софтверском пакету. Анализирани подаци су пребачени у програм Microsoft Office Excel где су прављене табеле и дијаграми ради боље прегледности. Током истраживања коришћен је метод анкете и статистички метод. </w:t>
      </w:r>
      <w:r w:rsidR="00621DF4">
        <w:rPr>
          <w:rFonts w:asciiTheme="minorHAnsi" w:hAnsiTheme="minorHAnsi"/>
          <w:sz w:val="20"/>
          <w:szCs w:val="20"/>
        </w:rPr>
        <w:t xml:space="preserve"> </w:t>
      </w:r>
      <w:r w:rsidRPr="00542582">
        <w:rPr>
          <w:rFonts w:asciiTheme="minorHAnsi" w:hAnsiTheme="minorHAnsi"/>
          <w:sz w:val="20"/>
          <w:szCs w:val="20"/>
        </w:rPr>
        <w:t>Анкета се састојала од 21-ог питања. Иста форма питања је била подељена у сва четири подручја. Питања су била отвореног и затвореног типа. Анкетирање је извршено тако што су анкетари вршили испитивање за време наставног часа и заједно са ђацима попуњавали анкете, како би дошли до што искренијих одговора. Циљ истраживања овог рада јесте да се утврди понашање, знање и искуство деце школског узраста од првог до четвртог разреда о безбедности саобраћаја на територији града Београда и општине Смедеревска Паланка и да се изврши упоређивање резултата анкете за урбани и рурални део истраживања. У оквиру циља истраживања испитано је ко их у највећој мери учи како да се понашају у саобраћају, ко их упозорава на опасности, начин на који прелазе улицу, да ли су некада доживели саобраћајну незгоду или конфликт у саобраћају, где се играју и са ким се крећи на путу до школе и назад, итд.</w:t>
      </w:r>
      <w:r w:rsidR="00621DF4">
        <w:rPr>
          <w:rFonts w:asciiTheme="minorHAnsi" w:hAnsiTheme="minorHAnsi"/>
          <w:sz w:val="20"/>
          <w:szCs w:val="20"/>
        </w:rPr>
        <w:t xml:space="preserve"> </w:t>
      </w:r>
      <w:r w:rsidRPr="00542582">
        <w:rPr>
          <w:rFonts w:asciiTheme="minorHAnsi" w:hAnsiTheme="minorHAnsi"/>
          <w:sz w:val="20"/>
          <w:szCs w:val="20"/>
        </w:rPr>
        <w:t xml:space="preserve">Нормалност дистрибуције тестирана је инспекцијом хистограма и Колмогоров-Смирнов тестом. Будући да су расподеле свих ординалних варијабли статистички значајно одступале од нормалне расподеле, коришћени су непараметарски методи. </w:t>
      </w:r>
      <w:r w:rsidR="00621DF4">
        <w:rPr>
          <w:rFonts w:asciiTheme="minorHAnsi" w:hAnsiTheme="minorHAnsi"/>
          <w:sz w:val="20"/>
          <w:szCs w:val="20"/>
        </w:rPr>
        <w:t xml:space="preserve"> </w:t>
      </w:r>
      <w:r w:rsidRPr="00542582">
        <w:rPr>
          <w:rFonts w:asciiTheme="minorHAnsi" w:hAnsiTheme="minorHAnsi"/>
          <w:sz w:val="20"/>
          <w:szCs w:val="20"/>
        </w:rPr>
        <w:t>За дескрипцију коришћене су апсолутне (n) и релативне (n%) фреквенције, а за утврђивање значајности разлике коришћен је непараметраски тест Kruskal-Wallis, Pearson-ов χ</w:t>
      </w:r>
      <w:r w:rsidRPr="00542582">
        <w:rPr>
          <w:rFonts w:asciiTheme="minorHAnsi" w:hAnsiTheme="minorHAnsi"/>
          <w:sz w:val="20"/>
          <w:szCs w:val="20"/>
          <w:vertAlign w:val="superscript"/>
        </w:rPr>
        <w:t>2</w:t>
      </w:r>
      <w:r w:rsidRPr="00542582">
        <w:rPr>
          <w:rFonts w:asciiTheme="minorHAnsi" w:hAnsiTheme="minorHAnsi"/>
          <w:sz w:val="20"/>
          <w:szCs w:val="20"/>
        </w:rPr>
        <w:t xml:space="preserve"> тест. </w:t>
      </w:r>
      <w:r w:rsidR="00621DF4">
        <w:rPr>
          <w:rFonts w:asciiTheme="minorHAnsi" w:hAnsiTheme="minorHAnsi"/>
          <w:sz w:val="20"/>
          <w:szCs w:val="20"/>
        </w:rPr>
        <w:t xml:space="preserve"> </w:t>
      </w:r>
      <w:r w:rsidRPr="00542582">
        <w:rPr>
          <w:rFonts w:asciiTheme="minorHAnsi" w:hAnsiTheme="minorHAnsi"/>
          <w:sz w:val="20"/>
          <w:szCs w:val="20"/>
        </w:rPr>
        <w:t>Испитана је поузданост анкете тестом Cronbach alfa која износи 0,73.</w:t>
      </w:r>
      <w:r w:rsidR="00621DF4">
        <w:rPr>
          <w:rFonts w:asciiTheme="minorHAnsi" w:hAnsiTheme="minorHAnsi"/>
          <w:sz w:val="20"/>
          <w:szCs w:val="20"/>
        </w:rPr>
        <w:t xml:space="preserve"> </w:t>
      </w:r>
      <w:r w:rsidRPr="00621DF4">
        <w:rPr>
          <w:rFonts w:asciiTheme="minorHAnsi" w:hAnsiTheme="minorHAnsi"/>
          <w:sz w:val="20"/>
          <w:szCs w:val="20"/>
        </w:rPr>
        <w:t>Постављена је нулта хипотеза (H</w:t>
      </w:r>
      <w:r w:rsidRPr="00621DF4">
        <w:rPr>
          <w:rFonts w:asciiTheme="minorHAnsi" w:hAnsiTheme="minorHAnsi"/>
          <w:sz w:val="20"/>
          <w:szCs w:val="20"/>
          <w:vertAlign w:val="subscript"/>
        </w:rPr>
        <w:t>0</w:t>
      </w:r>
      <w:r w:rsidRPr="00621DF4">
        <w:rPr>
          <w:rFonts w:asciiTheme="minorHAnsi" w:hAnsiTheme="minorHAnsi"/>
          <w:sz w:val="20"/>
          <w:szCs w:val="20"/>
        </w:rPr>
        <w:t>) која гласи: Не постоји статистички значајна разлика између група и радна хипотеза (H</w:t>
      </w:r>
      <w:r w:rsidRPr="00621DF4">
        <w:rPr>
          <w:rFonts w:asciiTheme="minorHAnsi" w:hAnsiTheme="minorHAnsi"/>
          <w:sz w:val="20"/>
          <w:szCs w:val="20"/>
          <w:vertAlign w:val="subscript"/>
        </w:rPr>
        <w:t>а</w:t>
      </w:r>
      <w:r w:rsidRPr="00621DF4">
        <w:rPr>
          <w:rFonts w:asciiTheme="minorHAnsi" w:hAnsiTheme="minorHAnsi"/>
          <w:sz w:val="20"/>
          <w:szCs w:val="20"/>
        </w:rPr>
        <w:t>) која гласи: постоји статистички значајна разлика између група. Праг статистичке значајности (α) постављен је на 5%. Према томе, уколико је p≤0,05, одбацује се H</w:t>
      </w:r>
      <w:r w:rsidRPr="00621DF4">
        <w:rPr>
          <w:rFonts w:asciiTheme="minorHAnsi" w:hAnsiTheme="minorHAnsi"/>
          <w:sz w:val="20"/>
          <w:szCs w:val="20"/>
          <w:vertAlign w:val="subscript"/>
        </w:rPr>
        <w:t>0</w:t>
      </w:r>
      <w:r w:rsidRPr="00621DF4">
        <w:rPr>
          <w:rFonts w:asciiTheme="minorHAnsi" w:hAnsiTheme="minorHAnsi"/>
          <w:sz w:val="20"/>
          <w:szCs w:val="20"/>
        </w:rPr>
        <w:t xml:space="preserve"> и прихвата H</w:t>
      </w:r>
      <w:r w:rsidRPr="00621DF4">
        <w:rPr>
          <w:rFonts w:asciiTheme="minorHAnsi" w:hAnsiTheme="minorHAnsi"/>
          <w:sz w:val="20"/>
          <w:szCs w:val="20"/>
          <w:vertAlign w:val="subscript"/>
        </w:rPr>
        <w:t>а</w:t>
      </w:r>
      <w:r w:rsidRPr="00621DF4">
        <w:rPr>
          <w:rFonts w:asciiTheme="minorHAnsi" w:hAnsiTheme="minorHAnsi"/>
          <w:sz w:val="20"/>
          <w:szCs w:val="20"/>
        </w:rPr>
        <w:t>. Уколико је p&gt;0,05 прихвата се H</w:t>
      </w:r>
      <w:r w:rsidRPr="00621DF4">
        <w:rPr>
          <w:rFonts w:asciiTheme="minorHAnsi" w:hAnsiTheme="minorHAnsi"/>
          <w:sz w:val="20"/>
          <w:szCs w:val="20"/>
          <w:vertAlign w:val="subscript"/>
        </w:rPr>
        <w:t>0</w:t>
      </w:r>
      <w:r w:rsidRPr="00621DF4">
        <w:rPr>
          <w:rFonts w:asciiTheme="minorHAnsi" w:hAnsiTheme="minorHAnsi"/>
          <w:sz w:val="20"/>
          <w:szCs w:val="20"/>
        </w:rPr>
        <w:t>. Због осетљиве циљне групе, најлакше је било користити искључиво номиналне и ординалне варијабле, што умањује ширину приликом одабир</w:t>
      </w:r>
      <w:r w:rsidR="00621DF4">
        <w:rPr>
          <w:rFonts w:asciiTheme="minorHAnsi" w:hAnsiTheme="minorHAnsi"/>
          <w:sz w:val="20"/>
          <w:szCs w:val="20"/>
        </w:rPr>
        <w:t>а погодних статистичких тестова.</w:t>
      </w:r>
    </w:p>
    <w:p w:rsidR="00764916" w:rsidRPr="00C06271" w:rsidRDefault="00C06271" w:rsidP="00A26BDF">
      <w:pPr>
        <w:pStyle w:val="Heading1"/>
        <w:rPr>
          <w:szCs w:val="20"/>
        </w:rPr>
      </w:pPr>
      <w:r w:rsidRPr="00C06271">
        <w:rPr>
          <w:szCs w:val="20"/>
        </w:rPr>
        <w:t>РЕЗУЛТАТИ</w:t>
      </w:r>
    </w:p>
    <w:p w:rsidR="00C06271" w:rsidRPr="002924AD" w:rsidRDefault="00CE43DD" w:rsidP="00CE43DD">
      <w:pPr>
        <w:pStyle w:val="Heading3"/>
        <w:numPr>
          <w:ilvl w:val="0"/>
          <w:numId w:val="0"/>
        </w:numPr>
        <w:jc w:val="center"/>
        <w:rPr>
          <w:color w:val="auto"/>
        </w:rPr>
      </w:pPr>
      <w:bookmarkStart w:id="1" w:name="_Toc429386566"/>
      <w:bookmarkStart w:id="2" w:name="_Toc400787061"/>
      <w:bookmarkStart w:id="3" w:name="_Toc400745442"/>
      <w:bookmarkStart w:id="4" w:name="_Toc400220394"/>
      <w:bookmarkStart w:id="5" w:name="_Toc377406606"/>
      <w:bookmarkStart w:id="6" w:name="_Toc430643964"/>
      <w:bookmarkStart w:id="7" w:name="_Toc431434290"/>
      <w:r>
        <w:rPr>
          <w:color w:val="auto"/>
        </w:rPr>
        <w:t>Табела 3</w:t>
      </w:r>
      <w:r w:rsidR="00C06271" w:rsidRPr="002924AD">
        <w:rPr>
          <w:color w:val="auto"/>
        </w:rPr>
        <w:t>.1. - Дистрибуција одговора на питање "Коју школу похађаш?”</w:t>
      </w:r>
      <w:bookmarkEnd w:id="1"/>
      <w:bookmarkEnd w:id="2"/>
      <w:bookmarkEnd w:id="3"/>
      <w:bookmarkEnd w:id="4"/>
      <w:bookmarkEnd w:id="5"/>
      <w:bookmarkEnd w:id="6"/>
      <w:bookmarkEnd w:id="7"/>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62"/>
        <w:gridCol w:w="1647"/>
        <w:gridCol w:w="664"/>
      </w:tblGrid>
      <w:tr w:rsidR="00C06271" w:rsidRPr="006459FF" w:rsidTr="00CE43DD">
        <w:trPr>
          <w:jc w:val="center"/>
        </w:trPr>
        <w:tc>
          <w:tcPr>
            <w:tcW w:w="0" w:type="auto"/>
          </w:tcPr>
          <w:p w:rsidR="00C06271" w:rsidRPr="00C06271" w:rsidRDefault="00C06271" w:rsidP="0024686F">
            <w:pPr>
              <w:pStyle w:val="Default"/>
              <w:jc w:val="center"/>
              <w:rPr>
                <w:rFonts w:asciiTheme="minorHAnsi" w:hAnsiTheme="minorHAnsi"/>
                <w:b/>
                <w:szCs w:val="20"/>
              </w:rPr>
            </w:pPr>
          </w:p>
        </w:tc>
        <w:tc>
          <w:tcPr>
            <w:tcW w:w="0" w:type="auto"/>
          </w:tcPr>
          <w:p w:rsidR="00C06271" w:rsidRPr="00C06271" w:rsidRDefault="00C06271" w:rsidP="0024686F">
            <w:pPr>
              <w:pStyle w:val="Default"/>
              <w:rPr>
                <w:rFonts w:asciiTheme="minorHAnsi" w:hAnsiTheme="minorHAnsi"/>
                <w:b/>
                <w:szCs w:val="20"/>
              </w:rPr>
            </w:pPr>
            <w:r w:rsidRPr="00C06271">
              <w:rPr>
                <w:rFonts w:asciiTheme="minorHAnsi" w:hAnsiTheme="minorHAnsi"/>
                <w:b/>
                <w:szCs w:val="20"/>
              </w:rPr>
              <w:t>Број испитаника</w:t>
            </w:r>
          </w:p>
        </w:tc>
        <w:tc>
          <w:tcPr>
            <w:tcW w:w="0" w:type="auto"/>
          </w:tcPr>
          <w:p w:rsidR="00C06271" w:rsidRPr="00C06271" w:rsidRDefault="00C06271" w:rsidP="0024686F">
            <w:pPr>
              <w:pStyle w:val="Default"/>
              <w:rPr>
                <w:rFonts w:asciiTheme="minorHAnsi" w:hAnsiTheme="minorHAnsi"/>
                <w:b/>
                <w:szCs w:val="20"/>
              </w:rPr>
            </w:pPr>
            <w:r w:rsidRPr="00C06271">
              <w:rPr>
                <w:rFonts w:asciiTheme="minorHAnsi" w:hAnsiTheme="minorHAnsi"/>
                <w:b/>
                <w:szCs w:val="20"/>
              </w:rPr>
              <w:t>У %</w:t>
            </w:r>
          </w:p>
        </w:tc>
      </w:tr>
      <w:tr w:rsidR="00C06271" w:rsidRPr="006459FF" w:rsidTr="00CE43DD">
        <w:trPr>
          <w:jc w:val="center"/>
        </w:trPr>
        <w:tc>
          <w:tcPr>
            <w:tcW w:w="0" w:type="auto"/>
          </w:tcPr>
          <w:p w:rsidR="00C06271" w:rsidRPr="00C06271" w:rsidRDefault="00C06271" w:rsidP="00C06271">
            <w:pPr>
              <w:pStyle w:val="Default"/>
              <w:rPr>
                <w:rFonts w:asciiTheme="minorHAnsi" w:hAnsiTheme="minorHAnsi"/>
                <w:b/>
                <w:szCs w:val="20"/>
              </w:rPr>
            </w:pPr>
            <w:r w:rsidRPr="00C06271">
              <w:rPr>
                <w:rFonts w:asciiTheme="minorHAnsi" w:hAnsiTheme="minorHAnsi"/>
                <w:b/>
                <w:szCs w:val="20"/>
              </w:rPr>
              <w:t>ОШ Васа Чарапић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213</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19%</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Војвода Степа Степановић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117</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17%</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Јелена Ћетковић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198</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Херој Иван Мукер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267</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23%</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Вук Караџић (урбан)</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129</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lastRenderedPageBreak/>
              <w:t>ОШ Радомир Лазић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122</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ОШ Брана Јевтић (рурал)</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104</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9%</w:t>
            </w:r>
          </w:p>
        </w:tc>
      </w:tr>
      <w:tr w:rsidR="00C06271" w:rsidRPr="00C06271" w:rsidTr="00CE43DD">
        <w:trPr>
          <w:jc w:val="center"/>
        </w:trPr>
        <w:tc>
          <w:tcPr>
            <w:tcW w:w="0" w:type="auto"/>
          </w:tcPr>
          <w:p w:rsidR="00C06271" w:rsidRPr="00C06271" w:rsidRDefault="00C06271" w:rsidP="0024686F">
            <w:pPr>
              <w:rPr>
                <w:rFonts w:asciiTheme="minorHAnsi" w:hAnsiTheme="minorHAnsi"/>
                <w:b/>
                <w:sz w:val="20"/>
                <w:szCs w:val="20"/>
              </w:rPr>
            </w:pPr>
            <w:r w:rsidRPr="00C06271">
              <w:rPr>
                <w:rFonts w:asciiTheme="minorHAnsi" w:hAnsiTheme="minorHAnsi"/>
                <w:b/>
                <w:sz w:val="20"/>
                <w:szCs w:val="20"/>
              </w:rPr>
              <w:t>Укупно</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1150</w:t>
            </w:r>
          </w:p>
        </w:tc>
        <w:tc>
          <w:tcPr>
            <w:tcW w:w="0" w:type="auto"/>
          </w:tcPr>
          <w:p w:rsidR="00C06271" w:rsidRPr="00C06271" w:rsidRDefault="00C06271" w:rsidP="0024686F">
            <w:pPr>
              <w:jc w:val="right"/>
              <w:rPr>
                <w:rFonts w:asciiTheme="minorHAnsi" w:hAnsiTheme="minorHAnsi"/>
                <w:sz w:val="20"/>
                <w:szCs w:val="20"/>
              </w:rPr>
            </w:pPr>
            <w:r w:rsidRPr="00C06271">
              <w:rPr>
                <w:rFonts w:asciiTheme="minorHAnsi" w:hAnsiTheme="minorHAnsi"/>
                <w:sz w:val="20"/>
                <w:szCs w:val="20"/>
              </w:rPr>
              <w:t>100%</w:t>
            </w:r>
          </w:p>
        </w:tc>
      </w:tr>
    </w:tbl>
    <w:p w:rsidR="00C06271" w:rsidRPr="002924AD" w:rsidRDefault="00C06271" w:rsidP="00C06271">
      <w:pPr>
        <w:jc w:val="center"/>
      </w:pPr>
    </w:p>
    <w:p w:rsidR="00C06271" w:rsidRPr="002924AD" w:rsidRDefault="00C06271" w:rsidP="00C06271">
      <w:pPr>
        <w:jc w:val="center"/>
      </w:pPr>
      <w:r w:rsidRPr="002924AD">
        <w:rPr>
          <w:noProof/>
        </w:rPr>
        <w:drawing>
          <wp:inline distT="0" distB="0" distL="0" distR="0">
            <wp:extent cx="3819525" cy="1457325"/>
            <wp:effectExtent l="19050" t="0" r="9525" b="0"/>
            <wp:docPr id="16" name="Picture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06271" w:rsidRPr="00CE43DD" w:rsidRDefault="00CE43DD" w:rsidP="00CE43DD">
      <w:pPr>
        <w:pStyle w:val="Heading5"/>
        <w:numPr>
          <w:ilvl w:val="0"/>
          <w:numId w:val="0"/>
        </w:numPr>
        <w:jc w:val="center"/>
        <w:rPr>
          <w:rFonts w:asciiTheme="minorHAnsi" w:hAnsiTheme="minorHAnsi"/>
          <w:i/>
          <w:color w:val="auto"/>
          <w:sz w:val="20"/>
          <w:szCs w:val="20"/>
        </w:rPr>
      </w:pPr>
      <w:bookmarkStart w:id="8" w:name="_Toc429386471"/>
      <w:bookmarkStart w:id="9" w:name="_Toc400220302"/>
      <w:bookmarkStart w:id="10" w:name="_Toc377406681"/>
      <w:bookmarkStart w:id="11" w:name="_Toc430643855"/>
      <w:bookmarkStart w:id="12" w:name="_Toc431434247"/>
      <w:r w:rsidRPr="00CE43DD">
        <w:rPr>
          <w:rFonts w:asciiTheme="minorHAnsi" w:hAnsiTheme="minorHAnsi"/>
          <w:i/>
          <w:color w:val="auto"/>
          <w:sz w:val="20"/>
          <w:szCs w:val="20"/>
        </w:rPr>
        <w:t>Графикон 3</w:t>
      </w:r>
      <w:r w:rsidR="00C06271" w:rsidRPr="00CE43DD">
        <w:rPr>
          <w:rFonts w:asciiTheme="minorHAnsi" w:hAnsiTheme="minorHAnsi"/>
          <w:i/>
          <w:color w:val="auto"/>
          <w:sz w:val="20"/>
          <w:szCs w:val="20"/>
        </w:rPr>
        <w:t>.1. - Приказ броја анкетираних ученика према школи коју похађају, тј. месту становања</w:t>
      </w:r>
      <w:bookmarkEnd w:id="8"/>
      <w:bookmarkEnd w:id="9"/>
      <w:bookmarkEnd w:id="10"/>
      <w:bookmarkEnd w:id="11"/>
      <w:bookmarkEnd w:id="12"/>
    </w:p>
    <w:p w:rsidR="00C06271" w:rsidRPr="002924AD" w:rsidRDefault="00C06271" w:rsidP="00C06271"/>
    <w:p w:rsidR="00C06271" w:rsidRPr="00CE43DD" w:rsidRDefault="00C06271" w:rsidP="00866A2D">
      <w:pPr>
        <w:jc w:val="both"/>
        <w:rPr>
          <w:rFonts w:asciiTheme="minorHAnsi" w:hAnsiTheme="minorHAnsi"/>
          <w:sz w:val="20"/>
          <w:szCs w:val="20"/>
        </w:rPr>
      </w:pPr>
      <w:r w:rsidRPr="00CE43DD">
        <w:rPr>
          <w:rFonts w:asciiTheme="minorHAnsi" w:hAnsiTheme="minorHAnsi"/>
          <w:sz w:val="20"/>
          <w:szCs w:val="20"/>
        </w:rPr>
        <w:t>Обрадом података може се закључити да је приближно једнак број ученика у руралном делу града Београда и општине Смедеревска Паланка који су анкетирани, као и у урбаном подручју ради спровођења што валидније упоред</w:t>
      </w:r>
      <w:r w:rsidR="00CE43DD">
        <w:rPr>
          <w:rFonts w:asciiTheme="minorHAnsi" w:hAnsiTheme="minorHAnsi"/>
          <w:sz w:val="20"/>
          <w:szCs w:val="20"/>
        </w:rPr>
        <w:t>не анализе података. (Графикон 3</w:t>
      </w:r>
      <w:r w:rsidRPr="00CE43DD">
        <w:rPr>
          <w:rFonts w:asciiTheme="minorHAnsi" w:hAnsiTheme="minorHAnsi"/>
          <w:sz w:val="20"/>
          <w:szCs w:val="20"/>
        </w:rPr>
        <w:t>.1.)</w:t>
      </w:r>
    </w:p>
    <w:p w:rsidR="00C06271" w:rsidRPr="00CE43DD" w:rsidRDefault="00C06271" w:rsidP="00C06271">
      <w:pPr>
        <w:rPr>
          <w:rFonts w:asciiTheme="minorHAnsi" w:hAnsiTheme="minorHAnsi"/>
        </w:rPr>
      </w:pPr>
    </w:p>
    <w:p w:rsidR="00C06271" w:rsidRPr="002924AD" w:rsidRDefault="00C06271" w:rsidP="00CE43DD">
      <w:pPr>
        <w:jc w:val="center"/>
      </w:pPr>
      <w:r w:rsidRPr="002924AD">
        <w:rPr>
          <w:noProof/>
        </w:rPr>
        <w:drawing>
          <wp:inline distT="0" distB="0" distL="0" distR="0">
            <wp:extent cx="3124200" cy="1371600"/>
            <wp:effectExtent l="19050" t="0" r="19050" b="0"/>
            <wp:docPr id="17" name="Picture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06271" w:rsidRPr="00CE43DD" w:rsidRDefault="00CE43DD" w:rsidP="00CE43DD">
      <w:pPr>
        <w:pStyle w:val="Heading5"/>
        <w:numPr>
          <w:ilvl w:val="0"/>
          <w:numId w:val="0"/>
        </w:numPr>
        <w:ind w:left="1008" w:hanging="1008"/>
        <w:jc w:val="center"/>
        <w:rPr>
          <w:rStyle w:val="SubtleEmphasis"/>
          <w:iCs w:val="0"/>
          <w:sz w:val="20"/>
          <w:szCs w:val="20"/>
        </w:rPr>
      </w:pPr>
      <w:bookmarkStart w:id="13" w:name="_Toc429386472"/>
      <w:bookmarkStart w:id="14" w:name="_Toc400220303"/>
      <w:bookmarkStart w:id="15" w:name="_Toc377406682"/>
      <w:bookmarkStart w:id="16" w:name="_Toc430643856"/>
      <w:bookmarkStart w:id="17" w:name="_Toc431434248"/>
      <w:r>
        <w:rPr>
          <w:rStyle w:val="SubtleEmphasis"/>
          <w:sz w:val="20"/>
          <w:szCs w:val="20"/>
        </w:rPr>
        <w:t>Графикон 3</w:t>
      </w:r>
      <w:r w:rsidR="00C06271" w:rsidRPr="00CE43DD">
        <w:rPr>
          <w:rStyle w:val="SubtleEmphasis"/>
          <w:sz w:val="20"/>
          <w:szCs w:val="20"/>
        </w:rPr>
        <w:t>.2.  - Приказ укупног броја испитаника по полу</w:t>
      </w:r>
      <w:bookmarkEnd w:id="13"/>
      <w:bookmarkEnd w:id="14"/>
      <w:bookmarkEnd w:id="15"/>
      <w:bookmarkEnd w:id="16"/>
      <w:bookmarkEnd w:id="17"/>
    </w:p>
    <w:p w:rsidR="00C06271" w:rsidRPr="002924AD" w:rsidRDefault="00C06271" w:rsidP="00C06271"/>
    <w:p w:rsidR="00C06271" w:rsidRPr="00866A2D" w:rsidRDefault="00C06271" w:rsidP="00866A2D">
      <w:pPr>
        <w:jc w:val="both"/>
        <w:rPr>
          <w:rFonts w:asciiTheme="minorHAnsi" w:hAnsiTheme="minorHAnsi"/>
          <w:sz w:val="20"/>
          <w:szCs w:val="20"/>
        </w:rPr>
      </w:pPr>
      <w:r w:rsidRPr="00866A2D">
        <w:rPr>
          <w:rFonts w:asciiTheme="minorHAnsi" w:hAnsiTheme="minorHAnsi"/>
          <w:sz w:val="20"/>
          <w:szCs w:val="20"/>
        </w:rPr>
        <w:t>Анализом података може се закључити да је број испитаника мушког и женског пола приближно једнак у циљу добијања што валиднијих резултата. Анкетирано је 51% ученица од првог до четвртог разреда основних школа и 49% ученика од првог до четвртог раз</w:t>
      </w:r>
      <w:r w:rsidR="00866A2D" w:rsidRPr="00866A2D">
        <w:rPr>
          <w:rFonts w:asciiTheme="minorHAnsi" w:hAnsiTheme="minorHAnsi"/>
          <w:sz w:val="20"/>
          <w:szCs w:val="20"/>
        </w:rPr>
        <w:t>реда основних школа. (Графикон 3</w:t>
      </w:r>
      <w:r w:rsidRPr="00866A2D">
        <w:rPr>
          <w:rFonts w:asciiTheme="minorHAnsi" w:hAnsiTheme="minorHAnsi"/>
          <w:sz w:val="20"/>
          <w:szCs w:val="20"/>
        </w:rPr>
        <w:t>.2.)</w:t>
      </w:r>
    </w:p>
    <w:p w:rsidR="00C06271" w:rsidRPr="002924AD" w:rsidRDefault="00C06271" w:rsidP="00C06271"/>
    <w:p w:rsidR="00C06271" w:rsidRPr="002924AD" w:rsidRDefault="00C06271" w:rsidP="00C06271">
      <w:pPr>
        <w:jc w:val="center"/>
        <w:rPr>
          <w:rFonts w:asciiTheme="minorHAnsi" w:hAnsiTheme="minorHAnsi"/>
          <w:bCs/>
        </w:rPr>
      </w:pPr>
      <w:r w:rsidRPr="002924AD">
        <w:rPr>
          <w:rFonts w:asciiTheme="minorHAnsi" w:hAnsiTheme="minorHAnsi"/>
          <w:noProof/>
        </w:rPr>
        <w:drawing>
          <wp:inline distT="0" distB="0" distL="0" distR="0">
            <wp:extent cx="3495675" cy="1276350"/>
            <wp:effectExtent l="19050" t="0" r="9525" b="0"/>
            <wp:docPr id="18" name="Pictur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06271" w:rsidRPr="00866A2D" w:rsidRDefault="00866A2D" w:rsidP="00866A2D">
      <w:pPr>
        <w:pStyle w:val="Heading5"/>
        <w:numPr>
          <w:ilvl w:val="0"/>
          <w:numId w:val="0"/>
        </w:numPr>
        <w:ind w:left="1008" w:hanging="1008"/>
        <w:jc w:val="center"/>
        <w:rPr>
          <w:rStyle w:val="SubtleEmphasis"/>
          <w:iCs w:val="0"/>
          <w:sz w:val="20"/>
          <w:szCs w:val="20"/>
        </w:rPr>
      </w:pPr>
      <w:bookmarkStart w:id="18" w:name="_Toc429386473"/>
      <w:bookmarkStart w:id="19" w:name="_Toc400220304"/>
      <w:bookmarkStart w:id="20" w:name="_Toc377406683"/>
      <w:bookmarkStart w:id="21" w:name="_Toc430643857"/>
      <w:bookmarkStart w:id="22" w:name="_Toc431434249"/>
      <w:r>
        <w:rPr>
          <w:rStyle w:val="SubtleEmphasis"/>
          <w:sz w:val="20"/>
          <w:szCs w:val="20"/>
        </w:rPr>
        <w:t>Графикон 3</w:t>
      </w:r>
      <w:r w:rsidR="00C06271" w:rsidRPr="00866A2D">
        <w:rPr>
          <w:rStyle w:val="SubtleEmphasis"/>
          <w:sz w:val="20"/>
          <w:szCs w:val="20"/>
        </w:rPr>
        <w:t>.3. - Приказ укупног броја испитаника по старости (нивоу образовања)</w:t>
      </w:r>
      <w:bookmarkEnd w:id="18"/>
      <w:bookmarkEnd w:id="19"/>
      <w:bookmarkEnd w:id="20"/>
      <w:bookmarkEnd w:id="21"/>
      <w:bookmarkEnd w:id="22"/>
    </w:p>
    <w:p w:rsidR="00C06271" w:rsidRPr="002924AD" w:rsidRDefault="00C06271" w:rsidP="00C06271"/>
    <w:p w:rsidR="00C06271" w:rsidRPr="00866A2D" w:rsidRDefault="00C06271" w:rsidP="00866A2D">
      <w:pPr>
        <w:jc w:val="both"/>
        <w:rPr>
          <w:rFonts w:asciiTheme="minorHAnsi" w:hAnsiTheme="minorHAnsi"/>
          <w:sz w:val="20"/>
          <w:szCs w:val="20"/>
        </w:rPr>
      </w:pPr>
      <w:r w:rsidRPr="00866A2D">
        <w:rPr>
          <w:rFonts w:asciiTheme="minorHAnsi" w:hAnsiTheme="minorHAnsi"/>
          <w:sz w:val="20"/>
          <w:szCs w:val="20"/>
        </w:rPr>
        <w:t xml:space="preserve">На основу анализе добијених података приказано је колико анкетираних ученика похађа први разред (20%), колико њих похађа други разред (25%), трећи (28%) и колико ученика иде у четврти разред основне школе (27%). Може се приметити равномерна расподела испитаника по разредима што указује на то да је у сваком одељењу било приближно 30 ученика. Овај податак је веома битан за валидност података при рађењу упоредне и </w:t>
      </w:r>
      <w:r w:rsidR="00866A2D">
        <w:rPr>
          <w:rFonts w:asciiTheme="minorHAnsi" w:hAnsiTheme="minorHAnsi"/>
          <w:sz w:val="20"/>
          <w:szCs w:val="20"/>
        </w:rPr>
        <w:t>статистичке анализе. (Графикон 3</w:t>
      </w:r>
      <w:r w:rsidRPr="00866A2D">
        <w:rPr>
          <w:rFonts w:asciiTheme="minorHAnsi" w:hAnsiTheme="minorHAnsi"/>
          <w:sz w:val="20"/>
          <w:szCs w:val="20"/>
        </w:rPr>
        <w:t>.3.)</w:t>
      </w:r>
    </w:p>
    <w:p w:rsidR="00866A2D" w:rsidRDefault="00866A2D" w:rsidP="00866A2D">
      <w:pPr>
        <w:pStyle w:val="Heading2"/>
      </w:pPr>
      <w:r w:rsidRPr="002924AD">
        <w:lastRenderedPageBreak/>
        <w:t>Статистичка анализа података</w:t>
      </w:r>
    </w:p>
    <w:p w:rsidR="00866A2D" w:rsidRPr="002924AD" w:rsidRDefault="00866A2D" w:rsidP="00866A2D">
      <w:pPr>
        <w:jc w:val="center"/>
      </w:pPr>
      <w:r w:rsidRPr="002924AD">
        <w:rPr>
          <w:noProof/>
        </w:rPr>
        <w:drawing>
          <wp:inline distT="0" distB="0" distL="0" distR="0">
            <wp:extent cx="3933825" cy="1352550"/>
            <wp:effectExtent l="19050" t="0" r="9525" b="0"/>
            <wp:docPr id="19" name="Pictur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3" w:name="_Toc429386474"/>
      <w:bookmarkStart w:id="24" w:name="_Toc430643859"/>
      <w:bookmarkStart w:id="25" w:name="_Toc431434250"/>
      <w:r w:rsidRPr="00866A2D">
        <w:rPr>
          <w:rStyle w:val="SubtleEmphasis"/>
          <w:sz w:val="20"/>
          <w:szCs w:val="20"/>
        </w:rPr>
        <w:t>Графикон 3.1.1. - Дистрибуција одговора испитаника на питање „Да ли прелазиш улицу на "зебри"?” у односу на пол испитаника</w:t>
      </w:r>
      <w:bookmarkEnd w:id="23"/>
      <w:bookmarkEnd w:id="24"/>
      <w:bookmarkEnd w:id="25"/>
    </w:p>
    <w:p w:rsidR="00866A2D" w:rsidRPr="002924AD" w:rsidRDefault="00866A2D" w:rsidP="00866A2D">
      <w:pPr>
        <w:rPr>
          <w:rStyle w:val="SubtleEmphasis"/>
          <w:iCs w:val="0"/>
        </w:rPr>
      </w:pP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Анализом података из анкете може се видети да је већи проценат испитаника женског пола (74,1 %) у односу на мушки пол (65,1 %) одговорило да прелази улицу на „зебри“ увек ако постоји, док су испитаници мушког пола (8,9 %) у већем проценту у односу на женски пол (5,3 %) одговорили да ретко прелазе улицу на „зебри“,</w:t>
      </w:r>
      <w:r w:rsidRPr="00866A2D">
        <w:rPr>
          <w:rFonts w:asciiTheme="minorHAnsi" w:hAnsiTheme="minorHAnsi"/>
          <w:noProof/>
          <w:sz w:val="20"/>
          <w:szCs w:val="20"/>
        </w:rPr>
        <w:t xml:space="preserve"> </w:t>
      </w:r>
      <w:r w:rsidRPr="00866A2D">
        <w:rPr>
          <w:rFonts w:asciiTheme="minorHAnsi" w:hAnsiTheme="minorHAnsi"/>
          <w:sz w:val="20"/>
          <w:szCs w:val="20"/>
        </w:rPr>
        <w:t xml:space="preserve">што показује да се девојчице више придржавају правила саобраћаја и прелазе улицу увек на пешачком прелазу у односу на дечаке који у већем проценту то ретко чине. (Графикон </w:t>
      </w:r>
      <w:r w:rsidRPr="00866A2D">
        <w:rPr>
          <w:rStyle w:val="SubtleEmphasis"/>
          <w:sz w:val="20"/>
          <w:szCs w:val="20"/>
        </w:rPr>
        <w:t>6.1.1.</w:t>
      </w:r>
      <w:r w:rsidRPr="00866A2D">
        <w:rPr>
          <w:rFonts w:asciiTheme="minorHAnsi" w:hAnsiTheme="minorHAnsi"/>
          <w:sz w:val="20"/>
          <w:szCs w:val="20"/>
        </w:rPr>
        <w:t>)</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Hi-квадрат тест независности показао је да постоје статистички значајне полне разлике између одговора испитаника на питање „</w:t>
      </w:r>
      <w:r w:rsidRPr="00866A2D">
        <w:rPr>
          <w:rStyle w:val="SubtleEmphasis"/>
          <w:sz w:val="20"/>
          <w:szCs w:val="20"/>
        </w:rPr>
        <w:t xml:space="preserve">Да ли прелазиш улицу на "зебри"?  </w:t>
      </w:r>
      <w:r w:rsidRPr="00866A2D">
        <w:rPr>
          <w:rFonts w:asciiTheme="minorHAnsi" w:hAnsiTheme="minorHAnsi"/>
          <w:sz w:val="20"/>
          <w:szCs w:val="20"/>
        </w:rPr>
        <w:t xml:space="preserve">где су вредности теста </w:t>
      </w:r>
      <w:r w:rsidRPr="00866A2D">
        <w:rPr>
          <w:rFonts w:asciiTheme="minorHAnsi" w:hAnsiTheme="minorHAnsi"/>
          <w:noProof/>
          <w:sz w:val="20"/>
          <w:szCs w:val="20"/>
        </w:rPr>
        <w:t xml:space="preserve"> </w:t>
      </w:r>
      <w:r w:rsidRPr="00866A2D">
        <w:rPr>
          <w:rFonts w:asciiTheme="minorHAnsi" w:hAnsiTheme="minorHAnsi"/>
          <w:sz w:val="20"/>
          <w:szCs w:val="20"/>
        </w:rPr>
        <w:t>χ</w:t>
      </w:r>
      <w:r w:rsidRPr="00866A2D">
        <w:rPr>
          <w:rFonts w:asciiTheme="minorHAnsi" w:hAnsiTheme="minorHAnsi"/>
          <w:sz w:val="20"/>
          <w:szCs w:val="20"/>
          <w:vertAlign w:val="superscript"/>
        </w:rPr>
        <w:t xml:space="preserve">2 </w:t>
      </w:r>
      <w:r w:rsidRPr="00866A2D">
        <w:rPr>
          <w:rFonts w:asciiTheme="minorHAnsi" w:hAnsiTheme="minorHAnsi"/>
          <w:sz w:val="20"/>
          <w:szCs w:val="20"/>
        </w:rPr>
        <w:t>(3, n=1150)= 13,138</w:t>
      </w:r>
      <w:r w:rsidRPr="00866A2D">
        <w:rPr>
          <w:rFonts w:asciiTheme="minorHAnsi" w:hAnsiTheme="minorHAnsi"/>
          <w:noProof/>
          <w:sz w:val="20"/>
          <w:szCs w:val="20"/>
        </w:rPr>
        <w:t>; p=</w:t>
      </w:r>
      <w:r w:rsidRPr="00866A2D">
        <w:rPr>
          <w:rFonts w:asciiTheme="minorHAnsi" w:hAnsiTheme="minorHAnsi"/>
          <w:sz w:val="20"/>
          <w:szCs w:val="20"/>
        </w:rPr>
        <w:t>0,004.</w:t>
      </w:r>
    </w:p>
    <w:p w:rsidR="00866A2D" w:rsidRPr="002924AD" w:rsidRDefault="00866A2D" w:rsidP="00866A2D">
      <w:pPr>
        <w:jc w:val="center"/>
        <w:rPr>
          <w:rStyle w:val="SubtleEmphasis"/>
          <w:i w:val="0"/>
          <w:iCs w:val="0"/>
        </w:rPr>
      </w:pPr>
      <w:r w:rsidRPr="002924AD">
        <w:rPr>
          <w:rFonts w:asciiTheme="minorHAnsi" w:hAnsiTheme="minorHAnsi"/>
          <w:noProof/>
          <w:sz w:val="22"/>
        </w:rPr>
        <w:drawing>
          <wp:inline distT="0" distB="0" distL="0" distR="0">
            <wp:extent cx="5410200" cy="1838325"/>
            <wp:effectExtent l="19050" t="0" r="19050" b="0"/>
            <wp:docPr id="23" name="Pictur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6" w:name="_Toc429386478"/>
      <w:bookmarkStart w:id="27" w:name="_Toc430643863"/>
      <w:bookmarkStart w:id="28" w:name="_Toc431434254"/>
      <w:r>
        <w:rPr>
          <w:rStyle w:val="SubtleEmphasis"/>
          <w:sz w:val="20"/>
          <w:szCs w:val="20"/>
        </w:rPr>
        <w:t>Графикон 3.1.2</w:t>
      </w:r>
      <w:r w:rsidRPr="00866A2D">
        <w:rPr>
          <w:rStyle w:val="SubtleEmphasis"/>
          <w:sz w:val="20"/>
          <w:szCs w:val="20"/>
        </w:rPr>
        <w:t>. - Дистрибуција одговора испитаника на питање „Где се деца могу играти?” у односу на школу (средину) испитивања</w:t>
      </w:r>
      <w:bookmarkEnd w:id="26"/>
      <w:bookmarkEnd w:id="27"/>
      <w:bookmarkEnd w:id="28"/>
    </w:p>
    <w:p w:rsidR="00866A2D" w:rsidRPr="002924AD" w:rsidRDefault="00866A2D" w:rsidP="00866A2D">
      <w:pPr>
        <w:rPr>
          <w:rStyle w:val="SubtleEmphasis"/>
          <w:b/>
          <w:iCs w:val="0"/>
        </w:rPr>
      </w:pPr>
    </w:p>
    <w:p w:rsidR="00866A2D" w:rsidRPr="00866A2D" w:rsidRDefault="00866A2D" w:rsidP="00866A2D">
      <w:pPr>
        <w:jc w:val="both"/>
        <w:rPr>
          <w:rStyle w:val="SubtleEmphasis"/>
          <w:i w:val="0"/>
          <w:iCs w:val="0"/>
          <w:sz w:val="20"/>
          <w:szCs w:val="20"/>
        </w:rPr>
      </w:pPr>
      <w:r w:rsidRPr="00866A2D">
        <w:rPr>
          <w:rStyle w:val="SubtleEmphasis"/>
          <w:i w:val="0"/>
          <w:sz w:val="20"/>
          <w:szCs w:val="20"/>
        </w:rPr>
        <w:t>На основу анализе обрађених података може се видети да је у највећем проценту испитаника одговрило да се деца могу играти на игралиштима за сва четири подручја испитивања, док је највећи проценат испитаника у руралном делу општине Смедеревска Паланка у ОШ Радомир Лазић (6,6 %) одговорило да се деца могу играти на коловозу.</w:t>
      </w:r>
    </w:p>
    <w:p w:rsidR="00866A2D" w:rsidRPr="00866A2D" w:rsidRDefault="00866A2D" w:rsidP="00866A2D">
      <w:pPr>
        <w:jc w:val="both"/>
        <w:rPr>
          <w:rStyle w:val="SubtleEmphasis"/>
          <w:i w:val="0"/>
          <w:sz w:val="20"/>
          <w:szCs w:val="20"/>
        </w:rPr>
      </w:pPr>
      <w:r w:rsidRPr="00866A2D">
        <w:rPr>
          <w:rFonts w:asciiTheme="minorHAnsi" w:hAnsiTheme="minorHAnsi"/>
          <w:sz w:val="20"/>
          <w:szCs w:val="20"/>
        </w:rPr>
        <w:t>Kruskal-Wallis тест (χ</w:t>
      </w:r>
      <w:r w:rsidRPr="00866A2D">
        <w:rPr>
          <w:rFonts w:asciiTheme="minorHAnsi" w:hAnsiTheme="minorHAnsi"/>
          <w:sz w:val="20"/>
          <w:szCs w:val="20"/>
          <w:vertAlign w:val="superscript"/>
        </w:rPr>
        <w:t>2</w:t>
      </w:r>
      <w:r w:rsidRPr="00866A2D">
        <w:rPr>
          <w:rFonts w:asciiTheme="minorHAnsi" w:hAnsiTheme="minorHAnsi"/>
          <w:sz w:val="20"/>
          <w:szCs w:val="20"/>
        </w:rPr>
        <w:t>= 60,576, df=6, p= 0,000) је открио значајну статистичку разлику у одговорима на питање „</w:t>
      </w:r>
      <w:r w:rsidRPr="00866A2D">
        <w:rPr>
          <w:rStyle w:val="SubtleEmphasis"/>
          <w:i w:val="0"/>
          <w:sz w:val="20"/>
          <w:szCs w:val="20"/>
        </w:rPr>
        <w:t xml:space="preserve">Где се деца могу играти?” у односу на школу (средину) испитивања, што показује да су ученици основних школа у урбаном подручју града Београда и општине Смедеревска Паланка одговорили у већем проценту тачно на постављено питање у односу на ученике у руралним подручјима, док је највећи проценат испитаника у руралном подручју општине Смедеревска Паланка одговорило да се деца могу играти на коловозу из разлога њиховог понашања при игрању, с обзиром да су улице и путеви у руралном подручју мањег интезитета саобраћаја некада и без саобраћаја па имају могућност играња и на њима, а чешћи је разлог непостојања игралишта у руралним подручјима. (Графикон </w:t>
      </w:r>
      <w:r>
        <w:rPr>
          <w:rStyle w:val="SubtleEmphasis"/>
          <w:i w:val="0"/>
          <w:sz w:val="20"/>
          <w:szCs w:val="20"/>
        </w:rPr>
        <w:t>3.1.2</w:t>
      </w:r>
      <w:r w:rsidRPr="00866A2D">
        <w:rPr>
          <w:rStyle w:val="SubtleEmphasis"/>
          <w:i w:val="0"/>
          <w:sz w:val="20"/>
          <w:szCs w:val="20"/>
        </w:rPr>
        <w:t>.)</w:t>
      </w:r>
    </w:p>
    <w:p w:rsidR="00866A2D" w:rsidRPr="002924AD" w:rsidRDefault="00866A2D" w:rsidP="00866A2D">
      <w:pPr>
        <w:jc w:val="center"/>
        <w:rPr>
          <w:rStyle w:val="SubtleEmphasis"/>
          <w:b/>
          <w:iCs w:val="0"/>
        </w:rPr>
      </w:pPr>
      <w:r w:rsidRPr="002924AD">
        <w:rPr>
          <w:rFonts w:asciiTheme="minorHAnsi" w:hAnsiTheme="minorHAnsi"/>
          <w:b/>
          <w:i/>
          <w:noProof/>
          <w:sz w:val="22"/>
        </w:rPr>
        <w:lastRenderedPageBreak/>
        <w:drawing>
          <wp:inline distT="0" distB="0" distL="0" distR="0">
            <wp:extent cx="5400675" cy="2352675"/>
            <wp:effectExtent l="19050" t="0" r="9525" b="0"/>
            <wp:docPr id="24" name="Pictur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66A2D" w:rsidRPr="00866A2D" w:rsidRDefault="00866A2D" w:rsidP="00866A2D">
      <w:pPr>
        <w:pStyle w:val="Heading5"/>
        <w:numPr>
          <w:ilvl w:val="0"/>
          <w:numId w:val="0"/>
        </w:numPr>
        <w:ind w:left="1008" w:hanging="1008"/>
        <w:jc w:val="center"/>
        <w:rPr>
          <w:rStyle w:val="SubtleEmphasis"/>
          <w:iCs w:val="0"/>
          <w:sz w:val="20"/>
          <w:szCs w:val="20"/>
        </w:rPr>
      </w:pPr>
      <w:bookmarkStart w:id="29" w:name="_Toc429386479"/>
      <w:bookmarkStart w:id="30" w:name="_Toc430643864"/>
      <w:bookmarkStart w:id="31" w:name="_Toc431434255"/>
      <w:r w:rsidRPr="00866A2D">
        <w:rPr>
          <w:rStyle w:val="SubtleEmphasis"/>
          <w:sz w:val="20"/>
          <w:szCs w:val="20"/>
        </w:rPr>
        <w:t>Графикон 3.1.3. - Дистрибуција одговора испитаника на питање „Шта треба да урадиш пре него што започнеш прелазак улице на „зебри“?” у односу на школу (средину) испитивања</w:t>
      </w:r>
      <w:bookmarkEnd w:id="29"/>
      <w:bookmarkEnd w:id="30"/>
      <w:bookmarkEnd w:id="31"/>
    </w:p>
    <w:p w:rsidR="00866A2D" w:rsidRPr="002924AD" w:rsidRDefault="00866A2D" w:rsidP="00866A2D">
      <w:pPr>
        <w:rPr>
          <w:rStyle w:val="SubtleEmphasis"/>
          <w:b/>
          <w:iCs w:val="0"/>
        </w:rPr>
      </w:pP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 xml:space="preserve">Обрадом података из анкете може се видети да је највећи проценат испитаника у руралном подручју општине Смедеревска Паланка у ОШ Брана Јевтић (71,2 %) и ОШ Радомир Лазић (65,6 %) одговорило да прво требају да се зауставе па да погледају лево и десно и поново лево о онда пређу улицу. </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Највећи проценат испитаника у руралном подручју града Београда у ОШ Васа Чарапић (4,2 %) и урбаном подручју општине Смедеревска Паланка у ОШ Херој Иван Мукер (3,9 %) одговорило да требају да претрче улицу.</w:t>
      </w:r>
    </w:p>
    <w:p w:rsidR="00866A2D" w:rsidRPr="00866A2D" w:rsidRDefault="00866A2D" w:rsidP="00866A2D">
      <w:pPr>
        <w:jc w:val="both"/>
        <w:rPr>
          <w:rFonts w:asciiTheme="minorHAnsi" w:hAnsiTheme="minorHAnsi"/>
          <w:sz w:val="20"/>
          <w:szCs w:val="20"/>
        </w:rPr>
      </w:pPr>
      <w:r w:rsidRPr="00866A2D">
        <w:rPr>
          <w:rFonts w:asciiTheme="minorHAnsi" w:hAnsiTheme="minorHAnsi"/>
          <w:sz w:val="20"/>
          <w:szCs w:val="20"/>
        </w:rPr>
        <w:t xml:space="preserve">Постоје статистички значајне разлике на питање </w:t>
      </w:r>
      <w:r w:rsidRPr="00866A2D">
        <w:rPr>
          <w:rFonts w:asciiTheme="minorHAnsi" w:hAnsiTheme="minorHAnsi"/>
          <w:i/>
          <w:sz w:val="20"/>
          <w:szCs w:val="20"/>
        </w:rPr>
        <w:t>„</w:t>
      </w:r>
      <w:r w:rsidRPr="00866A2D">
        <w:rPr>
          <w:rStyle w:val="SubtleEmphasis"/>
          <w:sz w:val="20"/>
          <w:szCs w:val="20"/>
        </w:rPr>
        <w:t xml:space="preserve">Шта треба да урадиш пре него што започнеш прелазак улице на „зебри“?” према </w:t>
      </w:r>
      <w:r w:rsidRPr="00866A2D">
        <w:rPr>
          <w:rFonts w:asciiTheme="minorHAnsi" w:hAnsiTheme="minorHAnsi"/>
          <w:sz w:val="20"/>
          <w:szCs w:val="20"/>
        </w:rPr>
        <w:t>Kruskal-Wallis тесту (χ</w:t>
      </w:r>
      <w:r w:rsidRPr="00866A2D">
        <w:rPr>
          <w:rFonts w:asciiTheme="minorHAnsi" w:hAnsiTheme="minorHAnsi"/>
          <w:sz w:val="20"/>
          <w:szCs w:val="20"/>
          <w:vertAlign w:val="superscript"/>
        </w:rPr>
        <w:t>2</w:t>
      </w:r>
      <w:r w:rsidRPr="00866A2D">
        <w:rPr>
          <w:rFonts w:asciiTheme="minorHAnsi" w:hAnsiTheme="minorHAnsi"/>
          <w:sz w:val="20"/>
          <w:szCs w:val="20"/>
        </w:rPr>
        <w:t xml:space="preserve">= 121,635, df=6, p= 0,000) у односу на школу (средину) истраживања, што показује да су ученици основних школа у руралном делу општине Смедеревска Паланка у највећем проценту тачно одговорили на постављено питање у односу на остала подручја, док најризичнијој групи испитаника припадају ученици ОШ Васа Чарапић у Београду и ОШ Херој Иван Мукер у Смедеревској Паланци јер сматрају да улицу треба прећи трчећи право преко улице. (Графикон </w:t>
      </w:r>
      <w:r w:rsidRPr="00866A2D">
        <w:rPr>
          <w:rStyle w:val="SubtleEmphasis"/>
          <w:sz w:val="20"/>
          <w:szCs w:val="20"/>
        </w:rPr>
        <w:t>3.1.3.</w:t>
      </w:r>
      <w:r w:rsidRPr="00866A2D">
        <w:rPr>
          <w:rFonts w:asciiTheme="minorHAnsi" w:hAnsiTheme="minorHAnsi"/>
          <w:sz w:val="20"/>
          <w:szCs w:val="20"/>
        </w:rPr>
        <w:t>)</w:t>
      </w:r>
    </w:p>
    <w:p w:rsidR="00866A2D" w:rsidRPr="002924AD" w:rsidRDefault="00866A2D" w:rsidP="00866A2D"/>
    <w:p w:rsidR="00866A2D" w:rsidRPr="002924AD" w:rsidRDefault="00866A2D" w:rsidP="00866A2D">
      <w:pPr>
        <w:jc w:val="center"/>
      </w:pPr>
      <w:r w:rsidRPr="002924AD">
        <w:rPr>
          <w:noProof/>
        </w:rPr>
        <w:drawing>
          <wp:inline distT="0" distB="0" distL="0" distR="0">
            <wp:extent cx="5362575" cy="2428875"/>
            <wp:effectExtent l="19050" t="0" r="9525" b="0"/>
            <wp:docPr id="2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2" w:name="_Toc429386482"/>
      <w:bookmarkStart w:id="33" w:name="_Toc430643867"/>
      <w:bookmarkStart w:id="34" w:name="_Toc431434258"/>
      <w:r>
        <w:rPr>
          <w:rStyle w:val="SubtleEmphasis"/>
          <w:sz w:val="20"/>
          <w:szCs w:val="20"/>
        </w:rPr>
        <w:t>Графикон 3.1.4</w:t>
      </w:r>
      <w:r w:rsidR="00866A2D" w:rsidRPr="00FC46FA">
        <w:rPr>
          <w:rStyle w:val="SubtleEmphasis"/>
          <w:sz w:val="20"/>
          <w:szCs w:val="20"/>
        </w:rPr>
        <w:t>. - Дистрибуција одговора испитаника на питање „Где возиш бицикл?“ у односу на школу (средину) испитивања</w:t>
      </w:r>
      <w:bookmarkEnd w:id="32"/>
      <w:bookmarkEnd w:id="33"/>
      <w:bookmarkEnd w:id="34"/>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Style w:val="SubtleEmphasis"/>
          <w:i w:val="0"/>
          <w:sz w:val="20"/>
          <w:szCs w:val="20"/>
        </w:rPr>
        <w:t>На основу анализе обрађених података може се видети да највећи проценат ученика у општини Смедеревска Паланка ретко возе бициклистичком стазом, углавном улицом и тротоаром и то највећи проценат ученика ОШ Радомир Лазић (77 %) у руралном подручју, док највећи проценат ученика у Београду возе бицикл искључиво бициклистичком стазом и то у највећем проценту ученици О</w:t>
      </w:r>
      <w:r w:rsidR="006149B0">
        <w:rPr>
          <w:rStyle w:val="SubtleEmphasis"/>
          <w:i w:val="0"/>
          <w:sz w:val="20"/>
          <w:szCs w:val="20"/>
        </w:rPr>
        <w:t>Ш Војвода Степа Степановић (48</w:t>
      </w:r>
      <w:r w:rsidRPr="00FC46FA">
        <w:rPr>
          <w:rStyle w:val="SubtleEmphasis"/>
          <w:i w:val="0"/>
          <w:sz w:val="20"/>
          <w:szCs w:val="20"/>
        </w:rPr>
        <w:t xml:space="preserve"> %) у урбаном подручју.</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lastRenderedPageBreak/>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115,993, df=6, p= 0,000) је открио значајну статистичку разлику у одговорима на питање </w:t>
      </w:r>
      <w:r w:rsidRPr="00FC46FA">
        <w:rPr>
          <w:rStyle w:val="SubtleEmphasis"/>
          <w:i w:val="0"/>
          <w:sz w:val="20"/>
          <w:szCs w:val="20"/>
        </w:rPr>
        <w:t>„Где возиш бицикл?“</w:t>
      </w:r>
      <w:r w:rsidRPr="00FC46FA">
        <w:rPr>
          <w:rStyle w:val="SubtleEmphasis"/>
          <w:b/>
          <w:i w:val="0"/>
          <w:sz w:val="20"/>
          <w:szCs w:val="20"/>
        </w:rPr>
        <w:t xml:space="preserve"> </w:t>
      </w:r>
      <w:r w:rsidRPr="00FC46FA">
        <w:rPr>
          <w:rStyle w:val="SubtleEmphasis"/>
          <w:i w:val="0"/>
          <w:sz w:val="20"/>
          <w:szCs w:val="20"/>
        </w:rPr>
        <w:t xml:space="preserve">у односу на школу (средину) испитивања, што показује да највећи проценат ученика у урбаном и руралном подручју испитивања општине Смедервска Паланка возе бицикл на улици и тротоару из разлога не постојања бициклистичке стазе у Смедервској Паланци за оба подручја, што није случај у Београду, јер у урбаном делу постоје бициклистичке стазе па је због тога и одговор на поставњено питање искључиво бициклистичком стазом у већој мери заступљен. (Графикон </w:t>
      </w:r>
      <w:r w:rsidR="00FC46FA" w:rsidRPr="00FC46FA">
        <w:rPr>
          <w:rStyle w:val="SubtleEmphasis"/>
          <w:i w:val="0"/>
          <w:sz w:val="20"/>
          <w:szCs w:val="20"/>
        </w:rPr>
        <w:t>3.1.</w:t>
      </w:r>
      <w:r w:rsidR="00FC46FA">
        <w:rPr>
          <w:rStyle w:val="SubtleEmphasis"/>
          <w:i w:val="0"/>
          <w:sz w:val="20"/>
          <w:szCs w:val="20"/>
        </w:rPr>
        <w:t>4</w:t>
      </w:r>
      <w:r w:rsidRPr="00FC46FA">
        <w:rPr>
          <w:rStyle w:val="SubtleEmphasis"/>
          <w:i w:val="0"/>
          <w:sz w:val="20"/>
          <w:szCs w:val="20"/>
        </w:rPr>
        <w:t>.)</w:t>
      </w:r>
    </w:p>
    <w:p w:rsidR="00866A2D" w:rsidRPr="002924AD" w:rsidRDefault="00866A2D" w:rsidP="00866A2D">
      <w:pPr>
        <w:jc w:val="center"/>
      </w:pPr>
      <w:r w:rsidRPr="002924AD">
        <w:rPr>
          <w:noProof/>
        </w:rPr>
        <w:drawing>
          <wp:inline distT="0" distB="0" distL="0" distR="0">
            <wp:extent cx="5019675" cy="1828800"/>
            <wp:effectExtent l="19050" t="0" r="9525" b="0"/>
            <wp:docPr id="2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5" w:name="_Toc429386483"/>
      <w:bookmarkStart w:id="36" w:name="_Toc430643868"/>
      <w:bookmarkStart w:id="37" w:name="_Toc431434259"/>
      <w:r>
        <w:rPr>
          <w:rStyle w:val="SubtleEmphasis"/>
          <w:sz w:val="20"/>
          <w:szCs w:val="20"/>
        </w:rPr>
        <w:t>Графикон 3.1.5</w:t>
      </w:r>
      <w:r w:rsidR="00866A2D" w:rsidRPr="00FC46FA">
        <w:rPr>
          <w:rStyle w:val="SubtleEmphasis"/>
          <w:sz w:val="20"/>
          <w:szCs w:val="20"/>
        </w:rPr>
        <w:t>. - Дистрибуција одговора испитаника на питање „До школе идеш?“ у односу на школу (средину) испитивања</w:t>
      </w:r>
      <w:bookmarkEnd w:id="35"/>
      <w:bookmarkEnd w:id="36"/>
      <w:bookmarkEnd w:id="37"/>
    </w:p>
    <w:p w:rsidR="00866A2D" w:rsidRPr="002924AD" w:rsidRDefault="00866A2D" w:rsidP="00866A2D"/>
    <w:p w:rsidR="00866A2D" w:rsidRPr="00FC46FA" w:rsidRDefault="00FC46FA" w:rsidP="00FC46FA">
      <w:pPr>
        <w:jc w:val="both"/>
        <w:rPr>
          <w:rStyle w:val="SubtleEmphasis"/>
          <w:i w:val="0"/>
          <w:iCs w:val="0"/>
          <w:sz w:val="20"/>
          <w:szCs w:val="20"/>
        </w:rPr>
      </w:pPr>
      <w:r>
        <w:rPr>
          <w:rFonts w:asciiTheme="minorHAnsi" w:hAnsiTheme="minorHAnsi"/>
          <w:sz w:val="20"/>
          <w:szCs w:val="20"/>
        </w:rPr>
        <w:t>Са графикона 3.1.5</w:t>
      </w:r>
      <w:r w:rsidR="00866A2D" w:rsidRPr="00FC46FA">
        <w:rPr>
          <w:rFonts w:asciiTheme="minorHAnsi" w:hAnsiTheme="minorHAnsi"/>
          <w:sz w:val="20"/>
          <w:szCs w:val="20"/>
        </w:rPr>
        <w:t>. може се види да највећи проценат ученика ОШ Вук Караџић у урбаном подручју Смедеревске Паланке (85,8 %)  и ОШ Брана Јевтић у руралном (83,7 %) се креће пешице до школе, док највећи проценат ученика ОШ Васа Чарапић (38 %) у руралном делу Београда и ОШ Војвода Степа Степановић (30,8 %) у урбаном  возе аутомобилом до школе.</w:t>
      </w:r>
      <w:r>
        <w:rPr>
          <w:rFonts w:asciiTheme="minorHAnsi" w:hAnsiTheme="minorHAnsi"/>
          <w:sz w:val="20"/>
          <w:szCs w:val="20"/>
        </w:rPr>
        <w:t xml:space="preserve"> </w:t>
      </w:r>
      <w:r w:rsidR="00866A2D" w:rsidRPr="00FC46FA">
        <w:rPr>
          <w:rFonts w:asciiTheme="minorHAnsi" w:hAnsiTheme="minorHAnsi"/>
          <w:sz w:val="20"/>
          <w:szCs w:val="20"/>
        </w:rPr>
        <w:t xml:space="preserve">Постоје статистички значајне разлике на питање </w:t>
      </w:r>
      <w:r w:rsidR="00866A2D" w:rsidRPr="00FC46FA">
        <w:rPr>
          <w:rStyle w:val="SubtleEmphasis"/>
          <w:sz w:val="20"/>
          <w:szCs w:val="20"/>
        </w:rPr>
        <w:t xml:space="preserve">„До школе идеш?“ према </w:t>
      </w:r>
      <w:r w:rsidR="00866A2D" w:rsidRPr="00FC46FA">
        <w:rPr>
          <w:rFonts w:asciiTheme="minorHAnsi" w:hAnsiTheme="minorHAnsi"/>
          <w:sz w:val="20"/>
          <w:szCs w:val="20"/>
        </w:rPr>
        <w:t>Kruskal-Wallis тесту (χ</w:t>
      </w:r>
      <w:r w:rsidR="00866A2D" w:rsidRPr="00FC46FA">
        <w:rPr>
          <w:rFonts w:asciiTheme="minorHAnsi" w:hAnsiTheme="minorHAnsi"/>
          <w:sz w:val="20"/>
          <w:szCs w:val="20"/>
          <w:vertAlign w:val="superscript"/>
        </w:rPr>
        <w:t>2</w:t>
      </w:r>
      <w:r w:rsidR="00866A2D" w:rsidRPr="00FC46FA">
        <w:rPr>
          <w:rFonts w:asciiTheme="minorHAnsi" w:hAnsiTheme="minorHAnsi"/>
          <w:sz w:val="20"/>
          <w:szCs w:val="20"/>
        </w:rPr>
        <w:t xml:space="preserve">= 187,524, df=6, p= 0,000) у односу на школу (средину) истраживања, што се може видети са графикона </w:t>
      </w:r>
      <w:r w:rsidR="00866A2D" w:rsidRPr="00FC46FA">
        <w:rPr>
          <w:rStyle w:val="SubtleEmphasis"/>
          <w:sz w:val="20"/>
          <w:szCs w:val="20"/>
        </w:rPr>
        <w:t xml:space="preserve">6.1.10. </w:t>
      </w:r>
      <w:r w:rsidR="00866A2D" w:rsidRPr="00FC46FA">
        <w:rPr>
          <w:rFonts w:asciiTheme="minorHAnsi" w:hAnsiTheme="minorHAnsi"/>
          <w:sz w:val="20"/>
          <w:szCs w:val="20"/>
        </w:rPr>
        <w:t>да се ученици у основним школама у урбанм и руралном подручју испитивања у општини Смедервска Паланка крећу пешице до школе из разлога мале површине општине и кратког времена путовања до школе и назад, при чему је у већо</w:t>
      </w:r>
      <w:r>
        <w:rPr>
          <w:rFonts w:asciiTheme="minorHAnsi" w:hAnsiTheme="minorHAnsi"/>
          <w:sz w:val="20"/>
          <w:szCs w:val="20"/>
        </w:rPr>
        <w:t>ј мери заступљено пешачење, док</w:t>
      </w:r>
      <w:r w:rsidR="00866A2D" w:rsidRPr="00FC46FA">
        <w:rPr>
          <w:rFonts w:asciiTheme="minorHAnsi" w:hAnsiTheme="minorHAnsi"/>
          <w:sz w:val="20"/>
          <w:szCs w:val="20"/>
        </w:rPr>
        <w:t xml:space="preserve"> је за разлику од Београда то време путовања веће због површине града и самим тим је пешачење мање заступљено, а више превоз ЈГС-а или вожња аутомобила. </w:t>
      </w:r>
    </w:p>
    <w:p w:rsidR="00866A2D" w:rsidRPr="00FC46FA" w:rsidRDefault="00866A2D" w:rsidP="00FC46FA">
      <w:pPr>
        <w:jc w:val="both"/>
        <w:rPr>
          <w:rFonts w:asciiTheme="minorHAnsi" w:hAnsiTheme="minorHAnsi"/>
          <w:sz w:val="20"/>
          <w:szCs w:val="20"/>
        </w:rPr>
      </w:pPr>
    </w:p>
    <w:p w:rsidR="00866A2D" w:rsidRPr="002924AD" w:rsidRDefault="00866A2D" w:rsidP="00866A2D">
      <w:pPr>
        <w:jc w:val="center"/>
      </w:pPr>
      <w:r w:rsidRPr="002924AD">
        <w:rPr>
          <w:noProof/>
        </w:rPr>
        <w:drawing>
          <wp:inline distT="0" distB="0" distL="0" distR="0">
            <wp:extent cx="4943475" cy="1838325"/>
            <wp:effectExtent l="19050" t="0" r="9525" b="0"/>
            <wp:docPr id="2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38" w:name="_Toc429386484"/>
      <w:bookmarkStart w:id="39" w:name="_Toc430643869"/>
      <w:bookmarkStart w:id="40" w:name="_Toc431434260"/>
      <w:r>
        <w:rPr>
          <w:rStyle w:val="SubtleEmphasis"/>
          <w:sz w:val="20"/>
          <w:szCs w:val="20"/>
        </w:rPr>
        <w:t>Графикон 3.1.6</w:t>
      </w:r>
      <w:r w:rsidR="00866A2D" w:rsidRPr="00FC46FA">
        <w:rPr>
          <w:rStyle w:val="SubtleEmphasis"/>
          <w:sz w:val="20"/>
          <w:szCs w:val="20"/>
        </w:rPr>
        <w:t>. - Дистрибуција одговора испитаника на питање „У ком разреду школе си без родитеља почео/ла да долазиш у школу?“ у односу на школу (средину) испитивања</w:t>
      </w:r>
      <w:bookmarkEnd w:id="38"/>
      <w:bookmarkEnd w:id="39"/>
      <w:bookmarkEnd w:id="40"/>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Fonts w:asciiTheme="minorHAnsi" w:hAnsiTheme="minorHAnsi"/>
          <w:sz w:val="20"/>
          <w:szCs w:val="20"/>
        </w:rPr>
        <w:t>Анализом обрађених података из анкете може се видети да највећи проценат испитаника О</w:t>
      </w:r>
      <w:r w:rsidR="001B6C50">
        <w:rPr>
          <w:rFonts w:asciiTheme="minorHAnsi" w:hAnsiTheme="minorHAnsi"/>
          <w:sz w:val="20"/>
          <w:szCs w:val="20"/>
        </w:rPr>
        <w:t>Ш Војвода Степа Степановић (79</w:t>
      </w:r>
      <w:r w:rsidRPr="00FC46FA">
        <w:rPr>
          <w:rFonts w:asciiTheme="minorHAnsi" w:hAnsiTheme="minorHAnsi"/>
          <w:sz w:val="20"/>
          <w:szCs w:val="20"/>
        </w:rPr>
        <w:t xml:space="preserve"> %) у Београду још увек не иду сами у школу, док највећи проценат ученика самостално долази у школу од првог </w:t>
      </w:r>
      <w:r w:rsidR="001B6C50">
        <w:rPr>
          <w:rFonts w:asciiTheme="minorHAnsi" w:hAnsiTheme="minorHAnsi"/>
          <w:sz w:val="20"/>
          <w:szCs w:val="20"/>
        </w:rPr>
        <w:t>разреду у ОШ Радомир Лазић (70</w:t>
      </w:r>
      <w:r w:rsidRPr="00FC46FA">
        <w:rPr>
          <w:rFonts w:asciiTheme="minorHAnsi" w:hAnsiTheme="minorHAnsi"/>
          <w:sz w:val="20"/>
          <w:szCs w:val="20"/>
        </w:rPr>
        <w:t xml:space="preserve"> %) у општини Смедеревска Паланка. Kruskal-Wallis тесту (χ</w:t>
      </w:r>
      <w:r w:rsidRPr="00FC46FA">
        <w:rPr>
          <w:rFonts w:asciiTheme="minorHAnsi" w:hAnsiTheme="minorHAnsi"/>
          <w:sz w:val="20"/>
          <w:szCs w:val="20"/>
          <w:vertAlign w:val="superscript"/>
        </w:rPr>
        <w:t>2</w:t>
      </w:r>
      <w:r w:rsidRPr="00FC46FA">
        <w:rPr>
          <w:rFonts w:asciiTheme="minorHAnsi" w:hAnsiTheme="minorHAnsi"/>
          <w:sz w:val="20"/>
          <w:szCs w:val="20"/>
        </w:rPr>
        <w:t xml:space="preserve">= 178,889, df=6, p= 0,000) је открио значајну статистичку разлику у одговорима на питање </w:t>
      </w:r>
      <w:r w:rsidRPr="00FC46FA">
        <w:rPr>
          <w:rStyle w:val="SubtleEmphasis"/>
          <w:sz w:val="20"/>
          <w:szCs w:val="20"/>
        </w:rPr>
        <w:t xml:space="preserve">„У ком разреду школе си без родитеља почео/ла да долазиш у школу?“ </w:t>
      </w:r>
      <w:r w:rsidRPr="00FC46FA">
        <w:rPr>
          <w:rStyle w:val="SubtleEmphasis"/>
          <w:i w:val="0"/>
          <w:sz w:val="20"/>
          <w:szCs w:val="20"/>
        </w:rPr>
        <w:t xml:space="preserve">у односу на школу (средину) испитивања, што показује да се ученици у оба подручја општине Смедеревска Палнка брже осамостаљују долазећи у школу сами од првог разреда за </w:t>
      </w:r>
      <w:r w:rsidRPr="00FC46FA">
        <w:rPr>
          <w:rStyle w:val="SubtleEmphasis"/>
          <w:i w:val="0"/>
          <w:sz w:val="20"/>
          <w:szCs w:val="20"/>
        </w:rPr>
        <w:lastRenderedPageBreak/>
        <w:t xml:space="preserve">разлику од ученика у оба подручја града Београда који се теже одлучују на самостално долажење у школу из разлога веће површине града и интезивнијег саобраћаја. (Графикон </w:t>
      </w:r>
      <w:r w:rsidR="00FC46FA">
        <w:rPr>
          <w:rStyle w:val="SubtleEmphasis"/>
          <w:i w:val="0"/>
          <w:sz w:val="20"/>
          <w:szCs w:val="20"/>
        </w:rPr>
        <w:t>3.1.6</w:t>
      </w:r>
      <w:r w:rsidRPr="00FC46FA">
        <w:rPr>
          <w:rStyle w:val="SubtleEmphasis"/>
          <w:i w:val="0"/>
          <w:sz w:val="20"/>
          <w:szCs w:val="20"/>
        </w:rPr>
        <w:t>.)</w:t>
      </w:r>
    </w:p>
    <w:p w:rsidR="00866A2D" w:rsidRPr="002924AD" w:rsidRDefault="00866A2D" w:rsidP="00866A2D">
      <w:pPr>
        <w:jc w:val="center"/>
        <w:rPr>
          <w:rStyle w:val="SubtleEmphasis"/>
          <w:i w:val="0"/>
          <w:iCs w:val="0"/>
        </w:rPr>
      </w:pPr>
      <w:r w:rsidRPr="002924AD">
        <w:rPr>
          <w:rFonts w:asciiTheme="minorHAnsi" w:hAnsiTheme="minorHAnsi"/>
          <w:noProof/>
          <w:sz w:val="22"/>
        </w:rPr>
        <w:drawing>
          <wp:inline distT="0" distB="0" distL="0" distR="0">
            <wp:extent cx="3695700" cy="1152525"/>
            <wp:effectExtent l="19050" t="0" r="19050" b="0"/>
            <wp:docPr id="31"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1" w:name="_Toc429386486"/>
      <w:bookmarkStart w:id="42" w:name="_Toc430643871"/>
      <w:bookmarkStart w:id="43" w:name="_Toc431434262"/>
      <w:r>
        <w:rPr>
          <w:rStyle w:val="SubtleEmphasis"/>
          <w:sz w:val="20"/>
          <w:szCs w:val="20"/>
        </w:rPr>
        <w:t>Графикон 3.1.7</w:t>
      </w:r>
      <w:r w:rsidR="00866A2D" w:rsidRPr="00FC46FA">
        <w:rPr>
          <w:rStyle w:val="SubtleEmphasis"/>
          <w:sz w:val="20"/>
          <w:szCs w:val="20"/>
        </w:rPr>
        <w:t>. - Дистрибуција одговора испитаника на питање „Да ли си имао/ла незгоду /конфликт у саобраћају?“ у односу на узраст испитаника</w:t>
      </w:r>
      <w:bookmarkEnd w:id="41"/>
      <w:bookmarkEnd w:id="42"/>
      <w:bookmarkEnd w:id="43"/>
    </w:p>
    <w:p w:rsidR="00866A2D" w:rsidRPr="00491677" w:rsidRDefault="00866A2D" w:rsidP="00866A2D"/>
    <w:p w:rsidR="00866A2D" w:rsidRPr="00FC46FA" w:rsidRDefault="00866A2D" w:rsidP="00FC46FA">
      <w:pPr>
        <w:jc w:val="both"/>
        <w:rPr>
          <w:rStyle w:val="SubtleEmphasis"/>
          <w:i w:val="0"/>
          <w:iCs w:val="0"/>
          <w:sz w:val="20"/>
          <w:szCs w:val="20"/>
        </w:rPr>
      </w:pPr>
      <w:r w:rsidRPr="00FC46FA">
        <w:rPr>
          <w:rStyle w:val="SubtleEmphasis"/>
          <w:i w:val="0"/>
          <w:sz w:val="20"/>
          <w:szCs w:val="20"/>
        </w:rPr>
        <w:t>На основу анлизе података из анкете може се видети да највећи проценат испитаника првог разреда (99,6 %) није никада имало ни конфликт ни саобраћајну незгоду, док је највећи проценат ученика четвртог разреда (4,2 %) имало конфликт у саобраћају.</w:t>
      </w:r>
      <w:r w:rsidRPr="00FC46FA">
        <w:rPr>
          <w:rStyle w:val="SubtleEmphasis"/>
          <w:sz w:val="20"/>
          <w:szCs w:val="20"/>
        </w:rPr>
        <w:t xml:space="preserve"> </w:t>
      </w:r>
      <w:r w:rsidRPr="00FC46FA">
        <w:rPr>
          <w:rFonts w:asciiTheme="minorHAnsi" w:hAnsiTheme="minorHAnsi"/>
          <w:sz w:val="20"/>
          <w:szCs w:val="20"/>
        </w:rPr>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11,565, df=3, p= 0,009) је открио значајну статистичку разлику у одговорима на питање </w:t>
      </w:r>
      <w:r w:rsidRPr="00FC46FA">
        <w:rPr>
          <w:rStyle w:val="SubtleEmphasis"/>
          <w:sz w:val="20"/>
          <w:szCs w:val="20"/>
        </w:rPr>
        <w:t>„</w:t>
      </w:r>
      <w:r w:rsidRPr="00FC46FA">
        <w:rPr>
          <w:rFonts w:asciiTheme="minorHAnsi" w:hAnsiTheme="minorHAnsi"/>
          <w:i/>
          <w:sz w:val="20"/>
          <w:szCs w:val="20"/>
        </w:rPr>
        <w:t xml:space="preserve"> </w:t>
      </w:r>
      <w:r w:rsidRPr="00FC46FA">
        <w:rPr>
          <w:rStyle w:val="SubtleEmphasis"/>
          <w:sz w:val="20"/>
          <w:szCs w:val="20"/>
        </w:rPr>
        <w:t xml:space="preserve">Да ли си имао/ла незгоду /конфликт у саобраћају? “ </w:t>
      </w:r>
      <w:r w:rsidRPr="00FC46FA">
        <w:rPr>
          <w:rStyle w:val="SubtleEmphasis"/>
          <w:i w:val="0"/>
          <w:sz w:val="20"/>
          <w:szCs w:val="20"/>
        </w:rPr>
        <w:t xml:space="preserve">у односу на узраст испитаника, што показује да су ученици првог разреда најобазривији и више воде рачуна у саобраћају, док ученици четвртог разреда представљају најугроженију групу испитаника која је имала највећи проценат конфликта у саобраћају из разлога мање пажње приликом кретања. (Графикон </w:t>
      </w:r>
      <w:r w:rsidR="00FC46FA" w:rsidRPr="00FC46FA">
        <w:rPr>
          <w:rStyle w:val="SubtleEmphasis"/>
          <w:i w:val="0"/>
          <w:sz w:val="20"/>
          <w:szCs w:val="20"/>
        </w:rPr>
        <w:t>3.1.7</w:t>
      </w:r>
      <w:r w:rsidRPr="00FC46FA">
        <w:rPr>
          <w:rStyle w:val="SubtleEmphasis"/>
          <w:i w:val="0"/>
          <w:sz w:val="20"/>
          <w:szCs w:val="20"/>
        </w:rPr>
        <w:t>.)</w:t>
      </w:r>
    </w:p>
    <w:p w:rsidR="00866A2D" w:rsidRPr="002924AD" w:rsidRDefault="00866A2D" w:rsidP="00866A2D">
      <w:pPr>
        <w:jc w:val="center"/>
      </w:pPr>
      <w:r w:rsidRPr="002924AD">
        <w:rPr>
          <w:noProof/>
        </w:rPr>
        <w:drawing>
          <wp:inline distT="0" distB="0" distL="0" distR="0">
            <wp:extent cx="4743450" cy="1266825"/>
            <wp:effectExtent l="19050" t="0" r="19050" b="0"/>
            <wp:docPr id="3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4" w:name="_Toc429386489"/>
      <w:bookmarkStart w:id="45" w:name="_Toc430643874"/>
      <w:bookmarkStart w:id="46" w:name="_Toc431434265"/>
      <w:r>
        <w:rPr>
          <w:rStyle w:val="SubtleEmphasis"/>
          <w:sz w:val="20"/>
          <w:szCs w:val="20"/>
        </w:rPr>
        <w:t>Графикон 3.1.8</w:t>
      </w:r>
      <w:r w:rsidR="00866A2D" w:rsidRPr="00FC46FA">
        <w:rPr>
          <w:rStyle w:val="SubtleEmphasis"/>
          <w:sz w:val="20"/>
          <w:szCs w:val="20"/>
        </w:rPr>
        <w:t>. - Дистрибуција одговора испитаника на питање „У ком разреду школе си без родитеља почео/ла да долазиш у школу?“ у односу на узраст испитаника</w:t>
      </w:r>
      <w:bookmarkEnd w:id="44"/>
      <w:bookmarkEnd w:id="45"/>
      <w:bookmarkEnd w:id="46"/>
    </w:p>
    <w:p w:rsidR="00866A2D" w:rsidRPr="002924AD" w:rsidRDefault="00866A2D" w:rsidP="00866A2D"/>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Анализом података из анкете може се видети да највећи проценат ученика првог разреда (69,1 %) још увек не долазе сами у школу, док се највећи проценат четвртака (47,1 %) од првог разреда креће без родитеља до школе и назад.</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 xml:space="preserve">Постоје статистички значајне разлике на питање </w:t>
      </w:r>
      <w:r w:rsidRPr="00FC46FA">
        <w:rPr>
          <w:rStyle w:val="SubtleEmphasis"/>
          <w:sz w:val="20"/>
          <w:szCs w:val="20"/>
        </w:rPr>
        <w:t xml:space="preserve">„У ком разреду школе си без родитеља почео/ла да долазиш у школу?“ према </w:t>
      </w:r>
      <w:r w:rsidRPr="00FC46FA">
        <w:rPr>
          <w:rFonts w:asciiTheme="minorHAnsi" w:hAnsiTheme="minorHAnsi"/>
          <w:sz w:val="20"/>
          <w:szCs w:val="20"/>
        </w:rPr>
        <w:t>Kruskal-Wallis тесту (χ</w:t>
      </w:r>
      <w:r w:rsidRPr="00FC46FA">
        <w:rPr>
          <w:rFonts w:asciiTheme="minorHAnsi" w:hAnsiTheme="minorHAnsi"/>
          <w:sz w:val="20"/>
          <w:szCs w:val="20"/>
          <w:vertAlign w:val="superscript"/>
        </w:rPr>
        <w:t>2</w:t>
      </w:r>
      <w:r w:rsidRPr="00FC46FA">
        <w:rPr>
          <w:rFonts w:asciiTheme="minorHAnsi" w:hAnsiTheme="minorHAnsi"/>
          <w:sz w:val="20"/>
          <w:szCs w:val="20"/>
        </w:rPr>
        <w:t xml:space="preserve">= 339,256, df=3, p= 0,000) у односу на узраст испитаника, што показује да највећи број деце самостално креће да долази у школу у првом разреду, а тај степен осамостаљења опада са повећањем узраста, али такође постоји и велики број деце који се није осамосталио до четвртог разреда. (Графикон </w:t>
      </w:r>
      <w:r w:rsidR="00FC46FA" w:rsidRPr="00FC46FA">
        <w:rPr>
          <w:rStyle w:val="SubtleEmphasis"/>
          <w:sz w:val="20"/>
          <w:szCs w:val="20"/>
        </w:rPr>
        <w:t>3.1.8</w:t>
      </w:r>
      <w:r w:rsidRPr="00FC46FA">
        <w:rPr>
          <w:rStyle w:val="SubtleEmphasis"/>
          <w:sz w:val="20"/>
          <w:szCs w:val="20"/>
        </w:rPr>
        <w:t>.</w:t>
      </w:r>
      <w:r w:rsidRPr="00FC46FA">
        <w:rPr>
          <w:rFonts w:asciiTheme="minorHAnsi" w:hAnsiTheme="minorHAnsi"/>
          <w:sz w:val="20"/>
          <w:szCs w:val="20"/>
        </w:rPr>
        <w:t>)</w:t>
      </w:r>
    </w:p>
    <w:p w:rsidR="00866A2D" w:rsidRPr="002924AD" w:rsidRDefault="00866A2D" w:rsidP="00866A2D"/>
    <w:p w:rsidR="00866A2D" w:rsidRPr="002924AD" w:rsidRDefault="00866A2D" w:rsidP="00866A2D">
      <w:pPr>
        <w:jc w:val="center"/>
      </w:pPr>
      <w:r w:rsidRPr="002924AD">
        <w:rPr>
          <w:noProof/>
        </w:rPr>
        <w:drawing>
          <wp:inline distT="0" distB="0" distL="0" distR="0">
            <wp:extent cx="5467350" cy="1924050"/>
            <wp:effectExtent l="19050" t="0" r="19050" b="0"/>
            <wp:docPr id="3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66A2D" w:rsidRPr="00FC46FA" w:rsidRDefault="00FC46FA" w:rsidP="00FC46FA">
      <w:pPr>
        <w:pStyle w:val="Heading5"/>
        <w:numPr>
          <w:ilvl w:val="0"/>
          <w:numId w:val="0"/>
        </w:numPr>
        <w:ind w:left="1008" w:hanging="1008"/>
        <w:jc w:val="center"/>
        <w:rPr>
          <w:rStyle w:val="SubtleEmphasis"/>
          <w:iCs w:val="0"/>
          <w:sz w:val="20"/>
          <w:szCs w:val="20"/>
        </w:rPr>
      </w:pPr>
      <w:bookmarkStart w:id="47" w:name="_Toc429386490"/>
      <w:bookmarkStart w:id="48" w:name="_Toc430643875"/>
      <w:bookmarkStart w:id="49" w:name="_Toc431434266"/>
      <w:r>
        <w:rPr>
          <w:rStyle w:val="SubtleEmphasis"/>
          <w:sz w:val="20"/>
          <w:szCs w:val="20"/>
        </w:rPr>
        <w:t>Графикон 3.1.9</w:t>
      </w:r>
      <w:r w:rsidR="00866A2D" w:rsidRPr="00FC46FA">
        <w:rPr>
          <w:rStyle w:val="SubtleEmphasis"/>
          <w:sz w:val="20"/>
          <w:szCs w:val="20"/>
        </w:rPr>
        <w:t>. - Дистрибуција одговора испитаника на питање „На "зебри" прелазим улицу?“ у односу на питање „Ко те учи како да се понашаш у саобраћају</w:t>
      </w:r>
      <w:bookmarkEnd w:id="47"/>
      <w:bookmarkEnd w:id="48"/>
      <w:bookmarkEnd w:id="49"/>
    </w:p>
    <w:p w:rsidR="00866A2D" w:rsidRPr="002924AD" w:rsidRDefault="00866A2D" w:rsidP="00866A2D">
      <w:pPr>
        <w:rPr>
          <w:rStyle w:val="SubtleEmphasis"/>
          <w:b/>
          <w:iCs w:val="0"/>
        </w:rPr>
      </w:pPr>
    </w:p>
    <w:p w:rsidR="00866A2D" w:rsidRPr="00FC46FA" w:rsidRDefault="00866A2D" w:rsidP="00FC46FA">
      <w:pPr>
        <w:jc w:val="both"/>
        <w:rPr>
          <w:rStyle w:val="SubtleEmphasis"/>
          <w:i w:val="0"/>
          <w:iCs w:val="0"/>
          <w:sz w:val="20"/>
          <w:szCs w:val="20"/>
        </w:rPr>
      </w:pPr>
      <w:r w:rsidRPr="00FC46FA">
        <w:rPr>
          <w:rStyle w:val="SubtleEmphasis"/>
          <w:i w:val="0"/>
          <w:sz w:val="20"/>
          <w:szCs w:val="20"/>
        </w:rPr>
        <w:lastRenderedPageBreak/>
        <w:t xml:space="preserve">Обрадом података може се видети да је највећи проценат испитаника дало одговор да улицу треба </w:t>
      </w:r>
      <w:r w:rsidR="001B6C50">
        <w:rPr>
          <w:rStyle w:val="SubtleEmphasis"/>
          <w:i w:val="0"/>
          <w:sz w:val="20"/>
          <w:szCs w:val="20"/>
        </w:rPr>
        <w:t>прећи ходајући полако и то (62</w:t>
      </w:r>
      <w:r w:rsidRPr="00FC46FA">
        <w:rPr>
          <w:rStyle w:val="SubtleEmphasis"/>
          <w:i w:val="0"/>
          <w:sz w:val="20"/>
          <w:szCs w:val="20"/>
        </w:rPr>
        <w:t xml:space="preserve"> %)  ученика који су информације како да се понашају у саобраћају добили од родитеља и старијег брата/сестре, док је највећи проценат ученика (5 %) одговорило да улицу треба прећи трчећи право преко улице који су информације о понашању у саобраћају добијали од родитеља и учитеља.</w:t>
      </w:r>
    </w:p>
    <w:p w:rsidR="00866A2D" w:rsidRPr="00FC46FA" w:rsidRDefault="00866A2D" w:rsidP="00FC46FA">
      <w:pPr>
        <w:jc w:val="both"/>
        <w:rPr>
          <w:rFonts w:asciiTheme="minorHAnsi" w:hAnsiTheme="minorHAnsi"/>
          <w:sz w:val="20"/>
          <w:szCs w:val="20"/>
        </w:rPr>
      </w:pPr>
      <w:r w:rsidRPr="00FC46FA">
        <w:rPr>
          <w:rFonts w:asciiTheme="minorHAnsi" w:hAnsiTheme="minorHAnsi"/>
          <w:sz w:val="20"/>
          <w:szCs w:val="20"/>
        </w:rPr>
        <w:t>Kruskal-Wallis тест (χ</w:t>
      </w:r>
      <w:r w:rsidRPr="00FC46FA">
        <w:rPr>
          <w:rFonts w:asciiTheme="minorHAnsi" w:hAnsiTheme="minorHAnsi"/>
          <w:sz w:val="20"/>
          <w:szCs w:val="20"/>
          <w:vertAlign w:val="superscript"/>
        </w:rPr>
        <w:t>2</w:t>
      </w:r>
      <w:r w:rsidRPr="00FC46FA">
        <w:rPr>
          <w:rFonts w:asciiTheme="minorHAnsi" w:hAnsiTheme="minorHAnsi"/>
          <w:sz w:val="20"/>
          <w:szCs w:val="20"/>
        </w:rPr>
        <w:t xml:space="preserve">= 16,992, df=6, p= 0,000) је открио значајну статистичку разлику у одговорима на питање </w:t>
      </w:r>
      <w:r w:rsidRPr="00FC46FA">
        <w:rPr>
          <w:rFonts w:asciiTheme="minorHAnsi" w:hAnsiTheme="minorHAnsi"/>
          <w:i/>
          <w:sz w:val="20"/>
          <w:szCs w:val="20"/>
        </w:rPr>
        <w:t>„</w:t>
      </w:r>
      <w:r w:rsidRPr="00FC46FA">
        <w:rPr>
          <w:rStyle w:val="SubtleEmphasis"/>
          <w:sz w:val="20"/>
          <w:szCs w:val="20"/>
        </w:rPr>
        <w:t>На "зебри" прелазим улицу?“</w:t>
      </w:r>
      <w:r w:rsidRPr="00FC46FA">
        <w:rPr>
          <w:rStyle w:val="SubtleEmphasis"/>
          <w:b/>
          <w:sz w:val="20"/>
          <w:szCs w:val="20"/>
        </w:rPr>
        <w:t xml:space="preserve"> </w:t>
      </w:r>
      <w:r w:rsidR="00621DF4">
        <w:rPr>
          <w:rFonts w:asciiTheme="minorHAnsi" w:hAnsiTheme="minorHAnsi"/>
          <w:sz w:val="20"/>
          <w:szCs w:val="20"/>
        </w:rPr>
        <w:t xml:space="preserve">у односу на питање </w:t>
      </w:r>
      <w:r w:rsidR="00621DF4" w:rsidRPr="001B6C50">
        <w:rPr>
          <w:rFonts w:asciiTheme="minorHAnsi" w:hAnsiTheme="minorHAnsi"/>
          <w:i/>
          <w:sz w:val="20"/>
          <w:szCs w:val="20"/>
        </w:rPr>
        <w:t>„</w:t>
      </w:r>
      <w:r w:rsidRPr="001B6C50">
        <w:rPr>
          <w:rFonts w:asciiTheme="minorHAnsi" w:hAnsiTheme="minorHAnsi"/>
          <w:i/>
          <w:sz w:val="20"/>
          <w:szCs w:val="20"/>
        </w:rPr>
        <w:t>Ко</w:t>
      </w:r>
      <w:r w:rsidRPr="00FC46FA">
        <w:rPr>
          <w:rFonts w:asciiTheme="minorHAnsi" w:hAnsiTheme="minorHAnsi"/>
          <w:sz w:val="20"/>
          <w:szCs w:val="20"/>
        </w:rPr>
        <w:t xml:space="preserve"> </w:t>
      </w:r>
      <w:r w:rsidRPr="001B6C50">
        <w:rPr>
          <w:rFonts w:asciiTheme="minorHAnsi" w:hAnsiTheme="minorHAnsi"/>
          <w:i/>
          <w:sz w:val="20"/>
          <w:szCs w:val="20"/>
        </w:rPr>
        <w:t>те учи како да се понашаш у саобраћају?</w:t>
      </w:r>
      <w:r w:rsidRPr="00FC46FA">
        <w:rPr>
          <w:rFonts w:asciiTheme="minorHAnsi" w:hAnsiTheme="minorHAnsi"/>
          <w:sz w:val="20"/>
          <w:szCs w:val="20"/>
        </w:rPr>
        <w:t xml:space="preserve">“, што показује деца која о понашању у саобраћају добијају информације од родитеља и страјег брата/сестре правилно прелазе улицу за разлику од ученика који уче од родитеља и учитеља и неправилно прелазе улицу. (Графикон </w:t>
      </w:r>
      <w:r w:rsidR="00FC46FA" w:rsidRPr="00FC46FA">
        <w:rPr>
          <w:rStyle w:val="SubtleEmphasis"/>
          <w:sz w:val="20"/>
          <w:szCs w:val="20"/>
        </w:rPr>
        <w:t>3.1.9</w:t>
      </w:r>
      <w:r w:rsidRPr="00FC46FA">
        <w:rPr>
          <w:rStyle w:val="SubtleEmphasis"/>
          <w:sz w:val="20"/>
          <w:szCs w:val="20"/>
        </w:rPr>
        <w:t>.</w:t>
      </w:r>
      <w:r w:rsidRPr="00FC46FA">
        <w:rPr>
          <w:rFonts w:asciiTheme="minorHAnsi" w:hAnsiTheme="minorHAnsi"/>
          <w:sz w:val="20"/>
          <w:szCs w:val="20"/>
        </w:rPr>
        <w:t>)</w:t>
      </w:r>
    </w:p>
    <w:p w:rsidR="00906AB9" w:rsidRDefault="00A80E7D" w:rsidP="00CA6D33">
      <w:pPr>
        <w:pStyle w:val="Heading1"/>
      </w:pPr>
      <w:r>
        <w:t>ДИСКУСИЈА</w:t>
      </w:r>
      <w:r w:rsidR="00906AB9" w:rsidRPr="006459FF">
        <w:t xml:space="preserve"> </w:t>
      </w:r>
    </w:p>
    <w:p w:rsidR="00A80E7D" w:rsidRPr="00A80E7D" w:rsidRDefault="00A80E7D" w:rsidP="00A80E7D">
      <w:pPr>
        <w:jc w:val="both"/>
        <w:rPr>
          <w:rFonts w:asciiTheme="minorHAnsi" w:hAnsiTheme="minorHAnsi"/>
          <w:sz w:val="20"/>
          <w:szCs w:val="20"/>
        </w:rPr>
      </w:pPr>
      <w:r w:rsidRPr="00A80E7D">
        <w:rPr>
          <w:rFonts w:asciiTheme="minorHAnsi" w:hAnsiTheme="minorHAnsi"/>
          <w:sz w:val="20"/>
          <w:szCs w:val="20"/>
        </w:rPr>
        <w:t>Најзначајнији први и основни корак у циљу смањења броја настарадалих учесника у саобраћају, а нарочито деце, који спада у домен превентивних мера као и мера активне безбедности саобраћаја, представља добро осмишљен и целовит план и програм саобраћајног васпитања свих учесника у саобраћају у коме образовно – васпитне мере заузимају прво место.</w:t>
      </w:r>
      <w:r w:rsidR="00883295">
        <w:rPr>
          <w:rFonts w:asciiTheme="minorHAnsi" w:hAnsiTheme="minorHAnsi"/>
          <w:sz w:val="20"/>
          <w:szCs w:val="20"/>
        </w:rPr>
        <w:t xml:space="preserve"> </w:t>
      </w:r>
      <w:r w:rsidRPr="00A80E7D">
        <w:rPr>
          <w:rFonts w:asciiTheme="minorHAnsi" w:hAnsiTheme="minorHAnsi"/>
          <w:sz w:val="20"/>
          <w:szCs w:val="20"/>
        </w:rPr>
        <w:t>Основни недостатак примењеног концепта је непостојање јединственог вида образовања и праћења сваког појединца од малих ногу до потпуно изграђене и безбедне личности која учествује у сао</w:t>
      </w:r>
      <w:r w:rsidR="00883295">
        <w:rPr>
          <w:rFonts w:asciiTheme="minorHAnsi" w:hAnsiTheme="minorHAnsi"/>
          <w:sz w:val="20"/>
          <w:szCs w:val="20"/>
        </w:rPr>
        <w:t xml:space="preserve">браћају. </w:t>
      </w:r>
      <w:r w:rsidRPr="00A80E7D">
        <w:rPr>
          <w:rFonts w:asciiTheme="minorHAnsi" w:hAnsiTheme="minorHAnsi"/>
          <w:sz w:val="20"/>
          <w:szCs w:val="20"/>
          <w:lang w:val="sr-Cyrl-CS"/>
        </w:rPr>
        <w:t>Човек као личност почиње да се формира од детињства, па је зато изузетно важно деловати на децу од малих ногу и системски, како би прихватили пожељна понашања у саобраћају као нормална, а не касније путем кампања покушавати њихово понашање кориговати (када је већ касно и када је практично могуће остварити само краткорочне ефекте).</w:t>
      </w:r>
      <w:r w:rsidR="00883295">
        <w:rPr>
          <w:rFonts w:asciiTheme="minorHAnsi" w:hAnsiTheme="minorHAnsi"/>
          <w:sz w:val="20"/>
          <w:szCs w:val="20"/>
        </w:rPr>
        <w:t xml:space="preserve"> </w:t>
      </w:r>
      <w:r w:rsidRPr="00A80E7D">
        <w:rPr>
          <w:rFonts w:asciiTheme="minorHAnsi" w:hAnsiTheme="minorHAnsi"/>
          <w:sz w:val="20"/>
          <w:szCs w:val="20"/>
          <w:lang w:val="sr-Cyrl-CS"/>
        </w:rPr>
        <w:t xml:space="preserve">Због несигурности родитеља о томе чија је улога </w:t>
      </w:r>
      <w:r w:rsidRPr="00A80E7D">
        <w:rPr>
          <w:rFonts w:asciiTheme="minorHAnsi" w:hAnsiTheme="minorHAnsi"/>
          <w:sz w:val="20"/>
          <w:szCs w:val="20"/>
        </w:rPr>
        <w:t>да образују дете за безбедно понашање у саобраћају и када је за то право време, неопходно је да схвате величину своје улоге у саобраћајном образовању детета, и важност улоге свих осталих лица у окружењу детета (предшколске, школске установе и др.), али да су они ипак најодговорнији за то. Родитељи морају едуковати децу од малих ногу, дајући им и лично позитиван пример исправног понашања. Чест је случај да родитељи у жељи да науче своје дете безбедном начину понашања у саобраћају једно говоре својој деци, а другачији пример дају својим понашањем, па то за последицу има да на тај начин не постижу жељене ефекте понашања своје деце већ супротно томе погрешно понашање.</w:t>
      </w:r>
      <w:r w:rsidR="00047071">
        <w:rPr>
          <w:rFonts w:asciiTheme="minorHAnsi" w:hAnsiTheme="minorHAnsi"/>
          <w:sz w:val="20"/>
          <w:szCs w:val="20"/>
        </w:rPr>
        <w:t xml:space="preserve"> </w:t>
      </w:r>
      <w:r w:rsidRPr="00A80E7D">
        <w:rPr>
          <w:rFonts w:asciiTheme="minorHAnsi" w:hAnsiTheme="minorHAnsi"/>
          <w:sz w:val="20"/>
          <w:szCs w:val="20"/>
        </w:rPr>
        <w:t xml:space="preserve">У спроведеном истраживању потребно је истаћи да је ова мера, тј. едукација родитеља о начину на који треба да се понашају и чему да уче своју децу веома важна када су у питању деца из руралних подручја. Пошто је највећи број ученика у за сва четири подручја баш потврдило то да највише о понашању у саобраћају уче од својих родитеља. </w:t>
      </w:r>
      <w:r w:rsidRPr="00A80E7D">
        <w:rPr>
          <w:rFonts w:asciiTheme="minorHAnsi" w:hAnsiTheme="minorHAnsi"/>
          <w:sz w:val="20"/>
          <w:szCs w:val="20"/>
          <w:lang w:val="sr-Cyrl-CS"/>
        </w:rPr>
        <w:t>Такође је неопходно да се родитељи упознају са начинима за едуковање деце, јер  деца различитог узраста немају исте психофизичке способности, и оно што је детету старијег узраста врло једноставно да схвати и примени, дете млађег узраста неће моћи да разуме, ма колико се родитељ трудио. Потребно је да родитељи схвате да деца немају исте способности као одрасли нпр. при процени брзине возила, правца одакле долази звук и сл.</w:t>
      </w:r>
      <w:r w:rsidR="00047071">
        <w:rPr>
          <w:rFonts w:asciiTheme="minorHAnsi" w:hAnsiTheme="minorHAnsi"/>
          <w:sz w:val="20"/>
          <w:szCs w:val="20"/>
        </w:rPr>
        <w:t xml:space="preserve"> </w:t>
      </w:r>
      <w:r w:rsidRPr="00A80E7D">
        <w:rPr>
          <w:rFonts w:asciiTheme="minorHAnsi" w:hAnsiTheme="minorHAnsi"/>
          <w:sz w:val="20"/>
          <w:szCs w:val="20"/>
          <w:lang w:val="sr-Latn-CS"/>
        </w:rPr>
        <w:t xml:space="preserve">На основу истраживања </w:t>
      </w:r>
      <w:r w:rsidRPr="00A80E7D">
        <w:rPr>
          <w:rFonts w:asciiTheme="minorHAnsi" w:hAnsiTheme="minorHAnsi"/>
          <w:sz w:val="20"/>
          <w:szCs w:val="20"/>
        </w:rPr>
        <w:t xml:space="preserve">спроведеног истраживања </w:t>
      </w:r>
      <w:r w:rsidRPr="00A80E7D">
        <w:rPr>
          <w:rFonts w:asciiTheme="minorHAnsi" w:hAnsiTheme="minorHAnsi"/>
          <w:sz w:val="20"/>
          <w:szCs w:val="20"/>
          <w:lang w:val="sr-Latn-CS"/>
        </w:rPr>
        <w:t xml:space="preserve">може се видети да је ученицима </w:t>
      </w:r>
      <w:r w:rsidRPr="00A80E7D">
        <w:rPr>
          <w:rFonts w:asciiTheme="minorHAnsi" w:hAnsiTheme="minorHAnsi"/>
          <w:sz w:val="20"/>
          <w:szCs w:val="20"/>
        </w:rPr>
        <w:t xml:space="preserve">свих седам анализираних школа у сва четири подручја </w:t>
      </w:r>
      <w:r w:rsidRPr="00A80E7D">
        <w:rPr>
          <w:rFonts w:asciiTheme="minorHAnsi" w:hAnsiTheme="minorHAnsi"/>
          <w:sz w:val="20"/>
          <w:szCs w:val="20"/>
          <w:lang w:val="sr-Latn-CS"/>
        </w:rPr>
        <w:t xml:space="preserve">неопходна едукација од стране учитеља, а то изискује обуку самих учитеља како би они стручно </w:t>
      </w:r>
      <w:r w:rsidR="00047071">
        <w:rPr>
          <w:rFonts w:asciiTheme="minorHAnsi" w:hAnsiTheme="minorHAnsi"/>
          <w:sz w:val="20"/>
          <w:szCs w:val="20"/>
          <w:lang w:val="sr-Latn-CS"/>
        </w:rPr>
        <w:t>могли да спроводе тај задатак.</w:t>
      </w:r>
      <w:r w:rsidR="00047071">
        <w:rPr>
          <w:rFonts w:asciiTheme="minorHAnsi" w:hAnsiTheme="minorHAnsi"/>
          <w:sz w:val="20"/>
          <w:szCs w:val="20"/>
        </w:rPr>
        <w:t xml:space="preserve"> </w:t>
      </w:r>
      <w:r w:rsidRPr="00A80E7D">
        <w:rPr>
          <w:rFonts w:asciiTheme="minorHAnsi" w:hAnsiTheme="minorHAnsi"/>
          <w:sz w:val="20"/>
          <w:szCs w:val="20"/>
        </w:rPr>
        <w:t>Настава мора бити ефикасна и компактна током целог школовања, тј. мора почети у предшколским установама и константно трајати до завршетка школовања јединке.</w:t>
      </w:r>
      <w:r w:rsidR="00047071">
        <w:rPr>
          <w:rFonts w:asciiTheme="minorHAnsi" w:hAnsiTheme="minorHAnsi"/>
          <w:sz w:val="20"/>
          <w:szCs w:val="20"/>
        </w:rPr>
        <w:t xml:space="preserve"> </w:t>
      </w:r>
      <w:r w:rsidRPr="00A80E7D">
        <w:rPr>
          <w:rFonts w:asciiTheme="minorHAnsi" w:hAnsiTheme="minorHAnsi"/>
          <w:sz w:val="20"/>
          <w:szCs w:val="20"/>
        </w:rPr>
        <w:t>Образовање детета представља сложен и дуг процес који школа мора да реализује у сарадњи са свим субјектима друштва. Такође је потребно ускладити родитеље и учитеље да преносе деци исте поруке, како деца не би којим случајем дошла у забуну.</w:t>
      </w:r>
      <w:r w:rsidR="00047071">
        <w:rPr>
          <w:rFonts w:asciiTheme="minorHAnsi" w:hAnsiTheme="minorHAnsi"/>
          <w:sz w:val="20"/>
          <w:szCs w:val="20"/>
        </w:rPr>
        <w:t xml:space="preserve"> </w:t>
      </w:r>
      <w:r w:rsidRPr="00A80E7D">
        <w:rPr>
          <w:rFonts w:asciiTheme="minorHAnsi" w:hAnsiTheme="minorHAnsi"/>
          <w:sz w:val="20"/>
          <w:szCs w:val="20"/>
        </w:rPr>
        <w:t xml:space="preserve">Поред учитеља и родитеља који сносе одговорност, градска управа треба да обрати пажњу на проблеме недостатка саобраћајне инфраструктуре (бициклистичке стазе, уређени пешачки прелази) која би омогућила да се деца несметано крећу од куће до школе и обрнуто, а да на тај начин не угрожавају себе и друге учеснике у саобраћају. </w:t>
      </w:r>
      <w:r w:rsidR="00047071">
        <w:rPr>
          <w:rFonts w:asciiTheme="minorHAnsi" w:hAnsiTheme="minorHAnsi"/>
          <w:sz w:val="20"/>
          <w:szCs w:val="20"/>
        </w:rPr>
        <w:t xml:space="preserve"> </w:t>
      </w:r>
      <w:r w:rsidRPr="00A80E7D">
        <w:rPr>
          <w:rFonts w:asciiTheme="minorHAnsi" w:hAnsiTheme="minorHAnsi"/>
          <w:sz w:val="20"/>
          <w:szCs w:val="20"/>
        </w:rPr>
        <w:t>На основу добијених резултата, примећено је да се велики број деце у недостатку обележеног пешачког прелаза, крећу ван њега. У складу са тим, потребно је уредити пешачке прелазе како би се олакшао прелаз преко коловоза. Велики проблем је и неодговарајућа саобраћајна сигнализација коју је потребно обновити и заменити.</w:t>
      </w:r>
      <w:r w:rsidR="00621DF4">
        <w:rPr>
          <w:rFonts w:asciiTheme="minorHAnsi" w:hAnsiTheme="minorHAnsi"/>
          <w:sz w:val="20"/>
          <w:szCs w:val="20"/>
        </w:rPr>
        <w:t xml:space="preserve"> </w:t>
      </w:r>
      <w:r w:rsidRPr="00A80E7D">
        <w:rPr>
          <w:rFonts w:asciiTheme="minorHAnsi" w:hAnsiTheme="minorHAnsi"/>
          <w:sz w:val="20"/>
          <w:szCs w:val="20"/>
          <w:lang w:val="sr-Cyrl-CS"/>
        </w:rPr>
        <w:t xml:space="preserve">На основу спроведеног истраживања може се извести закључак да је неопходно целовито решење проблема свих учесника у саобраћају које ће дати добре ефекте и адекватно спровођење предложених мера како би се повећао ниво безбедности деце у саобраћају, такође је неопходна боља едукација </w:t>
      </w:r>
      <w:r w:rsidRPr="00A80E7D">
        <w:rPr>
          <w:rFonts w:asciiTheme="minorHAnsi" w:hAnsiTheme="minorHAnsi"/>
          <w:sz w:val="20"/>
          <w:szCs w:val="20"/>
          <w:lang w:val="sr-Cyrl-CS"/>
        </w:rPr>
        <w:lastRenderedPageBreak/>
        <w:t xml:space="preserve">учитеља и родитеља како би знање о правилном понашању у саобраћају умели на прави начин да пренесу деци, </w:t>
      </w:r>
      <w:r w:rsidRPr="00A80E7D">
        <w:rPr>
          <w:rFonts w:asciiTheme="minorHAnsi" w:hAnsiTheme="minorHAnsi"/>
          <w:sz w:val="20"/>
          <w:szCs w:val="20"/>
          <w:lang w:val="sr-Latn-CS"/>
        </w:rPr>
        <w:t>адекватне техничко-регулативне мере у зони школа</w:t>
      </w:r>
      <w:r w:rsidRPr="00A80E7D">
        <w:rPr>
          <w:rFonts w:asciiTheme="minorHAnsi" w:hAnsiTheme="minorHAnsi"/>
          <w:sz w:val="20"/>
          <w:szCs w:val="20"/>
        </w:rPr>
        <w:t xml:space="preserve"> као што су:</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постављање пешачких прелаза на местима где их неометани пешачки токови захтевају, а на њима вршити онај ниво регулативе који пешачки и аутомобилски токови захтевају</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предупредити све могуће начине ометања возача да лако уоче пешаке (забранити паркирање, постављање контејнера, паноа, киоска и других објеката на местима где је то неопходно)</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у зонама атракције (позоришта, тргова, школа, паркова...) обезбедити уочљиву сигнализацију, спречити неправилно коришћење површина намењених кретању моторизованих учесника у саобраћају од стране пешака, али и упозоравање моторизованих учесника да улазе у непосредну зону јавног места са повећаном концентрацијом деце пешака; атрактивне садржаје за децу (киоске за храну и др.) лоцирати у оквиру просторних целина, како би се избегла потреба да деца долазе у конфликт са моторним саобраћајем, осветљење</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смањење брзине возила закривљењем путање, постављањем адекватних препрека, сужењем коловоза, издизањем пешачких прелаза, саобраћајним знацима, звучним упозорењима</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заштита стамбених подручја и њихових житеља од саобраћаја, као и зона школе, кроз мере смиривања саобраћаја</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онемогућавање паркирања на местима где је паркирање опасно, контрола паркирања у одређеном периоду</w:t>
      </w:r>
      <w:r w:rsidRPr="00A80E7D">
        <w:rPr>
          <w:rFonts w:asciiTheme="minorHAnsi" w:hAnsiTheme="minorHAnsi"/>
          <w:sz w:val="20"/>
          <w:szCs w:val="20"/>
        </w:rPr>
        <w:t>,</w:t>
      </w:r>
    </w:p>
    <w:p w:rsidR="00A80E7D" w:rsidRPr="00A80E7D" w:rsidRDefault="00A80E7D" w:rsidP="00750EB1">
      <w:pPr>
        <w:pStyle w:val="ListParagraph"/>
        <w:numPr>
          <w:ilvl w:val="0"/>
          <w:numId w:val="18"/>
        </w:numPr>
        <w:spacing w:after="0"/>
        <w:contextualSpacing w:val="0"/>
        <w:rPr>
          <w:rFonts w:asciiTheme="minorHAnsi" w:hAnsiTheme="minorHAnsi"/>
          <w:sz w:val="20"/>
          <w:szCs w:val="20"/>
          <w:lang w:val="sr-Cyrl-CS"/>
        </w:rPr>
      </w:pPr>
      <w:r w:rsidRPr="00A80E7D">
        <w:rPr>
          <w:rFonts w:asciiTheme="minorHAnsi" w:hAnsiTheme="minorHAnsi"/>
          <w:sz w:val="20"/>
          <w:szCs w:val="20"/>
          <w:lang w:val="sr-Cyrl-CS"/>
        </w:rPr>
        <w:t>изградња и обележавање пешачких и бициклистичких стаза на путањама које деца најчешће користе на овај начин</w:t>
      </w:r>
      <w:r w:rsidRPr="00A80E7D">
        <w:rPr>
          <w:rFonts w:asciiTheme="minorHAnsi" w:hAnsiTheme="minorHAnsi"/>
          <w:sz w:val="20"/>
          <w:szCs w:val="20"/>
        </w:rPr>
        <w:t>,</w:t>
      </w:r>
    </w:p>
    <w:p w:rsidR="00A80E7D" w:rsidRPr="00A80E7D" w:rsidRDefault="00A80E7D" w:rsidP="00750EB1">
      <w:pPr>
        <w:pStyle w:val="ListParagraph"/>
        <w:numPr>
          <w:ilvl w:val="0"/>
          <w:numId w:val="18"/>
        </w:numPr>
        <w:rPr>
          <w:rFonts w:asciiTheme="minorHAnsi" w:hAnsiTheme="minorHAnsi"/>
          <w:sz w:val="20"/>
          <w:szCs w:val="20"/>
        </w:rPr>
      </w:pPr>
      <w:r w:rsidRPr="00A80E7D">
        <w:rPr>
          <w:rFonts w:asciiTheme="minorHAnsi" w:hAnsiTheme="minorHAnsi"/>
          <w:sz w:val="20"/>
          <w:szCs w:val="20"/>
          <w:lang w:val="sr-Cyrl-CS"/>
        </w:rPr>
        <w:t>на градским артеријама и улицама са повећаним обимом саобраћаја обезбедити да пешаци могу безбедно да пређу улицу путем пасарела, подземних пролаза и сл.</w:t>
      </w:r>
    </w:p>
    <w:p w:rsidR="00A80E7D" w:rsidRPr="00047071" w:rsidRDefault="00A80E7D" w:rsidP="00A80E7D">
      <w:pPr>
        <w:jc w:val="both"/>
        <w:rPr>
          <w:rFonts w:asciiTheme="minorHAnsi" w:hAnsiTheme="minorHAnsi"/>
          <w:sz w:val="20"/>
          <w:szCs w:val="20"/>
        </w:rPr>
      </w:pPr>
      <w:r w:rsidRPr="00A80E7D">
        <w:rPr>
          <w:rFonts w:asciiTheme="minorHAnsi" w:hAnsiTheme="minorHAnsi"/>
          <w:sz w:val="20"/>
          <w:szCs w:val="20"/>
        </w:rPr>
        <w:t xml:space="preserve">У спроведеном истраживању такође је уочено да велики број ученика у урбаном деловима  непрописно прелази улицу, па је због тога неопходно спровести едукацију </w:t>
      </w:r>
      <w:r w:rsidR="00047071">
        <w:rPr>
          <w:rFonts w:asciiTheme="minorHAnsi" w:hAnsiTheme="minorHAnsi"/>
          <w:sz w:val="20"/>
          <w:szCs w:val="20"/>
        </w:rPr>
        <w:t>по питању начина преласка улица.</w:t>
      </w:r>
    </w:p>
    <w:p w:rsidR="00047071" w:rsidRDefault="00047071" w:rsidP="00047071">
      <w:pPr>
        <w:pStyle w:val="Heading1"/>
      </w:pPr>
      <w:r>
        <w:t>ЗАКЉУЧАК</w:t>
      </w:r>
    </w:p>
    <w:p w:rsidR="00047071" w:rsidRPr="00047071" w:rsidRDefault="00047071" w:rsidP="00047071">
      <w:pPr>
        <w:jc w:val="both"/>
        <w:rPr>
          <w:rFonts w:asciiTheme="minorHAnsi" w:hAnsiTheme="minorHAnsi"/>
          <w:sz w:val="20"/>
          <w:szCs w:val="20"/>
        </w:rPr>
      </w:pPr>
      <w:r w:rsidRPr="00047071">
        <w:rPr>
          <w:rFonts w:asciiTheme="minorHAnsi" w:hAnsiTheme="minorHAnsi"/>
          <w:sz w:val="20"/>
          <w:szCs w:val="20"/>
        </w:rPr>
        <w:t xml:space="preserve">Деца су најрањивији учесници у саобраћају. </w:t>
      </w:r>
      <w:r w:rsidRPr="00047071">
        <w:rPr>
          <w:rFonts w:asciiTheme="minorHAnsi" w:hAnsiTheme="minorHAnsi"/>
          <w:sz w:val="20"/>
          <w:szCs w:val="20"/>
          <w:lang w:val="sr-Cyrl-CS"/>
        </w:rPr>
        <w:t>Угроженост деце у саобраћају у односу на остале старосне групе учесника у саобраћају је у свету слична. Саобраћајне незгоде представљају водећи узрок тешких телесних повреда и смртности међу децом у већини земаља. Али периоди у току године, недеље, дани када су деца најугроженија, полна и старосна структура деце која учествују у саобраћајним незгодама разликују се донекле у зависности од земље и друштвених навика у тој земљи. Такође, просторна дистрибуција зависи од карактеристика и специфичности одређеног подручја. Због тога је неопходно за свако подручје појединачно спровести истраживање, како би се пројектовале и примениле оптималне мере са циљем повећања безбедности деце у саобраћају.</w:t>
      </w:r>
      <w:r w:rsidR="00621DF4">
        <w:rPr>
          <w:rFonts w:asciiTheme="minorHAnsi" w:hAnsiTheme="minorHAnsi"/>
          <w:sz w:val="20"/>
          <w:szCs w:val="20"/>
        </w:rPr>
        <w:t xml:space="preserve"> </w:t>
      </w:r>
      <w:r w:rsidRPr="00047071">
        <w:rPr>
          <w:rFonts w:asciiTheme="minorHAnsi" w:hAnsiTheme="minorHAnsi"/>
          <w:sz w:val="20"/>
          <w:szCs w:val="20"/>
        </w:rPr>
        <w:t>На основу приказа и дискусије резултата спроведеног истраживања, може се закључити да деца школског узраста имају одређена знања о безбедном учешћу у саобраћају, али та знања треба перманентно обнављати и развијати.</w:t>
      </w:r>
      <w:r w:rsidR="00621DF4">
        <w:rPr>
          <w:rFonts w:asciiTheme="minorHAnsi" w:hAnsiTheme="minorHAnsi"/>
          <w:sz w:val="20"/>
          <w:szCs w:val="20"/>
        </w:rPr>
        <w:t xml:space="preserve"> </w:t>
      </w:r>
      <w:r w:rsidRPr="00047071">
        <w:rPr>
          <w:rFonts w:asciiTheme="minorHAnsi" w:hAnsiTheme="minorHAnsi"/>
          <w:sz w:val="20"/>
          <w:szCs w:val="20"/>
          <w:lang w:val="sr-Cyrl-CS"/>
        </w:rPr>
        <w:t>У раду је изложен пример анализе података добијених од стране ученика основних школа из четири подручја истраживања (урбан, рурал), града Београда и општине Смедеревска Паланка. Као резултат уочени су различити ставови, знања и понашања код различитих група анализирања. Уочени су већи недостаци код ученика у руралним подручјима истраживања по питању њиховог знања о понашању у саобраћају.</w:t>
      </w:r>
      <w:r w:rsidR="00621DF4">
        <w:rPr>
          <w:rFonts w:asciiTheme="minorHAnsi" w:hAnsiTheme="minorHAnsi"/>
          <w:sz w:val="20"/>
          <w:szCs w:val="20"/>
        </w:rPr>
        <w:t xml:space="preserve"> </w:t>
      </w:r>
      <w:r w:rsidRPr="00047071">
        <w:rPr>
          <w:rFonts w:asciiTheme="minorHAnsi" w:hAnsiTheme="minorHAnsi"/>
          <w:sz w:val="20"/>
          <w:szCs w:val="20"/>
          <w:lang w:val="sr-Latn-CS"/>
        </w:rPr>
        <w:t>По питању доживљених саобраћајних незгода</w:t>
      </w:r>
      <w:r w:rsidRPr="00047071">
        <w:rPr>
          <w:rFonts w:asciiTheme="minorHAnsi" w:hAnsiTheme="minorHAnsi"/>
          <w:sz w:val="20"/>
          <w:szCs w:val="20"/>
        </w:rPr>
        <w:t>/конфликата у саобраћају</w:t>
      </w:r>
      <w:r w:rsidRPr="00047071">
        <w:rPr>
          <w:rFonts w:asciiTheme="minorHAnsi" w:hAnsiTheme="minorHAnsi"/>
          <w:sz w:val="20"/>
          <w:szCs w:val="20"/>
          <w:lang w:val="sr-Latn-CS"/>
        </w:rPr>
        <w:t xml:space="preserve"> </w:t>
      </w:r>
      <w:r w:rsidRPr="00047071">
        <w:rPr>
          <w:rFonts w:asciiTheme="minorHAnsi" w:hAnsiTheme="minorHAnsi"/>
          <w:sz w:val="20"/>
          <w:szCs w:val="20"/>
        </w:rPr>
        <w:t>од стране ученика</w:t>
      </w:r>
      <w:r w:rsidRPr="00047071">
        <w:rPr>
          <w:rFonts w:asciiTheme="minorHAnsi" w:hAnsiTheme="minorHAnsi"/>
          <w:sz w:val="20"/>
          <w:szCs w:val="20"/>
          <w:lang w:val="sr-Latn-CS"/>
        </w:rPr>
        <w:t xml:space="preserve">, број </w:t>
      </w:r>
      <w:r w:rsidRPr="00047071">
        <w:rPr>
          <w:rFonts w:asciiTheme="minorHAnsi" w:hAnsiTheme="minorHAnsi"/>
          <w:sz w:val="20"/>
          <w:szCs w:val="20"/>
        </w:rPr>
        <w:t>није занемарљив,</w:t>
      </w:r>
      <w:r w:rsidRPr="00047071">
        <w:rPr>
          <w:rFonts w:asciiTheme="minorHAnsi" w:hAnsiTheme="minorHAnsi"/>
          <w:sz w:val="20"/>
          <w:szCs w:val="20"/>
          <w:lang w:val="sr-Latn-CS"/>
        </w:rPr>
        <w:t xml:space="preserve"> на шта утиче недовољно адекватне техничко-регулативне мере у зони школа у руралном подручју, које захтева комплекснију регулацију саобраћаја због регионалн</w:t>
      </w:r>
      <w:r w:rsidRPr="00047071">
        <w:rPr>
          <w:rFonts w:asciiTheme="minorHAnsi" w:hAnsiTheme="minorHAnsi"/>
          <w:sz w:val="20"/>
          <w:szCs w:val="20"/>
        </w:rPr>
        <w:t>их</w:t>
      </w:r>
      <w:r w:rsidRPr="00047071">
        <w:rPr>
          <w:rFonts w:asciiTheme="minorHAnsi" w:hAnsiTheme="minorHAnsi"/>
          <w:sz w:val="20"/>
          <w:szCs w:val="20"/>
          <w:lang w:val="sr-Latn-CS"/>
        </w:rPr>
        <w:t xml:space="preserve"> пут</w:t>
      </w:r>
      <w:r w:rsidRPr="00047071">
        <w:rPr>
          <w:rFonts w:asciiTheme="minorHAnsi" w:hAnsiTheme="minorHAnsi"/>
          <w:sz w:val="20"/>
          <w:szCs w:val="20"/>
        </w:rPr>
        <w:t>ева</w:t>
      </w:r>
      <w:r w:rsidRPr="00047071">
        <w:rPr>
          <w:rFonts w:asciiTheme="minorHAnsi" w:hAnsiTheme="minorHAnsi"/>
          <w:sz w:val="20"/>
          <w:szCs w:val="20"/>
          <w:lang w:val="sr-Latn-CS"/>
        </w:rPr>
        <w:t xml:space="preserve"> </w:t>
      </w:r>
      <w:r w:rsidRPr="00047071">
        <w:rPr>
          <w:rFonts w:asciiTheme="minorHAnsi" w:hAnsiTheme="minorHAnsi"/>
          <w:sz w:val="20"/>
          <w:szCs w:val="20"/>
        </w:rPr>
        <w:t>поред школа.</w:t>
      </w:r>
    </w:p>
    <w:p w:rsidR="00047071" w:rsidRPr="00047071" w:rsidRDefault="00047071" w:rsidP="00047071">
      <w:pPr>
        <w:jc w:val="both"/>
        <w:rPr>
          <w:rFonts w:asciiTheme="minorHAnsi" w:hAnsiTheme="minorHAnsi"/>
          <w:sz w:val="20"/>
          <w:szCs w:val="20"/>
        </w:rPr>
      </w:pPr>
      <w:r w:rsidRPr="00047071">
        <w:rPr>
          <w:rFonts w:asciiTheme="minorHAnsi" w:hAnsiTheme="minorHAnsi"/>
          <w:sz w:val="20"/>
          <w:szCs w:val="20"/>
        </w:rPr>
        <w:t xml:space="preserve">Резултати истраживања су показали да се девојчице више придржавају правила саобраћаја и прелазе улицу увек на пешачком прелазу у односу на дечаке који у већем проценту то ретко чине и да су </w:t>
      </w:r>
      <w:r w:rsidRPr="00047071">
        <w:rPr>
          <w:rFonts w:asciiTheme="minorHAnsi" w:hAnsiTheme="minorHAnsi"/>
          <w:sz w:val="20"/>
          <w:szCs w:val="20"/>
        </w:rPr>
        <w:lastRenderedPageBreak/>
        <w:t xml:space="preserve">дечаци више склони конфликтним ситуацијама у саобраћају у односу на девојчице. </w:t>
      </w:r>
      <w:r w:rsidRPr="00621DF4">
        <w:rPr>
          <w:rStyle w:val="SubtleEmphasis"/>
          <w:i w:val="0"/>
          <w:sz w:val="20"/>
          <w:szCs w:val="20"/>
        </w:rPr>
        <w:t>Ученици првог разреда су најобазривији и више воде рачуна у саобраћају, за разлику од ученика четвртог разреда који су имала највећи проценат конфликта у саобраћају из разлога мање пажње приликом кретања, при чему представљају најугроженију групу испитаника.</w:t>
      </w:r>
      <w:r w:rsidR="00621DF4">
        <w:rPr>
          <w:rFonts w:asciiTheme="minorHAnsi" w:hAnsiTheme="minorHAnsi"/>
          <w:i/>
          <w:sz w:val="20"/>
          <w:szCs w:val="20"/>
        </w:rPr>
        <w:t xml:space="preserve"> </w:t>
      </w:r>
      <w:r w:rsidRPr="00621DF4">
        <w:rPr>
          <w:rStyle w:val="SubtleEmphasis"/>
          <w:i w:val="0"/>
          <w:sz w:val="20"/>
          <w:szCs w:val="20"/>
        </w:rPr>
        <w:t>Највећи проценат испитаника у руралном подручју општине Смедеревска Паланка сматра да се деца могу играти на коловозу из разлога њиховог понашања при игрању, с обзиром да су улице и путеви у руралном подручју мањег интезитета саобраћаја, некада и без саобраћаја, па имају могућност играња и на њима, а чешћи је разлог непостојања игралишта у руралним подручјима, где</w:t>
      </w:r>
      <w:r w:rsidRPr="00047071">
        <w:rPr>
          <w:rStyle w:val="SubtleEmphasis"/>
          <w:sz w:val="20"/>
          <w:szCs w:val="20"/>
        </w:rPr>
        <w:t xml:space="preserve"> </w:t>
      </w:r>
      <w:r w:rsidRPr="00047071">
        <w:rPr>
          <w:rFonts w:asciiTheme="minorHAnsi" w:hAnsiTheme="minorHAnsi"/>
          <w:sz w:val="20"/>
          <w:szCs w:val="20"/>
        </w:rPr>
        <w:t>најризичнијој групи испитаника припадају ученици ОШ Васа Чарапић у Београду и ОШ Херој Иван Мукер у Смедеревској Паланци јер су у највећем проценту одговорили да улицу треба прећи трчећи право преко ње.</w:t>
      </w:r>
      <w:r w:rsidR="00621DF4">
        <w:rPr>
          <w:rFonts w:asciiTheme="minorHAnsi" w:hAnsiTheme="minorHAnsi"/>
          <w:sz w:val="20"/>
          <w:szCs w:val="20"/>
        </w:rPr>
        <w:t xml:space="preserve"> </w:t>
      </w:r>
      <w:r w:rsidRPr="00621DF4">
        <w:rPr>
          <w:rStyle w:val="SubtleEmphasis"/>
          <w:i w:val="0"/>
          <w:sz w:val="20"/>
          <w:szCs w:val="20"/>
        </w:rPr>
        <w:t>Резултати истраживања показује да се ученици у оба подручја општине Смедеревска Паланка брже осамостаљују долазећи у школу сами од првог разреда за разлику од ученика у оба подручја града Београда који се теже одлучују на самостално долажење у школу из разлога веће површине града и интезивнијег саобраћаја, при чему</w:t>
      </w:r>
      <w:r w:rsidRPr="00047071">
        <w:rPr>
          <w:rFonts w:asciiTheme="minorHAnsi" w:hAnsiTheme="minorHAnsi"/>
          <w:sz w:val="20"/>
          <w:szCs w:val="20"/>
        </w:rPr>
        <w:t xml:space="preserve"> највећи број деце самостално креће да долази у школу у првом разреду, а тај степен осамостаљења опада са повећањем узраста, али такође постоји и велики број деце који се није осамосталио до четвртог разреда.</w:t>
      </w:r>
      <w:r w:rsidR="00621DF4">
        <w:rPr>
          <w:rFonts w:asciiTheme="minorHAnsi" w:hAnsiTheme="minorHAnsi"/>
          <w:i/>
          <w:sz w:val="20"/>
          <w:szCs w:val="20"/>
        </w:rPr>
        <w:t xml:space="preserve"> </w:t>
      </w:r>
      <w:r w:rsidRPr="00047071">
        <w:rPr>
          <w:rFonts w:asciiTheme="minorHAnsi" w:hAnsiTheme="minorHAnsi"/>
          <w:sz w:val="20"/>
          <w:szCs w:val="20"/>
        </w:rPr>
        <w:t>Такође су резултати показали да деца која о понашању у саобраћају добијају информације од родитеља и страјег брата/сестре правилно прелазе улицу за разлику од ученика који уче од родитеља и учитеља при чему у већем проценту неправилно прелазе улицу, док испитаници који информације о понашању у саобраћају добијају са више страна и када се сами ангажују да прочитају о томе имају веће знање од испитиваних ученика који информације добијају само од родитеља, док су други резултати показали да деца коју већи број особа упозорава на опасности у саобраћају правилно прелазе улицу на „зебри“ у односу на децу коју само учитељи упозоравају или нико.</w:t>
      </w:r>
      <w:r w:rsidR="00621DF4">
        <w:rPr>
          <w:rFonts w:asciiTheme="minorHAnsi" w:hAnsiTheme="minorHAnsi"/>
          <w:sz w:val="20"/>
          <w:szCs w:val="20"/>
        </w:rPr>
        <w:t xml:space="preserve"> </w:t>
      </w:r>
      <w:r w:rsidRPr="00047071">
        <w:rPr>
          <w:rFonts w:asciiTheme="minorHAnsi" w:hAnsiTheme="minorHAnsi"/>
          <w:sz w:val="20"/>
          <w:szCs w:val="20"/>
          <w:lang w:val="sr-Cyrl-CS"/>
        </w:rPr>
        <w:t xml:space="preserve">На основу спроведеног истраживања може се извести закључак да је неопходно целовито решење проблема свих учесника у саобраћају које ће дати добре ефекте и адекватно спровођење предложених мера како би се повећао ниво безбедности деце у саобраћају, такође је неопходна боља едукација учитеља и родитеља како би знање о правилном понашању у саобраћају умели на прави начин да пренесу деци, </w:t>
      </w:r>
      <w:r w:rsidRPr="00047071">
        <w:rPr>
          <w:rFonts w:asciiTheme="minorHAnsi" w:hAnsiTheme="minorHAnsi"/>
          <w:sz w:val="20"/>
          <w:szCs w:val="20"/>
          <w:lang w:val="sr-Latn-CS"/>
        </w:rPr>
        <w:t>адекватне техничко-регулативне мере у зони школа</w:t>
      </w:r>
      <w:r w:rsidRPr="00047071">
        <w:rPr>
          <w:rFonts w:asciiTheme="minorHAnsi" w:hAnsiTheme="minorHAnsi"/>
          <w:sz w:val="20"/>
          <w:szCs w:val="20"/>
        </w:rPr>
        <w:t>, нови пешачки прелази пре свега у руралним подручјима истраживања.</w:t>
      </w:r>
    </w:p>
    <w:p w:rsidR="00621DF4" w:rsidRDefault="00621DF4" w:rsidP="00621DF4">
      <w:pPr>
        <w:pStyle w:val="Heading1"/>
      </w:pPr>
      <w:r w:rsidRPr="006459FF">
        <w:t>ЛИТЕРАТУРА</w:t>
      </w:r>
    </w:p>
    <w:p w:rsidR="00CB1B6F" w:rsidRPr="008255F9" w:rsidRDefault="00CB1B6F" w:rsidP="00CB1B6F">
      <w:pPr>
        <w:jc w:val="both"/>
        <w:rPr>
          <w:rFonts w:asciiTheme="minorHAnsi" w:hAnsiTheme="minorHAnsi"/>
          <w:noProof/>
          <w:sz w:val="20"/>
          <w:szCs w:val="20"/>
          <w:lang w:val="sr-Cyrl-CS"/>
        </w:rPr>
      </w:pPr>
      <w:r w:rsidRPr="00CB1B6F">
        <w:rPr>
          <w:rFonts w:asciiTheme="minorHAnsi" w:hAnsiTheme="minorHAnsi"/>
          <w:sz w:val="20"/>
          <w:szCs w:val="20"/>
        </w:rPr>
        <w:t>[1]</w:t>
      </w:r>
      <w:r>
        <w:t xml:space="preserve"> </w:t>
      </w:r>
      <w:r w:rsidRPr="008255F9">
        <w:rPr>
          <w:rFonts w:asciiTheme="minorHAnsi" w:hAnsiTheme="minorHAnsi"/>
          <w:noProof/>
          <w:sz w:val="20"/>
          <w:szCs w:val="20"/>
          <w:lang w:val="sr-Cyrl-CS"/>
        </w:rPr>
        <w:t>Драгач,  Р.</w:t>
      </w:r>
      <w:r w:rsidRPr="008255F9">
        <w:rPr>
          <w:rFonts w:asciiTheme="minorHAnsi" w:hAnsiTheme="minorHAnsi"/>
          <w:noProof/>
          <w:sz w:val="20"/>
          <w:szCs w:val="20"/>
          <w:lang w:val="en-GB"/>
        </w:rPr>
        <w:t xml:space="preserve"> </w:t>
      </w:r>
      <w:r w:rsidRPr="008255F9">
        <w:rPr>
          <w:rFonts w:asciiTheme="minorHAnsi" w:hAnsiTheme="minorHAnsi"/>
          <w:sz w:val="20"/>
          <w:szCs w:val="20"/>
        </w:rPr>
        <w:t>„</w:t>
      </w:r>
      <w:r w:rsidRPr="008255F9">
        <w:rPr>
          <w:rFonts w:asciiTheme="minorHAnsi" w:hAnsiTheme="minorHAnsi"/>
          <w:noProof/>
          <w:sz w:val="20"/>
          <w:szCs w:val="20"/>
          <w:lang w:val="sr-Cyrl-CS"/>
        </w:rPr>
        <w:t>Припрема  деце  и  младих  за  безбедно  учешће  у саобраћају</w:t>
      </w:r>
      <w:r w:rsidRPr="008255F9">
        <w:rPr>
          <w:rFonts w:asciiTheme="minorHAnsi" w:hAnsiTheme="minorHAnsi"/>
          <w:noProof/>
          <w:sz w:val="20"/>
          <w:szCs w:val="20"/>
        </w:rPr>
        <w:t>“</w:t>
      </w:r>
      <w:r w:rsidRPr="008255F9">
        <w:rPr>
          <w:rFonts w:asciiTheme="minorHAnsi" w:hAnsiTheme="minorHAnsi"/>
          <w:noProof/>
          <w:sz w:val="20"/>
          <w:szCs w:val="20"/>
          <w:lang w:val="sr-Cyrl-CS"/>
        </w:rPr>
        <w:t xml:space="preserve">, </w:t>
      </w:r>
      <w:r w:rsidRPr="008255F9">
        <w:rPr>
          <w:rFonts w:asciiTheme="minorHAnsi" w:hAnsiTheme="minorHAnsi"/>
          <w:noProof/>
          <w:sz w:val="20"/>
          <w:szCs w:val="20"/>
        </w:rPr>
        <w:t>V</w:t>
      </w:r>
      <w:r w:rsidRPr="008255F9">
        <w:rPr>
          <w:rFonts w:asciiTheme="minorHAnsi" w:hAnsiTheme="minorHAnsi"/>
          <w:noProof/>
          <w:sz w:val="20"/>
          <w:szCs w:val="20"/>
          <w:lang w:val="sr-Cyrl-CS"/>
        </w:rPr>
        <w:t xml:space="preserve"> симпозијум  са  међународним  учешћем:  Превенција саобраћајних незгода на путевима 2004, Н. Сад, (2004.)</w:t>
      </w:r>
    </w:p>
    <w:p w:rsidR="00CB1B6F" w:rsidRPr="008255F9"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2</w:t>
      </w:r>
      <w:r w:rsidRPr="00CB1B6F">
        <w:rPr>
          <w:rFonts w:asciiTheme="minorHAnsi" w:hAnsiTheme="minorHAnsi"/>
          <w:sz w:val="20"/>
          <w:szCs w:val="20"/>
        </w:rPr>
        <w:t>]</w:t>
      </w:r>
      <w:r>
        <w:t xml:space="preserve"> </w:t>
      </w:r>
      <w:r w:rsidRPr="008255F9">
        <w:rPr>
          <w:rFonts w:asciiTheme="minorHAnsi" w:hAnsiTheme="minorHAnsi"/>
          <w:sz w:val="20"/>
          <w:szCs w:val="20"/>
        </w:rPr>
        <w:t>Агенција за безбедност саобраћаја Републике Србије, База података -http://www.abs.gov.rs/gis-baza</w:t>
      </w:r>
    </w:p>
    <w:p w:rsidR="00CB1B6F"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3</w:t>
      </w:r>
      <w:r w:rsidRPr="00CB1B6F">
        <w:rPr>
          <w:rFonts w:asciiTheme="minorHAnsi" w:hAnsiTheme="minorHAnsi"/>
          <w:sz w:val="20"/>
          <w:szCs w:val="20"/>
        </w:rPr>
        <w:t>]</w:t>
      </w:r>
      <w:r>
        <w:t xml:space="preserve"> </w:t>
      </w:r>
      <w:r w:rsidRPr="008255F9">
        <w:rPr>
          <w:rFonts w:asciiTheme="minorHAnsi" w:hAnsiTheme="minorHAnsi"/>
          <w:sz w:val="20"/>
          <w:szCs w:val="20"/>
        </w:rPr>
        <w:t>Child Road Safety in Rural Areas: Literature Review and Commentary, Department for Transport, (2002.)</w:t>
      </w:r>
    </w:p>
    <w:p w:rsidR="00CB1B6F" w:rsidRDefault="00CB1B6F" w:rsidP="00CB1B6F">
      <w:pPr>
        <w:jc w:val="both"/>
        <w:rPr>
          <w:rFonts w:asciiTheme="minorHAnsi" w:hAnsiTheme="minorHAnsi"/>
          <w:noProof/>
          <w:sz w:val="20"/>
          <w:szCs w:val="20"/>
        </w:rPr>
      </w:pPr>
      <w:r w:rsidRPr="00CB1B6F">
        <w:rPr>
          <w:rFonts w:asciiTheme="minorHAnsi" w:hAnsiTheme="minorHAnsi"/>
          <w:sz w:val="20"/>
          <w:szCs w:val="20"/>
        </w:rPr>
        <w:t>[</w:t>
      </w:r>
      <w:r>
        <w:rPr>
          <w:rFonts w:asciiTheme="minorHAnsi" w:hAnsiTheme="minorHAnsi"/>
          <w:sz w:val="20"/>
          <w:szCs w:val="20"/>
        </w:rPr>
        <w:t>4</w:t>
      </w:r>
      <w:r w:rsidRPr="00CB1B6F">
        <w:rPr>
          <w:rFonts w:asciiTheme="minorHAnsi" w:hAnsiTheme="minorHAnsi"/>
          <w:sz w:val="20"/>
          <w:szCs w:val="20"/>
        </w:rPr>
        <w:t>]</w:t>
      </w:r>
      <w:r>
        <w:t xml:space="preserve"> </w:t>
      </w:r>
      <w:r w:rsidRPr="008255F9">
        <w:rPr>
          <w:rFonts w:asciiTheme="minorHAnsi" w:hAnsiTheme="minorHAnsi"/>
          <w:noProof/>
          <w:sz w:val="20"/>
          <w:szCs w:val="20"/>
        </w:rPr>
        <w:t xml:space="preserve">Кукић, Д., Јовановић С., Липовац К.: </w:t>
      </w:r>
      <w:r w:rsidRPr="008255F9">
        <w:rPr>
          <w:rFonts w:asciiTheme="minorHAnsi" w:hAnsiTheme="minorHAnsi"/>
          <w:sz w:val="20"/>
          <w:szCs w:val="20"/>
        </w:rPr>
        <w:t>„</w:t>
      </w:r>
      <w:r w:rsidRPr="008255F9">
        <w:rPr>
          <w:rFonts w:asciiTheme="minorHAnsi" w:hAnsiTheme="minorHAnsi"/>
          <w:bCs/>
          <w:noProof/>
          <w:sz w:val="20"/>
          <w:szCs w:val="20"/>
        </w:rPr>
        <w:t>Мапе јавног и саобраћајног ризика страдања у насељима општина Републике Србије за 2010. годину”</w:t>
      </w:r>
      <w:r w:rsidRPr="008255F9">
        <w:rPr>
          <w:rFonts w:asciiTheme="minorHAnsi" w:hAnsiTheme="minorHAnsi"/>
          <w:noProof/>
          <w:sz w:val="20"/>
          <w:szCs w:val="20"/>
        </w:rPr>
        <w:t xml:space="preserve">, Vi стручни семинар </w:t>
      </w:r>
      <w:r w:rsidRPr="008255F9">
        <w:rPr>
          <w:rFonts w:asciiTheme="minorHAnsi" w:hAnsiTheme="minorHAnsi"/>
          <w:i/>
          <w:iCs/>
          <w:noProof/>
          <w:sz w:val="20"/>
          <w:szCs w:val="20"/>
        </w:rPr>
        <w:t>„</w:t>
      </w:r>
      <w:r w:rsidRPr="008255F9">
        <w:rPr>
          <w:rFonts w:asciiTheme="minorHAnsi" w:hAnsiTheme="minorHAnsi"/>
          <w:noProof/>
          <w:sz w:val="20"/>
          <w:szCs w:val="20"/>
        </w:rPr>
        <w:t>Улога локалне заједнице у безбедности саобраћаја</w:t>
      </w:r>
      <w:r w:rsidRPr="008255F9">
        <w:rPr>
          <w:rFonts w:asciiTheme="minorHAnsi" w:hAnsiTheme="minorHAnsi"/>
          <w:i/>
          <w:iCs/>
          <w:noProof/>
          <w:sz w:val="20"/>
          <w:szCs w:val="20"/>
        </w:rPr>
        <w:t xml:space="preserve">”, </w:t>
      </w:r>
      <w:r w:rsidRPr="008255F9">
        <w:rPr>
          <w:rFonts w:asciiTheme="minorHAnsi" w:hAnsiTheme="minorHAnsi"/>
          <w:noProof/>
          <w:sz w:val="20"/>
          <w:szCs w:val="20"/>
        </w:rPr>
        <w:t>Дивчибаре, (2011.)</w:t>
      </w:r>
    </w:p>
    <w:p w:rsidR="00CB1B6F" w:rsidRDefault="00CB1B6F" w:rsidP="00CB1B6F">
      <w:pPr>
        <w:jc w:val="both"/>
        <w:rPr>
          <w:rFonts w:asciiTheme="minorHAnsi" w:hAnsiTheme="minorHAnsi"/>
          <w:bCs/>
          <w:sz w:val="20"/>
          <w:szCs w:val="20"/>
        </w:rPr>
      </w:pPr>
      <w:r w:rsidRPr="00CB1B6F">
        <w:rPr>
          <w:rFonts w:asciiTheme="minorHAnsi" w:hAnsiTheme="minorHAnsi"/>
          <w:sz w:val="20"/>
          <w:szCs w:val="20"/>
        </w:rPr>
        <w:t>[</w:t>
      </w:r>
      <w:r>
        <w:rPr>
          <w:rFonts w:asciiTheme="minorHAnsi" w:hAnsiTheme="minorHAnsi"/>
          <w:sz w:val="20"/>
          <w:szCs w:val="20"/>
        </w:rPr>
        <w:t>5</w:t>
      </w:r>
      <w:r w:rsidRPr="00CB1B6F">
        <w:rPr>
          <w:rFonts w:asciiTheme="minorHAnsi" w:hAnsiTheme="minorHAnsi"/>
          <w:sz w:val="20"/>
          <w:szCs w:val="20"/>
        </w:rPr>
        <w:t>]</w:t>
      </w:r>
      <w:r>
        <w:t xml:space="preserve"> </w:t>
      </w:r>
      <w:r w:rsidRPr="008255F9">
        <w:rPr>
          <w:rFonts w:asciiTheme="minorHAnsi" w:hAnsiTheme="minorHAnsi"/>
          <w:bCs/>
          <w:sz w:val="20"/>
          <w:szCs w:val="20"/>
        </w:rPr>
        <w:t xml:space="preserve">Laher, H., Seedat, M., Gantchev, G.: </w:t>
      </w:r>
      <w:r w:rsidRPr="008255F9">
        <w:rPr>
          <w:rFonts w:asciiTheme="minorHAnsi" w:hAnsiTheme="minorHAnsi"/>
          <w:sz w:val="20"/>
          <w:szCs w:val="20"/>
        </w:rPr>
        <w:t>„</w:t>
      </w:r>
      <w:r w:rsidRPr="008255F9">
        <w:rPr>
          <w:rFonts w:asciiTheme="minorHAnsi" w:hAnsiTheme="minorHAnsi"/>
          <w:bCs/>
          <w:sz w:val="20"/>
          <w:szCs w:val="20"/>
        </w:rPr>
        <w:t xml:space="preserve">Urban and rural differences in child injury deaths in South Africa: A one-year review”, </w:t>
      </w:r>
      <w:r w:rsidRPr="008255F9">
        <w:rPr>
          <w:rFonts w:asciiTheme="minorHAnsi" w:hAnsiTheme="minorHAnsi" w:cs="DelargoDT-Light"/>
          <w:sz w:val="20"/>
          <w:szCs w:val="20"/>
        </w:rPr>
        <w:t>Accident Analysis and Prevention</w:t>
      </w:r>
      <w:r w:rsidRPr="008255F9">
        <w:rPr>
          <w:rFonts w:asciiTheme="minorHAnsi" w:hAnsiTheme="minorHAnsi"/>
          <w:bCs/>
          <w:sz w:val="20"/>
          <w:szCs w:val="20"/>
        </w:rPr>
        <w:t>, (2012.)</w:t>
      </w:r>
    </w:p>
    <w:p w:rsidR="00CB1B6F" w:rsidRDefault="00CB1B6F" w:rsidP="00CB1B6F">
      <w:pPr>
        <w:jc w:val="both"/>
        <w:rPr>
          <w:rFonts w:asciiTheme="minorHAnsi" w:hAnsiTheme="minorHAnsi"/>
          <w:sz w:val="20"/>
          <w:szCs w:val="20"/>
          <w:lang w:val="sr-Cyrl-BA"/>
        </w:rPr>
      </w:pPr>
      <w:r w:rsidRPr="00CB1B6F">
        <w:rPr>
          <w:rFonts w:asciiTheme="minorHAnsi" w:hAnsiTheme="minorHAnsi"/>
          <w:sz w:val="20"/>
          <w:szCs w:val="20"/>
        </w:rPr>
        <w:t>[</w:t>
      </w:r>
      <w:r>
        <w:rPr>
          <w:rFonts w:asciiTheme="minorHAnsi" w:hAnsiTheme="minorHAnsi"/>
          <w:sz w:val="20"/>
          <w:szCs w:val="20"/>
        </w:rPr>
        <w:t>6</w:t>
      </w:r>
      <w:r w:rsidRPr="00CB1B6F">
        <w:rPr>
          <w:rFonts w:asciiTheme="minorHAnsi" w:hAnsiTheme="minorHAnsi"/>
          <w:sz w:val="20"/>
          <w:szCs w:val="20"/>
        </w:rPr>
        <w:t>]</w:t>
      </w:r>
      <w:r>
        <w:t xml:space="preserve"> </w:t>
      </w:r>
      <w:r w:rsidRPr="008255F9">
        <w:rPr>
          <w:rFonts w:asciiTheme="minorHAnsi" w:hAnsiTheme="minorHAnsi"/>
          <w:sz w:val="20"/>
          <w:szCs w:val="20"/>
          <w:lang w:val="sr-Cyrl-BA"/>
        </w:rPr>
        <w:t>Липовац</w:t>
      </w:r>
      <w:r w:rsidRPr="008255F9">
        <w:rPr>
          <w:rFonts w:asciiTheme="minorHAnsi" w:hAnsiTheme="minorHAnsi"/>
          <w:sz w:val="20"/>
          <w:szCs w:val="20"/>
        </w:rPr>
        <w:t>,</w:t>
      </w:r>
      <w:r w:rsidRPr="008255F9">
        <w:rPr>
          <w:rFonts w:asciiTheme="minorHAnsi" w:hAnsiTheme="minorHAnsi"/>
          <w:sz w:val="20"/>
          <w:szCs w:val="20"/>
          <w:lang w:val="sr-Cyrl-BA"/>
        </w:rPr>
        <w:t xml:space="preserve"> К., Јованов</w:t>
      </w:r>
      <w:r w:rsidRPr="008255F9">
        <w:rPr>
          <w:rFonts w:asciiTheme="minorHAnsi" w:hAnsiTheme="minorHAnsi"/>
          <w:sz w:val="20"/>
          <w:szCs w:val="20"/>
        </w:rPr>
        <w:t>,</w:t>
      </w:r>
      <w:r w:rsidRPr="008255F9">
        <w:rPr>
          <w:rFonts w:asciiTheme="minorHAnsi" w:hAnsiTheme="minorHAnsi"/>
          <w:sz w:val="20"/>
          <w:szCs w:val="20"/>
          <w:lang w:val="sr-Cyrl-BA"/>
        </w:rPr>
        <w:t xml:space="preserve"> Д., Нешић</w:t>
      </w:r>
      <w:r w:rsidRPr="008255F9">
        <w:rPr>
          <w:rFonts w:asciiTheme="minorHAnsi" w:hAnsiTheme="minorHAnsi"/>
          <w:sz w:val="20"/>
          <w:szCs w:val="20"/>
        </w:rPr>
        <w:t>,</w:t>
      </w:r>
      <w:r w:rsidRPr="008255F9">
        <w:rPr>
          <w:rFonts w:asciiTheme="minorHAnsi" w:hAnsiTheme="minorHAnsi"/>
          <w:sz w:val="20"/>
          <w:szCs w:val="20"/>
          <w:lang w:val="sr-Cyrl-BA"/>
        </w:rPr>
        <w:t xml:space="preserve"> М.</w:t>
      </w:r>
      <w:r w:rsidRPr="008255F9">
        <w:rPr>
          <w:rFonts w:asciiTheme="minorHAnsi" w:hAnsiTheme="minorHAnsi"/>
          <w:sz w:val="20"/>
          <w:szCs w:val="20"/>
        </w:rPr>
        <w:t>:</w:t>
      </w:r>
      <w:r w:rsidRPr="008255F9">
        <w:rPr>
          <w:rFonts w:asciiTheme="minorHAnsi" w:hAnsiTheme="minorHAnsi"/>
          <w:sz w:val="20"/>
          <w:szCs w:val="20"/>
          <w:lang w:val="sr-Cyrl-BA"/>
        </w:rPr>
        <w:t xml:space="preserve"> „Унапређење безбедности деце у саобраћају – елаборат саобраћајног образовања и васпитања за основну школу “, </w:t>
      </w:r>
      <w:r w:rsidRPr="008255F9">
        <w:rPr>
          <w:rFonts w:asciiTheme="minorHAnsi" w:hAnsiTheme="minorHAnsi"/>
          <w:sz w:val="20"/>
          <w:szCs w:val="20"/>
        </w:rPr>
        <w:t xml:space="preserve">II </w:t>
      </w:r>
      <w:r w:rsidRPr="008255F9">
        <w:rPr>
          <w:rFonts w:asciiTheme="minorHAnsi" w:hAnsiTheme="minorHAnsi"/>
          <w:sz w:val="20"/>
          <w:szCs w:val="20"/>
          <w:lang w:val="sr-Cyrl-BA"/>
        </w:rPr>
        <w:t>семинар, Улога локалне заједнице у безбедности саобраћаја; Саобраћајни факултет, Београд</w:t>
      </w:r>
      <w:r w:rsidRPr="008255F9">
        <w:rPr>
          <w:rFonts w:asciiTheme="minorHAnsi" w:hAnsiTheme="minorHAnsi"/>
          <w:sz w:val="20"/>
          <w:szCs w:val="20"/>
        </w:rPr>
        <w:t>,</w:t>
      </w:r>
      <w:r w:rsidRPr="008255F9">
        <w:rPr>
          <w:rFonts w:asciiTheme="minorHAnsi" w:hAnsiTheme="minorHAnsi"/>
          <w:sz w:val="20"/>
          <w:szCs w:val="20"/>
          <w:lang w:val="sr-Cyrl-BA"/>
        </w:rPr>
        <w:t xml:space="preserve"> (2007.)</w:t>
      </w:r>
    </w:p>
    <w:p w:rsidR="00CB1B6F"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7</w:t>
      </w:r>
      <w:r w:rsidRPr="00CB1B6F">
        <w:rPr>
          <w:rFonts w:asciiTheme="minorHAnsi" w:hAnsiTheme="minorHAnsi"/>
          <w:sz w:val="20"/>
          <w:szCs w:val="20"/>
        </w:rPr>
        <w:t>]</w:t>
      </w:r>
      <w:r>
        <w:t xml:space="preserve"> </w:t>
      </w:r>
      <w:r w:rsidRPr="008255F9">
        <w:rPr>
          <w:rFonts w:asciiTheme="minorHAnsi" w:hAnsiTheme="minorHAnsi"/>
          <w:sz w:val="20"/>
          <w:szCs w:val="20"/>
        </w:rPr>
        <w:t>Липовац, К., Јовановић, Д., Башић, С.: „Угроженост деце и старих у саобраћају-расподела ризика по општинама у Србији”, II семинар „Улога локалне заједнице у безбедности саобраћаја“, Саобраћајни факултет, Београд, (2007.)</w:t>
      </w:r>
    </w:p>
    <w:p w:rsidR="00CB1B6F" w:rsidRDefault="00CB1B6F" w:rsidP="00CB1B6F">
      <w:pPr>
        <w:jc w:val="both"/>
        <w:rPr>
          <w:rFonts w:asciiTheme="minorHAnsi" w:hAnsiTheme="minorHAnsi"/>
          <w:noProof/>
          <w:sz w:val="20"/>
          <w:szCs w:val="20"/>
        </w:rPr>
      </w:pPr>
      <w:r w:rsidRPr="00CB1B6F">
        <w:rPr>
          <w:rFonts w:asciiTheme="minorHAnsi" w:hAnsiTheme="minorHAnsi"/>
          <w:sz w:val="20"/>
          <w:szCs w:val="20"/>
        </w:rPr>
        <w:t>[</w:t>
      </w:r>
      <w:r>
        <w:rPr>
          <w:rFonts w:asciiTheme="minorHAnsi" w:hAnsiTheme="minorHAnsi"/>
          <w:sz w:val="20"/>
          <w:szCs w:val="20"/>
        </w:rPr>
        <w:t>8</w:t>
      </w:r>
      <w:r w:rsidRPr="00CB1B6F">
        <w:rPr>
          <w:rFonts w:asciiTheme="minorHAnsi" w:hAnsiTheme="minorHAnsi"/>
          <w:sz w:val="20"/>
          <w:szCs w:val="20"/>
        </w:rPr>
        <w:t>]</w:t>
      </w:r>
      <w:r>
        <w:t xml:space="preserve"> </w:t>
      </w:r>
      <w:r w:rsidRPr="008255F9">
        <w:rPr>
          <w:rFonts w:asciiTheme="minorHAnsi" w:hAnsiTheme="minorHAnsi"/>
          <w:noProof/>
          <w:sz w:val="20"/>
          <w:szCs w:val="20"/>
          <w:lang w:val="sr-Latn-CS"/>
        </w:rPr>
        <w:t xml:space="preserve">Пешић, </w:t>
      </w:r>
      <w:r w:rsidRPr="008255F9">
        <w:rPr>
          <w:rFonts w:asciiTheme="minorHAnsi" w:hAnsiTheme="minorHAnsi"/>
          <w:noProof/>
          <w:sz w:val="20"/>
          <w:szCs w:val="20"/>
        </w:rPr>
        <w:t xml:space="preserve">Д., </w:t>
      </w:r>
      <w:r w:rsidRPr="008255F9">
        <w:rPr>
          <w:rFonts w:asciiTheme="minorHAnsi" w:hAnsiTheme="minorHAnsi"/>
          <w:noProof/>
          <w:sz w:val="20"/>
          <w:szCs w:val="20"/>
          <w:lang w:val="sr-Latn-CS"/>
        </w:rPr>
        <w:t>Божовић, M</w:t>
      </w:r>
      <w:r w:rsidRPr="008255F9">
        <w:rPr>
          <w:rFonts w:asciiTheme="minorHAnsi" w:hAnsiTheme="minorHAnsi"/>
          <w:noProof/>
          <w:sz w:val="20"/>
          <w:szCs w:val="20"/>
        </w:rPr>
        <w:t xml:space="preserve">., </w:t>
      </w:r>
      <w:r w:rsidRPr="008255F9">
        <w:rPr>
          <w:rFonts w:asciiTheme="minorHAnsi" w:hAnsiTheme="minorHAnsi"/>
          <w:noProof/>
          <w:sz w:val="20"/>
          <w:szCs w:val="20"/>
          <w:lang w:val="sr-Latn-CS"/>
        </w:rPr>
        <w:t xml:space="preserve">Марковић </w:t>
      </w:r>
      <w:r w:rsidRPr="008255F9">
        <w:rPr>
          <w:rFonts w:asciiTheme="minorHAnsi" w:hAnsiTheme="minorHAnsi"/>
          <w:noProof/>
          <w:sz w:val="20"/>
          <w:szCs w:val="20"/>
        </w:rPr>
        <w:t xml:space="preserve">Н., </w:t>
      </w:r>
      <w:r w:rsidRPr="008255F9">
        <w:rPr>
          <w:rFonts w:asciiTheme="minorHAnsi" w:hAnsiTheme="minorHAnsi"/>
          <w:noProof/>
          <w:sz w:val="20"/>
          <w:szCs w:val="20"/>
          <w:lang w:val="sr-Latn-CS"/>
        </w:rPr>
        <w:t>Вујанић</w:t>
      </w:r>
      <w:r w:rsidRPr="008255F9">
        <w:rPr>
          <w:rFonts w:asciiTheme="minorHAnsi" w:hAnsiTheme="minorHAnsi"/>
          <w:noProof/>
          <w:sz w:val="20"/>
          <w:szCs w:val="20"/>
        </w:rPr>
        <w:t xml:space="preserve"> М.: </w:t>
      </w:r>
      <w:r w:rsidRPr="008255F9">
        <w:rPr>
          <w:rFonts w:asciiTheme="minorHAnsi" w:hAnsiTheme="minorHAnsi"/>
          <w:sz w:val="20"/>
          <w:szCs w:val="20"/>
        </w:rPr>
        <w:t>„</w:t>
      </w:r>
      <w:r w:rsidRPr="008255F9">
        <w:rPr>
          <w:rFonts w:asciiTheme="minorHAnsi" w:hAnsiTheme="minorHAnsi"/>
          <w:noProof/>
          <w:sz w:val="20"/>
          <w:szCs w:val="20"/>
          <w:lang w:val="sr-Latn-CS"/>
        </w:rPr>
        <w:t>Значај  анализе саобраћајних незгода са учешћем деце у Београду за повећање нивоа безбедности саобраћаја у локалним заједницама“</w:t>
      </w:r>
      <w:r w:rsidRPr="008255F9">
        <w:rPr>
          <w:rFonts w:asciiTheme="minorHAnsi" w:hAnsiTheme="minorHAnsi"/>
          <w:noProof/>
          <w:sz w:val="20"/>
          <w:szCs w:val="20"/>
        </w:rPr>
        <w:t xml:space="preserve">, </w:t>
      </w:r>
      <w:r w:rsidRPr="008255F9">
        <w:rPr>
          <w:rFonts w:asciiTheme="minorHAnsi" w:hAnsiTheme="minorHAnsi"/>
          <w:noProof/>
          <w:sz w:val="20"/>
          <w:szCs w:val="20"/>
          <w:lang w:val="sr-Latn-CS"/>
        </w:rPr>
        <w:t xml:space="preserve">IV стручни семинар "Улога локалне заједнице у безбедности саобраћаја" Криминалистичко – полицијска академија, Земун, октобар, </w:t>
      </w:r>
      <w:r w:rsidRPr="008255F9">
        <w:rPr>
          <w:rFonts w:asciiTheme="minorHAnsi" w:hAnsiTheme="minorHAnsi"/>
          <w:noProof/>
          <w:sz w:val="20"/>
          <w:szCs w:val="20"/>
        </w:rPr>
        <w:t>(</w:t>
      </w:r>
      <w:r w:rsidRPr="008255F9">
        <w:rPr>
          <w:rFonts w:asciiTheme="minorHAnsi" w:hAnsiTheme="minorHAnsi"/>
          <w:noProof/>
          <w:sz w:val="20"/>
          <w:szCs w:val="20"/>
          <w:lang w:val="sr-Latn-CS"/>
        </w:rPr>
        <w:t>2009.</w:t>
      </w:r>
      <w:r w:rsidRPr="008255F9">
        <w:rPr>
          <w:rFonts w:asciiTheme="minorHAnsi" w:hAnsiTheme="minorHAnsi"/>
          <w:noProof/>
          <w:sz w:val="20"/>
          <w:szCs w:val="20"/>
        </w:rPr>
        <w:t>)</w:t>
      </w:r>
    </w:p>
    <w:p w:rsidR="00CB1B6F" w:rsidRPr="008255F9" w:rsidRDefault="00CB1B6F" w:rsidP="00CB1B6F">
      <w:pPr>
        <w:jc w:val="both"/>
        <w:rPr>
          <w:rFonts w:asciiTheme="minorHAnsi" w:hAnsiTheme="minorHAnsi"/>
          <w:sz w:val="20"/>
          <w:szCs w:val="20"/>
        </w:rPr>
      </w:pPr>
      <w:r w:rsidRPr="00CB1B6F">
        <w:rPr>
          <w:rFonts w:asciiTheme="minorHAnsi" w:hAnsiTheme="minorHAnsi"/>
          <w:sz w:val="20"/>
          <w:szCs w:val="20"/>
        </w:rPr>
        <w:t>[</w:t>
      </w:r>
      <w:r>
        <w:rPr>
          <w:rFonts w:asciiTheme="minorHAnsi" w:hAnsiTheme="minorHAnsi"/>
          <w:sz w:val="20"/>
          <w:szCs w:val="20"/>
        </w:rPr>
        <w:t>9</w:t>
      </w:r>
      <w:r w:rsidRPr="00CB1B6F">
        <w:rPr>
          <w:rFonts w:asciiTheme="minorHAnsi" w:hAnsiTheme="minorHAnsi"/>
          <w:sz w:val="20"/>
          <w:szCs w:val="20"/>
        </w:rPr>
        <w:t>]</w:t>
      </w:r>
      <w:r>
        <w:t xml:space="preserve"> </w:t>
      </w:r>
      <w:r w:rsidRPr="008255F9">
        <w:rPr>
          <w:rFonts w:asciiTheme="minorHAnsi" w:hAnsiTheme="minorHAnsi"/>
          <w:sz w:val="20"/>
          <w:szCs w:val="20"/>
        </w:rPr>
        <w:t>Вујанић, М.: „Безбедност деце у саобраћају у Београду”, Саобраћајни факултет у Београду, Београд (1999.)</w:t>
      </w:r>
    </w:p>
    <w:p w:rsidR="00A80E7D" w:rsidRDefault="00CB1B6F" w:rsidP="00CB1B6F">
      <w:pPr>
        <w:jc w:val="both"/>
        <w:rPr>
          <w:rFonts w:asciiTheme="minorHAnsi" w:hAnsiTheme="minorHAnsi"/>
          <w:sz w:val="20"/>
          <w:szCs w:val="20"/>
        </w:rPr>
      </w:pPr>
      <w:r w:rsidRPr="00CB1B6F">
        <w:rPr>
          <w:rFonts w:asciiTheme="minorHAnsi" w:hAnsiTheme="minorHAnsi"/>
          <w:sz w:val="20"/>
          <w:szCs w:val="20"/>
        </w:rPr>
        <w:t>[1</w:t>
      </w:r>
      <w:r>
        <w:rPr>
          <w:rFonts w:asciiTheme="minorHAnsi" w:hAnsiTheme="minorHAnsi"/>
          <w:sz w:val="20"/>
          <w:szCs w:val="20"/>
        </w:rPr>
        <w:t>0</w:t>
      </w:r>
      <w:r w:rsidRPr="00CB1B6F">
        <w:rPr>
          <w:rFonts w:asciiTheme="minorHAnsi" w:hAnsiTheme="minorHAnsi"/>
          <w:sz w:val="20"/>
          <w:szCs w:val="20"/>
        </w:rPr>
        <w:t>]</w:t>
      </w:r>
      <w:r>
        <w:t xml:space="preserve"> </w:t>
      </w:r>
      <w:r w:rsidRPr="008255F9">
        <w:rPr>
          <w:rFonts w:asciiTheme="minorHAnsi" w:hAnsiTheme="minorHAnsi"/>
          <w:sz w:val="20"/>
          <w:szCs w:val="20"/>
        </w:rPr>
        <w:t>World Health Organization: „Global status report on road safety Time for action“, Geneva, (2009.)</w:t>
      </w:r>
    </w:p>
    <w:p w:rsidR="00883295" w:rsidRPr="00883295" w:rsidRDefault="00883295" w:rsidP="00CB1B6F">
      <w:pPr>
        <w:jc w:val="both"/>
        <w:rPr>
          <w:rFonts w:asciiTheme="minorHAnsi" w:hAnsiTheme="minorHAnsi"/>
          <w:sz w:val="20"/>
          <w:szCs w:val="20"/>
        </w:rPr>
      </w:pPr>
      <w:r w:rsidRPr="00CB1B6F">
        <w:rPr>
          <w:rFonts w:asciiTheme="minorHAnsi" w:hAnsiTheme="minorHAnsi"/>
          <w:sz w:val="20"/>
          <w:szCs w:val="20"/>
        </w:rPr>
        <w:t>[1</w:t>
      </w:r>
      <w:r>
        <w:rPr>
          <w:rFonts w:asciiTheme="minorHAnsi" w:hAnsiTheme="minorHAnsi"/>
          <w:sz w:val="20"/>
          <w:szCs w:val="20"/>
        </w:rPr>
        <w:t>1</w:t>
      </w:r>
      <w:r w:rsidRPr="00CB1B6F">
        <w:rPr>
          <w:rFonts w:asciiTheme="minorHAnsi" w:hAnsiTheme="minorHAnsi"/>
          <w:sz w:val="20"/>
          <w:szCs w:val="20"/>
        </w:rPr>
        <w:t>]</w:t>
      </w:r>
      <w:r>
        <w:t xml:space="preserve"> </w:t>
      </w:r>
      <w:r w:rsidRPr="00883295">
        <w:rPr>
          <w:rFonts w:asciiTheme="minorHAnsi" w:hAnsiTheme="minorHAnsi"/>
          <w:sz w:val="20"/>
          <w:szCs w:val="20"/>
        </w:rPr>
        <w:t>World Health Organization:</w:t>
      </w:r>
      <w:r w:rsidRPr="00883295">
        <w:rPr>
          <w:rFonts w:asciiTheme="minorHAnsi" w:hAnsiTheme="minorHAnsi"/>
          <w:sz w:val="20"/>
          <w:szCs w:val="20"/>
          <w:lang w:val="sr-Latn-CS"/>
        </w:rPr>
        <w:t xml:space="preserve"> </w:t>
      </w:r>
      <w:r w:rsidRPr="00883295">
        <w:rPr>
          <w:rFonts w:asciiTheme="minorHAnsi" w:hAnsiTheme="minorHAnsi"/>
          <w:sz w:val="20"/>
          <w:szCs w:val="20"/>
        </w:rPr>
        <w:t>„</w:t>
      </w:r>
      <w:r w:rsidRPr="00883295">
        <w:rPr>
          <w:rFonts w:asciiTheme="minorHAnsi" w:hAnsiTheme="minorHAnsi"/>
          <w:sz w:val="20"/>
          <w:szCs w:val="20"/>
          <w:lang w:val="sr-Latn-CS"/>
        </w:rPr>
        <w:t>Youth and road safety</w:t>
      </w:r>
      <w:r w:rsidRPr="00883295">
        <w:rPr>
          <w:rFonts w:asciiTheme="minorHAnsi" w:hAnsiTheme="minorHAnsi"/>
          <w:sz w:val="20"/>
          <w:szCs w:val="20"/>
        </w:rPr>
        <w:t>“</w:t>
      </w:r>
      <w:r w:rsidRPr="00883295">
        <w:rPr>
          <w:rFonts w:asciiTheme="minorHAnsi" w:hAnsiTheme="minorHAnsi"/>
          <w:sz w:val="20"/>
          <w:szCs w:val="20"/>
          <w:lang w:val="sr-Latn-CS"/>
        </w:rPr>
        <w:t xml:space="preserve">, </w:t>
      </w:r>
      <w:r w:rsidRPr="00883295">
        <w:rPr>
          <w:rFonts w:asciiTheme="minorHAnsi" w:hAnsiTheme="minorHAnsi"/>
          <w:sz w:val="20"/>
          <w:szCs w:val="20"/>
        </w:rPr>
        <w:t>Geneva, (2007.)</w:t>
      </w:r>
    </w:p>
    <w:sectPr w:rsidR="00883295" w:rsidRPr="00883295" w:rsidSect="001560A3">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243" w:rsidRDefault="004B7243" w:rsidP="004A4828">
      <w:r>
        <w:separator/>
      </w:r>
    </w:p>
  </w:endnote>
  <w:endnote w:type="continuationSeparator" w:id="0">
    <w:p w:rsidR="004B7243" w:rsidRDefault="004B7243"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DelargoD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001F9F"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25B95">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001F9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25B95">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001F9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25B95">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243" w:rsidRDefault="004B7243" w:rsidP="004A4828">
      <w:r>
        <w:separator/>
      </w:r>
    </w:p>
  </w:footnote>
  <w:footnote w:type="continuationSeparator" w:id="0">
    <w:p w:rsidR="004B7243" w:rsidRDefault="004B7243"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Header"/>
      <w:jc w:val="center"/>
      <w:rPr>
        <w:rFonts w:asciiTheme="minorHAnsi" w:hAnsiTheme="minorHAnsi"/>
        <w:sz w:val="16"/>
        <w:szCs w:val="16"/>
      </w:rPr>
    </w:pPr>
    <w:r w:rsidRPr="00B17DA9">
      <w:rPr>
        <w:rFonts w:asciiTheme="minorHAnsi" w:hAnsiTheme="minorHAnsi"/>
        <w:sz w:val="16"/>
        <w:szCs w:val="16"/>
      </w:rPr>
      <w:t>Име и презиме аутора, Име и презиме аутора</w:t>
    </w:r>
  </w:p>
  <w:p w:rsidR="00D4333B" w:rsidRPr="00B17DA9" w:rsidRDefault="00D4333B" w:rsidP="00D4333B">
    <w:pPr>
      <w:pStyle w:val="Header"/>
      <w:jc w:val="center"/>
      <w:rPr>
        <w:rFonts w:asciiTheme="minorHAnsi" w:hAnsiTheme="minorHAnsi"/>
        <w:sz w:val="16"/>
        <w:szCs w:val="16"/>
      </w:rPr>
    </w:pPr>
    <w:r w:rsidRPr="00B17DA9">
      <w:rPr>
        <w:rFonts w:asciiTheme="minorHAnsi" w:hAnsiTheme="minorHAnsi"/>
        <w:sz w:val="16"/>
        <w:szCs w:val="16"/>
      </w:rPr>
      <w:t>НАЗИВ РАДА НА СРПСКОМ ЈЕЗИКУ</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rPr>
    </w:pPr>
    <w:r w:rsidRPr="0064534C">
      <w:rPr>
        <w:rFonts w:asciiTheme="minorHAnsi" w:hAnsiTheme="minorHAnsi"/>
        <w:sz w:val="16"/>
        <w:szCs w:val="16"/>
      </w:rPr>
      <w:t>5</w:t>
    </w:r>
    <w:r w:rsidR="00D4333B" w:rsidRPr="0064534C">
      <w:rPr>
        <w:rFonts w:asciiTheme="minorHAnsi" w:hAnsiTheme="minorHAnsi"/>
        <w:sz w:val="16"/>
        <w:szCs w:val="16"/>
      </w:rPr>
      <w:t>. Међународна Конференција</w:t>
    </w:r>
  </w:p>
  <w:p w:rsidR="00384E97" w:rsidRPr="0064534C" w:rsidRDefault="00D4333B" w:rsidP="00D4333B">
    <w:pPr>
      <w:pStyle w:val="Header"/>
      <w:jc w:val="center"/>
      <w:rPr>
        <w:rFonts w:asciiTheme="minorHAnsi" w:hAnsiTheme="minorHAnsi"/>
        <w:sz w:val="16"/>
        <w:szCs w:val="16"/>
      </w:rPr>
    </w:pPr>
    <w:r w:rsidRPr="0064534C">
      <w:rPr>
        <w:rFonts w:asciiTheme="minorHAnsi" w:hAnsiTheme="minorHAnsi"/>
        <w:sz w:val="16"/>
        <w:szCs w:val="16"/>
      </w:rPr>
      <w:t>„Безб</w:t>
    </w:r>
    <w:r w:rsidR="0064534C" w:rsidRPr="0064534C">
      <w:rPr>
        <w:rFonts w:asciiTheme="minorHAnsi" w:hAnsiTheme="minorHAnsi"/>
        <w:sz w:val="16"/>
        <w:szCs w:val="16"/>
      </w:rPr>
      <w:t>ј</w:t>
    </w:r>
    <w:r w:rsidRPr="0064534C">
      <w:rPr>
        <w:rFonts w:asciiTheme="minorHAnsi" w:hAnsiTheme="minorHAnsi"/>
        <w:sz w:val="16"/>
        <w:szCs w:val="16"/>
      </w:rPr>
      <w:t xml:space="preserve">едност саобраћаја у локалној заједници“, </w:t>
    </w:r>
    <w:r w:rsidR="0064534C" w:rsidRPr="0064534C">
      <w:rPr>
        <w:rFonts w:asciiTheme="minorHAnsi" w:hAnsiTheme="minorHAnsi"/>
        <w:sz w:val="16"/>
        <w:szCs w:val="16"/>
      </w:rPr>
      <w:t>Република Српска, Бања Лука, 27 – 28. октобар</w:t>
    </w:r>
    <w:r w:rsidRPr="0064534C">
      <w:rPr>
        <w:rFonts w:asciiTheme="minorHAnsi" w:hAnsiTheme="minorHAnsi"/>
        <w:sz w:val="16"/>
        <w:szCs w:val="16"/>
      </w:rPr>
      <w:t xml:space="preserve"> 201</w:t>
    </w:r>
    <w:r w:rsidR="006E2C7F" w:rsidRPr="0064534C">
      <w:rPr>
        <w:rFonts w:asciiTheme="minorHAnsi" w:hAnsiTheme="minorHAnsi"/>
        <w:sz w:val="16"/>
        <w:szCs w:val="16"/>
      </w:rPr>
      <w:t>6</w:t>
    </w:r>
    <w:r w:rsidRPr="0064534C">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sidR="00177686" w:rsidRPr="00E80CBE">
            <w:rPr>
              <w:rFonts w:asciiTheme="minorHAnsi" w:hAnsiTheme="minorHAnsi"/>
              <w:b/>
              <w:bCs/>
              <w:i/>
              <w:iCs/>
              <w:sz w:val="14"/>
              <w:szCs w:val="14"/>
            </w:rPr>
            <w:t xml:space="preserve">Међународна </w:t>
          </w:r>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r w:rsidR="004730BD" w:rsidRPr="00E80CBE">
            <w:rPr>
              <w:rFonts w:asciiTheme="minorHAnsi" w:hAnsiTheme="minorHAnsi"/>
              <w:b/>
              <w:bCs/>
              <w:i/>
              <w:iCs/>
              <w:sz w:val="14"/>
              <w:szCs w:val="14"/>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rPr>
            <w:t>едност саобраћаја у локалној заједници“</w:t>
          </w:r>
          <w:r w:rsidR="004730BD" w:rsidRPr="00E80CBE">
            <w:rPr>
              <w:rFonts w:asciiTheme="minorHAnsi" w:hAnsiTheme="minorHAnsi"/>
              <w:b/>
              <w:bCs/>
              <w:i/>
              <w:iCs/>
              <w:sz w:val="14"/>
              <w:szCs w:val="14"/>
            </w:rPr>
            <w:br/>
          </w:r>
          <w:r w:rsidR="001560A3" w:rsidRPr="00E80CBE">
            <w:rPr>
              <w:rFonts w:asciiTheme="minorHAnsi" w:hAnsiTheme="minorHAnsi"/>
              <w:b/>
              <w:bCs/>
              <w:i/>
              <w:iCs/>
              <w:sz w:val="14"/>
              <w:szCs w:val="14"/>
            </w:rPr>
            <w:t>Република Српска</w:t>
          </w:r>
          <w:r w:rsidR="00177686"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Бања Лука</w:t>
          </w:r>
          <w:r w:rsidR="001560A3" w:rsidRPr="00E80CBE">
            <w:rPr>
              <w:rFonts w:asciiTheme="minorHAnsi" w:hAnsiTheme="minorHAnsi"/>
              <w:b/>
              <w:bCs/>
              <w:i/>
              <w:iCs/>
              <w:sz w:val="14"/>
              <w:szCs w:val="14"/>
            </w:rPr>
            <w:br/>
            <w:t>27 – 28. октобар</w:t>
          </w:r>
          <w:r w:rsidR="004730BD" w:rsidRPr="00E80CBE">
            <w:rPr>
              <w:rFonts w:asciiTheme="minorHAnsi" w:hAnsiTheme="minorHAnsi"/>
              <w:b/>
              <w:bCs/>
              <w:i/>
              <w:iCs/>
              <w:sz w:val="14"/>
              <w:szCs w:val="14"/>
            </w:rPr>
            <w:t xml:space="preserve"> 201</w:t>
          </w:r>
          <w:r w:rsidR="005062B8" w:rsidRPr="00E80CBE">
            <w:rPr>
              <w:rFonts w:asciiTheme="minorHAnsi" w:hAnsiTheme="minorHAnsi"/>
              <w:b/>
              <w:bCs/>
              <w:i/>
              <w:iCs/>
              <w:sz w:val="14"/>
              <w:szCs w:val="14"/>
            </w:rPr>
            <w:t>6</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DC2443"/>
    <w:multiLevelType w:val="hybridMultilevel"/>
    <w:tmpl w:val="A9CEE8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8E5BFA"/>
    <w:multiLevelType w:val="hybridMultilevel"/>
    <w:tmpl w:val="262A92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1"/>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1F9F"/>
    <w:rsid w:val="00007694"/>
    <w:rsid w:val="000079AC"/>
    <w:rsid w:val="0001064F"/>
    <w:rsid w:val="00012F13"/>
    <w:rsid w:val="0002037B"/>
    <w:rsid w:val="000210E4"/>
    <w:rsid w:val="00024184"/>
    <w:rsid w:val="00033001"/>
    <w:rsid w:val="00034BEB"/>
    <w:rsid w:val="00035708"/>
    <w:rsid w:val="0004617D"/>
    <w:rsid w:val="00047071"/>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12AA3"/>
    <w:rsid w:val="0012088E"/>
    <w:rsid w:val="00123482"/>
    <w:rsid w:val="00123E5E"/>
    <w:rsid w:val="001334B7"/>
    <w:rsid w:val="00143154"/>
    <w:rsid w:val="00144521"/>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6C50"/>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4122"/>
    <w:rsid w:val="00471724"/>
    <w:rsid w:val="004730BD"/>
    <w:rsid w:val="00477710"/>
    <w:rsid w:val="00483486"/>
    <w:rsid w:val="004956B5"/>
    <w:rsid w:val="00496276"/>
    <w:rsid w:val="004A4828"/>
    <w:rsid w:val="004B3C75"/>
    <w:rsid w:val="004B7243"/>
    <w:rsid w:val="004D6E14"/>
    <w:rsid w:val="004D7C15"/>
    <w:rsid w:val="004E13CC"/>
    <w:rsid w:val="004F36EE"/>
    <w:rsid w:val="004F4AC2"/>
    <w:rsid w:val="004F5EE3"/>
    <w:rsid w:val="0050578A"/>
    <w:rsid w:val="005058CF"/>
    <w:rsid w:val="005062B8"/>
    <w:rsid w:val="00515D9E"/>
    <w:rsid w:val="005163C2"/>
    <w:rsid w:val="00522FB8"/>
    <w:rsid w:val="00525B95"/>
    <w:rsid w:val="00526E22"/>
    <w:rsid w:val="00537F70"/>
    <w:rsid w:val="005416D0"/>
    <w:rsid w:val="00542582"/>
    <w:rsid w:val="00544047"/>
    <w:rsid w:val="00555C57"/>
    <w:rsid w:val="00564709"/>
    <w:rsid w:val="0056774C"/>
    <w:rsid w:val="0057620C"/>
    <w:rsid w:val="005844E4"/>
    <w:rsid w:val="00591C75"/>
    <w:rsid w:val="0059232D"/>
    <w:rsid w:val="00594EE8"/>
    <w:rsid w:val="005962C9"/>
    <w:rsid w:val="005A6E4A"/>
    <w:rsid w:val="005B5169"/>
    <w:rsid w:val="005B7E45"/>
    <w:rsid w:val="005B7E6D"/>
    <w:rsid w:val="005C66F0"/>
    <w:rsid w:val="005D0D86"/>
    <w:rsid w:val="005D2D54"/>
    <w:rsid w:val="005E03FF"/>
    <w:rsid w:val="005E0CD8"/>
    <w:rsid w:val="005F3E4C"/>
    <w:rsid w:val="0060396E"/>
    <w:rsid w:val="006053A6"/>
    <w:rsid w:val="006074ED"/>
    <w:rsid w:val="006128ED"/>
    <w:rsid w:val="006149B0"/>
    <w:rsid w:val="00621DF4"/>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442C"/>
    <w:rsid w:val="006B764B"/>
    <w:rsid w:val="006C1475"/>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0EB1"/>
    <w:rsid w:val="00752470"/>
    <w:rsid w:val="00760198"/>
    <w:rsid w:val="00763149"/>
    <w:rsid w:val="00764916"/>
    <w:rsid w:val="00767DB9"/>
    <w:rsid w:val="007A0F4C"/>
    <w:rsid w:val="007B144F"/>
    <w:rsid w:val="007B423E"/>
    <w:rsid w:val="007C5332"/>
    <w:rsid w:val="007E3D1D"/>
    <w:rsid w:val="007F4F50"/>
    <w:rsid w:val="00800531"/>
    <w:rsid w:val="00807135"/>
    <w:rsid w:val="0082324E"/>
    <w:rsid w:val="00824063"/>
    <w:rsid w:val="00833E37"/>
    <w:rsid w:val="00841E63"/>
    <w:rsid w:val="00856C69"/>
    <w:rsid w:val="00856CE3"/>
    <w:rsid w:val="00861FAA"/>
    <w:rsid w:val="008632AA"/>
    <w:rsid w:val="00863AFA"/>
    <w:rsid w:val="00866A2D"/>
    <w:rsid w:val="00873870"/>
    <w:rsid w:val="00873EEE"/>
    <w:rsid w:val="008757F1"/>
    <w:rsid w:val="00883295"/>
    <w:rsid w:val="00884E1C"/>
    <w:rsid w:val="00891ED5"/>
    <w:rsid w:val="00893C0F"/>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47E3C"/>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0E7D"/>
    <w:rsid w:val="00A81506"/>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C7606"/>
    <w:rsid w:val="00BE597E"/>
    <w:rsid w:val="00BF2EE1"/>
    <w:rsid w:val="00C0091F"/>
    <w:rsid w:val="00C06271"/>
    <w:rsid w:val="00C14124"/>
    <w:rsid w:val="00C26E74"/>
    <w:rsid w:val="00C368BE"/>
    <w:rsid w:val="00C577B6"/>
    <w:rsid w:val="00C6184C"/>
    <w:rsid w:val="00C674AA"/>
    <w:rsid w:val="00C70C78"/>
    <w:rsid w:val="00C75E0E"/>
    <w:rsid w:val="00C829D2"/>
    <w:rsid w:val="00C92FDE"/>
    <w:rsid w:val="00C93787"/>
    <w:rsid w:val="00CA6D33"/>
    <w:rsid w:val="00CB0A2A"/>
    <w:rsid w:val="00CB1B6F"/>
    <w:rsid w:val="00CC0037"/>
    <w:rsid w:val="00CD05E5"/>
    <w:rsid w:val="00CD0ABE"/>
    <w:rsid w:val="00CD4590"/>
    <w:rsid w:val="00CD4D62"/>
    <w:rsid w:val="00CE41BF"/>
    <w:rsid w:val="00CE43DD"/>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2198"/>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5A7B"/>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C46FA"/>
    <w:rsid w:val="00FD0286"/>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65BDA"/>
  <w15:docId w15:val="{158C9254-048D-4AE7-BA9C-2F84499E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rsid w:val="000B1008"/>
    <w:rPr>
      <w:sz w:val="20"/>
      <w:szCs w:val="20"/>
    </w:rPr>
  </w:style>
  <w:style w:type="character" w:customStyle="1" w:styleId="FootnoteTextChar">
    <w:name w:val="Footnote Text Char"/>
    <w:link w:val="FootnoteText"/>
    <w:rsid w:val="000B1008"/>
    <w:rPr>
      <w:rFonts w:ascii="TimesRoman" w:hAnsi="TimesRoman"/>
      <w:lang w:val="en-US" w:eastAsia="en-US" w:bidi="ar-SA"/>
    </w:rPr>
  </w:style>
  <w:style w:type="character" w:styleId="FootnoteReference">
    <w:name w:val="footnote reference"/>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utori">
    <w:name w:val="Autori"/>
    <w:basedOn w:val="Normal"/>
    <w:link w:val="AutoriChar"/>
    <w:qFormat/>
    <w:rsid w:val="0002037B"/>
    <w:pPr>
      <w:autoSpaceDE w:val="0"/>
      <w:autoSpaceDN w:val="0"/>
      <w:adjustRightInd w:val="0"/>
      <w:jc w:val="center"/>
    </w:pPr>
    <w:rPr>
      <w:rFonts w:ascii="Times New Roman" w:eastAsia="Calibri" w:hAnsi="Times New Roman"/>
      <w:b/>
      <w:bCs/>
      <w:color w:val="000000"/>
      <w:sz w:val="22"/>
      <w:szCs w:val="22"/>
      <w:lang w:val="sr-Latn-CS" w:eastAsia="sr-Latn-CS"/>
    </w:rPr>
  </w:style>
  <w:style w:type="character" w:customStyle="1" w:styleId="AutoriChar">
    <w:name w:val="Autori Char"/>
    <w:link w:val="Autori"/>
    <w:rsid w:val="0002037B"/>
    <w:rPr>
      <w:b/>
      <w:bCs/>
      <w:color w:val="000000"/>
      <w:sz w:val="22"/>
      <w:szCs w:val="22"/>
      <w:lang w:val="sr-Latn-CS" w:eastAsia="sr-Latn-CS"/>
    </w:rPr>
  </w:style>
  <w:style w:type="paragraph" w:customStyle="1" w:styleId="Fusnota">
    <w:name w:val="Fusnota"/>
    <w:basedOn w:val="FootnoteText"/>
    <w:link w:val="FusnotaChar"/>
    <w:qFormat/>
    <w:rsid w:val="0002037B"/>
    <w:pPr>
      <w:jc w:val="both"/>
    </w:pPr>
    <w:rPr>
      <w:rFonts w:ascii="Times New Roman" w:eastAsia="Calibri" w:hAnsi="Times New Roman"/>
      <w:sz w:val="18"/>
      <w:szCs w:val="18"/>
    </w:rPr>
  </w:style>
  <w:style w:type="character" w:customStyle="1" w:styleId="FusnotaChar">
    <w:name w:val="Fusnota Char"/>
    <w:link w:val="Fusnota"/>
    <w:rsid w:val="0002037B"/>
    <w:rPr>
      <w:sz w:val="18"/>
      <w:szCs w:val="18"/>
      <w:lang w:val="en-US" w:eastAsia="en-US"/>
    </w:rPr>
  </w:style>
  <w:style w:type="character" w:styleId="SubtleEmphasis">
    <w:name w:val="Subtle Emphasis"/>
    <w:aliases w:val="grafikoni i tabela"/>
    <w:basedOn w:val="DefaultParagraphFont"/>
    <w:uiPriority w:val="19"/>
    <w:qFormat/>
    <w:rsid w:val="00C06271"/>
    <w:rPr>
      <w:rFonts w:asciiTheme="minorHAnsi" w:hAnsiTheme="minorHAnsi" w:hint="default"/>
      <w:i/>
      <w:iCs/>
      <w:color w:val="auto"/>
      <w:sz w:val="22"/>
    </w:rPr>
  </w:style>
  <w:style w:type="table" w:customStyle="1" w:styleId="LightGrid1">
    <w:name w:val="Light Grid1"/>
    <w:basedOn w:val="TableNormal"/>
    <w:uiPriority w:val="62"/>
    <w:rsid w:val="00C06271"/>
    <w:pPr>
      <w:ind w:left="414" w:right="119" w:hanging="357"/>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aliases w:val="Rezime"/>
    <w:basedOn w:val="Normal"/>
    <w:uiPriority w:val="34"/>
    <w:qFormat/>
    <w:rsid w:val="00A80E7D"/>
    <w:pPr>
      <w:spacing w:after="240" w:line="276" w:lineRule="auto"/>
      <w:ind w:left="720"/>
      <w:contextualSpacing/>
      <w:jc w:val="both"/>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2.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cal%20Disk%20D\MASTER\master%20rad%202\New%20folder\New%20folder\Book%20dec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Users\maja\Desktop\de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Pt>
            <c:idx val="0"/>
            <c:bubble3D val="0"/>
            <c:spPr>
              <a:solidFill>
                <a:srgbClr val="FFFF00"/>
              </a:solidFill>
            </c:spPr>
            <c:extLst>
              <c:ext xmlns:c16="http://schemas.microsoft.com/office/drawing/2014/chart" uri="{C3380CC4-5D6E-409C-BE32-E72D297353CC}">
                <c16:uniqueId val="{00000000-D025-471C-A7FB-05A80015E547}"/>
              </c:ext>
            </c:extLst>
          </c:dPt>
          <c:dPt>
            <c:idx val="1"/>
            <c:bubble3D val="0"/>
            <c:spPr>
              <a:solidFill>
                <a:srgbClr val="00B0F0"/>
              </a:solidFill>
            </c:spPr>
            <c:extLst>
              <c:ext xmlns:c16="http://schemas.microsoft.com/office/drawing/2014/chart" uri="{C3380CC4-5D6E-409C-BE32-E72D297353CC}">
                <c16:uniqueId val="{00000001-D025-471C-A7FB-05A80015E547}"/>
              </c:ext>
            </c:extLst>
          </c:dPt>
          <c:dPt>
            <c:idx val="2"/>
            <c:bubble3D val="0"/>
            <c:spPr>
              <a:solidFill>
                <a:srgbClr val="00B050"/>
              </a:solidFill>
            </c:spPr>
            <c:extLst>
              <c:ext xmlns:c16="http://schemas.microsoft.com/office/drawing/2014/chart" uri="{C3380CC4-5D6E-409C-BE32-E72D297353CC}">
                <c16:uniqueId val="{00000002-D025-471C-A7FB-05A80015E547}"/>
              </c:ext>
            </c:extLst>
          </c:dPt>
          <c:dPt>
            <c:idx val="3"/>
            <c:bubble3D val="0"/>
            <c:spPr>
              <a:solidFill>
                <a:srgbClr val="FF0000"/>
              </a:solidFill>
            </c:spPr>
            <c:extLst>
              <c:ext xmlns:c16="http://schemas.microsoft.com/office/drawing/2014/chart" uri="{C3380CC4-5D6E-409C-BE32-E72D297353CC}">
                <c16:uniqueId val="{00000003-D025-471C-A7FB-05A80015E547}"/>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Sheet1!$C$16:$C$19</c:f>
              <c:strCache>
                <c:ptCount val="4"/>
                <c:pt idx="0">
                  <c:v>Урбан Београд</c:v>
                </c:pt>
                <c:pt idx="1">
                  <c:v>Рурал Београд</c:v>
                </c:pt>
                <c:pt idx="2">
                  <c:v>Урбан Смедеревска Паланка</c:v>
                </c:pt>
                <c:pt idx="3">
                  <c:v>Рурал Смедеревска Паланка</c:v>
                </c:pt>
              </c:strCache>
            </c:strRef>
          </c:cat>
          <c:val>
            <c:numRef>
              <c:f>Sheet1!$D$16:$D$19</c:f>
              <c:numCache>
                <c:formatCode>General</c:formatCode>
                <c:ptCount val="4"/>
                <c:pt idx="0">
                  <c:v>315</c:v>
                </c:pt>
                <c:pt idx="1">
                  <c:v>213</c:v>
                </c:pt>
                <c:pt idx="2">
                  <c:v>396</c:v>
                </c:pt>
                <c:pt idx="3">
                  <c:v>226</c:v>
                </c:pt>
              </c:numCache>
            </c:numRef>
          </c:val>
          <c:extLst>
            <c:ext xmlns:c16="http://schemas.microsoft.com/office/drawing/2014/chart" uri="{C3380CC4-5D6E-409C-BE32-E72D297353CC}">
              <c16:uniqueId val="{00000004-D025-471C-A7FB-05A80015E547}"/>
            </c:ext>
          </c:extLst>
        </c:ser>
        <c:dLbls>
          <c:showLegendKey val="0"/>
          <c:showVal val="0"/>
          <c:showCatName val="0"/>
          <c:showSerName val="0"/>
          <c:showPercent val="1"/>
          <c:showBubbleSize val="0"/>
          <c:showLeaderLines val="0"/>
        </c:dLbls>
        <c:firstSliceAng val="0"/>
      </c:pieChart>
    </c:plotArea>
    <c:legend>
      <c:legendPos val="r"/>
      <c:layout>
        <c:manualLayout>
          <c:xMode val="edge"/>
          <c:yMode val="edge"/>
          <c:x val="0.59685233341213428"/>
          <c:y val="0.10083933056755003"/>
          <c:w val="0.36198875140607761"/>
          <c:h val="0.81878079756159594"/>
        </c:manualLayout>
      </c:layout>
      <c:overlay val="0"/>
    </c:legend>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Sheet2!$B$29</c:f>
              <c:strCache>
                <c:ptCount val="1"/>
                <c:pt idx="0">
                  <c:v>Број испитаника</c:v>
                </c:pt>
              </c:strCache>
            </c:strRef>
          </c:tx>
          <c:explosion val="25"/>
          <c:dPt>
            <c:idx val="0"/>
            <c:bubble3D val="0"/>
            <c:spPr>
              <a:solidFill>
                <a:srgbClr val="00B0F0"/>
              </a:solidFill>
            </c:spPr>
            <c:extLst>
              <c:ext xmlns:c16="http://schemas.microsoft.com/office/drawing/2014/chart" uri="{C3380CC4-5D6E-409C-BE32-E72D297353CC}">
                <c16:uniqueId val="{00000000-0912-47E2-BDD7-9F35C9DC28BC}"/>
              </c:ext>
            </c:extLst>
          </c:dPt>
          <c:dPt>
            <c:idx val="1"/>
            <c:bubble3D val="0"/>
            <c:spPr>
              <a:solidFill>
                <a:srgbClr val="FF33CC"/>
              </a:solidFill>
            </c:spPr>
            <c:extLst>
              <c:ext xmlns:c16="http://schemas.microsoft.com/office/drawing/2014/chart" uri="{C3380CC4-5D6E-409C-BE32-E72D297353CC}">
                <c16:uniqueId val="{00000001-0912-47E2-BDD7-9F35C9DC28B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Sheet2!$A$30:$A$31</c:f>
              <c:strCache>
                <c:ptCount val="2"/>
                <c:pt idx="0">
                  <c:v>мушки</c:v>
                </c:pt>
                <c:pt idx="1">
                  <c:v>женски</c:v>
                </c:pt>
              </c:strCache>
            </c:strRef>
          </c:cat>
          <c:val>
            <c:numRef>
              <c:f>Sheet2!$B$30:$B$31</c:f>
              <c:numCache>
                <c:formatCode>General</c:formatCode>
                <c:ptCount val="2"/>
                <c:pt idx="0">
                  <c:v>562</c:v>
                </c:pt>
                <c:pt idx="1">
                  <c:v>588</c:v>
                </c:pt>
              </c:numCache>
            </c:numRef>
          </c:val>
          <c:extLst>
            <c:ext xmlns:c16="http://schemas.microsoft.com/office/drawing/2014/chart" uri="{C3380CC4-5D6E-409C-BE32-E72D297353CC}">
              <c16:uniqueId val="{00000002-0912-47E2-BDD7-9F35C9DC28BC}"/>
            </c:ext>
          </c:extLst>
        </c:ser>
        <c:dLbls>
          <c:showLegendKey val="0"/>
          <c:showVal val="0"/>
          <c:showCatName val="0"/>
          <c:showSerName val="0"/>
          <c:showPercent val="1"/>
          <c:showBubbleSize val="0"/>
          <c:showLeaderLines val="0"/>
        </c:dLbls>
      </c:pie3DChart>
    </c:plotArea>
    <c:legend>
      <c:legendPos val="r"/>
      <c:layout>
        <c:manualLayout>
          <c:xMode val="edge"/>
          <c:yMode val="edge"/>
          <c:x val="0.77528807374688002"/>
          <c:y val="0.38419663246065588"/>
          <c:w val="0.19865341527431019"/>
          <c:h val="0.43141149023038788"/>
        </c:manualLayout>
      </c:layout>
      <c:overlay val="0"/>
    </c:legend>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55419162348297"/>
          <c:y val="7.720588235294118E-2"/>
          <c:w val="0.37492877492878179"/>
          <c:h val="0.80637254901960098"/>
        </c:manualLayout>
      </c:layout>
      <c:pieChart>
        <c:varyColors val="1"/>
        <c:ser>
          <c:idx val="0"/>
          <c:order val="0"/>
          <c:tx>
            <c:strRef>
              <c:f>Sheet3!$B$42</c:f>
              <c:strCache>
                <c:ptCount val="1"/>
                <c:pt idx="0">
                  <c:v>Број испитаника</c:v>
                </c:pt>
              </c:strCache>
            </c:strRef>
          </c:tx>
          <c:spPr>
            <a:solidFill>
              <a:srgbClr val="FF33CC"/>
            </a:solidFill>
          </c:spPr>
          <c:explosion val="25"/>
          <c:dPt>
            <c:idx val="0"/>
            <c:bubble3D val="0"/>
            <c:spPr>
              <a:solidFill>
                <a:srgbClr val="FFC000"/>
              </a:solidFill>
            </c:spPr>
            <c:extLst>
              <c:ext xmlns:c16="http://schemas.microsoft.com/office/drawing/2014/chart" uri="{C3380CC4-5D6E-409C-BE32-E72D297353CC}">
                <c16:uniqueId val="{00000000-D027-4A40-B710-4AF837C325B9}"/>
              </c:ext>
            </c:extLst>
          </c:dPt>
          <c:dPt>
            <c:idx val="1"/>
            <c:bubble3D val="0"/>
            <c:spPr>
              <a:solidFill>
                <a:srgbClr val="00B050"/>
              </a:solidFill>
            </c:spPr>
            <c:extLst>
              <c:ext xmlns:c16="http://schemas.microsoft.com/office/drawing/2014/chart" uri="{C3380CC4-5D6E-409C-BE32-E72D297353CC}">
                <c16:uniqueId val="{00000001-D027-4A40-B710-4AF837C325B9}"/>
              </c:ext>
            </c:extLst>
          </c:dPt>
          <c:dPt>
            <c:idx val="2"/>
            <c:bubble3D val="0"/>
            <c:spPr>
              <a:solidFill>
                <a:srgbClr val="00B0F0"/>
              </a:solidFill>
            </c:spPr>
            <c:extLst>
              <c:ext xmlns:c16="http://schemas.microsoft.com/office/drawing/2014/chart" uri="{C3380CC4-5D6E-409C-BE32-E72D297353CC}">
                <c16:uniqueId val="{00000002-D027-4A40-B710-4AF837C325B9}"/>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Sheet3!$A$43:$A$46</c:f>
              <c:strCache>
                <c:ptCount val="4"/>
                <c:pt idx="0">
                  <c:v>први</c:v>
                </c:pt>
                <c:pt idx="1">
                  <c:v>други</c:v>
                </c:pt>
                <c:pt idx="2">
                  <c:v>трећи</c:v>
                </c:pt>
                <c:pt idx="3">
                  <c:v>четврти</c:v>
                </c:pt>
              </c:strCache>
            </c:strRef>
          </c:cat>
          <c:val>
            <c:numRef>
              <c:f>Sheet3!$B$43:$B$46</c:f>
              <c:numCache>
                <c:formatCode>General</c:formatCode>
                <c:ptCount val="4"/>
                <c:pt idx="0">
                  <c:v>233</c:v>
                </c:pt>
                <c:pt idx="1">
                  <c:v>285</c:v>
                </c:pt>
                <c:pt idx="2">
                  <c:v>322</c:v>
                </c:pt>
                <c:pt idx="3">
                  <c:v>310</c:v>
                </c:pt>
              </c:numCache>
            </c:numRef>
          </c:val>
          <c:extLst>
            <c:ext xmlns:c16="http://schemas.microsoft.com/office/drawing/2014/chart" uri="{C3380CC4-5D6E-409C-BE32-E72D297353CC}">
              <c16:uniqueId val="{00000003-D027-4A40-B710-4AF837C325B9}"/>
            </c:ext>
          </c:extLst>
        </c:ser>
        <c:dLbls>
          <c:showLegendKey val="0"/>
          <c:showVal val="0"/>
          <c:showCatName val="0"/>
          <c:showSerName val="0"/>
          <c:showPercent val="1"/>
          <c:showBubbleSize val="0"/>
          <c:showLeaderLines val="0"/>
        </c:dLbls>
        <c:firstSliceAng val="0"/>
      </c:pieChart>
    </c:plotArea>
    <c:legend>
      <c:legendPos val="r"/>
      <c:layout>
        <c:manualLayout>
          <c:xMode val="edge"/>
          <c:yMode val="edge"/>
          <c:x val="0.69879064844414973"/>
          <c:y val="0.21355662631723274"/>
          <c:w val="0.21459975541204504"/>
          <c:h val="0.51274650370196195"/>
        </c:manualLayout>
      </c:layout>
      <c:overlay val="0"/>
    </c:legend>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'po polu'!$D$27</c:f>
              <c:strCache>
                <c:ptCount val="1"/>
                <c:pt idx="0">
                  <c:v>мушки</c:v>
                </c:pt>
              </c:strCache>
            </c:strRef>
          </c:tx>
          <c:spPr>
            <a:solidFill>
              <a:srgbClr val="0070C0"/>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'po polu'!$E$26:$H$26</c:f>
              <c:strCache>
                <c:ptCount val="4"/>
                <c:pt idx="0">
                  <c:v>да,увек ако постоји</c:v>
                </c:pt>
                <c:pt idx="1">
                  <c:v>углавном</c:v>
                </c:pt>
                <c:pt idx="2">
                  <c:v>ретко</c:v>
                </c:pt>
                <c:pt idx="3">
                  <c:v>ако "зебра" није далеко</c:v>
                </c:pt>
              </c:strCache>
            </c:strRef>
          </c:cat>
          <c:val>
            <c:numRef>
              <c:f>'po polu'!$E$27:$H$27</c:f>
              <c:numCache>
                <c:formatCode>###0.0%</c:formatCode>
                <c:ptCount val="4"/>
                <c:pt idx="0">
                  <c:v>0.65124555160143072</c:v>
                </c:pt>
                <c:pt idx="1">
                  <c:v>0.17793594306050067</c:v>
                </c:pt>
                <c:pt idx="2">
                  <c:v>8.8967971530250725E-2</c:v>
                </c:pt>
                <c:pt idx="3">
                  <c:v>8.1850533807829223E-2</c:v>
                </c:pt>
              </c:numCache>
            </c:numRef>
          </c:val>
          <c:extLst>
            <c:ext xmlns:c16="http://schemas.microsoft.com/office/drawing/2014/chart" uri="{C3380CC4-5D6E-409C-BE32-E72D297353CC}">
              <c16:uniqueId val="{00000000-7F94-4524-B032-41EAFA2E654D}"/>
            </c:ext>
          </c:extLst>
        </c:ser>
        <c:ser>
          <c:idx val="1"/>
          <c:order val="1"/>
          <c:tx>
            <c:strRef>
              <c:f>'po polu'!$D$28</c:f>
              <c:strCache>
                <c:ptCount val="1"/>
                <c:pt idx="0">
                  <c:v>женски</c:v>
                </c:pt>
              </c:strCache>
            </c:strRef>
          </c:tx>
          <c:spPr>
            <a:solidFill>
              <a:srgbClr val="C0109E"/>
            </a:solidFill>
          </c:spPr>
          <c:invertIfNegative val="0"/>
          <c:dLbls>
            <c:dLbl>
              <c:idx val="0"/>
              <c:layout>
                <c:manualLayout>
                  <c:x val="1.29136400322840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F94-4524-B032-41EAFA2E654D}"/>
                </c:ext>
              </c:extLst>
            </c:dLbl>
            <c:dLbl>
              <c:idx val="1"/>
              <c:layout>
                <c:manualLayout>
                  <c:x val="1.2913640032284098E-2"/>
                  <c:y val="-9.389671361502352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F94-4524-B032-41EAFA2E654D}"/>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'po polu'!$E$26:$H$26</c:f>
              <c:strCache>
                <c:ptCount val="4"/>
                <c:pt idx="0">
                  <c:v>да,увек ако постоји</c:v>
                </c:pt>
                <c:pt idx="1">
                  <c:v>углавном</c:v>
                </c:pt>
                <c:pt idx="2">
                  <c:v>ретко</c:v>
                </c:pt>
                <c:pt idx="3">
                  <c:v>ако "зебра" није далеко</c:v>
                </c:pt>
              </c:strCache>
            </c:strRef>
          </c:cat>
          <c:val>
            <c:numRef>
              <c:f>'po polu'!$E$28:$H$28</c:f>
              <c:numCache>
                <c:formatCode>###0.0%</c:formatCode>
                <c:ptCount val="4"/>
                <c:pt idx="0">
                  <c:v>0.74149659863945583</c:v>
                </c:pt>
                <c:pt idx="1">
                  <c:v>0.15136054421768708</c:v>
                </c:pt>
                <c:pt idx="2">
                  <c:v>5.2721088435374153E-2</c:v>
                </c:pt>
                <c:pt idx="3">
                  <c:v>5.4421768707482956E-2</c:v>
                </c:pt>
              </c:numCache>
            </c:numRef>
          </c:val>
          <c:extLst>
            <c:ext xmlns:c16="http://schemas.microsoft.com/office/drawing/2014/chart" uri="{C3380CC4-5D6E-409C-BE32-E72D297353CC}">
              <c16:uniqueId val="{00000003-7F94-4524-B032-41EAFA2E654D}"/>
            </c:ext>
          </c:extLst>
        </c:ser>
        <c:dLbls>
          <c:showLegendKey val="0"/>
          <c:showVal val="0"/>
          <c:showCatName val="0"/>
          <c:showSerName val="0"/>
          <c:showPercent val="0"/>
          <c:showBubbleSize val="0"/>
        </c:dLbls>
        <c:gapWidth val="150"/>
        <c:axId val="59400192"/>
        <c:axId val="59470208"/>
      </c:barChart>
      <c:catAx>
        <c:axId val="59400192"/>
        <c:scaling>
          <c:orientation val="minMax"/>
        </c:scaling>
        <c:delete val="0"/>
        <c:axPos val="b"/>
        <c:numFmt formatCode="General" sourceLinked="0"/>
        <c:majorTickMark val="out"/>
        <c:minorTickMark val="none"/>
        <c:tickLblPos val="nextTo"/>
        <c:crossAx val="59470208"/>
        <c:crosses val="autoZero"/>
        <c:auto val="1"/>
        <c:lblAlgn val="ctr"/>
        <c:lblOffset val="100"/>
        <c:noMultiLvlLbl val="0"/>
      </c:catAx>
      <c:valAx>
        <c:axId val="59470208"/>
        <c:scaling>
          <c:orientation val="minMax"/>
        </c:scaling>
        <c:delete val="0"/>
        <c:axPos val="l"/>
        <c:majorGridlines/>
        <c:numFmt formatCode="###0.0%" sourceLinked="1"/>
        <c:majorTickMark val="out"/>
        <c:minorTickMark val="none"/>
        <c:tickLblPos val="nextTo"/>
        <c:crossAx val="59400192"/>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skola!$E$10</c:f>
              <c:strCache>
                <c:ptCount val="1"/>
                <c:pt idx="0">
                  <c:v>на коловозу</c:v>
                </c:pt>
              </c:strCache>
            </c:strRef>
          </c:tx>
          <c:spPr>
            <a:solidFill>
              <a:srgbClr val="92D050"/>
            </a:solidFill>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0-A9F4-4652-95DE-0C59A0A33F46}"/>
                </c:ext>
              </c:extLst>
            </c:dLbl>
            <c:dLbl>
              <c:idx val="6"/>
              <c:delete val="1"/>
              <c:extLst>
                <c:ext xmlns:c15="http://schemas.microsoft.com/office/drawing/2012/chart" uri="{CE6537A1-D6FC-4f65-9D91-7224C49458BB}"/>
                <c:ext xmlns:c16="http://schemas.microsoft.com/office/drawing/2014/chart" uri="{C3380CC4-5D6E-409C-BE32-E72D297353CC}">
                  <c16:uniqueId val="{00000001-A9F4-4652-95DE-0C59A0A33F46}"/>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skola!$E$11:$E$17</c:f>
              <c:numCache>
                <c:formatCode>0.0%</c:formatCode>
                <c:ptCount val="7"/>
                <c:pt idx="0">
                  <c:v>7.0000000000000114E-3</c:v>
                </c:pt>
                <c:pt idx="1">
                  <c:v>5.0000000000000114E-3</c:v>
                </c:pt>
                <c:pt idx="2">
                  <c:v>0</c:v>
                </c:pt>
                <c:pt idx="3">
                  <c:v>3.875968992248062E-2</c:v>
                </c:pt>
                <c:pt idx="4">
                  <c:v>1.8726591760299643E-2</c:v>
                </c:pt>
                <c:pt idx="5">
                  <c:v>6.5573770491803282E-2</c:v>
                </c:pt>
                <c:pt idx="6">
                  <c:v>0</c:v>
                </c:pt>
              </c:numCache>
            </c:numRef>
          </c:val>
          <c:extLst>
            <c:ext xmlns:c16="http://schemas.microsoft.com/office/drawing/2014/chart" uri="{C3380CC4-5D6E-409C-BE32-E72D297353CC}">
              <c16:uniqueId val="{00000002-A9F4-4652-95DE-0C59A0A33F46}"/>
            </c:ext>
          </c:extLst>
        </c:ser>
        <c:ser>
          <c:idx val="1"/>
          <c:order val="1"/>
          <c:tx>
            <c:strRef>
              <c:f>skola!$F$10</c:f>
              <c:strCache>
                <c:ptCount val="1"/>
                <c:pt idx="0">
                  <c:v>на тротоару</c:v>
                </c:pt>
              </c:strCache>
            </c:strRef>
          </c:tx>
          <c:spPr>
            <a:solidFill>
              <a:srgbClr val="0070C0"/>
            </a:solidFill>
          </c:spPr>
          <c:invertIfNegative val="0"/>
          <c:dLbls>
            <c:dLbl>
              <c:idx val="0"/>
              <c:layout>
                <c:manualLayout>
                  <c:x val="1.7094017094017085E-2"/>
                  <c:y val="-2.18887925245810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9F4-4652-95DE-0C59A0A33F46}"/>
                </c:ext>
              </c:extLst>
            </c:dLbl>
            <c:dLbl>
              <c:idx val="1"/>
              <c:layout>
                <c:manualLayout>
                  <c:x val="1.068376068376079E-2"/>
                  <c:y val="-1.31332755147485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9F4-4652-95DE-0C59A0A33F46}"/>
                </c:ext>
              </c:extLst>
            </c:dLbl>
            <c:dLbl>
              <c:idx val="3"/>
              <c:layout>
                <c:manualLayout>
                  <c:x val="1.28205128205128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9F4-4652-95DE-0C59A0A33F46}"/>
                </c:ext>
              </c:extLst>
            </c:dLbl>
            <c:dLbl>
              <c:idx val="4"/>
              <c:layout>
                <c:manualLayout>
                  <c:x val="2.136752136752137E-3"/>
                  <c:y val="-2.6266551029497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9F4-4652-95DE-0C59A0A33F46}"/>
                </c:ext>
              </c:extLst>
            </c:dLbl>
            <c:dLbl>
              <c:idx val="5"/>
              <c:layout>
                <c:manualLayout>
                  <c:x val="8.5470085470085496E-3"/>
                  <c:y val="-8.755517009832470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9F4-4652-95DE-0C59A0A33F46}"/>
                </c:ext>
              </c:extLst>
            </c:dLbl>
            <c:dLbl>
              <c:idx val="6"/>
              <c:layout>
                <c:manualLayout>
                  <c:x val="1.282051282051282E-2"/>
                  <c:y val="-4.37775850491618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9F4-4652-95DE-0C59A0A33F46}"/>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skola!$F$11:$F$17</c:f>
              <c:numCache>
                <c:formatCode>0.0%</c:formatCode>
                <c:ptCount val="7"/>
                <c:pt idx="0">
                  <c:v>2.9000000000000001E-2</c:v>
                </c:pt>
                <c:pt idx="1">
                  <c:v>3.7999999999999999E-2</c:v>
                </c:pt>
                <c:pt idx="2">
                  <c:v>2.0202020202020211E-2</c:v>
                </c:pt>
                <c:pt idx="3">
                  <c:v>1.5503875968992468E-2</c:v>
                </c:pt>
                <c:pt idx="4">
                  <c:v>8.9887640449438214E-2</c:v>
                </c:pt>
                <c:pt idx="5">
                  <c:v>0.13114754098360637</c:v>
                </c:pt>
                <c:pt idx="6">
                  <c:v>9.6153846153848067E-3</c:v>
                </c:pt>
              </c:numCache>
            </c:numRef>
          </c:val>
          <c:extLst>
            <c:ext xmlns:c16="http://schemas.microsoft.com/office/drawing/2014/chart" uri="{C3380CC4-5D6E-409C-BE32-E72D297353CC}">
              <c16:uniqueId val="{00000009-A9F4-4652-95DE-0C59A0A33F46}"/>
            </c:ext>
          </c:extLst>
        </c:ser>
        <c:ser>
          <c:idx val="2"/>
          <c:order val="2"/>
          <c:tx>
            <c:strRef>
              <c:f>skola!$G$10</c:f>
              <c:strCache>
                <c:ptCount val="1"/>
                <c:pt idx="0">
                  <c:v>на игралиштима</c:v>
                </c:pt>
              </c:strCache>
            </c:strRef>
          </c:tx>
          <c:spPr>
            <a:solidFill>
              <a:srgbClr val="FB0385"/>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skola!$D$11:$D$17</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skola!$G$11:$G$17</c:f>
              <c:numCache>
                <c:formatCode>0.0%</c:formatCode>
                <c:ptCount val="7"/>
                <c:pt idx="0">
                  <c:v>0.96400000000000063</c:v>
                </c:pt>
                <c:pt idx="1">
                  <c:v>0.95726495726495731</c:v>
                </c:pt>
                <c:pt idx="2">
                  <c:v>0.97979797979797978</c:v>
                </c:pt>
                <c:pt idx="3">
                  <c:v>0.94573643410853414</c:v>
                </c:pt>
                <c:pt idx="4">
                  <c:v>0.89138576779025325</c:v>
                </c:pt>
                <c:pt idx="5">
                  <c:v>0.80327868852459738</c:v>
                </c:pt>
                <c:pt idx="6">
                  <c:v>0.99038461538461542</c:v>
                </c:pt>
              </c:numCache>
            </c:numRef>
          </c:val>
          <c:extLst>
            <c:ext xmlns:c16="http://schemas.microsoft.com/office/drawing/2014/chart" uri="{C3380CC4-5D6E-409C-BE32-E72D297353CC}">
              <c16:uniqueId val="{0000000A-A9F4-4652-95DE-0C59A0A33F46}"/>
            </c:ext>
          </c:extLst>
        </c:ser>
        <c:dLbls>
          <c:showLegendKey val="0"/>
          <c:showVal val="1"/>
          <c:showCatName val="0"/>
          <c:showSerName val="0"/>
          <c:showPercent val="0"/>
          <c:showBubbleSize val="0"/>
        </c:dLbls>
        <c:gapWidth val="75"/>
        <c:axId val="59685888"/>
        <c:axId val="59716736"/>
      </c:barChart>
      <c:catAx>
        <c:axId val="59685888"/>
        <c:scaling>
          <c:orientation val="minMax"/>
        </c:scaling>
        <c:delete val="0"/>
        <c:axPos val="b"/>
        <c:numFmt formatCode="General" sourceLinked="0"/>
        <c:majorTickMark val="none"/>
        <c:minorTickMark val="none"/>
        <c:tickLblPos val="nextTo"/>
        <c:crossAx val="59716736"/>
        <c:crosses val="autoZero"/>
        <c:auto val="1"/>
        <c:lblAlgn val="ctr"/>
        <c:lblOffset val="100"/>
        <c:noMultiLvlLbl val="0"/>
      </c:catAx>
      <c:valAx>
        <c:axId val="59716736"/>
        <c:scaling>
          <c:orientation val="minMax"/>
        </c:scaling>
        <c:delete val="0"/>
        <c:axPos val="l"/>
        <c:numFmt formatCode="0.0%" sourceLinked="1"/>
        <c:majorTickMark val="none"/>
        <c:minorTickMark val="none"/>
        <c:tickLblPos val="nextTo"/>
        <c:crossAx val="59685888"/>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skola!$E$66</c:f>
              <c:strCache>
                <c:ptCount val="1"/>
                <c:pt idx="0">
                  <c:v>прво се зауставим, погледам лево, десно и опет лево и пређем улицу</c:v>
                </c:pt>
              </c:strCache>
            </c:strRef>
          </c:tx>
          <c:spPr>
            <a:solidFill>
              <a:srgbClr val="00B0F0"/>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skola!$E$67:$E$73</c:f>
              <c:numCache>
                <c:formatCode>0.0%</c:formatCode>
                <c:ptCount val="7"/>
                <c:pt idx="0">
                  <c:v>0.23004694835680894</c:v>
                </c:pt>
                <c:pt idx="1">
                  <c:v>0.26495726495726818</c:v>
                </c:pt>
                <c:pt idx="2">
                  <c:v>0.54545454545454541</c:v>
                </c:pt>
                <c:pt idx="3">
                  <c:v>0.44186046511628257</c:v>
                </c:pt>
                <c:pt idx="4">
                  <c:v>0.53932584269662964</c:v>
                </c:pt>
                <c:pt idx="5">
                  <c:v>0.65573770491803274</c:v>
                </c:pt>
                <c:pt idx="6">
                  <c:v>0.71153846153846168</c:v>
                </c:pt>
              </c:numCache>
            </c:numRef>
          </c:val>
          <c:extLst>
            <c:ext xmlns:c16="http://schemas.microsoft.com/office/drawing/2014/chart" uri="{C3380CC4-5D6E-409C-BE32-E72D297353CC}">
              <c16:uniqueId val="{00000000-0066-42B6-BED4-173ED6FB8695}"/>
            </c:ext>
          </c:extLst>
        </c:ser>
        <c:ser>
          <c:idx val="1"/>
          <c:order val="1"/>
          <c:tx>
            <c:strRef>
              <c:f>skola!$F$66</c:f>
              <c:strCache>
                <c:ptCount val="1"/>
                <c:pt idx="0">
                  <c:v>да погледам лево и десно и пређем улицу</c:v>
                </c:pt>
              </c:strCache>
            </c:strRef>
          </c:tx>
          <c:spPr>
            <a:solidFill>
              <a:srgbClr val="FF0000"/>
            </a:solidFill>
          </c:spPr>
          <c:invertIfNegative val="0"/>
          <c:dLbls>
            <c:dLbl>
              <c:idx val="2"/>
              <c:layout>
                <c:manualLayout>
                  <c:x val="1.41093474426807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66-42B6-BED4-173ED6FB8695}"/>
                </c:ext>
              </c:extLst>
            </c:dLbl>
            <c:dLbl>
              <c:idx val="3"/>
              <c:layout>
                <c:manualLayout>
                  <c:x val="7.054673721340391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66-42B6-BED4-173ED6FB8695}"/>
                </c:ext>
              </c:extLst>
            </c:dLbl>
            <c:dLbl>
              <c:idx val="4"/>
              <c:layout>
                <c:manualLayout>
                  <c:x val="9.4062316284538507E-3"/>
                  <c:y val="1.079622132253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066-42B6-BED4-173ED6FB8695}"/>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skola!$F$67:$F$73</c:f>
              <c:numCache>
                <c:formatCode>0.0%</c:formatCode>
                <c:ptCount val="7"/>
                <c:pt idx="0">
                  <c:v>0.72769953051644221</c:v>
                </c:pt>
                <c:pt idx="1">
                  <c:v>0.7350427350427351</c:v>
                </c:pt>
                <c:pt idx="2">
                  <c:v>0.44444444444444442</c:v>
                </c:pt>
                <c:pt idx="3">
                  <c:v>0.51937984496123957</c:v>
                </c:pt>
                <c:pt idx="4">
                  <c:v>0.45692883895131087</c:v>
                </c:pt>
                <c:pt idx="5">
                  <c:v>0.32786885245902042</c:v>
                </c:pt>
                <c:pt idx="6">
                  <c:v>0.28846153846153538</c:v>
                </c:pt>
              </c:numCache>
            </c:numRef>
          </c:val>
          <c:extLst>
            <c:ext xmlns:c16="http://schemas.microsoft.com/office/drawing/2014/chart" uri="{C3380CC4-5D6E-409C-BE32-E72D297353CC}">
              <c16:uniqueId val="{00000004-0066-42B6-BED4-173ED6FB8695}"/>
            </c:ext>
          </c:extLst>
        </c:ser>
        <c:ser>
          <c:idx val="2"/>
          <c:order val="2"/>
          <c:tx>
            <c:strRef>
              <c:f>skola!$G$66</c:f>
              <c:strCache>
                <c:ptCount val="1"/>
                <c:pt idx="0">
                  <c:v>да претрчим улицу</c:v>
                </c:pt>
              </c:strCache>
            </c:strRef>
          </c:tx>
          <c:spPr>
            <a:solidFill>
              <a:srgbClr val="002060"/>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skola!$D$67:$D$73</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skola!$G$67:$G$73</c:f>
              <c:numCache>
                <c:formatCode>0.0%</c:formatCode>
                <c:ptCount val="7"/>
                <c:pt idx="0">
                  <c:v>4.2253521126760563E-2</c:v>
                </c:pt>
                <c:pt idx="1">
                  <c:v>0</c:v>
                </c:pt>
                <c:pt idx="2">
                  <c:v>1.0101010101010105E-2</c:v>
                </c:pt>
                <c:pt idx="3">
                  <c:v>3.875968992248062E-2</c:v>
                </c:pt>
                <c:pt idx="4">
                  <c:v>4.0000000000000114E-3</c:v>
                </c:pt>
                <c:pt idx="5">
                  <c:v>1.6393442622950821E-2</c:v>
                </c:pt>
                <c:pt idx="6">
                  <c:v>0</c:v>
                </c:pt>
              </c:numCache>
            </c:numRef>
          </c:val>
          <c:extLst>
            <c:ext xmlns:c16="http://schemas.microsoft.com/office/drawing/2014/chart" uri="{C3380CC4-5D6E-409C-BE32-E72D297353CC}">
              <c16:uniqueId val="{00000005-0066-42B6-BED4-173ED6FB8695}"/>
            </c:ext>
          </c:extLst>
        </c:ser>
        <c:dLbls>
          <c:showLegendKey val="0"/>
          <c:showVal val="1"/>
          <c:showCatName val="0"/>
          <c:showSerName val="0"/>
          <c:showPercent val="0"/>
          <c:showBubbleSize val="0"/>
        </c:dLbls>
        <c:gapWidth val="150"/>
        <c:overlap val="-25"/>
        <c:axId val="70489600"/>
        <c:axId val="70491136"/>
      </c:barChart>
      <c:catAx>
        <c:axId val="70489600"/>
        <c:scaling>
          <c:orientation val="minMax"/>
        </c:scaling>
        <c:delete val="0"/>
        <c:axPos val="b"/>
        <c:numFmt formatCode="General" sourceLinked="0"/>
        <c:majorTickMark val="none"/>
        <c:minorTickMark val="none"/>
        <c:tickLblPos val="nextTo"/>
        <c:crossAx val="70491136"/>
        <c:crosses val="autoZero"/>
        <c:auto val="1"/>
        <c:lblAlgn val="ctr"/>
        <c:lblOffset val="100"/>
        <c:noMultiLvlLbl val="0"/>
      </c:catAx>
      <c:valAx>
        <c:axId val="70491136"/>
        <c:scaling>
          <c:orientation val="minMax"/>
        </c:scaling>
        <c:delete val="1"/>
        <c:axPos val="l"/>
        <c:numFmt formatCode="0.0%" sourceLinked="1"/>
        <c:majorTickMark val="none"/>
        <c:minorTickMark val="none"/>
        <c:tickLblPos val="nextTo"/>
        <c:crossAx val="70489600"/>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skola!$E$218</c:f>
              <c:strCache>
                <c:ptCount val="1"/>
                <c:pt idx="0">
                  <c:v>искључиво бициклистичком стазом</c:v>
                </c:pt>
              </c:strCache>
            </c:strRef>
          </c:tx>
          <c:spPr>
            <a:solidFill>
              <a:srgbClr val="0070C0"/>
            </a:solidFill>
          </c:spPr>
          <c:invertIfNegative val="0"/>
          <c:dLbls>
            <c:dLbl>
              <c:idx val="5"/>
              <c:layout>
                <c:manualLayout>
                  <c:x val="7.8346673280126811E-17"/>
                  <c:y val="1.15606936416186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D13-434D-9AA4-D9D095D71F1F}"/>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skola!$E$219:$E$225</c:f>
              <c:numCache>
                <c:formatCode>0.0%</c:formatCode>
                <c:ptCount val="7"/>
                <c:pt idx="0">
                  <c:v>0.30046948356807818</c:v>
                </c:pt>
                <c:pt idx="1">
                  <c:v>0.47863247863247882</c:v>
                </c:pt>
                <c:pt idx="2">
                  <c:v>0.2323232323232324</c:v>
                </c:pt>
                <c:pt idx="3">
                  <c:v>0.3023255813953567</c:v>
                </c:pt>
                <c:pt idx="4">
                  <c:v>8.2397003745318331E-2</c:v>
                </c:pt>
                <c:pt idx="5">
                  <c:v>2.4590163934426229E-2</c:v>
                </c:pt>
                <c:pt idx="6">
                  <c:v>4.8076923076923114E-2</c:v>
                </c:pt>
              </c:numCache>
            </c:numRef>
          </c:val>
          <c:extLst>
            <c:ext xmlns:c16="http://schemas.microsoft.com/office/drawing/2014/chart" uri="{C3380CC4-5D6E-409C-BE32-E72D297353CC}">
              <c16:uniqueId val="{00000001-7D13-434D-9AA4-D9D095D71F1F}"/>
            </c:ext>
          </c:extLst>
        </c:ser>
        <c:ser>
          <c:idx val="1"/>
          <c:order val="1"/>
          <c:tx>
            <c:strRef>
              <c:f>skola!$F$218</c:f>
              <c:strCache>
                <c:ptCount val="1"/>
                <c:pt idx="0">
                  <c:v>бициклистичком стазом, тамо где је изграђена</c:v>
                </c:pt>
              </c:strCache>
            </c:strRef>
          </c:tx>
          <c:spPr>
            <a:solidFill>
              <a:srgbClr val="00B050"/>
            </a:solidFill>
          </c:spPr>
          <c:invertIfNegative val="0"/>
          <c:dLbls>
            <c:dLbl>
              <c:idx val="0"/>
              <c:layout>
                <c:manualLayout>
                  <c:x val="2.3682652457075208E-3"/>
                  <c:y val="1.5686274509803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D13-434D-9AA4-D9D095D71F1F}"/>
                </c:ext>
              </c:extLst>
            </c:dLbl>
            <c:dLbl>
              <c:idx val="2"/>
              <c:layout>
                <c:manualLayout>
                  <c:x val="2.3682652457075208E-3"/>
                  <c:y val="1.5686274509803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D13-434D-9AA4-D9D095D71F1F}"/>
                </c:ext>
              </c:extLst>
            </c:dLbl>
            <c:dLbl>
              <c:idx val="3"/>
              <c:layout>
                <c:manualLayout>
                  <c:x val="0"/>
                  <c:y val="1.15606936416186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D13-434D-9AA4-D9D095D71F1F}"/>
                </c:ext>
              </c:extLst>
            </c:dLbl>
            <c:dLbl>
              <c:idx val="6"/>
              <c:delete val="1"/>
              <c:extLst>
                <c:ext xmlns:c15="http://schemas.microsoft.com/office/drawing/2012/chart" uri="{CE6537A1-D6FC-4f65-9D91-7224C49458BB}"/>
                <c:ext xmlns:c16="http://schemas.microsoft.com/office/drawing/2014/chart" uri="{C3380CC4-5D6E-409C-BE32-E72D297353CC}">
                  <c16:uniqueId val="{00000005-7D13-434D-9AA4-D9D095D71F1F}"/>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skola!$F$219:$F$225</c:f>
              <c:numCache>
                <c:formatCode>0.0%</c:formatCode>
                <c:ptCount val="7"/>
                <c:pt idx="0">
                  <c:v>0.20187793427230091</c:v>
                </c:pt>
                <c:pt idx="1">
                  <c:v>0.23931623931624157</c:v>
                </c:pt>
                <c:pt idx="2">
                  <c:v>0.13636363636363635</c:v>
                </c:pt>
                <c:pt idx="3">
                  <c:v>0.18604651162790842</c:v>
                </c:pt>
                <c:pt idx="4">
                  <c:v>7.4906367041199184E-2</c:v>
                </c:pt>
                <c:pt idx="5">
                  <c:v>5.7377049180327863E-2</c:v>
                </c:pt>
                <c:pt idx="6">
                  <c:v>0</c:v>
                </c:pt>
              </c:numCache>
            </c:numRef>
          </c:val>
          <c:extLst>
            <c:ext xmlns:c16="http://schemas.microsoft.com/office/drawing/2014/chart" uri="{C3380CC4-5D6E-409C-BE32-E72D297353CC}">
              <c16:uniqueId val="{00000006-7D13-434D-9AA4-D9D095D71F1F}"/>
            </c:ext>
          </c:extLst>
        </c:ser>
        <c:ser>
          <c:idx val="2"/>
          <c:order val="2"/>
          <c:tx>
            <c:strRef>
              <c:f>skola!$G$218</c:f>
              <c:strCache>
                <c:ptCount val="1"/>
                <c:pt idx="0">
                  <c:v>ретко возим бициклистичком стазом, углавном улицом и тротоаром</c:v>
                </c:pt>
              </c:strCache>
            </c:strRef>
          </c:tx>
          <c:spPr>
            <a:solidFill>
              <a:srgbClr val="FFC000"/>
            </a:solidFill>
          </c:spPr>
          <c:invertIfNegative val="0"/>
          <c:dLbls>
            <c:dLbl>
              <c:idx val="0"/>
              <c:layout>
                <c:manualLayout>
                  <c:x val="4.736530491415052E-3"/>
                  <c:y val="-1.5686274509803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D13-434D-9AA4-D9D095D71F1F}"/>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skola!$G$219:$G$225</c:f>
              <c:numCache>
                <c:formatCode>0.0%</c:formatCode>
                <c:ptCount val="7"/>
                <c:pt idx="0">
                  <c:v>0.30985915492957788</c:v>
                </c:pt>
                <c:pt idx="1">
                  <c:v>6.8376068376068383E-2</c:v>
                </c:pt>
                <c:pt idx="2">
                  <c:v>0.38888888888889711</c:v>
                </c:pt>
                <c:pt idx="3">
                  <c:v>0.3178294573643487</c:v>
                </c:pt>
                <c:pt idx="4">
                  <c:v>0.64794007490636762</c:v>
                </c:pt>
                <c:pt idx="5">
                  <c:v>0.77049180327870093</c:v>
                </c:pt>
                <c:pt idx="6">
                  <c:v>0.67307692307692302</c:v>
                </c:pt>
              </c:numCache>
            </c:numRef>
          </c:val>
          <c:extLst>
            <c:ext xmlns:c16="http://schemas.microsoft.com/office/drawing/2014/chart" uri="{C3380CC4-5D6E-409C-BE32-E72D297353CC}">
              <c16:uniqueId val="{00000008-7D13-434D-9AA4-D9D095D71F1F}"/>
            </c:ext>
          </c:extLst>
        </c:ser>
        <c:ser>
          <c:idx val="3"/>
          <c:order val="3"/>
          <c:tx>
            <c:strRef>
              <c:f>skola!$H$218</c:f>
              <c:strCache>
                <c:ptCount val="1"/>
                <c:pt idx="0">
                  <c:v>не возим бицикл</c:v>
                </c:pt>
              </c:strCache>
            </c:strRef>
          </c:tx>
          <c:spPr>
            <a:solidFill>
              <a:srgbClr val="C00000"/>
            </a:solidFill>
          </c:spPr>
          <c:invertIfNegative val="0"/>
          <c:dLbls>
            <c:dLbl>
              <c:idx val="0"/>
              <c:layout>
                <c:manualLayout>
                  <c:x val="6.4102564102564534E-3"/>
                  <c:y val="1.15606936416186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D13-434D-9AA4-D9D095D71F1F}"/>
                </c:ext>
              </c:extLst>
            </c:dLbl>
            <c:dLbl>
              <c:idx val="2"/>
              <c:layout>
                <c:manualLayout>
                  <c:x val="7.104795737122558E-3"/>
                  <c:y val="2.09150326797385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D13-434D-9AA4-D9D095D71F1F}"/>
                </c:ext>
              </c:extLst>
            </c:dLbl>
            <c:dLbl>
              <c:idx val="3"/>
              <c:layout>
                <c:manualLayout>
                  <c:x val="1.282051282051282E-2"/>
                  <c:y val="7.707129094412503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D13-434D-9AA4-D9D095D71F1F}"/>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skola!$D$219:$D$225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skola!$H$219:$H$225</c:f>
              <c:numCache>
                <c:formatCode>0.0%</c:formatCode>
                <c:ptCount val="7"/>
                <c:pt idx="0">
                  <c:v>0.18779342723004691</c:v>
                </c:pt>
                <c:pt idx="1">
                  <c:v>0.21367521367521369</c:v>
                </c:pt>
                <c:pt idx="2">
                  <c:v>0.24242424242424429</c:v>
                </c:pt>
                <c:pt idx="3">
                  <c:v>0.19379844961240586</c:v>
                </c:pt>
                <c:pt idx="4">
                  <c:v>0.19475655430711611</c:v>
                </c:pt>
                <c:pt idx="5">
                  <c:v>0.1475409836065574</c:v>
                </c:pt>
                <c:pt idx="6">
                  <c:v>0.27884615384615385</c:v>
                </c:pt>
              </c:numCache>
            </c:numRef>
          </c:val>
          <c:extLst>
            <c:ext xmlns:c16="http://schemas.microsoft.com/office/drawing/2014/chart" uri="{C3380CC4-5D6E-409C-BE32-E72D297353CC}">
              <c16:uniqueId val="{0000000C-7D13-434D-9AA4-D9D095D71F1F}"/>
            </c:ext>
          </c:extLst>
        </c:ser>
        <c:dLbls>
          <c:showLegendKey val="0"/>
          <c:showVal val="1"/>
          <c:showCatName val="0"/>
          <c:showSerName val="0"/>
          <c:showPercent val="0"/>
          <c:showBubbleSize val="0"/>
        </c:dLbls>
        <c:gapWidth val="150"/>
        <c:overlap val="-25"/>
        <c:axId val="72482176"/>
        <c:axId val="80966016"/>
      </c:barChart>
      <c:catAx>
        <c:axId val="72482176"/>
        <c:scaling>
          <c:orientation val="minMax"/>
        </c:scaling>
        <c:delete val="0"/>
        <c:axPos val="b"/>
        <c:numFmt formatCode="General" sourceLinked="0"/>
        <c:majorTickMark val="none"/>
        <c:minorTickMark val="none"/>
        <c:tickLblPos val="nextTo"/>
        <c:txPr>
          <a:bodyPr/>
          <a:lstStyle/>
          <a:p>
            <a:pPr>
              <a:defRPr sz="900"/>
            </a:pPr>
            <a:endParaRPr lang="en-US"/>
          </a:p>
        </c:txPr>
        <c:crossAx val="80966016"/>
        <c:crosses val="autoZero"/>
        <c:auto val="1"/>
        <c:lblAlgn val="ctr"/>
        <c:lblOffset val="100"/>
        <c:noMultiLvlLbl val="0"/>
      </c:catAx>
      <c:valAx>
        <c:axId val="80966016"/>
        <c:scaling>
          <c:orientation val="minMax"/>
        </c:scaling>
        <c:delete val="1"/>
        <c:axPos val="l"/>
        <c:numFmt formatCode="0.0%" sourceLinked="1"/>
        <c:majorTickMark val="out"/>
        <c:minorTickMark val="none"/>
        <c:tickLblPos val="nextTo"/>
        <c:crossAx val="72482176"/>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skola!$E$301</c:f>
              <c:strCache>
                <c:ptCount val="1"/>
                <c:pt idx="0">
                  <c:v>пешице</c:v>
                </c:pt>
              </c:strCache>
            </c:strRef>
          </c:tx>
          <c:spPr>
            <a:solidFill>
              <a:srgbClr val="00B050"/>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skola!$E$302:$E$308</c:f>
              <c:numCache>
                <c:formatCode>0.0%</c:formatCode>
                <c:ptCount val="7"/>
                <c:pt idx="0">
                  <c:v>0.27699530516431931</c:v>
                </c:pt>
                <c:pt idx="1">
                  <c:v>0.64102564102564163</c:v>
                </c:pt>
                <c:pt idx="2">
                  <c:v>0.37878787878788478</c:v>
                </c:pt>
                <c:pt idx="3">
                  <c:v>0.67441860465116465</c:v>
                </c:pt>
                <c:pt idx="4">
                  <c:v>0.85767790262172983</c:v>
                </c:pt>
                <c:pt idx="5">
                  <c:v>0.6639344262295207</c:v>
                </c:pt>
                <c:pt idx="6">
                  <c:v>0.83653846153846168</c:v>
                </c:pt>
              </c:numCache>
            </c:numRef>
          </c:val>
          <c:extLst>
            <c:ext xmlns:c16="http://schemas.microsoft.com/office/drawing/2014/chart" uri="{C3380CC4-5D6E-409C-BE32-E72D297353CC}">
              <c16:uniqueId val="{00000000-1C56-40CD-AD43-AF8130C4E508}"/>
            </c:ext>
          </c:extLst>
        </c:ser>
        <c:ser>
          <c:idx val="1"/>
          <c:order val="1"/>
          <c:tx>
            <c:strRef>
              <c:f>skola!$F$301</c:f>
              <c:strCache>
                <c:ptCount val="1"/>
                <c:pt idx="0">
                  <c:v>бициклом</c:v>
                </c:pt>
              </c:strCache>
            </c:strRef>
          </c:tx>
          <c:spPr>
            <a:solidFill>
              <a:srgbClr val="FFC000"/>
            </a:solidFill>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1-1C56-40CD-AD43-AF8130C4E508}"/>
                </c:ext>
              </c:extLst>
            </c:dLbl>
            <c:dLbl>
              <c:idx val="4"/>
              <c:delete val="1"/>
              <c:extLst>
                <c:ext xmlns:c15="http://schemas.microsoft.com/office/drawing/2012/chart" uri="{CE6537A1-D6FC-4f65-9D91-7224C49458BB}"/>
                <c:ext xmlns:c16="http://schemas.microsoft.com/office/drawing/2014/chart" uri="{C3380CC4-5D6E-409C-BE32-E72D297353CC}">
                  <c16:uniqueId val="{00000002-1C56-40CD-AD43-AF8130C4E50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skola!$F$302:$F$308</c:f>
              <c:numCache>
                <c:formatCode>0.0%</c:formatCode>
                <c:ptCount val="7"/>
                <c:pt idx="0">
                  <c:v>4.6948356807511738E-3</c:v>
                </c:pt>
                <c:pt idx="1">
                  <c:v>8.5470085470085496E-3</c:v>
                </c:pt>
                <c:pt idx="2">
                  <c:v>5.0505050505050475E-3</c:v>
                </c:pt>
                <c:pt idx="3">
                  <c:v>3.1007751937984489E-2</c:v>
                </c:pt>
                <c:pt idx="4">
                  <c:v>0</c:v>
                </c:pt>
                <c:pt idx="5">
                  <c:v>5.7377049180327863E-2</c:v>
                </c:pt>
                <c:pt idx="6">
                  <c:v>9.6153846153848067E-3</c:v>
                </c:pt>
              </c:numCache>
            </c:numRef>
          </c:val>
          <c:extLst>
            <c:ext xmlns:c16="http://schemas.microsoft.com/office/drawing/2014/chart" uri="{C3380CC4-5D6E-409C-BE32-E72D297353CC}">
              <c16:uniqueId val="{00000003-1C56-40CD-AD43-AF8130C4E508}"/>
            </c:ext>
          </c:extLst>
        </c:ser>
        <c:ser>
          <c:idx val="2"/>
          <c:order val="2"/>
          <c:tx>
            <c:strRef>
              <c:f>skola!$G$301</c:f>
              <c:strCache>
                <c:ptCount val="1"/>
                <c:pt idx="0">
                  <c:v>аутобусом ЈГС</c:v>
                </c:pt>
              </c:strCache>
            </c:strRef>
          </c:tx>
          <c:spPr>
            <a:solidFill>
              <a:srgbClr val="C0109E"/>
            </a:solidFill>
          </c:spPr>
          <c:invertIfNegative val="0"/>
          <c:dLbls>
            <c:dLbl>
              <c:idx val="1"/>
              <c:layout>
                <c:manualLayout>
                  <c:x val="0"/>
                  <c:y val="-1.91391943876045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C56-40CD-AD43-AF8130C4E508}"/>
                </c:ext>
              </c:extLst>
            </c:dLbl>
            <c:dLbl>
              <c:idx val="5"/>
              <c:layout>
                <c:manualLayout>
                  <c:x val="1.01201771030994E-2"/>
                  <c:y val="6.944444444444449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C56-40CD-AD43-AF8130C4E508}"/>
                </c:ext>
              </c:extLst>
            </c:dLbl>
            <c:dLbl>
              <c:idx val="6"/>
              <c:delete val="1"/>
              <c:extLst>
                <c:ext xmlns:c15="http://schemas.microsoft.com/office/drawing/2012/chart" uri="{CE6537A1-D6FC-4f65-9D91-7224C49458BB}"/>
                <c:ext xmlns:c16="http://schemas.microsoft.com/office/drawing/2014/chart" uri="{C3380CC4-5D6E-409C-BE32-E72D297353CC}">
                  <c16:uniqueId val="{00000006-1C56-40CD-AD43-AF8130C4E50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skola!$G$302:$G$308</c:f>
              <c:numCache>
                <c:formatCode>0.0%</c:formatCode>
                <c:ptCount val="7"/>
                <c:pt idx="0">
                  <c:v>0.33802816901409266</c:v>
                </c:pt>
                <c:pt idx="1">
                  <c:v>4.2735042735042736E-2</c:v>
                </c:pt>
                <c:pt idx="2">
                  <c:v>0.56060606060606055</c:v>
                </c:pt>
                <c:pt idx="3">
                  <c:v>8.5271317829457349E-2</c:v>
                </c:pt>
                <c:pt idx="4">
                  <c:v>1.8726591760299643E-2</c:v>
                </c:pt>
                <c:pt idx="5">
                  <c:v>0.11475409836065573</c:v>
                </c:pt>
                <c:pt idx="6">
                  <c:v>0</c:v>
                </c:pt>
              </c:numCache>
            </c:numRef>
          </c:val>
          <c:extLst>
            <c:ext xmlns:c16="http://schemas.microsoft.com/office/drawing/2014/chart" uri="{C3380CC4-5D6E-409C-BE32-E72D297353CC}">
              <c16:uniqueId val="{00000007-1C56-40CD-AD43-AF8130C4E508}"/>
            </c:ext>
          </c:extLst>
        </c:ser>
        <c:ser>
          <c:idx val="3"/>
          <c:order val="3"/>
          <c:tx>
            <c:strRef>
              <c:f>skola!$H$301</c:f>
              <c:strCache>
                <c:ptCount val="1"/>
                <c:pt idx="0">
                  <c:v>возе ме аутомобилом</c:v>
                </c:pt>
              </c:strCache>
            </c:strRef>
          </c:tx>
          <c:spPr>
            <a:solidFill>
              <a:srgbClr val="002060"/>
            </a:solidFill>
          </c:spPr>
          <c:invertIfNegative val="0"/>
          <c:dLbls>
            <c:dLbl>
              <c:idx val="0"/>
              <c:layout>
                <c:manualLayout>
                  <c:x val="1.518026565464896E-2"/>
                  <c:y val="3.47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C56-40CD-AD43-AF8130C4E508}"/>
                </c:ext>
              </c:extLst>
            </c:dLbl>
            <c:dLbl>
              <c:idx val="5"/>
              <c:layout>
                <c:manualLayout>
                  <c:x val="1.0120177103099304E-2"/>
                  <c:y val="-2.0833333333333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C56-40CD-AD43-AF8130C4E50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skola!$D$302:$D$308</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skola!$H$302:$H$308</c:f>
              <c:numCache>
                <c:formatCode>0.0%</c:formatCode>
                <c:ptCount val="7"/>
                <c:pt idx="0">
                  <c:v>0.38028169014085111</c:v>
                </c:pt>
                <c:pt idx="1">
                  <c:v>0.30769230769230782</c:v>
                </c:pt>
                <c:pt idx="2">
                  <c:v>5.5555555555555455E-2</c:v>
                </c:pt>
                <c:pt idx="3">
                  <c:v>0.20930232558139786</c:v>
                </c:pt>
                <c:pt idx="4">
                  <c:v>0.12359550561797752</c:v>
                </c:pt>
                <c:pt idx="5">
                  <c:v>0.16393442622950818</c:v>
                </c:pt>
                <c:pt idx="6">
                  <c:v>0.15384615384615613</c:v>
                </c:pt>
              </c:numCache>
            </c:numRef>
          </c:val>
          <c:extLst>
            <c:ext xmlns:c16="http://schemas.microsoft.com/office/drawing/2014/chart" uri="{C3380CC4-5D6E-409C-BE32-E72D297353CC}">
              <c16:uniqueId val="{0000000A-1C56-40CD-AD43-AF8130C4E508}"/>
            </c:ext>
          </c:extLst>
        </c:ser>
        <c:dLbls>
          <c:showLegendKey val="0"/>
          <c:showVal val="1"/>
          <c:showCatName val="0"/>
          <c:showSerName val="0"/>
          <c:showPercent val="0"/>
          <c:showBubbleSize val="0"/>
        </c:dLbls>
        <c:gapWidth val="150"/>
        <c:overlap val="-25"/>
        <c:axId val="57243904"/>
        <c:axId val="57257984"/>
      </c:barChart>
      <c:catAx>
        <c:axId val="57243904"/>
        <c:scaling>
          <c:orientation val="minMax"/>
        </c:scaling>
        <c:delete val="0"/>
        <c:axPos val="b"/>
        <c:numFmt formatCode="General" sourceLinked="0"/>
        <c:majorTickMark val="none"/>
        <c:minorTickMark val="none"/>
        <c:tickLblPos val="nextTo"/>
        <c:crossAx val="57257984"/>
        <c:crosses val="autoZero"/>
        <c:auto val="1"/>
        <c:lblAlgn val="ctr"/>
        <c:lblOffset val="100"/>
        <c:noMultiLvlLbl val="0"/>
      </c:catAx>
      <c:valAx>
        <c:axId val="57257984"/>
        <c:scaling>
          <c:orientation val="minMax"/>
        </c:scaling>
        <c:delete val="1"/>
        <c:axPos val="l"/>
        <c:numFmt formatCode="0.0%" sourceLinked="1"/>
        <c:majorTickMark val="out"/>
        <c:minorTickMark val="none"/>
        <c:tickLblPos val="nextTo"/>
        <c:crossAx val="57243904"/>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skola!$E$338</c:f>
              <c:strCache>
                <c:ptCount val="1"/>
                <c:pt idx="0">
                  <c:v>још увек не иду сами</c:v>
                </c:pt>
              </c:strCache>
            </c:strRef>
          </c:tx>
          <c:spPr>
            <a:solidFill>
              <a:srgbClr val="FB0385"/>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skola!$E$339:$E$345</c:f>
              <c:numCache>
                <c:formatCode>###0.0%</c:formatCode>
                <c:ptCount val="7"/>
                <c:pt idx="0">
                  <c:v>0.43661971830986529</c:v>
                </c:pt>
                <c:pt idx="1">
                  <c:v>0.79487179487179493</c:v>
                </c:pt>
                <c:pt idx="2">
                  <c:v>8.5858585858585842E-2</c:v>
                </c:pt>
                <c:pt idx="3">
                  <c:v>0.27906976744186396</c:v>
                </c:pt>
                <c:pt idx="4">
                  <c:v>0.17602996254681649</c:v>
                </c:pt>
                <c:pt idx="5">
                  <c:v>0.25409836065573771</c:v>
                </c:pt>
                <c:pt idx="6">
                  <c:v>0.21153846153846456</c:v>
                </c:pt>
              </c:numCache>
            </c:numRef>
          </c:val>
          <c:extLst>
            <c:ext xmlns:c16="http://schemas.microsoft.com/office/drawing/2014/chart" uri="{C3380CC4-5D6E-409C-BE32-E72D297353CC}">
              <c16:uniqueId val="{00000000-883C-414A-BBBF-D8D424DF5198}"/>
            </c:ext>
          </c:extLst>
        </c:ser>
        <c:ser>
          <c:idx val="1"/>
          <c:order val="1"/>
          <c:tx>
            <c:strRef>
              <c:f>skola!$F$338</c:f>
              <c:strCache>
                <c:ptCount val="1"/>
                <c:pt idx="0">
                  <c:v>у првом разреду</c:v>
                </c:pt>
              </c:strCache>
            </c:strRef>
          </c:tx>
          <c:spPr>
            <a:solidFill>
              <a:srgbClr val="00B0F0"/>
            </a:solidFill>
          </c:spPr>
          <c:invertIfNegative val="0"/>
          <c:dLbls>
            <c:dLbl>
              <c:idx val="0"/>
              <c:layout>
                <c:manualLayout>
                  <c:x val="1.0276172125883108E-2"/>
                  <c:y val="2.07253886010363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83C-414A-BBBF-D8D424DF519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skola!$F$339:$F$345</c:f>
              <c:numCache>
                <c:formatCode>###0.0%</c:formatCode>
                <c:ptCount val="7"/>
                <c:pt idx="0">
                  <c:v>0.16901408450704494</c:v>
                </c:pt>
                <c:pt idx="1">
                  <c:v>5.9829059829059825E-2</c:v>
                </c:pt>
                <c:pt idx="2">
                  <c:v>0.35353535353535359</c:v>
                </c:pt>
                <c:pt idx="3">
                  <c:v>0.53488372093022563</c:v>
                </c:pt>
                <c:pt idx="4">
                  <c:v>0.57677902621722865</c:v>
                </c:pt>
                <c:pt idx="5">
                  <c:v>0.69672131147541683</c:v>
                </c:pt>
                <c:pt idx="6">
                  <c:v>0.57692307692308675</c:v>
                </c:pt>
              </c:numCache>
            </c:numRef>
          </c:val>
          <c:extLst>
            <c:ext xmlns:c16="http://schemas.microsoft.com/office/drawing/2014/chart" uri="{C3380CC4-5D6E-409C-BE32-E72D297353CC}">
              <c16:uniqueId val="{00000002-883C-414A-BBBF-D8D424DF5198}"/>
            </c:ext>
          </c:extLst>
        </c:ser>
        <c:ser>
          <c:idx val="2"/>
          <c:order val="2"/>
          <c:tx>
            <c:strRef>
              <c:f>skola!$G$338</c:f>
              <c:strCache>
                <c:ptCount val="1"/>
                <c:pt idx="0">
                  <c:v>у другом разреду</c:v>
                </c:pt>
              </c:strCache>
            </c:strRef>
          </c:tx>
          <c:spPr>
            <a:solidFill>
              <a:srgbClr val="92D050"/>
            </a:solidFill>
          </c:spPr>
          <c:invertIfNegative val="0"/>
          <c:dLbls>
            <c:dLbl>
              <c:idx val="0"/>
              <c:layout>
                <c:manualLayout>
                  <c:x val="0"/>
                  <c:y val="-2.0725388601036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83C-414A-BBBF-D8D424DF5198}"/>
                </c:ext>
              </c:extLst>
            </c:dLbl>
            <c:dLbl>
              <c:idx val="1"/>
              <c:layout>
                <c:manualLayout>
                  <c:x val="7.707129094412360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83C-414A-BBBF-D8D424DF5198}"/>
                </c:ext>
              </c:extLst>
            </c:dLbl>
            <c:dLbl>
              <c:idx val="2"/>
              <c:layout>
                <c:manualLayout>
                  <c:x val="0"/>
                  <c:y val="-2.76338514680483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83C-414A-BBBF-D8D424DF5198}"/>
                </c:ext>
              </c:extLst>
            </c:dLbl>
            <c:dLbl>
              <c:idx val="6"/>
              <c:layout>
                <c:manualLayout>
                  <c:x val="1.9230769230769475E-2"/>
                  <c:y val="7.36740769058737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83C-414A-BBBF-D8D424DF519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skola!$G$339:$G$345</c:f>
              <c:numCache>
                <c:formatCode>###0.0%</c:formatCode>
                <c:ptCount val="7"/>
                <c:pt idx="0">
                  <c:v>0.24882629107981241</c:v>
                </c:pt>
                <c:pt idx="1">
                  <c:v>0.14529914529914689</c:v>
                </c:pt>
                <c:pt idx="2">
                  <c:v>0.41414141414141414</c:v>
                </c:pt>
                <c:pt idx="3">
                  <c:v>0.1705426356589147</c:v>
                </c:pt>
                <c:pt idx="4">
                  <c:v>0.21348314606741842</c:v>
                </c:pt>
                <c:pt idx="5">
                  <c:v>4.0983606557377074E-2</c:v>
                </c:pt>
                <c:pt idx="6">
                  <c:v>0.21153846153846456</c:v>
                </c:pt>
              </c:numCache>
            </c:numRef>
          </c:val>
          <c:extLst>
            <c:ext xmlns:c16="http://schemas.microsoft.com/office/drawing/2014/chart" uri="{C3380CC4-5D6E-409C-BE32-E72D297353CC}">
              <c16:uniqueId val="{00000007-883C-414A-BBBF-D8D424DF5198}"/>
            </c:ext>
          </c:extLst>
        </c:ser>
        <c:ser>
          <c:idx val="3"/>
          <c:order val="3"/>
          <c:tx>
            <c:strRef>
              <c:f>skola!$H$338</c:f>
              <c:strCache>
                <c:ptCount val="1"/>
                <c:pt idx="0">
                  <c:v>у трећем разреду</c:v>
                </c:pt>
              </c:strCache>
            </c:strRef>
          </c:tx>
          <c:spPr>
            <a:solidFill>
              <a:srgbClr val="FFFF00"/>
            </a:solidFill>
          </c:spPr>
          <c:invertIfNegative val="0"/>
          <c:dLbls>
            <c:dLbl>
              <c:idx val="0"/>
              <c:layout>
                <c:manualLayout>
                  <c:x val="5.1378837760886805E-3"/>
                  <c:y val="2.07248446275821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83C-414A-BBBF-D8D424DF5198}"/>
                </c:ext>
              </c:extLst>
            </c:dLbl>
            <c:dLbl>
              <c:idx val="1"/>
              <c:delete val="1"/>
              <c:extLst>
                <c:ext xmlns:c15="http://schemas.microsoft.com/office/drawing/2012/chart" uri="{CE6537A1-D6FC-4f65-9D91-7224C49458BB}"/>
                <c:ext xmlns:c16="http://schemas.microsoft.com/office/drawing/2014/chart" uri="{C3380CC4-5D6E-409C-BE32-E72D297353CC}">
                  <c16:uniqueId val="{00000009-883C-414A-BBBF-D8D424DF5198}"/>
                </c:ext>
              </c:extLst>
            </c:dLbl>
            <c:dLbl>
              <c:idx val="5"/>
              <c:layout>
                <c:manualLayout>
                  <c:x val="1.4957264957264856E-2"/>
                  <c:y val="7.3674076905874408E-3"/>
                </c:manualLayout>
              </c:layout>
              <c:numFmt formatCode="0%" sourceLinked="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83C-414A-BBBF-D8D424DF5198}"/>
                </c:ext>
              </c:extLst>
            </c:dLbl>
            <c:dLbl>
              <c:idx val="6"/>
              <c:delete val="1"/>
              <c:extLst>
                <c:ext xmlns:c15="http://schemas.microsoft.com/office/drawing/2012/chart" uri="{CE6537A1-D6FC-4f65-9D91-7224C49458BB}"/>
                <c:ext xmlns:c16="http://schemas.microsoft.com/office/drawing/2014/chart" uri="{C3380CC4-5D6E-409C-BE32-E72D297353CC}">
                  <c16:uniqueId val="{0000000B-883C-414A-BBBF-D8D424DF519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skola!$H$339:$H$345</c:f>
              <c:numCache>
                <c:formatCode>###0.0%</c:formatCode>
                <c:ptCount val="7"/>
                <c:pt idx="0">
                  <c:v>0.11267605633802819</c:v>
                </c:pt>
                <c:pt idx="1">
                  <c:v>0</c:v>
                </c:pt>
                <c:pt idx="2">
                  <c:v>0.1212121212121222</c:v>
                </c:pt>
                <c:pt idx="3">
                  <c:v>1.5503875968992468E-2</c:v>
                </c:pt>
                <c:pt idx="4">
                  <c:v>2.6217228464419991E-2</c:v>
                </c:pt>
                <c:pt idx="5" formatCode="####.0%">
                  <c:v>8.1967213114754103E-3</c:v>
                </c:pt>
                <c:pt idx="6">
                  <c:v>0</c:v>
                </c:pt>
              </c:numCache>
            </c:numRef>
          </c:val>
          <c:extLst>
            <c:ext xmlns:c16="http://schemas.microsoft.com/office/drawing/2014/chart" uri="{C3380CC4-5D6E-409C-BE32-E72D297353CC}">
              <c16:uniqueId val="{0000000C-883C-414A-BBBF-D8D424DF5198}"/>
            </c:ext>
          </c:extLst>
        </c:ser>
        <c:ser>
          <c:idx val="4"/>
          <c:order val="4"/>
          <c:tx>
            <c:strRef>
              <c:f>skola!$I$338</c:f>
              <c:strCache>
                <c:ptCount val="1"/>
                <c:pt idx="0">
                  <c:v>у четвртом разреду</c:v>
                </c:pt>
              </c:strCache>
            </c:strRef>
          </c:tx>
          <c:spPr>
            <a:solidFill>
              <a:srgbClr val="002060"/>
            </a:solidFill>
          </c:spPr>
          <c:invertIfNegative val="0"/>
          <c:dLbls>
            <c:dLbl>
              <c:idx val="0"/>
              <c:layout>
                <c:manualLayout>
                  <c:x val="1.582186619736118E-2"/>
                  <c:y val="1.427603932928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83C-414A-BBBF-D8D424DF5198}"/>
                </c:ext>
              </c:extLst>
            </c:dLbl>
            <c:dLbl>
              <c:idx val="1"/>
              <c:delete val="1"/>
              <c:extLst>
                <c:ext xmlns:c15="http://schemas.microsoft.com/office/drawing/2012/chart" uri="{CE6537A1-D6FC-4f65-9D91-7224C49458BB}"/>
                <c:ext xmlns:c16="http://schemas.microsoft.com/office/drawing/2014/chart" uri="{C3380CC4-5D6E-409C-BE32-E72D297353CC}">
                  <c16:uniqueId val="{0000000E-883C-414A-BBBF-D8D424DF5198}"/>
                </c:ext>
              </c:extLst>
            </c:dLbl>
            <c:dLbl>
              <c:idx val="2"/>
              <c:layout>
                <c:manualLayout>
                  <c:x val="2.5690430314707301E-3"/>
                  <c:y val="4.1450777202072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883C-414A-BBBF-D8D424DF5198}"/>
                </c:ext>
              </c:extLst>
            </c:dLbl>
            <c:dLbl>
              <c:idx val="3"/>
              <c:delete val="1"/>
              <c:extLst>
                <c:ext xmlns:c15="http://schemas.microsoft.com/office/drawing/2012/chart" uri="{CE6537A1-D6FC-4f65-9D91-7224C49458BB}"/>
                <c:ext xmlns:c16="http://schemas.microsoft.com/office/drawing/2014/chart" uri="{C3380CC4-5D6E-409C-BE32-E72D297353CC}">
                  <c16:uniqueId val="{00000010-883C-414A-BBBF-D8D424DF5198}"/>
                </c:ext>
              </c:extLst>
            </c:dLbl>
            <c:dLbl>
              <c:idx val="4"/>
              <c:layout>
                <c:manualLayout>
                  <c:x val="1.0683760683760826E-2"/>
                  <c:y val="1.8418519226468789E-2"/>
                </c:manualLayout>
              </c:layout>
              <c:numFmt formatCode="0%" sourceLinked="0"/>
              <c:spPr/>
              <c:txPr>
                <a:bodyPr/>
                <a:lstStyle/>
                <a:p>
                  <a:pPr>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883C-414A-BBBF-D8D424DF5198}"/>
                </c:ext>
              </c:extLst>
            </c:dLbl>
            <c:dLbl>
              <c:idx val="5"/>
              <c:delete val="1"/>
              <c:extLst>
                <c:ext xmlns:c15="http://schemas.microsoft.com/office/drawing/2012/chart" uri="{CE6537A1-D6FC-4f65-9D91-7224C49458BB}"/>
                <c:ext xmlns:c16="http://schemas.microsoft.com/office/drawing/2014/chart" uri="{C3380CC4-5D6E-409C-BE32-E72D297353CC}">
                  <c16:uniqueId val="{00000012-883C-414A-BBBF-D8D424DF5198}"/>
                </c:ext>
              </c:extLst>
            </c:dLbl>
            <c:dLbl>
              <c:idx val="6"/>
              <c:delete val="1"/>
              <c:extLst>
                <c:ext xmlns:c15="http://schemas.microsoft.com/office/drawing/2012/chart" uri="{CE6537A1-D6FC-4f65-9D91-7224C49458BB}"/>
                <c:ext xmlns:c16="http://schemas.microsoft.com/office/drawing/2014/chart" uri="{C3380CC4-5D6E-409C-BE32-E72D297353CC}">
                  <c16:uniqueId val="{00000013-883C-414A-BBBF-D8D424DF519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skola!$D$339:$D$345</c:f>
              <c:strCache>
                <c:ptCount val="7"/>
                <c:pt idx="0">
                  <c:v>ОШ Васа Чарапић (рурал БГ)</c:v>
                </c:pt>
                <c:pt idx="1">
                  <c:v>ОШ Војвода Степа Степановић (урбан БГ)</c:v>
                </c:pt>
                <c:pt idx="2">
                  <c:v>ОШ Јелена Ћетковић (урбан БГ)</c:v>
                </c:pt>
                <c:pt idx="3">
                  <c:v>ОШ Херој Иван Мукер (урбан СП)</c:v>
                </c:pt>
                <c:pt idx="4">
                  <c:v>ОШ Вук Караџић (урбан СП)</c:v>
                </c:pt>
                <c:pt idx="5">
                  <c:v>ОШ Радомир Лазић (рурал СП)</c:v>
                </c:pt>
                <c:pt idx="6">
                  <c:v>ОШ Брана Јевтић (рурал СП)</c:v>
                </c:pt>
              </c:strCache>
            </c:strRef>
          </c:cat>
          <c:val>
            <c:numRef>
              <c:f>skola!$I$339:$I$345</c:f>
              <c:numCache>
                <c:formatCode>###0.0%</c:formatCode>
                <c:ptCount val="7"/>
                <c:pt idx="0">
                  <c:v>3.2863849765258482E-2</c:v>
                </c:pt>
                <c:pt idx="1">
                  <c:v>0</c:v>
                </c:pt>
                <c:pt idx="2">
                  <c:v>2.5252525252525249E-2</c:v>
                </c:pt>
                <c:pt idx="3">
                  <c:v>0</c:v>
                </c:pt>
                <c:pt idx="4" formatCode="####.0%">
                  <c:v>7.4906367041199448E-3</c:v>
                </c:pt>
                <c:pt idx="5">
                  <c:v>0</c:v>
                </c:pt>
                <c:pt idx="6">
                  <c:v>0</c:v>
                </c:pt>
              </c:numCache>
            </c:numRef>
          </c:val>
          <c:extLst>
            <c:ext xmlns:c16="http://schemas.microsoft.com/office/drawing/2014/chart" uri="{C3380CC4-5D6E-409C-BE32-E72D297353CC}">
              <c16:uniqueId val="{00000014-883C-414A-BBBF-D8D424DF5198}"/>
            </c:ext>
          </c:extLst>
        </c:ser>
        <c:dLbls>
          <c:showLegendKey val="0"/>
          <c:showVal val="1"/>
          <c:showCatName val="0"/>
          <c:showSerName val="0"/>
          <c:showPercent val="0"/>
          <c:showBubbleSize val="0"/>
        </c:dLbls>
        <c:gapWidth val="150"/>
        <c:overlap val="-25"/>
        <c:axId val="57336960"/>
        <c:axId val="57338496"/>
      </c:barChart>
      <c:catAx>
        <c:axId val="57336960"/>
        <c:scaling>
          <c:orientation val="minMax"/>
        </c:scaling>
        <c:delete val="0"/>
        <c:axPos val="b"/>
        <c:numFmt formatCode="General" sourceLinked="0"/>
        <c:majorTickMark val="none"/>
        <c:minorTickMark val="none"/>
        <c:tickLblPos val="nextTo"/>
        <c:txPr>
          <a:bodyPr/>
          <a:lstStyle/>
          <a:p>
            <a:pPr>
              <a:defRPr sz="800"/>
            </a:pPr>
            <a:endParaRPr lang="en-US"/>
          </a:p>
        </c:txPr>
        <c:crossAx val="57338496"/>
        <c:crosses val="autoZero"/>
        <c:auto val="1"/>
        <c:lblAlgn val="ctr"/>
        <c:lblOffset val="100"/>
        <c:noMultiLvlLbl val="0"/>
      </c:catAx>
      <c:valAx>
        <c:axId val="57338496"/>
        <c:scaling>
          <c:orientation val="minMax"/>
        </c:scaling>
        <c:delete val="1"/>
        <c:axPos val="l"/>
        <c:numFmt formatCode="###0.0%" sourceLinked="1"/>
        <c:majorTickMark val="out"/>
        <c:minorTickMark val="none"/>
        <c:tickLblPos val="nextTo"/>
        <c:crossAx val="57336960"/>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razred!$E$126</c:f>
              <c:strCache>
                <c:ptCount val="1"/>
                <c:pt idx="0">
                  <c:v>не</c:v>
                </c:pt>
              </c:strCache>
            </c:strRef>
          </c:tx>
          <c:spPr>
            <a:solidFill>
              <a:srgbClr val="00B050"/>
            </a:solidFill>
          </c:spPr>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razred!$D$127:$D$130</c:f>
              <c:strCache>
                <c:ptCount val="4"/>
                <c:pt idx="0">
                  <c:v>први</c:v>
                </c:pt>
                <c:pt idx="1">
                  <c:v>други</c:v>
                </c:pt>
                <c:pt idx="2">
                  <c:v>трећи</c:v>
                </c:pt>
                <c:pt idx="3">
                  <c:v>четврти</c:v>
                </c:pt>
              </c:strCache>
            </c:strRef>
          </c:cat>
          <c:val>
            <c:numRef>
              <c:f>razred!$E$127:$E$130</c:f>
              <c:numCache>
                <c:formatCode>0.0%</c:formatCode>
                <c:ptCount val="4"/>
                <c:pt idx="0">
                  <c:v>0.99570815450643779</c:v>
                </c:pt>
                <c:pt idx="1">
                  <c:v>0.98245614035087658</c:v>
                </c:pt>
                <c:pt idx="2">
                  <c:v>0.98757763975154722</c:v>
                </c:pt>
                <c:pt idx="3">
                  <c:v>0.95806451612903265</c:v>
                </c:pt>
              </c:numCache>
            </c:numRef>
          </c:val>
          <c:extLst>
            <c:ext xmlns:c16="http://schemas.microsoft.com/office/drawing/2014/chart" uri="{C3380CC4-5D6E-409C-BE32-E72D297353CC}">
              <c16:uniqueId val="{00000000-A2F1-4D75-875F-4F5F149E40A1}"/>
            </c:ext>
          </c:extLst>
        </c:ser>
        <c:ser>
          <c:idx val="1"/>
          <c:order val="1"/>
          <c:tx>
            <c:strRef>
              <c:f>razred!$F$126</c:f>
              <c:strCache>
                <c:ptCount val="1"/>
                <c:pt idx="0">
                  <c:v>да, конфликт</c:v>
                </c:pt>
              </c:strCache>
            </c:strRef>
          </c:tx>
          <c:spPr>
            <a:solidFill>
              <a:srgbClr val="0070C0"/>
            </a:solidFill>
          </c:spPr>
          <c:invertIfNegative val="0"/>
          <c:dLbls>
            <c:dLbl>
              <c:idx val="0"/>
              <c:layout>
                <c:manualLayout>
                  <c:x val="1.282051282051282E-2"/>
                  <c:y val="-1.3555501238674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2F1-4D75-875F-4F5F149E40A1}"/>
                </c:ext>
              </c:extLst>
            </c:dLbl>
            <c:dLbl>
              <c:idx val="1"/>
              <c:layout>
                <c:manualLayout>
                  <c:x val="1.282051282051282E-2"/>
                  <c:y val="-1.3555501238674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2F1-4D75-875F-4F5F149E40A1}"/>
                </c:ext>
              </c:extLst>
            </c:dLbl>
            <c:dLbl>
              <c:idx val="2"/>
              <c:layout>
                <c:manualLayout>
                  <c:x val="1.4957264957265036E-2"/>
                  <c:y val="-1.8074001651565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2F1-4D75-875F-4F5F149E40A1}"/>
                </c:ext>
              </c:extLst>
            </c:dLbl>
            <c:dLbl>
              <c:idx val="3"/>
              <c:layout>
                <c:manualLayout>
                  <c:x val="1.282051282051282E-2"/>
                  <c:y val="-2.2592502064456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2F1-4D75-875F-4F5F149E40A1}"/>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razred!$D$127:$D$130</c:f>
              <c:strCache>
                <c:ptCount val="4"/>
                <c:pt idx="0">
                  <c:v>први</c:v>
                </c:pt>
                <c:pt idx="1">
                  <c:v>други</c:v>
                </c:pt>
                <c:pt idx="2">
                  <c:v>трећи</c:v>
                </c:pt>
                <c:pt idx="3">
                  <c:v>четврти</c:v>
                </c:pt>
              </c:strCache>
            </c:strRef>
          </c:cat>
          <c:val>
            <c:numRef>
              <c:f>razred!$F$127:$F$130</c:f>
              <c:numCache>
                <c:formatCode>0.0%</c:formatCode>
                <c:ptCount val="4"/>
                <c:pt idx="0">
                  <c:v>4.2918454935623341E-3</c:v>
                </c:pt>
                <c:pt idx="1">
                  <c:v>1.7543859649123118E-2</c:v>
                </c:pt>
                <c:pt idx="2">
                  <c:v>1.2422360248447369E-2</c:v>
                </c:pt>
                <c:pt idx="3">
                  <c:v>4.1935483870967752E-2</c:v>
                </c:pt>
              </c:numCache>
            </c:numRef>
          </c:val>
          <c:extLst>
            <c:ext xmlns:c16="http://schemas.microsoft.com/office/drawing/2014/chart" uri="{C3380CC4-5D6E-409C-BE32-E72D297353CC}">
              <c16:uniqueId val="{00000005-A2F1-4D75-875F-4F5F149E40A1}"/>
            </c:ext>
          </c:extLst>
        </c:ser>
        <c:ser>
          <c:idx val="2"/>
          <c:order val="2"/>
          <c:tx>
            <c:strRef>
              <c:f>razred!$G$126</c:f>
              <c:strCache>
                <c:ptCount val="1"/>
                <c:pt idx="0">
                  <c:v>да, саобраћајну незгоду</c:v>
                </c:pt>
              </c:strCache>
            </c:strRef>
          </c:tx>
          <c:spPr>
            <a:solidFill>
              <a:srgbClr val="FFFF00"/>
            </a:solidFill>
          </c:spPr>
          <c:invertIfNegative val="0"/>
          <c:dLbls>
            <c:delete val="1"/>
          </c:dLbls>
          <c:cat>
            <c:strRef>
              <c:f>razred!$D$127:$D$130</c:f>
              <c:strCache>
                <c:ptCount val="4"/>
                <c:pt idx="0">
                  <c:v>први</c:v>
                </c:pt>
                <c:pt idx="1">
                  <c:v>други</c:v>
                </c:pt>
                <c:pt idx="2">
                  <c:v>трећи</c:v>
                </c:pt>
                <c:pt idx="3">
                  <c:v>четврти</c:v>
                </c:pt>
              </c:strCache>
            </c:strRef>
          </c:cat>
          <c:val>
            <c:numRef>
              <c:f>razred!$G$127:$G$130</c:f>
              <c:numCache>
                <c:formatCode>0.0%</c:formatCode>
                <c:ptCount val="4"/>
                <c:pt idx="0">
                  <c:v>0</c:v>
                </c:pt>
                <c:pt idx="1">
                  <c:v>0</c:v>
                </c:pt>
                <c:pt idx="2">
                  <c:v>0</c:v>
                </c:pt>
                <c:pt idx="3">
                  <c:v>0</c:v>
                </c:pt>
              </c:numCache>
            </c:numRef>
          </c:val>
          <c:extLst>
            <c:ext xmlns:c16="http://schemas.microsoft.com/office/drawing/2014/chart" uri="{C3380CC4-5D6E-409C-BE32-E72D297353CC}">
              <c16:uniqueId val="{00000006-A2F1-4D75-875F-4F5F149E40A1}"/>
            </c:ext>
          </c:extLst>
        </c:ser>
        <c:dLbls>
          <c:showLegendKey val="0"/>
          <c:showVal val="1"/>
          <c:showCatName val="0"/>
          <c:showSerName val="0"/>
          <c:showPercent val="0"/>
          <c:showBubbleSize val="0"/>
        </c:dLbls>
        <c:gapWidth val="150"/>
        <c:shape val="cylinder"/>
        <c:axId val="58950400"/>
        <c:axId val="58951936"/>
        <c:axId val="0"/>
      </c:bar3DChart>
      <c:catAx>
        <c:axId val="58950400"/>
        <c:scaling>
          <c:orientation val="minMax"/>
        </c:scaling>
        <c:delete val="0"/>
        <c:axPos val="b"/>
        <c:numFmt formatCode="General" sourceLinked="0"/>
        <c:majorTickMark val="none"/>
        <c:minorTickMark val="none"/>
        <c:tickLblPos val="nextTo"/>
        <c:crossAx val="58951936"/>
        <c:crosses val="autoZero"/>
        <c:auto val="1"/>
        <c:lblAlgn val="ctr"/>
        <c:lblOffset val="100"/>
        <c:noMultiLvlLbl val="0"/>
      </c:catAx>
      <c:valAx>
        <c:axId val="58951936"/>
        <c:scaling>
          <c:orientation val="minMax"/>
        </c:scaling>
        <c:delete val="1"/>
        <c:axPos val="l"/>
        <c:numFmt formatCode="0.0%" sourceLinked="1"/>
        <c:majorTickMark val="none"/>
        <c:minorTickMark val="none"/>
        <c:tickLblPos val="nextTo"/>
        <c:crossAx val="58950400"/>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278135859367471"/>
          <c:y val="0.11130345548911649"/>
          <c:w val="0.85418048445888184"/>
          <c:h val="0.32820002762812545"/>
        </c:manualLayout>
      </c:layout>
      <c:barChart>
        <c:barDir val="col"/>
        <c:grouping val="clustered"/>
        <c:varyColors val="0"/>
        <c:ser>
          <c:idx val="0"/>
          <c:order val="0"/>
          <c:tx>
            <c:strRef>
              <c:f>razred!$D$307</c:f>
              <c:strCache>
                <c:ptCount val="1"/>
                <c:pt idx="0">
                  <c:v>први</c:v>
                </c:pt>
              </c:strCache>
            </c:strRef>
          </c:tx>
          <c:spPr>
            <a:solidFill>
              <a:srgbClr val="C00000"/>
            </a:solidFill>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0-D41B-4C87-8432-E1F8A07363CE}"/>
                </c:ext>
              </c:extLst>
            </c:dLbl>
            <c:dLbl>
              <c:idx val="3"/>
              <c:delete val="1"/>
              <c:extLst>
                <c:ext xmlns:c15="http://schemas.microsoft.com/office/drawing/2012/chart" uri="{CE6537A1-D6FC-4f65-9D91-7224C49458BB}"/>
                <c:ext xmlns:c16="http://schemas.microsoft.com/office/drawing/2014/chart" uri="{C3380CC4-5D6E-409C-BE32-E72D297353CC}">
                  <c16:uniqueId val="{00000001-D41B-4C87-8432-E1F8A07363CE}"/>
                </c:ext>
              </c:extLst>
            </c:dLbl>
            <c:dLbl>
              <c:idx val="4"/>
              <c:delete val="1"/>
              <c:extLst>
                <c:ext xmlns:c15="http://schemas.microsoft.com/office/drawing/2012/chart" uri="{CE6537A1-D6FC-4f65-9D91-7224C49458BB}"/>
                <c:ext xmlns:c16="http://schemas.microsoft.com/office/drawing/2014/chart" uri="{C3380CC4-5D6E-409C-BE32-E72D297353CC}">
                  <c16:uniqueId val="{00000002-D41B-4C87-8432-E1F8A07363CE}"/>
                </c:ext>
              </c:extLst>
            </c:dLbl>
            <c:numFmt formatCode="0%" sourceLinked="0"/>
            <c:spPr>
              <a:noFill/>
              <a:ln>
                <a:noFill/>
              </a:ln>
              <a:effectLst/>
            </c:spPr>
            <c:txPr>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razred!$E$307:$I$307</c:f>
              <c:numCache>
                <c:formatCode>0.0%</c:formatCode>
                <c:ptCount val="5"/>
                <c:pt idx="0">
                  <c:v>0.69098712446351962</c:v>
                </c:pt>
                <c:pt idx="1">
                  <c:v>0.30901287553648538</c:v>
                </c:pt>
                <c:pt idx="2">
                  <c:v>0</c:v>
                </c:pt>
                <c:pt idx="3">
                  <c:v>0</c:v>
                </c:pt>
                <c:pt idx="4">
                  <c:v>0</c:v>
                </c:pt>
              </c:numCache>
            </c:numRef>
          </c:val>
          <c:extLst>
            <c:ext xmlns:c16="http://schemas.microsoft.com/office/drawing/2014/chart" uri="{C3380CC4-5D6E-409C-BE32-E72D297353CC}">
              <c16:uniqueId val="{00000003-D41B-4C87-8432-E1F8A07363CE}"/>
            </c:ext>
          </c:extLst>
        </c:ser>
        <c:ser>
          <c:idx val="1"/>
          <c:order val="1"/>
          <c:tx>
            <c:strRef>
              <c:f>razred!$D$308</c:f>
              <c:strCache>
                <c:ptCount val="1"/>
                <c:pt idx="0">
                  <c:v>други</c:v>
                </c:pt>
              </c:strCache>
            </c:strRef>
          </c:tx>
          <c:spPr>
            <a:solidFill>
              <a:srgbClr val="00B0F0"/>
            </a:solidFill>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4-D41B-4C87-8432-E1F8A07363CE}"/>
                </c:ext>
              </c:extLst>
            </c:dLbl>
            <c:dLbl>
              <c:idx val="4"/>
              <c:delete val="1"/>
              <c:extLst>
                <c:ext xmlns:c15="http://schemas.microsoft.com/office/drawing/2012/chart" uri="{CE6537A1-D6FC-4f65-9D91-7224C49458BB}"/>
                <c:ext xmlns:c16="http://schemas.microsoft.com/office/drawing/2014/chart" uri="{C3380CC4-5D6E-409C-BE32-E72D297353CC}">
                  <c16:uniqueId val="{00000005-D41B-4C87-8432-E1F8A07363CE}"/>
                </c:ext>
              </c:extLst>
            </c:dLbl>
            <c:numFmt formatCode="0%" sourceLinked="0"/>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razred!$E$308:$I$308</c:f>
              <c:numCache>
                <c:formatCode>0.0%</c:formatCode>
                <c:ptCount val="5"/>
                <c:pt idx="0">
                  <c:v>0.38947368421053002</c:v>
                </c:pt>
                <c:pt idx="1">
                  <c:v>0.41052631578947957</c:v>
                </c:pt>
                <c:pt idx="2">
                  <c:v>0.2</c:v>
                </c:pt>
                <c:pt idx="3">
                  <c:v>0</c:v>
                </c:pt>
                <c:pt idx="4">
                  <c:v>0</c:v>
                </c:pt>
              </c:numCache>
            </c:numRef>
          </c:val>
          <c:extLst>
            <c:ext xmlns:c16="http://schemas.microsoft.com/office/drawing/2014/chart" uri="{C3380CC4-5D6E-409C-BE32-E72D297353CC}">
              <c16:uniqueId val="{00000006-D41B-4C87-8432-E1F8A07363CE}"/>
            </c:ext>
          </c:extLst>
        </c:ser>
        <c:ser>
          <c:idx val="2"/>
          <c:order val="2"/>
          <c:tx>
            <c:strRef>
              <c:f>razred!$D$309</c:f>
              <c:strCache>
                <c:ptCount val="1"/>
                <c:pt idx="0">
                  <c:v>трећи</c:v>
                </c:pt>
              </c:strCache>
            </c:strRef>
          </c:tx>
          <c:spPr>
            <a:solidFill>
              <a:srgbClr val="FFFF00"/>
            </a:solidFill>
          </c:spPr>
          <c:invertIfNegative val="0"/>
          <c:dLbls>
            <c:dLbl>
              <c:idx val="4"/>
              <c:delete val="1"/>
              <c:extLst>
                <c:ext xmlns:c15="http://schemas.microsoft.com/office/drawing/2012/chart" uri="{CE6537A1-D6FC-4f65-9D91-7224C49458BB}"/>
                <c:ext xmlns:c16="http://schemas.microsoft.com/office/drawing/2014/chart" uri="{C3380CC4-5D6E-409C-BE32-E72D297353CC}">
                  <c16:uniqueId val="{00000007-D41B-4C87-8432-E1F8A07363CE}"/>
                </c:ext>
              </c:extLst>
            </c:dLbl>
            <c:numFmt formatCode="0%" sourceLinked="0"/>
            <c:spPr>
              <a:noFill/>
              <a:ln>
                <a:noFill/>
              </a:ln>
              <a:effectLst/>
            </c:spPr>
            <c:txPr>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razred!$E$309:$I$309</c:f>
              <c:numCache>
                <c:formatCode>0.0%</c:formatCode>
                <c:ptCount val="5"/>
                <c:pt idx="0">
                  <c:v>0.15527950310559024</c:v>
                </c:pt>
                <c:pt idx="1">
                  <c:v>0.453416149068323</c:v>
                </c:pt>
                <c:pt idx="2">
                  <c:v>0.29813664596273298</c:v>
                </c:pt>
                <c:pt idx="3">
                  <c:v>9.3167701863354033E-2</c:v>
                </c:pt>
                <c:pt idx="4">
                  <c:v>0</c:v>
                </c:pt>
              </c:numCache>
            </c:numRef>
          </c:val>
          <c:extLst>
            <c:ext xmlns:c16="http://schemas.microsoft.com/office/drawing/2014/chart" uri="{C3380CC4-5D6E-409C-BE32-E72D297353CC}">
              <c16:uniqueId val="{00000008-D41B-4C87-8432-E1F8A07363CE}"/>
            </c:ext>
          </c:extLst>
        </c:ser>
        <c:ser>
          <c:idx val="3"/>
          <c:order val="3"/>
          <c:tx>
            <c:strRef>
              <c:f>razred!$D$310</c:f>
              <c:strCache>
                <c:ptCount val="1"/>
                <c:pt idx="0">
                  <c:v>четврти</c:v>
                </c:pt>
              </c:strCache>
            </c:strRef>
          </c:tx>
          <c:spPr>
            <a:solidFill>
              <a:srgbClr val="002060"/>
            </a:solidFill>
          </c:spPr>
          <c:invertIfNegative val="0"/>
          <c:dLbls>
            <c:dLbl>
              <c:idx val="1"/>
              <c:layout>
                <c:manualLayout>
                  <c:x val="0"/>
                  <c:y val="-1.96656833824977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41B-4C87-8432-E1F8A07363CE}"/>
                </c:ext>
              </c:extLst>
            </c:dLbl>
            <c:dLbl>
              <c:idx val="3"/>
              <c:layout>
                <c:manualLayout>
                  <c:x val="1.28205128205128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41B-4C87-8432-E1F8A07363CE}"/>
                </c:ext>
              </c:extLst>
            </c:dLbl>
            <c:numFmt formatCode="0%" sourceLinked="0"/>
            <c:spPr>
              <a:noFill/>
              <a:ln>
                <a:noFill/>
              </a:ln>
              <a:effectLst/>
            </c:spPr>
            <c:txPr>
              <a:bodyPr/>
              <a:lstStyle/>
              <a:p>
                <a:pPr>
                  <a:defRPr sz="8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razred!$E$306:$I$306</c:f>
              <c:strCache>
                <c:ptCount val="5"/>
                <c:pt idx="0">
                  <c:v>још увек не иду сами</c:v>
                </c:pt>
                <c:pt idx="1">
                  <c:v>у првом разреду</c:v>
                </c:pt>
                <c:pt idx="2">
                  <c:v>у другом разреду</c:v>
                </c:pt>
                <c:pt idx="3">
                  <c:v>у трећем разреду</c:v>
                </c:pt>
                <c:pt idx="4">
                  <c:v>у четвртом разреду</c:v>
                </c:pt>
              </c:strCache>
            </c:strRef>
          </c:cat>
          <c:val>
            <c:numRef>
              <c:f>razred!$E$310:$I$310</c:f>
              <c:numCache>
                <c:formatCode>0.0%</c:formatCode>
                <c:ptCount val="5"/>
                <c:pt idx="0">
                  <c:v>5.4838709677419363E-2</c:v>
                </c:pt>
                <c:pt idx="1">
                  <c:v>0.47096774193548713</c:v>
                </c:pt>
                <c:pt idx="2">
                  <c:v>0.33870967741935898</c:v>
                </c:pt>
                <c:pt idx="3">
                  <c:v>9.0322580645161188E-2</c:v>
                </c:pt>
                <c:pt idx="4">
                  <c:v>4.5161290322580733E-2</c:v>
                </c:pt>
              </c:numCache>
            </c:numRef>
          </c:val>
          <c:extLst>
            <c:ext xmlns:c16="http://schemas.microsoft.com/office/drawing/2014/chart" uri="{C3380CC4-5D6E-409C-BE32-E72D297353CC}">
              <c16:uniqueId val="{0000000B-D41B-4C87-8432-E1F8A07363CE}"/>
            </c:ext>
          </c:extLst>
        </c:ser>
        <c:dLbls>
          <c:showLegendKey val="0"/>
          <c:showVal val="0"/>
          <c:showCatName val="0"/>
          <c:showSerName val="0"/>
          <c:showPercent val="0"/>
          <c:showBubbleSize val="0"/>
        </c:dLbls>
        <c:gapWidth val="75"/>
        <c:overlap val="-25"/>
        <c:axId val="59037184"/>
        <c:axId val="59038720"/>
      </c:barChart>
      <c:catAx>
        <c:axId val="59037184"/>
        <c:scaling>
          <c:orientation val="minMax"/>
        </c:scaling>
        <c:delete val="0"/>
        <c:axPos val="b"/>
        <c:numFmt formatCode="General" sourceLinked="0"/>
        <c:majorTickMark val="none"/>
        <c:minorTickMark val="none"/>
        <c:tickLblPos val="nextTo"/>
        <c:txPr>
          <a:bodyPr/>
          <a:lstStyle/>
          <a:p>
            <a:pPr>
              <a:defRPr sz="900"/>
            </a:pPr>
            <a:endParaRPr lang="en-US"/>
          </a:p>
        </c:txPr>
        <c:crossAx val="59038720"/>
        <c:crosses val="autoZero"/>
        <c:auto val="1"/>
        <c:lblAlgn val="ctr"/>
        <c:lblOffset val="100"/>
        <c:noMultiLvlLbl val="0"/>
      </c:catAx>
      <c:valAx>
        <c:axId val="59038720"/>
        <c:scaling>
          <c:orientation val="minMax"/>
        </c:scaling>
        <c:delete val="0"/>
        <c:axPos val="l"/>
        <c:majorGridlines/>
        <c:numFmt formatCode="0%" sourceLinked="0"/>
        <c:majorTickMark val="none"/>
        <c:minorTickMark val="none"/>
        <c:tickLblPos val="nextTo"/>
        <c:spPr>
          <a:ln w="9525">
            <a:noFill/>
          </a:ln>
        </c:spPr>
        <c:crossAx val="59037184"/>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'ko te uci '!$F$67</c:f>
              <c:strCache>
                <c:ptCount val="1"/>
                <c:pt idx="0">
                  <c:v>трчећи, право преко улице</c:v>
                </c:pt>
              </c:strCache>
            </c:strRef>
          </c:tx>
          <c:spPr>
            <a:solidFill>
              <a:srgbClr val="0070C0"/>
            </a:solidFill>
          </c:spPr>
          <c:invertIfNegative val="0"/>
          <c:dLbls>
            <c:dLbl>
              <c:idx val="0"/>
              <c:layout>
                <c:manualLayout>
                  <c:x val="0"/>
                  <c:y val="7.24637681159428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7D-4A9A-B1C7-32CE4032CE13}"/>
                </c:ext>
              </c:extLst>
            </c:dLbl>
            <c:dLbl>
              <c:idx val="1"/>
              <c:layout>
                <c:manualLayout>
                  <c:x val="7.8346673280126638E-17"/>
                  <c:y val="7.24637681159428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47D-4A9A-B1C7-32CE4032CE13}"/>
                </c:ext>
              </c:extLst>
            </c:dLbl>
            <c:dLbl>
              <c:idx val="2"/>
              <c:layout>
                <c:manualLayout>
                  <c:x val="0"/>
                  <c:y val="7.24637681159428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47D-4A9A-B1C7-32CE4032CE13}"/>
                </c:ext>
              </c:extLst>
            </c:dLbl>
            <c:dLbl>
              <c:idx val="3"/>
              <c:layout>
                <c:manualLayout>
                  <c:x val="0"/>
                  <c:y val="1.08695652173915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47D-4A9A-B1C7-32CE4032CE13}"/>
                </c:ext>
              </c:extLst>
            </c:dLbl>
            <c:dLbl>
              <c:idx val="4"/>
              <c:delete val="1"/>
              <c:extLst>
                <c:ext xmlns:c15="http://schemas.microsoft.com/office/drawing/2012/chart" uri="{CE6537A1-D6FC-4f65-9D91-7224C49458BB}"/>
                <c:ext xmlns:c16="http://schemas.microsoft.com/office/drawing/2014/chart" uri="{C3380CC4-5D6E-409C-BE32-E72D297353CC}">
                  <c16:uniqueId val="{00000004-847D-4A9A-B1C7-32CE4032CE13}"/>
                </c:ext>
              </c:extLst>
            </c:dLbl>
            <c:dLbl>
              <c:idx val="5"/>
              <c:layout>
                <c:manualLayout>
                  <c:x val="0"/>
                  <c:y val="7.24637681159428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47D-4A9A-B1C7-32CE4032CE13}"/>
                </c:ext>
              </c:extLst>
            </c:dLbl>
            <c:dLbl>
              <c:idx val="6"/>
              <c:delete val="1"/>
              <c:extLst>
                <c:ext xmlns:c15="http://schemas.microsoft.com/office/drawing/2012/chart" uri="{CE6537A1-D6FC-4f65-9D91-7224C49458BB}"/>
                <c:ext xmlns:c16="http://schemas.microsoft.com/office/drawing/2014/chart" uri="{C3380CC4-5D6E-409C-BE32-E72D297353CC}">
                  <c16:uniqueId val="{00000006-847D-4A9A-B1C7-32CE4032CE13}"/>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'!$F$68:$F$74</c:f>
              <c:numCache>
                <c:formatCode>0.0%</c:formatCode>
                <c:ptCount val="7"/>
                <c:pt idx="0">
                  <c:v>2.3188405797101387E-2</c:v>
                </c:pt>
                <c:pt idx="1">
                  <c:v>3.9106145251396648E-2</c:v>
                </c:pt>
                <c:pt idx="2">
                  <c:v>2.0202020202020211E-2</c:v>
                </c:pt>
                <c:pt idx="3">
                  <c:v>2.9268292682927109E-2</c:v>
                </c:pt>
                <c:pt idx="4">
                  <c:v>0</c:v>
                </c:pt>
                <c:pt idx="5">
                  <c:v>0.05</c:v>
                </c:pt>
                <c:pt idx="6">
                  <c:v>0</c:v>
                </c:pt>
              </c:numCache>
            </c:numRef>
          </c:val>
          <c:extLst>
            <c:ext xmlns:c16="http://schemas.microsoft.com/office/drawing/2014/chart" uri="{C3380CC4-5D6E-409C-BE32-E72D297353CC}">
              <c16:uniqueId val="{00000007-847D-4A9A-B1C7-32CE4032CE13}"/>
            </c:ext>
          </c:extLst>
        </c:ser>
        <c:ser>
          <c:idx val="1"/>
          <c:order val="1"/>
          <c:tx>
            <c:strRef>
              <c:f>'ko te uci '!$G$67</c:f>
              <c:strCache>
                <c:ptCount val="1"/>
                <c:pt idx="0">
                  <c:v>трчећи, укосо</c:v>
                </c:pt>
              </c:strCache>
            </c:strRef>
          </c:tx>
          <c:spPr>
            <a:solidFill>
              <a:srgbClr val="FFFF00"/>
            </a:solidFill>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8-847D-4A9A-B1C7-32CE4032CE13}"/>
                </c:ext>
              </c:extLst>
            </c:dLbl>
            <c:dLbl>
              <c:idx val="4"/>
              <c:delete val="1"/>
              <c:extLst>
                <c:ext xmlns:c15="http://schemas.microsoft.com/office/drawing/2012/chart" uri="{CE6537A1-D6FC-4f65-9D91-7224C49458BB}"/>
                <c:ext xmlns:c16="http://schemas.microsoft.com/office/drawing/2014/chart" uri="{C3380CC4-5D6E-409C-BE32-E72D297353CC}">
                  <c16:uniqueId val="{00000009-847D-4A9A-B1C7-32CE4032CE13}"/>
                </c:ext>
              </c:extLst>
            </c:dLbl>
            <c:dLbl>
              <c:idx val="5"/>
              <c:layout>
                <c:manualLayout>
                  <c:x val="1.068376068376082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47D-4A9A-B1C7-32CE4032CE13}"/>
                </c:ext>
              </c:extLst>
            </c:dLbl>
            <c:dLbl>
              <c:idx val="6"/>
              <c:delete val="1"/>
              <c:extLst>
                <c:ext xmlns:c15="http://schemas.microsoft.com/office/drawing/2012/chart" uri="{CE6537A1-D6FC-4f65-9D91-7224C49458BB}"/>
                <c:ext xmlns:c16="http://schemas.microsoft.com/office/drawing/2014/chart" uri="{C3380CC4-5D6E-409C-BE32-E72D297353CC}">
                  <c16:uniqueId val="{0000000B-847D-4A9A-B1C7-32CE4032CE13}"/>
                </c:ext>
              </c:extLst>
            </c:dLbl>
            <c:numFmt formatCode="0%" sourceLinked="0"/>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'!$G$68:$G$74</c:f>
              <c:numCache>
                <c:formatCode>0.0%</c:formatCode>
                <c:ptCount val="7"/>
                <c:pt idx="0">
                  <c:v>8.6956521739130748E-3</c:v>
                </c:pt>
                <c:pt idx="1">
                  <c:v>1.6759776536312863E-2</c:v>
                </c:pt>
                <c:pt idx="2">
                  <c:v>1.0101010101010105E-2</c:v>
                </c:pt>
                <c:pt idx="3">
                  <c:v>4.8780487804878994E-3</c:v>
                </c:pt>
                <c:pt idx="4">
                  <c:v>0</c:v>
                </c:pt>
                <c:pt idx="5">
                  <c:v>2.5000000000000001E-2</c:v>
                </c:pt>
                <c:pt idx="6">
                  <c:v>0</c:v>
                </c:pt>
              </c:numCache>
            </c:numRef>
          </c:val>
          <c:extLst>
            <c:ext xmlns:c16="http://schemas.microsoft.com/office/drawing/2014/chart" uri="{C3380CC4-5D6E-409C-BE32-E72D297353CC}">
              <c16:uniqueId val="{0000000C-847D-4A9A-B1C7-32CE4032CE13}"/>
            </c:ext>
          </c:extLst>
        </c:ser>
        <c:ser>
          <c:idx val="2"/>
          <c:order val="2"/>
          <c:tx>
            <c:strRef>
              <c:f>'ko te uci '!$H$67</c:f>
              <c:strCache>
                <c:ptCount val="1"/>
                <c:pt idx="0">
                  <c:v>ходајући полако</c:v>
                </c:pt>
              </c:strCache>
            </c:strRef>
          </c:tx>
          <c:spPr>
            <a:solidFill>
              <a:srgbClr val="00B050"/>
            </a:solidFill>
          </c:spPr>
          <c:invertIfNegative val="0"/>
          <c:dLbls>
            <c:dLbl>
              <c:idx val="0"/>
              <c:layout>
                <c:manualLayout>
                  <c:x val="0"/>
                  <c:y val="1.3201320132013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47D-4A9A-B1C7-32CE4032CE13}"/>
                </c:ext>
              </c:extLst>
            </c:dLbl>
            <c:numFmt formatCode="0%" sourceLinked="0"/>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'!$H$68:$H$74</c:f>
              <c:numCache>
                <c:formatCode>0.0%</c:formatCode>
                <c:ptCount val="7"/>
                <c:pt idx="0">
                  <c:v>0.47246376811594676</c:v>
                </c:pt>
                <c:pt idx="1">
                  <c:v>0.51117318435754056</c:v>
                </c:pt>
                <c:pt idx="2">
                  <c:v>0.46464646464646481</c:v>
                </c:pt>
                <c:pt idx="3">
                  <c:v>0.46829268292682935</c:v>
                </c:pt>
                <c:pt idx="4">
                  <c:v>0.4</c:v>
                </c:pt>
                <c:pt idx="5">
                  <c:v>0.60000000000000064</c:v>
                </c:pt>
                <c:pt idx="6">
                  <c:v>0.61538461538461564</c:v>
                </c:pt>
              </c:numCache>
            </c:numRef>
          </c:val>
          <c:extLst>
            <c:ext xmlns:c16="http://schemas.microsoft.com/office/drawing/2014/chart" uri="{C3380CC4-5D6E-409C-BE32-E72D297353CC}">
              <c16:uniqueId val="{0000000E-847D-4A9A-B1C7-32CE4032CE13}"/>
            </c:ext>
          </c:extLst>
        </c:ser>
        <c:ser>
          <c:idx val="3"/>
          <c:order val="3"/>
          <c:tx>
            <c:strRef>
              <c:f>'ko te uci '!$I$67</c:f>
              <c:strCache>
                <c:ptCount val="1"/>
                <c:pt idx="0">
                  <c:v>брзим ходом</c:v>
                </c:pt>
              </c:strCache>
            </c:strRef>
          </c:tx>
          <c:spPr>
            <a:solidFill>
              <a:srgbClr val="C00000"/>
            </a:solidFill>
          </c:spPr>
          <c:invertIfNegative val="0"/>
          <c:dLbls>
            <c:numFmt formatCode="0%" sourceLinked="0"/>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'ko te uci '!$E$68:$E$74</c:f>
              <c:strCache>
                <c:ptCount val="7"/>
                <c:pt idx="0">
                  <c:v>родитељ</c:v>
                </c:pt>
                <c:pt idx="1">
                  <c:v>родитељ и учитељ</c:v>
                </c:pt>
                <c:pt idx="2">
                  <c:v>родитељ, учитељ и читао сам о томе</c:v>
                </c:pt>
                <c:pt idx="3">
                  <c:v>родитељ, учитељ и деда/баба</c:v>
                </c:pt>
                <c:pt idx="4">
                  <c:v>родитељ, учитељ, деда/баба, старији брат/сестра и  читао сам о томе</c:v>
                </c:pt>
                <c:pt idx="5">
                  <c:v>родитељ, учитељ и старији брат/сестра</c:v>
                </c:pt>
                <c:pt idx="6">
                  <c:v>родитељ и старији брат/сестра</c:v>
                </c:pt>
              </c:strCache>
            </c:strRef>
          </c:cat>
          <c:val>
            <c:numRef>
              <c:f>'ko te uci '!$I$68:$I$74</c:f>
              <c:numCache>
                <c:formatCode>0.0%</c:formatCode>
                <c:ptCount val="7"/>
                <c:pt idx="0">
                  <c:v>0.49565217391304883</c:v>
                </c:pt>
                <c:pt idx="1">
                  <c:v>0.4329608938547565</c:v>
                </c:pt>
                <c:pt idx="2">
                  <c:v>0.50505050505050508</c:v>
                </c:pt>
                <c:pt idx="3">
                  <c:v>0.49756097560976348</c:v>
                </c:pt>
                <c:pt idx="4">
                  <c:v>0.60000000000000064</c:v>
                </c:pt>
                <c:pt idx="5">
                  <c:v>0.32500000000000295</c:v>
                </c:pt>
                <c:pt idx="6">
                  <c:v>0.3846153846153848</c:v>
                </c:pt>
              </c:numCache>
            </c:numRef>
          </c:val>
          <c:extLst>
            <c:ext xmlns:c16="http://schemas.microsoft.com/office/drawing/2014/chart" uri="{C3380CC4-5D6E-409C-BE32-E72D297353CC}">
              <c16:uniqueId val="{0000000F-847D-4A9A-B1C7-32CE4032CE13}"/>
            </c:ext>
          </c:extLst>
        </c:ser>
        <c:dLbls>
          <c:showLegendKey val="0"/>
          <c:showVal val="1"/>
          <c:showCatName val="0"/>
          <c:showSerName val="0"/>
          <c:showPercent val="0"/>
          <c:showBubbleSize val="0"/>
        </c:dLbls>
        <c:gapWidth val="150"/>
        <c:shape val="box"/>
        <c:axId val="59529856"/>
        <c:axId val="59609472"/>
        <c:axId val="0"/>
      </c:bar3DChart>
      <c:catAx>
        <c:axId val="59529856"/>
        <c:scaling>
          <c:orientation val="minMax"/>
        </c:scaling>
        <c:delete val="0"/>
        <c:axPos val="l"/>
        <c:numFmt formatCode="General" sourceLinked="0"/>
        <c:majorTickMark val="none"/>
        <c:minorTickMark val="none"/>
        <c:tickLblPos val="nextTo"/>
        <c:crossAx val="59609472"/>
        <c:crosses val="autoZero"/>
        <c:auto val="1"/>
        <c:lblAlgn val="ctr"/>
        <c:lblOffset val="100"/>
        <c:noMultiLvlLbl val="0"/>
      </c:catAx>
      <c:valAx>
        <c:axId val="59609472"/>
        <c:scaling>
          <c:orientation val="minMax"/>
        </c:scaling>
        <c:delete val="1"/>
        <c:axPos val="b"/>
        <c:numFmt formatCode="0.0%" sourceLinked="1"/>
        <c:majorTickMark val="out"/>
        <c:minorTickMark val="none"/>
        <c:tickLblPos val="nextTo"/>
        <c:crossAx val="59529856"/>
        <c:crosses val="autoZero"/>
        <c:crossBetween val="between"/>
      </c:valAx>
    </c:plotArea>
    <c:legend>
      <c:legendPos val="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1FAC2-AC6A-4A2A-B477-F9830028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36</TotalTime>
  <Pages>10</Pages>
  <Words>4608</Words>
  <Characters>26269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2016-07-21T10:03:00Z</dcterms:created>
  <dcterms:modified xsi:type="dcterms:W3CDTF">2016-08-23T08:25:00Z</dcterms:modified>
</cp:coreProperties>
</file>