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09E2" w:rsidRDefault="00ED09E2" w:rsidP="008C7815">
      <w:pPr>
        <w:rPr>
          <w:b/>
          <w:sz w:val="22"/>
          <w:szCs w:val="22"/>
        </w:rPr>
      </w:pPr>
      <w:bookmarkStart w:id="0" w:name="_GoBack"/>
      <w:bookmarkEnd w:id="0"/>
    </w:p>
    <w:p w:rsidR="003521CE" w:rsidRPr="009509AC" w:rsidRDefault="003521CE" w:rsidP="003521CE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9509AC">
        <w:rPr>
          <w:b/>
          <w:sz w:val="28"/>
          <w:szCs w:val="28"/>
        </w:rPr>
        <w:t xml:space="preserve">DIFFERENTIAL SCANNING CALORIMETRY ANALYSIS OF </w:t>
      </w:r>
    </w:p>
    <w:p w:rsidR="003521CE" w:rsidRPr="009509AC" w:rsidRDefault="003521CE" w:rsidP="003521CE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9509AC">
        <w:rPr>
          <w:b/>
          <w:sz w:val="28"/>
          <w:szCs w:val="28"/>
        </w:rPr>
        <w:t>FROZEN PORK MEAT</w:t>
      </w:r>
    </w:p>
    <w:p w:rsidR="003521CE" w:rsidRPr="00881A39" w:rsidRDefault="003521CE" w:rsidP="003521CE">
      <w:pPr>
        <w:autoSpaceDE w:val="0"/>
        <w:autoSpaceDN w:val="0"/>
        <w:adjustRightInd w:val="0"/>
        <w:rPr>
          <w:b/>
          <w:color w:val="FF0000"/>
          <w:sz w:val="24"/>
          <w:szCs w:val="24"/>
        </w:rPr>
      </w:pPr>
    </w:p>
    <w:p w:rsidR="003521CE" w:rsidRDefault="003521CE" w:rsidP="003521CE">
      <w:pPr>
        <w:autoSpaceDE w:val="0"/>
        <w:autoSpaceDN w:val="0"/>
        <w:adjustRightInd w:val="0"/>
        <w:jc w:val="center"/>
      </w:pPr>
      <w:r w:rsidRPr="008D5175">
        <w:t>Danica Savanovi</w:t>
      </w:r>
      <w:r>
        <w:t>ć</w:t>
      </w:r>
      <w:r w:rsidRPr="00220D7A">
        <w:rPr>
          <w:vertAlign w:val="superscript"/>
        </w:rPr>
        <w:t>1</w:t>
      </w:r>
      <w:r>
        <w:rPr>
          <w:vertAlign w:val="superscript"/>
        </w:rPr>
        <w:t>*</w:t>
      </w:r>
      <w:r w:rsidRPr="008D5175">
        <w:t>, Radoslav Gruji</w:t>
      </w:r>
      <w:r>
        <w:t>ć</w:t>
      </w:r>
      <w:r w:rsidRPr="008D5175">
        <w:rPr>
          <w:vertAlign w:val="superscript"/>
        </w:rPr>
        <w:t>2</w:t>
      </w:r>
      <w:r w:rsidRPr="008D5175">
        <w:t>, Sladjana Rakita</w:t>
      </w:r>
      <w:r w:rsidRPr="008D5175">
        <w:rPr>
          <w:vertAlign w:val="superscript"/>
        </w:rPr>
        <w:t>3</w:t>
      </w:r>
      <w:r w:rsidRPr="008D5175">
        <w:t>,</w:t>
      </w:r>
      <w:r>
        <w:t xml:space="preserve"> </w:t>
      </w:r>
      <w:r w:rsidRPr="008D5175">
        <w:t>Vesna Gojković</w:t>
      </w:r>
      <w:r w:rsidRPr="008D5175">
        <w:rPr>
          <w:vertAlign w:val="superscript"/>
        </w:rPr>
        <w:t>2</w:t>
      </w:r>
      <w:r w:rsidRPr="008D5175">
        <w:t>,</w:t>
      </w:r>
      <w:r w:rsidRPr="008D5175">
        <w:rPr>
          <w:vertAlign w:val="superscript"/>
        </w:rPr>
        <w:t xml:space="preserve"> </w:t>
      </w:r>
      <w:r w:rsidRPr="008D5175">
        <w:t>Dragan Vujadinović</w:t>
      </w:r>
      <w:r w:rsidRPr="008D5175">
        <w:rPr>
          <w:vertAlign w:val="superscript"/>
        </w:rPr>
        <w:t>2</w:t>
      </w:r>
    </w:p>
    <w:p w:rsidR="003521CE" w:rsidRPr="00236DDC" w:rsidRDefault="003521CE" w:rsidP="003521CE">
      <w:pPr>
        <w:autoSpaceDE w:val="0"/>
        <w:autoSpaceDN w:val="0"/>
        <w:adjustRightInd w:val="0"/>
        <w:rPr>
          <w:sz w:val="24"/>
          <w:szCs w:val="24"/>
        </w:rPr>
      </w:pPr>
    </w:p>
    <w:p w:rsidR="003521CE" w:rsidRPr="00A61474" w:rsidRDefault="003521CE" w:rsidP="003521CE">
      <w:pPr>
        <w:autoSpaceDE w:val="0"/>
        <w:autoSpaceDN w:val="0"/>
        <w:adjustRightInd w:val="0"/>
        <w:jc w:val="center"/>
      </w:pPr>
      <w:r w:rsidRPr="00A61474">
        <w:rPr>
          <w:vertAlign w:val="superscript"/>
        </w:rPr>
        <w:t>1</w:t>
      </w:r>
      <w:r w:rsidRPr="00A61474">
        <w:t>Faculty of Technology, University of Banja Luka</w:t>
      </w:r>
    </w:p>
    <w:p w:rsidR="003521CE" w:rsidRPr="00A61474" w:rsidRDefault="003521CE" w:rsidP="003521CE">
      <w:pPr>
        <w:autoSpaceDE w:val="0"/>
        <w:autoSpaceDN w:val="0"/>
        <w:adjustRightInd w:val="0"/>
        <w:jc w:val="center"/>
      </w:pPr>
      <w:r w:rsidRPr="00A61474">
        <w:rPr>
          <w:vertAlign w:val="superscript"/>
        </w:rPr>
        <w:t>2</w:t>
      </w:r>
      <w:r w:rsidRPr="00A61474">
        <w:t xml:space="preserve">Faculty of Technology, University of East Sarajevo </w:t>
      </w:r>
    </w:p>
    <w:p w:rsidR="003521CE" w:rsidRPr="00A61474" w:rsidRDefault="003521CE" w:rsidP="003521CE">
      <w:pPr>
        <w:autoSpaceDE w:val="0"/>
        <w:autoSpaceDN w:val="0"/>
        <w:adjustRightInd w:val="0"/>
        <w:jc w:val="center"/>
      </w:pPr>
      <w:r w:rsidRPr="00A61474">
        <w:rPr>
          <w:vertAlign w:val="superscript"/>
        </w:rPr>
        <w:t>3</w:t>
      </w:r>
      <w:r w:rsidRPr="00A61474">
        <w:t>Institute of Food Technology, University of Novi Sad</w:t>
      </w:r>
    </w:p>
    <w:p w:rsidR="003521CE" w:rsidRPr="00A61474" w:rsidRDefault="003521CE" w:rsidP="003521CE">
      <w:pPr>
        <w:autoSpaceDE w:val="0"/>
        <w:autoSpaceDN w:val="0"/>
        <w:adjustRightInd w:val="0"/>
        <w:rPr>
          <w:sz w:val="24"/>
          <w:szCs w:val="24"/>
        </w:rPr>
      </w:pPr>
    </w:p>
    <w:p w:rsidR="003521CE" w:rsidRDefault="003521CE" w:rsidP="003521CE">
      <w:pPr>
        <w:pStyle w:val="Default"/>
        <w:rPr>
          <w:lang w:val="sr-Latn-RS" w:eastAsia="en-GB"/>
        </w:rPr>
      </w:pPr>
    </w:p>
    <w:p w:rsidR="003521CE" w:rsidRPr="00A61474" w:rsidRDefault="003521CE" w:rsidP="00A61474">
      <w:pPr>
        <w:pStyle w:val="Default"/>
        <w:jc w:val="center"/>
        <w:rPr>
          <w:sz w:val="20"/>
          <w:szCs w:val="20"/>
        </w:rPr>
      </w:pPr>
      <w:r>
        <w:rPr>
          <w:lang w:val="sr-Latn-RS" w:eastAsia="en-GB"/>
        </w:rPr>
        <w:t>*</w:t>
      </w:r>
      <w:r w:rsidRPr="00A61474">
        <w:rPr>
          <w:sz w:val="20"/>
          <w:szCs w:val="20"/>
          <w:lang w:val="sr-Latn-RS" w:eastAsia="en-GB"/>
        </w:rPr>
        <w:t xml:space="preserve">The corresponding author: Danica Savanović, email: </w:t>
      </w:r>
      <w:r w:rsidRPr="00A61474">
        <w:rPr>
          <w:sz w:val="20"/>
          <w:szCs w:val="20"/>
        </w:rPr>
        <w:t>danicasavanovic@yahoo.com</w:t>
      </w:r>
    </w:p>
    <w:p w:rsidR="003521CE" w:rsidRPr="00A61474" w:rsidRDefault="003521CE" w:rsidP="003521CE">
      <w:pPr>
        <w:autoSpaceDE w:val="0"/>
        <w:autoSpaceDN w:val="0"/>
        <w:adjustRightInd w:val="0"/>
      </w:pPr>
    </w:p>
    <w:p w:rsidR="003521CE" w:rsidRPr="00925FCC" w:rsidRDefault="003521CE" w:rsidP="003521CE">
      <w:pPr>
        <w:autoSpaceDE w:val="0"/>
        <w:autoSpaceDN w:val="0"/>
        <w:adjustRightInd w:val="0"/>
        <w:rPr>
          <w:sz w:val="24"/>
          <w:szCs w:val="24"/>
        </w:rPr>
      </w:pPr>
    </w:p>
    <w:p w:rsidR="003521CE" w:rsidRPr="00881A39" w:rsidRDefault="003521CE" w:rsidP="003521CE">
      <w:pPr>
        <w:rPr>
          <w:b/>
          <w:sz w:val="24"/>
          <w:szCs w:val="24"/>
        </w:rPr>
      </w:pPr>
    </w:p>
    <w:p w:rsidR="003521CE" w:rsidRPr="00881A39" w:rsidRDefault="003521CE" w:rsidP="003521CE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881A39">
        <w:rPr>
          <w:sz w:val="24"/>
          <w:szCs w:val="24"/>
        </w:rPr>
        <w:t>Differential scanning calorimetry (DSC) is a thermal analysis technique used to study the thermal behaviors of different food systems. The aim of this work was to determine the freezing points (T</w:t>
      </w:r>
      <w:r w:rsidRPr="00881A39">
        <w:rPr>
          <w:sz w:val="24"/>
          <w:szCs w:val="24"/>
          <w:vertAlign w:val="subscript"/>
        </w:rPr>
        <w:t>c</w:t>
      </w:r>
      <w:r w:rsidRPr="00881A39">
        <w:rPr>
          <w:sz w:val="24"/>
          <w:szCs w:val="24"/>
        </w:rPr>
        <w:t>on, T</w:t>
      </w:r>
      <w:r w:rsidRPr="00881A39">
        <w:rPr>
          <w:sz w:val="24"/>
          <w:szCs w:val="24"/>
          <w:vertAlign w:val="subscript"/>
        </w:rPr>
        <w:t>c</w:t>
      </w:r>
      <w:r w:rsidRPr="00881A39">
        <w:rPr>
          <w:sz w:val="24"/>
          <w:szCs w:val="24"/>
        </w:rPr>
        <w:t>, T</w:t>
      </w:r>
      <w:r w:rsidRPr="00881A39">
        <w:rPr>
          <w:sz w:val="24"/>
          <w:szCs w:val="24"/>
          <w:vertAlign w:val="subscript"/>
        </w:rPr>
        <w:t>c</w:t>
      </w:r>
      <w:r w:rsidRPr="00881A39">
        <w:rPr>
          <w:sz w:val="24"/>
          <w:szCs w:val="24"/>
        </w:rPr>
        <w:t>end), the melting points (T</w:t>
      </w:r>
      <w:r w:rsidRPr="00881A39">
        <w:rPr>
          <w:sz w:val="24"/>
          <w:szCs w:val="24"/>
          <w:vertAlign w:val="subscript"/>
        </w:rPr>
        <w:t>m</w:t>
      </w:r>
      <w:r w:rsidRPr="00881A39">
        <w:rPr>
          <w:sz w:val="24"/>
          <w:szCs w:val="24"/>
        </w:rPr>
        <w:t>on, T</w:t>
      </w:r>
      <w:r w:rsidRPr="00881A39">
        <w:rPr>
          <w:sz w:val="24"/>
          <w:szCs w:val="24"/>
          <w:vertAlign w:val="subscript"/>
        </w:rPr>
        <w:t>m</w:t>
      </w:r>
      <w:r w:rsidRPr="00881A39">
        <w:rPr>
          <w:sz w:val="24"/>
          <w:szCs w:val="24"/>
        </w:rPr>
        <w:t>, T</w:t>
      </w:r>
      <w:r w:rsidRPr="00881A39">
        <w:rPr>
          <w:sz w:val="24"/>
          <w:szCs w:val="24"/>
          <w:vertAlign w:val="subscript"/>
        </w:rPr>
        <w:t>m</w:t>
      </w:r>
      <w:r w:rsidRPr="00881A39">
        <w:rPr>
          <w:sz w:val="24"/>
          <w:szCs w:val="24"/>
        </w:rPr>
        <w:t>end), enthalphy of crystallization (ΔH</w:t>
      </w:r>
      <w:r w:rsidRPr="00881A39">
        <w:rPr>
          <w:sz w:val="24"/>
          <w:szCs w:val="24"/>
          <w:vertAlign w:val="subscript"/>
        </w:rPr>
        <w:t>c</w:t>
      </w:r>
      <w:r w:rsidRPr="00881A39">
        <w:rPr>
          <w:sz w:val="24"/>
          <w:szCs w:val="24"/>
        </w:rPr>
        <w:t>) and enthalphy of melting (ΔH</w:t>
      </w:r>
      <w:r w:rsidRPr="00881A39">
        <w:rPr>
          <w:sz w:val="24"/>
          <w:szCs w:val="24"/>
          <w:vertAlign w:val="subscript"/>
        </w:rPr>
        <w:t>m</w:t>
      </w:r>
      <w:r w:rsidRPr="00881A39">
        <w:rPr>
          <w:sz w:val="24"/>
          <w:szCs w:val="24"/>
        </w:rPr>
        <w:t>) of pork meat, using the differential scanning calorimetry (DSC) method. Samples of pork meat were scanned at five rates (2, 5, 10, 15, 20</w:t>
      </w:r>
      <w:r>
        <w:rPr>
          <w:sz w:val="24"/>
          <w:szCs w:val="24"/>
        </w:rPr>
        <w:t xml:space="preserve"> </w:t>
      </w:r>
      <w:r w:rsidRPr="00881A39">
        <w:rPr>
          <w:sz w:val="24"/>
          <w:szCs w:val="24"/>
        </w:rPr>
        <w:t>°C/min). The percent of freezable water (FW) was calculated using the area of the integrated endothermic peak at the range of 0</w:t>
      </w:r>
      <w:r>
        <w:rPr>
          <w:sz w:val="24"/>
          <w:szCs w:val="24"/>
        </w:rPr>
        <w:t xml:space="preserve"> </w:t>
      </w:r>
      <w:r w:rsidRPr="00881A39">
        <w:rPr>
          <w:sz w:val="24"/>
          <w:szCs w:val="24"/>
        </w:rPr>
        <w:t>°C. It was observed that the crystallization peaks increased with an increasing scanning rate. The cooling rate affected the onset (T</w:t>
      </w:r>
      <w:r w:rsidRPr="00881A39">
        <w:rPr>
          <w:sz w:val="24"/>
          <w:szCs w:val="24"/>
          <w:vertAlign w:val="subscript"/>
        </w:rPr>
        <w:t>c</w:t>
      </w:r>
      <w:r w:rsidRPr="00881A39">
        <w:rPr>
          <w:sz w:val="24"/>
          <w:szCs w:val="24"/>
        </w:rPr>
        <w:t>on), peak (T</w:t>
      </w:r>
      <w:r w:rsidRPr="00881A39">
        <w:rPr>
          <w:sz w:val="24"/>
          <w:szCs w:val="24"/>
          <w:vertAlign w:val="subscript"/>
        </w:rPr>
        <w:t>c</w:t>
      </w:r>
      <w:r w:rsidRPr="00881A39">
        <w:rPr>
          <w:sz w:val="24"/>
          <w:szCs w:val="24"/>
        </w:rPr>
        <w:t>) and end temperatures (T</w:t>
      </w:r>
      <w:r w:rsidRPr="00881A39">
        <w:rPr>
          <w:sz w:val="24"/>
          <w:szCs w:val="24"/>
          <w:vertAlign w:val="subscript"/>
        </w:rPr>
        <w:t>c</w:t>
      </w:r>
      <w:r w:rsidRPr="00881A39">
        <w:rPr>
          <w:sz w:val="24"/>
          <w:szCs w:val="24"/>
        </w:rPr>
        <w:t xml:space="preserve">end) of crystallization process of pork meat (p&lt;0.05). However, the </w:t>
      </w:r>
      <w:r w:rsidRPr="00881A39">
        <w:rPr>
          <w:color w:val="000000"/>
          <w:sz w:val="24"/>
          <w:szCs w:val="24"/>
        </w:rPr>
        <w:t>e</w:t>
      </w:r>
      <w:r w:rsidRPr="00881A39">
        <w:rPr>
          <w:sz w:val="24"/>
          <w:szCs w:val="24"/>
        </w:rPr>
        <w:t>nthalpy of crystallization (ΔH</w:t>
      </w:r>
      <w:r w:rsidRPr="00881A39">
        <w:rPr>
          <w:sz w:val="24"/>
          <w:szCs w:val="24"/>
          <w:vertAlign w:val="subscript"/>
        </w:rPr>
        <w:t>c</w:t>
      </w:r>
      <w:r w:rsidRPr="00881A39">
        <w:rPr>
          <w:sz w:val="24"/>
          <w:szCs w:val="24"/>
        </w:rPr>
        <w:t>) did not change with a changing cooling rate (p&gt;0.05). The influence of the heating rate on the enthalpy of melting (ΔH</w:t>
      </w:r>
      <w:r w:rsidRPr="00881A39">
        <w:rPr>
          <w:sz w:val="24"/>
          <w:szCs w:val="24"/>
          <w:vertAlign w:val="subscript"/>
        </w:rPr>
        <w:t>m</w:t>
      </w:r>
      <w:r w:rsidRPr="00881A39">
        <w:rPr>
          <w:sz w:val="24"/>
          <w:szCs w:val="24"/>
        </w:rPr>
        <w:t>), onset (T</w:t>
      </w:r>
      <w:r w:rsidRPr="00881A39">
        <w:rPr>
          <w:sz w:val="24"/>
          <w:szCs w:val="24"/>
          <w:vertAlign w:val="subscript"/>
        </w:rPr>
        <w:t>m</w:t>
      </w:r>
      <w:r w:rsidRPr="00881A39">
        <w:rPr>
          <w:sz w:val="24"/>
          <w:szCs w:val="24"/>
        </w:rPr>
        <w:t>on), peak (T</w:t>
      </w:r>
      <w:r w:rsidRPr="00881A39">
        <w:rPr>
          <w:sz w:val="24"/>
          <w:szCs w:val="24"/>
          <w:vertAlign w:val="subscript"/>
        </w:rPr>
        <w:t>m</w:t>
      </w:r>
      <w:r w:rsidRPr="00881A39">
        <w:rPr>
          <w:sz w:val="24"/>
          <w:szCs w:val="24"/>
        </w:rPr>
        <w:t>) and end temperatures (T</w:t>
      </w:r>
      <w:r w:rsidRPr="00881A39">
        <w:rPr>
          <w:sz w:val="24"/>
          <w:szCs w:val="24"/>
          <w:vertAlign w:val="subscript"/>
        </w:rPr>
        <w:t>m</w:t>
      </w:r>
      <w:r w:rsidRPr="00881A39">
        <w:rPr>
          <w:sz w:val="24"/>
          <w:szCs w:val="24"/>
        </w:rPr>
        <w:t xml:space="preserve">end) of melting process was reported, as well as the </w:t>
      </w:r>
      <w:r w:rsidRPr="00881A39">
        <w:rPr>
          <w:color w:val="000000"/>
          <w:sz w:val="24"/>
          <w:szCs w:val="24"/>
        </w:rPr>
        <w:t xml:space="preserve">contents of freezable and unfreezable water in pork meat, depending on the scanning rates. The width of the melting peaks decreased with a decreasing heating rate, which resulted in </w:t>
      </w:r>
      <w:r>
        <w:rPr>
          <w:color w:val="000000"/>
          <w:sz w:val="24"/>
          <w:szCs w:val="24"/>
        </w:rPr>
        <w:t xml:space="preserve">a </w:t>
      </w:r>
      <w:r w:rsidRPr="00881A39">
        <w:rPr>
          <w:sz w:val="24"/>
          <w:szCs w:val="24"/>
        </w:rPr>
        <w:t xml:space="preserve">significant (p&lt;0.05) </w:t>
      </w:r>
      <w:r w:rsidRPr="00881A39">
        <w:rPr>
          <w:color w:val="000000"/>
          <w:sz w:val="24"/>
          <w:szCs w:val="24"/>
        </w:rPr>
        <w:t xml:space="preserve">change of the </w:t>
      </w:r>
      <w:r w:rsidRPr="00881A39">
        <w:rPr>
          <w:sz w:val="24"/>
          <w:szCs w:val="24"/>
        </w:rPr>
        <w:t xml:space="preserve">melting </w:t>
      </w:r>
      <w:r w:rsidRPr="00881A39">
        <w:rPr>
          <w:color w:val="000000"/>
          <w:sz w:val="24"/>
          <w:szCs w:val="24"/>
        </w:rPr>
        <w:t>e</w:t>
      </w:r>
      <w:r w:rsidRPr="00881A39">
        <w:rPr>
          <w:sz w:val="24"/>
          <w:szCs w:val="24"/>
        </w:rPr>
        <w:t>nthalpy (ΔH</w:t>
      </w:r>
      <w:r w:rsidRPr="00881A39">
        <w:rPr>
          <w:sz w:val="24"/>
          <w:szCs w:val="24"/>
          <w:vertAlign w:val="subscript"/>
        </w:rPr>
        <w:t>m</w:t>
      </w:r>
      <w:r w:rsidRPr="00881A39">
        <w:rPr>
          <w:sz w:val="24"/>
          <w:szCs w:val="24"/>
        </w:rPr>
        <w:t>), from 213.60 J/g for the rate of 20</w:t>
      </w:r>
      <w:r>
        <w:rPr>
          <w:sz w:val="24"/>
          <w:szCs w:val="24"/>
        </w:rPr>
        <w:t xml:space="preserve"> </w:t>
      </w:r>
      <w:r w:rsidRPr="00881A39">
        <w:rPr>
          <w:sz w:val="24"/>
          <w:szCs w:val="24"/>
        </w:rPr>
        <w:t>°C/min to 193.23 J/g for the rate of 2</w:t>
      </w:r>
      <w:r>
        <w:rPr>
          <w:sz w:val="24"/>
          <w:szCs w:val="24"/>
        </w:rPr>
        <w:t xml:space="preserve"> </w:t>
      </w:r>
      <w:r w:rsidRPr="00881A39">
        <w:rPr>
          <w:sz w:val="24"/>
          <w:szCs w:val="24"/>
        </w:rPr>
        <w:t xml:space="preserve">°C/min. Analogously to the </w:t>
      </w:r>
      <w:r w:rsidRPr="00881A39">
        <w:rPr>
          <w:color w:val="000000"/>
          <w:sz w:val="24"/>
          <w:szCs w:val="24"/>
        </w:rPr>
        <w:t>enthalpy of melting, the significant (p&lt;0.05) increase in freezable water content was recorded in frozen pork meat, from 57.94% for the rate of 2</w:t>
      </w:r>
      <w:r>
        <w:rPr>
          <w:color w:val="000000"/>
          <w:sz w:val="24"/>
          <w:szCs w:val="24"/>
        </w:rPr>
        <w:t xml:space="preserve"> </w:t>
      </w:r>
      <w:r w:rsidRPr="00881A39">
        <w:rPr>
          <w:color w:val="000000"/>
          <w:sz w:val="24"/>
          <w:szCs w:val="24"/>
        </w:rPr>
        <w:t>°C/min to 64.05% for the rate of 20</w:t>
      </w:r>
      <w:r>
        <w:rPr>
          <w:color w:val="000000"/>
          <w:sz w:val="24"/>
          <w:szCs w:val="24"/>
        </w:rPr>
        <w:t xml:space="preserve"> </w:t>
      </w:r>
      <w:r w:rsidRPr="00881A39">
        <w:rPr>
          <w:color w:val="000000"/>
          <w:sz w:val="24"/>
          <w:szCs w:val="24"/>
        </w:rPr>
        <w:t>°C/min.</w:t>
      </w:r>
    </w:p>
    <w:p w:rsidR="003521CE" w:rsidRPr="00881A39" w:rsidRDefault="003521CE" w:rsidP="003521CE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</w:p>
    <w:p w:rsidR="003521CE" w:rsidRPr="00881A39" w:rsidRDefault="003521CE" w:rsidP="003521C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A61474">
        <w:rPr>
          <w:sz w:val="24"/>
          <w:szCs w:val="24"/>
        </w:rPr>
        <w:t>Key words:</w:t>
      </w:r>
      <w:r w:rsidRPr="00881A39">
        <w:rPr>
          <w:b/>
          <w:sz w:val="24"/>
          <w:szCs w:val="24"/>
        </w:rPr>
        <w:t xml:space="preserve"> </w:t>
      </w:r>
      <w:r w:rsidRPr="00881A39">
        <w:rPr>
          <w:sz w:val="24"/>
          <w:szCs w:val="24"/>
        </w:rPr>
        <w:t>DSC</w:t>
      </w:r>
      <w:r w:rsidR="00A61474">
        <w:rPr>
          <w:sz w:val="24"/>
          <w:szCs w:val="24"/>
        </w:rPr>
        <w:t>; pork meat; crystallization;</w:t>
      </w:r>
      <w:r w:rsidRPr="00881A39">
        <w:rPr>
          <w:sz w:val="24"/>
          <w:szCs w:val="24"/>
        </w:rPr>
        <w:t xml:space="preserve"> melting</w:t>
      </w:r>
    </w:p>
    <w:p w:rsidR="003521CE" w:rsidRPr="00ED09E2" w:rsidRDefault="003521CE" w:rsidP="008C7815">
      <w:pPr>
        <w:rPr>
          <w:b/>
          <w:sz w:val="22"/>
          <w:szCs w:val="22"/>
        </w:rPr>
      </w:pPr>
    </w:p>
    <w:sectPr w:rsidR="003521CE" w:rsidRPr="00ED09E2" w:rsidSect="003521CE">
      <w:headerReference w:type="default" r:id="rId7"/>
      <w:footnotePr>
        <w:numRestart w:val="eachSect"/>
      </w:footnotePr>
      <w:endnotePr>
        <w:numFmt w:val="decimal"/>
      </w:endnotePr>
      <w:pgSz w:w="11907" w:h="16840" w:code="9"/>
      <w:pgMar w:top="1440" w:right="1440" w:bottom="1440" w:left="1440" w:header="289" w:footer="142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792A" w:rsidRDefault="0029792A" w:rsidP="002338FC">
      <w:r>
        <w:separator/>
      </w:r>
    </w:p>
  </w:endnote>
  <w:endnote w:type="continuationSeparator" w:id="0">
    <w:p w:rsidR="0029792A" w:rsidRDefault="0029792A" w:rsidP="002338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792A" w:rsidRDefault="0029792A" w:rsidP="002338FC">
      <w:r>
        <w:separator/>
      </w:r>
    </w:p>
  </w:footnote>
  <w:footnote w:type="continuationSeparator" w:id="0">
    <w:p w:rsidR="0029792A" w:rsidRDefault="0029792A" w:rsidP="002338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11E3" w:rsidRPr="00ED09E2" w:rsidRDefault="002411E3" w:rsidP="00B74A23">
    <w:pPr>
      <w:pStyle w:val="Header"/>
      <w:tabs>
        <w:tab w:val="clear" w:pos="4680"/>
        <w:tab w:val="clear" w:pos="9360"/>
        <w:tab w:val="center" w:pos="4677"/>
        <w:tab w:val="right" w:pos="9355"/>
      </w:tabs>
      <w:jc w:val="center"/>
      <w:rPr>
        <w:b/>
        <w:sz w:val="18"/>
        <w:szCs w:val="18"/>
        <w:lang w:val="en-US"/>
      </w:rPr>
    </w:pPr>
    <w:r w:rsidRPr="00ED09E2">
      <w:rPr>
        <w:b/>
        <w:sz w:val="18"/>
        <w:szCs w:val="18"/>
        <w:lang w:val="en-US"/>
      </w:rPr>
      <w:t>X</w:t>
    </w:r>
    <w:r>
      <w:rPr>
        <w:b/>
        <w:sz w:val="18"/>
        <w:szCs w:val="18"/>
        <w:lang w:val="en-US"/>
      </w:rPr>
      <w:t>I</w:t>
    </w:r>
    <w:r w:rsidRPr="00ED09E2">
      <w:rPr>
        <w:b/>
        <w:sz w:val="18"/>
        <w:szCs w:val="18"/>
      </w:rPr>
      <w:t xml:space="preserve"> </w:t>
    </w:r>
    <w:r w:rsidRPr="00ED09E2">
      <w:rPr>
        <w:b/>
        <w:sz w:val="18"/>
        <w:szCs w:val="18"/>
        <w:lang w:val="en-US"/>
      </w:rPr>
      <w:t>SAVJETOVANJE HEMIČARA, TEHNOLOGA I EKOLOGA REPUBLIKE SRPSKE</w:t>
    </w:r>
  </w:p>
  <w:p w:rsidR="002411E3" w:rsidRPr="00ED09E2" w:rsidRDefault="002411E3" w:rsidP="00ED09E2">
    <w:pPr>
      <w:pStyle w:val="Header"/>
      <w:tabs>
        <w:tab w:val="clear" w:pos="4680"/>
        <w:tab w:val="clear" w:pos="9360"/>
        <w:tab w:val="center" w:pos="4677"/>
        <w:tab w:val="right" w:pos="9355"/>
      </w:tabs>
      <w:jc w:val="center"/>
      <w:rPr>
        <w:b/>
        <w:color w:val="FF0000"/>
        <w:sz w:val="18"/>
        <w:szCs w:val="18"/>
        <w:lang w:val="sr-Latn-BA"/>
      </w:rPr>
    </w:pPr>
    <w:r w:rsidRPr="00ED09E2">
      <w:rPr>
        <w:b/>
        <w:color w:val="FF0000"/>
        <w:sz w:val="18"/>
        <w:szCs w:val="18"/>
        <w:lang w:val="sr-Latn-BA"/>
      </w:rPr>
      <w:t>X</w:t>
    </w:r>
    <w:r>
      <w:rPr>
        <w:b/>
        <w:color w:val="FF0000"/>
        <w:sz w:val="18"/>
        <w:szCs w:val="18"/>
        <w:lang w:val="sr-Latn-BA"/>
      </w:rPr>
      <w:t>I</w:t>
    </w:r>
    <w:r w:rsidRPr="00ED09E2">
      <w:rPr>
        <w:b/>
        <w:color w:val="FF0000"/>
        <w:sz w:val="18"/>
        <w:szCs w:val="18"/>
        <w:lang w:val="sr-Latn-BA"/>
      </w:rPr>
      <w:t xml:space="preserve"> Conference of </w:t>
    </w:r>
    <w:r>
      <w:rPr>
        <w:b/>
        <w:color w:val="FF0000"/>
        <w:sz w:val="18"/>
        <w:szCs w:val="18"/>
      </w:rPr>
      <w:t xml:space="preserve"> Chemists, Technologists and E</w:t>
    </w:r>
    <w:r w:rsidRPr="00ED09E2">
      <w:rPr>
        <w:b/>
        <w:color w:val="FF0000"/>
        <w:sz w:val="18"/>
        <w:szCs w:val="18"/>
      </w:rPr>
      <w:t>nvironmentalists</w:t>
    </w:r>
    <w:r>
      <w:rPr>
        <w:b/>
        <w:color w:val="FF0000"/>
        <w:sz w:val="18"/>
        <w:szCs w:val="18"/>
        <w:lang w:val="sr-Latn-BA"/>
      </w:rPr>
      <w:t xml:space="preserve"> of</w:t>
    </w:r>
    <w:r w:rsidRPr="00ED09E2">
      <w:rPr>
        <w:b/>
        <w:color w:val="FF0000"/>
        <w:sz w:val="18"/>
        <w:szCs w:val="18"/>
        <w:lang w:val="sr-Latn-BA"/>
      </w:rPr>
      <w:t xml:space="preserve"> Republic of Srpska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015084"/>
    <w:multiLevelType w:val="multilevel"/>
    <w:tmpl w:val="D9D097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00"/>
  <w:drawingGridVerticalSpacing w:val="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004"/>
    <w:rsid w:val="00020C38"/>
    <w:rsid w:val="000A694D"/>
    <w:rsid w:val="001137B3"/>
    <w:rsid w:val="00140B76"/>
    <w:rsid w:val="00155E2A"/>
    <w:rsid w:val="00163092"/>
    <w:rsid w:val="001E0B0E"/>
    <w:rsid w:val="001E1E4E"/>
    <w:rsid w:val="00211CB6"/>
    <w:rsid w:val="00216C5E"/>
    <w:rsid w:val="00230F8E"/>
    <w:rsid w:val="002338FC"/>
    <w:rsid w:val="002411E3"/>
    <w:rsid w:val="0027080A"/>
    <w:rsid w:val="0028158C"/>
    <w:rsid w:val="0029792A"/>
    <w:rsid w:val="002B571C"/>
    <w:rsid w:val="00305A84"/>
    <w:rsid w:val="003119D2"/>
    <w:rsid w:val="00325004"/>
    <w:rsid w:val="00336813"/>
    <w:rsid w:val="003521CE"/>
    <w:rsid w:val="003766E9"/>
    <w:rsid w:val="003920C8"/>
    <w:rsid w:val="003B72C8"/>
    <w:rsid w:val="003F1333"/>
    <w:rsid w:val="00463A00"/>
    <w:rsid w:val="00490446"/>
    <w:rsid w:val="004C00FA"/>
    <w:rsid w:val="004E7652"/>
    <w:rsid w:val="00532254"/>
    <w:rsid w:val="00545371"/>
    <w:rsid w:val="005C2F81"/>
    <w:rsid w:val="005D3448"/>
    <w:rsid w:val="005F7535"/>
    <w:rsid w:val="00622152"/>
    <w:rsid w:val="006E78D0"/>
    <w:rsid w:val="007C68B8"/>
    <w:rsid w:val="00810EAE"/>
    <w:rsid w:val="00817944"/>
    <w:rsid w:val="00852DAF"/>
    <w:rsid w:val="00861E6A"/>
    <w:rsid w:val="008C7815"/>
    <w:rsid w:val="00966613"/>
    <w:rsid w:val="00971A94"/>
    <w:rsid w:val="0097443A"/>
    <w:rsid w:val="009C17B6"/>
    <w:rsid w:val="009D1F13"/>
    <w:rsid w:val="00A12585"/>
    <w:rsid w:val="00A325FB"/>
    <w:rsid w:val="00A407C9"/>
    <w:rsid w:val="00A61474"/>
    <w:rsid w:val="00A77759"/>
    <w:rsid w:val="00AC1B67"/>
    <w:rsid w:val="00B36B75"/>
    <w:rsid w:val="00B5014F"/>
    <w:rsid w:val="00B74A23"/>
    <w:rsid w:val="00BB3447"/>
    <w:rsid w:val="00BF4545"/>
    <w:rsid w:val="00C879E5"/>
    <w:rsid w:val="00D95F51"/>
    <w:rsid w:val="00DB66DC"/>
    <w:rsid w:val="00DC2FD9"/>
    <w:rsid w:val="00DC79BA"/>
    <w:rsid w:val="00DD0313"/>
    <w:rsid w:val="00E0331A"/>
    <w:rsid w:val="00E07990"/>
    <w:rsid w:val="00E839FB"/>
    <w:rsid w:val="00E949EC"/>
    <w:rsid w:val="00E95CC0"/>
    <w:rsid w:val="00EC1C83"/>
    <w:rsid w:val="00EC41D0"/>
    <w:rsid w:val="00ED09E2"/>
    <w:rsid w:val="00ED42E9"/>
    <w:rsid w:val="00EF062E"/>
    <w:rsid w:val="00F50206"/>
    <w:rsid w:val="00F513AF"/>
    <w:rsid w:val="00F63BC1"/>
    <w:rsid w:val="00FB1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AECB26DB-BF93-4E72-83B5-856379032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1E4E"/>
    <w:pPr>
      <w:widowControl w:val="0"/>
    </w:pPr>
    <w:rPr>
      <w:snapToGrid w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eferences">
    <w:name w:val="References"/>
    <w:basedOn w:val="Normal"/>
    <w:rsid w:val="006042E8"/>
    <w:pPr>
      <w:widowControl/>
      <w:tabs>
        <w:tab w:val="left" w:pos="288"/>
      </w:tabs>
      <w:ind w:left="288" w:hanging="288"/>
      <w:jc w:val="both"/>
    </w:pPr>
    <w:rPr>
      <w:rFonts w:ascii="Times" w:hAnsi="Times"/>
      <w:snapToGrid/>
      <w:color w:val="000000"/>
      <w:lang w:val="fr-FR"/>
    </w:rPr>
  </w:style>
  <w:style w:type="paragraph" w:customStyle="1" w:styleId="TextNormal">
    <w:name w:val="Text_Normal"/>
    <w:basedOn w:val="Normal"/>
    <w:rsid w:val="006042E8"/>
    <w:pPr>
      <w:widowControl/>
      <w:jc w:val="both"/>
    </w:pPr>
    <w:rPr>
      <w:rFonts w:ascii="Times" w:hAnsi="Times"/>
      <w:snapToGrid/>
      <w:lang w:val="fr-FR"/>
    </w:rPr>
  </w:style>
  <w:style w:type="paragraph" w:styleId="Header">
    <w:name w:val="header"/>
    <w:basedOn w:val="Normal"/>
    <w:link w:val="HeaderChar"/>
    <w:uiPriority w:val="99"/>
    <w:rsid w:val="002338FC"/>
    <w:pPr>
      <w:tabs>
        <w:tab w:val="center" w:pos="4680"/>
        <w:tab w:val="right" w:pos="9360"/>
      </w:tabs>
    </w:pPr>
    <w:rPr>
      <w:snapToGrid/>
      <w:lang w:val="x-none" w:eastAsia="x-none"/>
    </w:rPr>
  </w:style>
  <w:style w:type="character" w:customStyle="1" w:styleId="HeaderChar">
    <w:name w:val="Header Char"/>
    <w:link w:val="Header"/>
    <w:uiPriority w:val="99"/>
    <w:rsid w:val="002338FC"/>
    <w:rPr>
      <w:snapToGrid/>
    </w:rPr>
  </w:style>
  <w:style w:type="paragraph" w:styleId="Footer">
    <w:name w:val="footer"/>
    <w:basedOn w:val="Normal"/>
    <w:link w:val="FooterChar"/>
    <w:rsid w:val="002338FC"/>
    <w:pPr>
      <w:tabs>
        <w:tab w:val="center" w:pos="4680"/>
        <w:tab w:val="right" w:pos="9360"/>
      </w:tabs>
    </w:pPr>
    <w:rPr>
      <w:snapToGrid/>
      <w:lang w:val="x-none" w:eastAsia="x-none"/>
    </w:rPr>
  </w:style>
  <w:style w:type="character" w:customStyle="1" w:styleId="FooterChar">
    <w:name w:val="Footer Char"/>
    <w:link w:val="Footer"/>
    <w:rsid w:val="002338FC"/>
    <w:rPr>
      <w:snapToGrid/>
    </w:rPr>
  </w:style>
  <w:style w:type="paragraph" w:styleId="BalloonText">
    <w:name w:val="Balloon Text"/>
    <w:basedOn w:val="Normal"/>
    <w:link w:val="BalloonTextChar"/>
    <w:rsid w:val="002338FC"/>
    <w:rPr>
      <w:rFonts w:ascii="Tahoma" w:hAnsi="Tahoma"/>
      <w:snapToGrid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2338FC"/>
    <w:rPr>
      <w:rFonts w:ascii="Tahoma" w:hAnsi="Tahoma" w:cs="Tahoma"/>
      <w:snapToGrid/>
      <w:sz w:val="16"/>
      <w:szCs w:val="16"/>
    </w:rPr>
  </w:style>
  <w:style w:type="character" w:styleId="Hyperlink">
    <w:name w:val="Hyperlink"/>
    <w:basedOn w:val="DefaultParagraphFont"/>
    <w:rsid w:val="00E949EC"/>
    <w:rPr>
      <w:color w:val="0000FF"/>
      <w:u w:val="single"/>
    </w:rPr>
  </w:style>
  <w:style w:type="character" w:styleId="FollowedHyperlink">
    <w:name w:val="FollowedHyperlink"/>
    <w:basedOn w:val="DefaultParagraphFont"/>
    <w:rsid w:val="00E949EC"/>
    <w:rPr>
      <w:color w:val="800080"/>
      <w:u w:val="single"/>
    </w:rPr>
  </w:style>
  <w:style w:type="character" w:customStyle="1" w:styleId="apple-tab-span">
    <w:name w:val="apple-tab-span"/>
    <w:basedOn w:val="DefaultParagraphFont"/>
    <w:rsid w:val="00810EAE"/>
  </w:style>
  <w:style w:type="paragraph" w:styleId="EndnoteText">
    <w:name w:val="endnote text"/>
    <w:basedOn w:val="Normal"/>
    <w:link w:val="EndnoteTextChar"/>
    <w:rsid w:val="00E07990"/>
  </w:style>
  <w:style w:type="character" w:customStyle="1" w:styleId="EndnoteTextChar">
    <w:name w:val="Endnote Text Char"/>
    <w:basedOn w:val="DefaultParagraphFont"/>
    <w:link w:val="EndnoteText"/>
    <w:rsid w:val="00E07990"/>
    <w:rPr>
      <w:snapToGrid w:val="0"/>
    </w:rPr>
  </w:style>
  <w:style w:type="character" w:styleId="EndnoteReference">
    <w:name w:val="endnote reference"/>
    <w:basedOn w:val="DefaultParagraphFont"/>
    <w:rsid w:val="00E07990"/>
    <w:rPr>
      <w:vertAlign w:val="superscript"/>
    </w:rPr>
  </w:style>
  <w:style w:type="paragraph" w:customStyle="1" w:styleId="Default">
    <w:name w:val="Default"/>
    <w:uiPriority w:val="99"/>
    <w:semiHidden/>
    <w:rsid w:val="003521CE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691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7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308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</vt:lpstr>
    </vt:vector>
  </TitlesOfParts>
  <Company>Electrochemical Society</Company>
  <LinksUpToDate>false</LinksUpToDate>
  <CharactersWithSpaces>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Title</dc:title>
  <dc:subject/>
  <dc:creator>Electrochemical</dc:creator>
  <cp:keywords/>
  <cp:lastModifiedBy>Marko</cp:lastModifiedBy>
  <cp:revision>2</cp:revision>
  <cp:lastPrinted>2016-03-25T08:16:00Z</cp:lastPrinted>
  <dcterms:created xsi:type="dcterms:W3CDTF">2016-10-06T23:23:00Z</dcterms:created>
  <dcterms:modified xsi:type="dcterms:W3CDTF">2016-10-06T23:23:00Z</dcterms:modified>
</cp:coreProperties>
</file>