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075" w:rsidRPr="00B74A23" w:rsidRDefault="00660753" w:rsidP="00760075">
      <w:pPr>
        <w:jc w:val="center"/>
        <w:rPr>
          <w:b/>
          <w:sz w:val="28"/>
          <w:szCs w:val="28"/>
        </w:rPr>
      </w:pPr>
      <w:r>
        <w:rPr>
          <w:b/>
          <w:sz w:val="28"/>
          <w:szCs w:val="28"/>
          <w:lang w:val="en-GB" w:eastAsia="en-GB"/>
        </w:rPr>
        <w:t>ODREĐIVANJE KOEFICIJENATA VISKOZNOSTI RASTVORA POLIMERA U BAZNIM ULJIMA</w:t>
      </w:r>
    </w:p>
    <w:p w:rsidR="00760075" w:rsidRPr="00B74A23" w:rsidRDefault="00760075" w:rsidP="00760075">
      <w:pPr>
        <w:jc w:val="center"/>
        <w:rPr>
          <w:b/>
        </w:rPr>
      </w:pPr>
    </w:p>
    <w:p w:rsidR="00D82D92" w:rsidRDefault="00D82D92" w:rsidP="00760075">
      <w:pPr>
        <w:rPr>
          <w:sz w:val="22"/>
          <w:szCs w:val="22"/>
        </w:rPr>
      </w:pPr>
    </w:p>
    <w:p w:rsidR="00B4586A" w:rsidRDefault="00B4586A" w:rsidP="00760075">
      <w:pPr>
        <w:rPr>
          <w:sz w:val="22"/>
          <w:szCs w:val="22"/>
        </w:rPr>
      </w:pPr>
    </w:p>
    <w:p w:rsidR="00B4586A" w:rsidRPr="00D82D92" w:rsidRDefault="00B4586A" w:rsidP="00760075">
      <w:pPr>
        <w:rPr>
          <w:sz w:val="22"/>
          <w:szCs w:val="22"/>
        </w:rPr>
      </w:pPr>
    </w:p>
    <w:p w:rsidR="00760075" w:rsidRPr="00D82D92" w:rsidRDefault="00760075" w:rsidP="00760075">
      <w:pPr>
        <w:rPr>
          <w:sz w:val="22"/>
          <w:szCs w:val="22"/>
        </w:rPr>
      </w:pPr>
    </w:p>
    <w:p w:rsidR="008A73F0" w:rsidRPr="00233268" w:rsidRDefault="008A73F0" w:rsidP="008A73F0">
      <w:pPr>
        <w:autoSpaceDE w:val="0"/>
        <w:autoSpaceDN w:val="0"/>
        <w:adjustRightInd w:val="0"/>
        <w:jc w:val="both"/>
        <w:rPr>
          <w:sz w:val="24"/>
          <w:szCs w:val="24"/>
        </w:rPr>
      </w:pPr>
      <w:r w:rsidRPr="00FA3107">
        <w:rPr>
          <w:sz w:val="24"/>
          <w:szCs w:val="24"/>
          <w:lang w:val="sr-Latn-BA"/>
        </w:rPr>
        <w:t>Osnovna viskozno-temperaturna svojstva motornih i nekih industrijskih ulja se postižu  primjenom mineralnih i sintetičkih baznih ulja i aditiva za poboljšanje indeksa viskoznosti. U radu je ispitano ponašanje  poboljšivača viskoznosti tipa olefin-kopolimer u rastvorima mineralnih, hidrokrekovanih i PAO (polialfaolefinskih) baznih ulja. Standardnom metodom ASTM D 445, određena je kinematička viskoznost rastvora baznih ulja, na osnovu kojih su izračunate vrijednosti relativne, specifične i redukovane viskoznosti. Praćena je  zavisnost relativne i redukovane viskoznosti od koncentracije polimera u određenom baznom ulju na</w:t>
      </w:r>
      <w:r w:rsidRPr="00233268">
        <w:rPr>
          <w:sz w:val="24"/>
          <w:szCs w:val="24"/>
        </w:rPr>
        <w:t xml:space="preserve">  temperaturama 40</w:t>
      </w:r>
      <w:r w:rsidRPr="00233268">
        <w:rPr>
          <w:sz w:val="24"/>
          <w:szCs w:val="24"/>
          <w:vertAlign w:val="superscript"/>
        </w:rPr>
        <w:t>o</w:t>
      </w:r>
      <w:r w:rsidRPr="00233268">
        <w:rPr>
          <w:sz w:val="24"/>
          <w:szCs w:val="24"/>
        </w:rPr>
        <w:t>C i 100</w:t>
      </w:r>
      <w:r w:rsidRPr="00233268">
        <w:rPr>
          <w:sz w:val="24"/>
          <w:szCs w:val="24"/>
          <w:vertAlign w:val="superscript"/>
        </w:rPr>
        <w:t>o</w:t>
      </w:r>
      <w:r w:rsidRPr="00233268">
        <w:rPr>
          <w:sz w:val="24"/>
          <w:szCs w:val="24"/>
        </w:rPr>
        <w:t>C. Grafičkim predstavljanjem ove zavisnosti izražene preko jednačina Huggins-</w:t>
      </w:r>
      <w:proofErr w:type="gramStart"/>
      <w:r w:rsidRPr="00233268">
        <w:rPr>
          <w:sz w:val="24"/>
          <w:szCs w:val="24"/>
        </w:rPr>
        <w:t>a</w:t>
      </w:r>
      <w:proofErr w:type="gramEnd"/>
      <w:r w:rsidRPr="00233268">
        <w:rPr>
          <w:sz w:val="24"/>
          <w:szCs w:val="24"/>
        </w:rPr>
        <w:t xml:space="preserve"> i Kraemer-a, određena je vrijednost graničnog viskozitetnog broja. Najmanju vrijednost graničnog viskozitetnog broja pokazao je rastvor polimera u polialfaolefinskom baznom ulju.</w:t>
      </w:r>
    </w:p>
    <w:p w:rsidR="00646F54" w:rsidRDefault="00646F54" w:rsidP="00760075">
      <w:pPr>
        <w:widowControl/>
        <w:jc w:val="both"/>
        <w:rPr>
          <w:sz w:val="24"/>
          <w:szCs w:val="24"/>
        </w:rPr>
      </w:pPr>
    </w:p>
    <w:p w:rsidR="00760075" w:rsidRPr="00233268" w:rsidRDefault="00646F54" w:rsidP="00760075">
      <w:pPr>
        <w:widowControl/>
        <w:jc w:val="both"/>
        <w:rPr>
          <w:sz w:val="24"/>
          <w:szCs w:val="24"/>
        </w:rPr>
      </w:pPr>
      <w:r w:rsidRPr="00233268">
        <w:rPr>
          <w:b/>
          <w:sz w:val="24"/>
          <w:szCs w:val="24"/>
        </w:rPr>
        <w:t>Ključne riječi</w:t>
      </w:r>
      <w:r w:rsidRPr="00233268">
        <w:rPr>
          <w:sz w:val="24"/>
          <w:szCs w:val="24"/>
        </w:rPr>
        <w:t xml:space="preserve">: </w:t>
      </w:r>
      <w:r w:rsidR="00540A9E" w:rsidRPr="00233268">
        <w:rPr>
          <w:sz w:val="24"/>
          <w:szCs w:val="24"/>
        </w:rPr>
        <w:t xml:space="preserve">poboljšivači indeksa viskoznosti, </w:t>
      </w:r>
      <w:r w:rsidR="00ED1115" w:rsidRPr="00233268">
        <w:rPr>
          <w:sz w:val="24"/>
          <w:szCs w:val="24"/>
        </w:rPr>
        <w:t xml:space="preserve">jednačina Huggins-a i Kraemer-a, </w:t>
      </w:r>
      <w:r w:rsidR="008A73F0" w:rsidRPr="00233268">
        <w:rPr>
          <w:sz w:val="24"/>
          <w:szCs w:val="24"/>
        </w:rPr>
        <w:t>granični viskozitetni broj</w:t>
      </w:r>
    </w:p>
    <w:p w:rsidR="00A12585" w:rsidRDefault="00A12585">
      <w:pPr>
        <w:jc w:val="center"/>
        <w:rPr>
          <w:b/>
          <w:sz w:val="24"/>
          <w:szCs w:val="24"/>
        </w:rPr>
      </w:pPr>
    </w:p>
    <w:p w:rsidR="00D72A43" w:rsidRDefault="00D72A43">
      <w:pPr>
        <w:jc w:val="center"/>
        <w:rPr>
          <w:b/>
          <w:sz w:val="24"/>
          <w:szCs w:val="24"/>
        </w:rPr>
      </w:pPr>
    </w:p>
    <w:p w:rsidR="00B4586A" w:rsidRDefault="00B4586A">
      <w:pPr>
        <w:jc w:val="center"/>
        <w:rPr>
          <w:b/>
          <w:sz w:val="24"/>
          <w:szCs w:val="24"/>
        </w:rPr>
      </w:pPr>
    </w:p>
    <w:p w:rsidR="00B4586A" w:rsidRPr="00727FB9" w:rsidRDefault="00B4586A">
      <w:pPr>
        <w:jc w:val="center"/>
        <w:rPr>
          <w:b/>
          <w:sz w:val="24"/>
          <w:szCs w:val="24"/>
        </w:rPr>
      </w:pPr>
    </w:p>
    <w:p w:rsidR="00D72A43" w:rsidRPr="00B74A23" w:rsidRDefault="00D72A43" w:rsidP="00D72A43">
      <w:pPr>
        <w:jc w:val="center"/>
        <w:rPr>
          <w:b/>
          <w:sz w:val="28"/>
          <w:szCs w:val="28"/>
        </w:rPr>
      </w:pPr>
      <w:r>
        <w:rPr>
          <w:b/>
          <w:sz w:val="28"/>
          <w:szCs w:val="28"/>
        </w:rPr>
        <w:t>DETERMINATION VISCOSITY COEFFICENTS OF SOLUTION POLIMERS IN BASE OILS</w:t>
      </w:r>
    </w:p>
    <w:p w:rsidR="00D72A43" w:rsidRDefault="00D72A43" w:rsidP="00D72A43">
      <w:pPr>
        <w:jc w:val="center"/>
        <w:rPr>
          <w:b/>
        </w:rPr>
      </w:pPr>
    </w:p>
    <w:p w:rsidR="00B4586A" w:rsidRDefault="00B4586A" w:rsidP="00D72A43">
      <w:pPr>
        <w:jc w:val="center"/>
        <w:rPr>
          <w:b/>
        </w:rPr>
      </w:pPr>
    </w:p>
    <w:p w:rsidR="00B4586A" w:rsidRPr="00B74A23" w:rsidRDefault="00B4586A" w:rsidP="00D72A43">
      <w:pPr>
        <w:jc w:val="center"/>
        <w:rPr>
          <w:b/>
        </w:rPr>
      </w:pPr>
    </w:p>
    <w:p w:rsidR="00D72A43" w:rsidRPr="00233268" w:rsidRDefault="00D72A43" w:rsidP="00D72A43">
      <w:pPr>
        <w:rPr>
          <w:sz w:val="24"/>
          <w:szCs w:val="24"/>
        </w:rPr>
      </w:pPr>
    </w:p>
    <w:p w:rsidR="00D72A43" w:rsidRPr="00233268" w:rsidRDefault="00D72A43" w:rsidP="00D72A43">
      <w:pPr>
        <w:pStyle w:val="References"/>
        <w:ind w:left="0" w:firstLine="0"/>
        <w:rPr>
          <w:rFonts w:ascii="Times New Roman" w:hAnsi="Times New Roman"/>
          <w:sz w:val="24"/>
          <w:szCs w:val="24"/>
        </w:rPr>
      </w:pPr>
      <w:r w:rsidRPr="00233268">
        <w:rPr>
          <w:rFonts w:ascii="Times New Roman" w:hAnsi="Times New Roman"/>
          <w:sz w:val="24"/>
          <w:szCs w:val="24"/>
        </w:rPr>
        <w:t>The basic viscosity-temperature properties of motor and some industrial oils are archiving by applying appropriate base oils and additives to improve the viscosity index. The paper examines the behavior of viscosity improver like a olefin copolymer in solu</w:t>
      </w:r>
      <w:r w:rsidR="00FA3107">
        <w:rPr>
          <w:rFonts w:ascii="Times New Roman" w:hAnsi="Times New Roman"/>
          <w:sz w:val="24"/>
          <w:szCs w:val="24"/>
        </w:rPr>
        <w:t>tions mineral</w:t>
      </w:r>
      <w:r w:rsidRPr="00233268">
        <w:rPr>
          <w:rFonts w:ascii="Times New Roman" w:hAnsi="Times New Roman"/>
          <w:sz w:val="24"/>
          <w:szCs w:val="24"/>
        </w:rPr>
        <w:t xml:space="preserve">, hydrocracking and PAO (polyalphaolefine) type of base oil. By standard method ASTM D 445, it determined kinematic viscosity solution of base oils. Using these results, it calculated values of </w:t>
      </w:r>
      <w:proofErr w:type="gramStart"/>
      <w:r w:rsidRPr="00233268">
        <w:rPr>
          <w:rFonts w:ascii="Times New Roman" w:hAnsi="Times New Roman"/>
          <w:sz w:val="24"/>
          <w:szCs w:val="24"/>
        </w:rPr>
        <w:t>a</w:t>
      </w:r>
      <w:proofErr w:type="gramEnd"/>
      <w:r w:rsidRPr="00233268">
        <w:rPr>
          <w:rFonts w:ascii="Times New Roman" w:hAnsi="Times New Roman"/>
          <w:sz w:val="24"/>
          <w:szCs w:val="24"/>
        </w:rPr>
        <w:t xml:space="preserve"> relative, specific and reduce viscosity. Dependence of the relative and the reduced viscosity and polymer concentration in </w:t>
      </w:r>
      <w:proofErr w:type="gramStart"/>
      <w:r w:rsidRPr="00233268">
        <w:rPr>
          <w:rFonts w:ascii="Times New Roman" w:hAnsi="Times New Roman"/>
          <w:sz w:val="24"/>
          <w:szCs w:val="24"/>
        </w:rPr>
        <w:t>a</w:t>
      </w:r>
      <w:proofErr w:type="gramEnd"/>
      <w:r w:rsidRPr="00233268">
        <w:rPr>
          <w:rFonts w:ascii="Times New Roman" w:hAnsi="Times New Roman"/>
          <w:sz w:val="24"/>
          <w:szCs w:val="24"/>
        </w:rPr>
        <w:t xml:space="preserve"> given base oil determined, at temperatures of 40° C and 100°C. According by graphical representation of this dependence expressed by the equation Huggins and Kraemer was determined value of limiting viscosity number. The lowest value of the limiting viscosity number showed the solution polymer in PAO base oil.</w:t>
      </w:r>
    </w:p>
    <w:p w:rsidR="00D72A43" w:rsidRPr="00D72A43" w:rsidRDefault="00D72A43" w:rsidP="00D72A43">
      <w:pPr>
        <w:pStyle w:val="References"/>
        <w:ind w:left="0" w:firstLine="0"/>
        <w:rPr>
          <w:rFonts w:ascii="Times New Roman" w:hAnsi="Times New Roman"/>
        </w:rPr>
      </w:pPr>
    </w:p>
    <w:p w:rsidR="00D72A43" w:rsidRDefault="00D72A43" w:rsidP="00D72A43">
      <w:pPr>
        <w:widowControl/>
        <w:jc w:val="both"/>
        <w:rPr>
          <w:sz w:val="24"/>
          <w:szCs w:val="24"/>
        </w:rPr>
      </w:pPr>
      <w:r w:rsidRPr="00D72A43">
        <w:rPr>
          <w:b/>
          <w:sz w:val="24"/>
          <w:szCs w:val="24"/>
        </w:rPr>
        <w:t>Key words:</w:t>
      </w:r>
      <w:r>
        <w:rPr>
          <w:sz w:val="24"/>
          <w:szCs w:val="24"/>
        </w:rPr>
        <w:t xml:space="preserve"> improver index viscosity, equation Huggins and Kraemer, limiting viscosity number</w:t>
      </w:r>
    </w:p>
    <w:p w:rsidR="00913036" w:rsidRDefault="00913036" w:rsidP="00D72A43">
      <w:pPr>
        <w:widowControl/>
        <w:jc w:val="both"/>
        <w:rPr>
          <w:sz w:val="24"/>
          <w:szCs w:val="24"/>
        </w:rPr>
      </w:pPr>
    </w:p>
    <w:p w:rsidR="00913036" w:rsidRPr="00230F8E" w:rsidRDefault="00913036" w:rsidP="00D72A43">
      <w:pPr>
        <w:widowControl/>
        <w:jc w:val="both"/>
        <w:rPr>
          <w:sz w:val="24"/>
          <w:szCs w:val="24"/>
        </w:rPr>
      </w:pPr>
    </w:p>
    <w:p w:rsidR="00A12585" w:rsidRDefault="00A12585">
      <w:pPr>
        <w:jc w:val="center"/>
        <w:rPr>
          <w:b/>
          <w:sz w:val="22"/>
          <w:szCs w:val="22"/>
        </w:rPr>
      </w:pPr>
    </w:p>
    <w:p w:rsidR="00760075" w:rsidRPr="00913036" w:rsidRDefault="00646F54" w:rsidP="00913036">
      <w:pPr>
        <w:jc w:val="center"/>
        <w:rPr>
          <w:b/>
          <w:sz w:val="28"/>
          <w:szCs w:val="28"/>
        </w:rPr>
      </w:pPr>
      <w:r w:rsidRPr="00646F54">
        <w:rPr>
          <w:b/>
          <w:sz w:val="28"/>
          <w:szCs w:val="28"/>
        </w:rPr>
        <w:t>UVOD</w:t>
      </w:r>
    </w:p>
    <w:p w:rsidR="00646F54" w:rsidRPr="00FA3107" w:rsidRDefault="00646F54" w:rsidP="00646F54">
      <w:pPr>
        <w:pStyle w:val="ListParagraph"/>
        <w:autoSpaceDE w:val="0"/>
        <w:autoSpaceDN w:val="0"/>
        <w:adjustRightInd w:val="0"/>
        <w:ind w:left="0"/>
        <w:rPr>
          <w:bCs/>
          <w:szCs w:val="24"/>
          <w:lang w:val="sr-Latn-BA"/>
        </w:rPr>
      </w:pPr>
      <w:r w:rsidRPr="00FA3107">
        <w:rPr>
          <w:bCs/>
          <w:szCs w:val="24"/>
          <w:lang w:val="sr-Latn-BA"/>
        </w:rPr>
        <w:t>Tokom posljednjih decenija zahtjevi za ulja i maziva su veoma povećana, a i očekuje se stalni rast zbog kontinuiranih inovacija u a</w:t>
      </w:r>
      <w:r w:rsidR="008A73F0" w:rsidRPr="00FA3107">
        <w:rPr>
          <w:bCs/>
          <w:szCs w:val="24"/>
          <w:lang w:val="sr-Latn-BA"/>
        </w:rPr>
        <w:t>utomobilskoj industriji. [1]</w:t>
      </w:r>
    </w:p>
    <w:p w:rsidR="00646F54" w:rsidRPr="00646F54" w:rsidRDefault="00646F54" w:rsidP="00646F54">
      <w:pPr>
        <w:jc w:val="both"/>
        <w:rPr>
          <w:sz w:val="24"/>
          <w:szCs w:val="24"/>
        </w:rPr>
      </w:pPr>
      <w:r w:rsidRPr="00FA3107">
        <w:rPr>
          <w:sz w:val="24"/>
          <w:szCs w:val="24"/>
          <w:lang w:val="sr-Latn-BA"/>
        </w:rPr>
        <w:t>Jedan od bitnih zahtjeva za motorno ulje za</w:t>
      </w:r>
      <w:r w:rsidRPr="00646F54">
        <w:rPr>
          <w:sz w:val="24"/>
          <w:szCs w:val="24"/>
        </w:rPr>
        <w:t xml:space="preserve"> podmazivanje je da mora imati dovoljno nisku </w:t>
      </w:r>
      <w:r w:rsidRPr="00646F54">
        <w:rPr>
          <w:sz w:val="24"/>
          <w:szCs w:val="24"/>
        </w:rPr>
        <w:lastRenderedPageBreak/>
        <w:t xml:space="preserve">viskoznost pri niskim temperaturama kako bi se pomogao hladni start motora s minimalnim utroškom snage. Takođe, potrebno je da ima odgovarajuću viskoznost </w:t>
      </w:r>
      <w:proofErr w:type="gramStart"/>
      <w:r w:rsidRPr="00646F54">
        <w:rPr>
          <w:sz w:val="24"/>
          <w:szCs w:val="24"/>
        </w:rPr>
        <w:t>na</w:t>
      </w:r>
      <w:proofErr w:type="gramEnd"/>
      <w:r w:rsidRPr="00646F54">
        <w:rPr>
          <w:sz w:val="24"/>
          <w:szCs w:val="24"/>
        </w:rPr>
        <w:t xml:space="preserve"> visokim temperaturama, koje će obezbjediti dovoljnu debljinu sloj</w:t>
      </w:r>
      <w:r w:rsidR="008A73F0">
        <w:rPr>
          <w:sz w:val="24"/>
          <w:szCs w:val="24"/>
        </w:rPr>
        <w:t>a i malu potrošnju ulja.</w:t>
      </w:r>
      <w:r w:rsidR="008A73F0" w:rsidRPr="008A73F0">
        <w:t xml:space="preserve"> </w:t>
      </w:r>
      <w:r w:rsidR="008A73F0">
        <w:rPr>
          <w:sz w:val="24"/>
          <w:szCs w:val="24"/>
        </w:rPr>
        <w:t>[2</w:t>
      </w:r>
      <w:r w:rsidR="008A73F0" w:rsidRPr="008A73F0">
        <w:rPr>
          <w:sz w:val="24"/>
          <w:szCs w:val="24"/>
        </w:rPr>
        <w:t>]</w:t>
      </w:r>
      <w:r w:rsidR="008A73F0">
        <w:rPr>
          <w:sz w:val="24"/>
          <w:szCs w:val="24"/>
        </w:rPr>
        <w:t xml:space="preserve"> </w:t>
      </w:r>
    </w:p>
    <w:p w:rsidR="00646F54" w:rsidRPr="00646F54" w:rsidRDefault="00646F54" w:rsidP="00646F54">
      <w:pPr>
        <w:autoSpaceDE w:val="0"/>
        <w:autoSpaceDN w:val="0"/>
        <w:adjustRightInd w:val="0"/>
        <w:jc w:val="both"/>
        <w:rPr>
          <w:sz w:val="24"/>
          <w:szCs w:val="24"/>
        </w:rPr>
      </w:pPr>
      <w:r w:rsidRPr="00646F54">
        <w:rPr>
          <w:sz w:val="24"/>
          <w:szCs w:val="24"/>
        </w:rPr>
        <w:t xml:space="preserve">Motorno ulje ima ulogu podmazivanja pokretnih dijelova motora uz smanjenje trenja i trošenja metalnih površina </w:t>
      </w:r>
      <w:proofErr w:type="gramStart"/>
      <w:r w:rsidRPr="00646F54">
        <w:rPr>
          <w:sz w:val="24"/>
          <w:szCs w:val="24"/>
        </w:rPr>
        <w:t>te</w:t>
      </w:r>
      <w:proofErr w:type="gramEnd"/>
      <w:r w:rsidRPr="00646F54">
        <w:rPr>
          <w:sz w:val="24"/>
          <w:szCs w:val="24"/>
        </w:rPr>
        <w:t xml:space="preserve"> samim tim treba da obezbjedi pravilan rad motora i njegovu dugovječnost. Da bi se osigurao određen kvalitet motornih ulja tokom proizvodnje i da gotovi proizvodi zadovoljavaju proizvodne specifikacije potrebno je poznavati fizičko-hemijske karakteristike motornih ulja.</w:t>
      </w:r>
      <w:r w:rsidR="008A73F0">
        <w:rPr>
          <w:sz w:val="24"/>
          <w:szCs w:val="24"/>
        </w:rPr>
        <w:t xml:space="preserve"> </w:t>
      </w:r>
      <w:r w:rsidRPr="00646F54">
        <w:rPr>
          <w:sz w:val="24"/>
          <w:szCs w:val="24"/>
        </w:rPr>
        <w:t xml:space="preserve">Dodatkom aditiva baznim uljima se postižu određena fizičko-hemijska svojstva značajna za kvalitet motornih ulja. Aditivi za maziva su supstance koje unose nova pozitivna svojstva </w:t>
      </w:r>
      <w:proofErr w:type="gramStart"/>
      <w:r w:rsidRPr="00646F54">
        <w:rPr>
          <w:sz w:val="24"/>
          <w:szCs w:val="24"/>
        </w:rPr>
        <w:t>ili</w:t>
      </w:r>
      <w:proofErr w:type="gramEnd"/>
      <w:r w:rsidRPr="00646F54">
        <w:rPr>
          <w:sz w:val="24"/>
          <w:szCs w:val="24"/>
        </w:rPr>
        <w:t xml:space="preserve"> poboljšavaju već postojeće karakteristike maziva. Aditivi se dijele </w:t>
      </w:r>
      <w:proofErr w:type="gramStart"/>
      <w:r w:rsidRPr="00646F54">
        <w:rPr>
          <w:sz w:val="24"/>
          <w:szCs w:val="24"/>
        </w:rPr>
        <w:t>na</w:t>
      </w:r>
      <w:proofErr w:type="gramEnd"/>
      <w:r w:rsidRPr="00646F54">
        <w:rPr>
          <w:sz w:val="24"/>
          <w:szCs w:val="24"/>
        </w:rPr>
        <w:t xml:space="preserve"> one koji poboljšavaju svojstva baznih ulja kao što su: nisko-temperaturna svojstva, visoko-temperaturne karakteristike i na one koji doprinose nekim karakteristikama koje ulja nisu posjedovala, kao sklonost nastajanju emulzije, antikorozivna svojstva, poboljšana svojstva otpornosti na opterećenje itd. </w:t>
      </w:r>
    </w:p>
    <w:p w:rsidR="00646F54" w:rsidRPr="00646F54" w:rsidRDefault="00646F54" w:rsidP="00646F54">
      <w:pPr>
        <w:autoSpaceDE w:val="0"/>
        <w:autoSpaceDN w:val="0"/>
        <w:adjustRightInd w:val="0"/>
        <w:jc w:val="both"/>
        <w:rPr>
          <w:sz w:val="24"/>
          <w:szCs w:val="24"/>
        </w:rPr>
      </w:pPr>
    </w:p>
    <w:p w:rsidR="00646F54" w:rsidRPr="00646F54" w:rsidRDefault="00646F54" w:rsidP="00646F54">
      <w:pPr>
        <w:autoSpaceDE w:val="0"/>
        <w:autoSpaceDN w:val="0"/>
        <w:adjustRightInd w:val="0"/>
        <w:jc w:val="both"/>
        <w:rPr>
          <w:sz w:val="24"/>
          <w:szCs w:val="24"/>
        </w:rPr>
      </w:pPr>
      <w:r w:rsidRPr="00646F54">
        <w:rPr>
          <w:sz w:val="24"/>
          <w:szCs w:val="24"/>
        </w:rPr>
        <w:t>Pored ostalih (depresanti, deterdženti, antioksidansi, inhibitori korozije), kao aditivi se veoma mnogo koriste aditivi za poboljšanje indeksa viskoznosti (</w:t>
      </w:r>
      <w:r w:rsidRPr="00646F54">
        <w:rPr>
          <w:i/>
          <w:iCs/>
          <w:sz w:val="24"/>
          <w:szCs w:val="24"/>
        </w:rPr>
        <w:t xml:space="preserve">poboljšivači indeksa viskoznosti). </w:t>
      </w:r>
      <w:r w:rsidRPr="00646F54">
        <w:rPr>
          <w:sz w:val="24"/>
          <w:szCs w:val="24"/>
          <w:lang w:val="sr-Latn-CS"/>
        </w:rPr>
        <w:t>Poboljšivači indeksa viskoznosti su ključni sastojak u modernim mazivima, jer m</w:t>
      </w:r>
      <w:r w:rsidR="008A73F0">
        <w:rPr>
          <w:sz w:val="24"/>
          <w:szCs w:val="24"/>
          <w:lang w:val="sr-Latn-CS"/>
        </w:rPr>
        <w:t>i</w:t>
      </w:r>
      <w:r w:rsidRPr="00646F54">
        <w:rPr>
          <w:sz w:val="24"/>
          <w:szCs w:val="24"/>
          <w:lang w:val="sr-Latn-CS"/>
        </w:rPr>
        <w:t>jenjaju karakteristike tečenja maziva i neophodni su za većinu multigradnih ulja, utičući na njih</w:t>
      </w:r>
      <w:r w:rsidR="008A73F0">
        <w:rPr>
          <w:sz w:val="24"/>
          <w:szCs w:val="24"/>
          <w:lang w:val="sr-Latn-CS"/>
        </w:rPr>
        <w:t>ovo korišć</w:t>
      </w:r>
      <w:r w:rsidRPr="00646F54">
        <w:rPr>
          <w:sz w:val="24"/>
          <w:szCs w:val="24"/>
          <w:lang w:val="sr-Latn-CS"/>
        </w:rPr>
        <w:t>enje u većem temperaturnom opsegu</w:t>
      </w:r>
      <w:r w:rsidR="008A73F0">
        <w:rPr>
          <w:sz w:val="24"/>
          <w:szCs w:val="24"/>
          <w:lang w:val="sr-Latn-CS"/>
        </w:rPr>
        <w:t xml:space="preserve"> i eliminišući potrebu za korišćenjem sezonskih ulja. </w:t>
      </w:r>
      <w:r w:rsidR="008A73F0" w:rsidRPr="008A73F0">
        <w:rPr>
          <w:sz w:val="24"/>
          <w:szCs w:val="24"/>
          <w:lang w:val="sr-Latn-CS"/>
        </w:rPr>
        <w:t>[1]</w:t>
      </w:r>
    </w:p>
    <w:p w:rsidR="00646F54" w:rsidRPr="00646F54" w:rsidRDefault="00646F54" w:rsidP="00646F54">
      <w:pPr>
        <w:autoSpaceDE w:val="0"/>
        <w:autoSpaceDN w:val="0"/>
        <w:adjustRightInd w:val="0"/>
        <w:ind w:left="720"/>
        <w:rPr>
          <w:i/>
          <w:iCs/>
          <w:sz w:val="24"/>
          <w:szCs w:val="24"/>
        </w:rPr>
      </w:pPr>
    </w:p>
    <w:p w:rsidR="00646F54" w:rsidRPr="00646F54" w:rsidRDefault="00646F54" w:rsidP="00646F54">
      <w:pPr>
        <w:autoSpaceDE w:val="0"/>
        <w:autoSpaceDN w:val="0"/>
        <w:adjustRightInd w:val="0"/>
        <w:jc w:val="both"/>
        <w:rPr>
          <w:b/>
          <w:sz w:val="24"/>
          <w:szCs w:val="24"/>
          <w:u w:val="single"/>
        </w:rPr>
      </w:pPr>
      <w:r w:rsidRPr="00646F54">
        <w:rPr>
          <w:b/>
          <w:sz w:val="24"/>
          <w:szCs w:val="24"/>
          <w:u w:val="single"/>
        </w:rPr>
        <w:t>Viskoznost</w:t>
      </w:r>
    </w:p>
    <w:p w:rsidR="00646F54" w:rsidRPr="00646F54" w:rsidRDefault="00F711E7" w:rsidP="00646F54">
      <w:pPr>
        <w:autoSpaceDE w:val="0"/>
        <w:autoSpaceDN w:val="0"/>
        <w:adjustRightInd w:val="0"/>
        <w:jc w:val="both"/>
        <w:rPr>
          <w:sz w:val="24"/>
          <w:szCs w:val="24"/>
        </w:rPr>
      </w:pPr>
      <w:r>
        <w:rPr>
          <w:sz w:val="24"/>
          <w:szCs w:val="24"/>
        </w:rPr>
        <w:t>V</w:t>
      </w:r>
      <w:r w:rsidR="00646F54" w:rsidRPr="00646F54">
        <w:rPr>
          <w:sz w:val="24"/>
          <w:szCs w:val="24"/>
        </w:rPr>
        <w:t xml:space="preserve">iskoznost </w:t>
      </w:r>
      <w:r>
        <w:rPr>
          <w:sz w:val="24"/>
          <w:szCs w:val="24"/>
        </w:rPr>
        <w:t xml:space="preserve">je </w:t>
      </w:r>
      <w:r w:rsidR="00646F54" w:rsidRPr="00646F54">
        <w:rPr>
          <w:sz w:val="24"/>
          <w:szCs w:val="24"/>
        </w:rPr>
        <w:t xml:space="preserve">definisana kao mjera unutrašnjeg trenja koje djeluje kao otpor </w:t>
      </w:r>
      <w:proofErr w:type="gramStart"/>
      <w:r w:rsidR="00646F54" w:rsidRPr="00646F54">
        <w:rPr>
          <w:sz w:val="24"/>
          <w:szCs w:val="24"/>
        </w:rPr>
        <w:t>na</w:t>
      </w:r>
      <w:proofErr w:type="gramEnd"/>
      <w:r w:rsidR="00646F54" w:rsidRPr="00646F54">
        <w:rPr>
          <w:sz w:val="24"/>
          <w:szCs w:val="24"/>
        </w:rPr>
        <w:t xml:space="preserve"> promjenu položaja molekula pri strujanju tečnosti kada se one nalaze pod djelovanjem sile smicanja, odnosno, to je otpor tečnosti na smi</w:t>
      </w:r>
      <w:r w:rsidR="008A73F0">
        <w:rPr>
          <w:sz w:val="24"/>
          <w:szCs w:val="24"/>
        </w:rPr>
        <w:t>canje njezinih čestica</w:t>
      </w:r>
      <w:r w:rsidR="008A73F0" w:rsidRPr="008A73F0">
        <w:rPr>
          <w:sz w:val="24"/>
          <w:szCs w:val="24"/>
        </w:rPr>
        <w:t>.</w:t>
      </w:r>
      <w:r w:rsidR="008A73F0" w:rsidRPr="008A73F0">
        <w:rPr>
          <w:bCs/>
          <w:sz w:val="24"/>
          <w:szCs w:val="24"/>
        </w:rPr>
        <w:t xml:space="preserve"> [3]</w:t>
      </w:r>
      <w:r w:rsidR="008A73F0">
        <w:rPr>
          <w:sz w:val="24"/>
          <w:szCs w:val="24"/>
        </w:rPr>
        <w:t xml:space="preserve"> </w:t>
      </w:r>
      <w:r>
        <w:rPr>
          <w:sz w:val="24"/>
          <w:szCs w:val="24"/>
        </w:rPr>
        <w:t xml:space="preserve">Unutrašnje trenje mora biti što manje, kako bi </w:t>
      </w:r>
      <w:r w:rsidR="008A73F0">
        <w:rPr>
          <w:sz w:val="24"/>
          <w:szCs w:val="24"/>
        </w:rPr>
        <w:t>osigurao nesmetan rad uređaja.</w:t>
      </w:r>
      <w:r w:rsidR="008A73F0" w:rsidRPr="008A73F0">
        <w:t xml:space="preserve"> </w:t>
      </w:r>
      <w:r w:rsidR="008A73F0">
        <w:rPr>
          <w:sz w:val="24"/>
          <w:szCs w:val="24"/>
        </w:rPr>
        <w:t>[4</w:t>
      </w:r>
      <w:r w:rsidR="008A73F0" w:rsidRPr="008A73F0">
        <w:rPr>
          <w:sz w:val="24"/>
          <w:szCs w:val="24"/>
        </w:rPr>
        <w:t>]</w:t>
      </w:r>
      <w:r w:rsidR="008A73F0">
        <w:rPr>
          <w:sz w:val="24"/>
          <w:szCs w:val="24"/>
        </w:rPr>
        <w:t xml:space="preserve"> </w:t>
      </w:r>
      <w:r w:rsidR="00646F54" w:rsidRPr="00646F54">
        <w:rPr>
          <w:sz w:val="24"/>
          <w:szCs w:val="24"/>
        </w:rPr>
        <w:t xml:space="preserve">Kretanjem tečnosti, među njihovim česticama pa i između čestica tečnosti i površine s kojima ona dolazi u dodir, nastaju sile trenja uzrokovane otporom tečnosti prema smicanju čestica, </w:t>
      </w:r>
      <w:proofErr w:type="gramStart"/>
      <w:r w:rsidR="00646F54" w:rsidRPr="00646F54">
        <w:rPr>
          <w:sz w:val="24"/>
          <w:szCs w:val="24"/>
        </w:rPr>
        <w:t>ali</w:t>
      </w:r>
      <w:proofErr w:type="gramEnd"/>
      <w:r w:rsidR="00646F54" w:rsidRPr="00646F54">
        <w:rPr>
          <w:sz w:val="24"/>
          <w:szCs w:val="24"/>
        </w:rPr>
        <w:t xml:space="preserve"> i zbog hrapavosti tih površina. Viskoznost je promjenjiva veličina </w:t>
      </w:r>
      <w:r>
        <w:rPr>
          <w:sz w:val="24"/>
          <w:szCs w:val="24"/>
        </w:rPr>
        <w:t>obrnuto proporcionalna temperaturi.</w:t>
      </w:r>
    </w:p>
    <w:p w:rsidR="00646F54" w:rsidRPr="00646F54" w:rsidRDefault="00646F54" w:rsidP="00F711E7">
      <w:pPr>
        <w:jc w:val="both"/>
        <w:rPr>
          <w:sz w:val="24"/>
          <w:szCs w:val="24"/>
        </w:rPr>
      </w:pPr>
      <w:r w:rsidRPr="00646F54">
        <w:rPr>
          <w:sz w:val="24"/>
          <w:szCs w:val="24"/>
        </w:rPr>
        <w:t xml:space="preserve">Jedna </w:t>
      </w:r>
      <w:proofErr w:type="gramStart"/>
      <w:r w:rsidRPr="00646F54">
        <w:rPr>
          <w:sz w:val="24"/>
          <w:szCs w:val="24"/>
        </w:rPr>
        <w:t>od</w:t>
      </w:r>
      <w:proofErr w:type="gramEnd"/>
      <w:r w:rsidRPr="00646F54">
        <w:rPr>
          <w:sz w:val="24"/>
          <w:szCs w:val="24"/>
        </w:rPr>
        <w:t xml:space="preserve"> najvažnijih karakteristika nekog maziva je stabilnost viskoznosti sa promjenom temperature, odnosno viskozno</w:t>
      </w:r>
      <w:r w:rsidR="008A73F0">
        <w:rPr>
          <w:sz w:val="24"/>
          <w:szCs w:val="24"/>
        </w:rPr>
        <w:t>-temperaturna svojstva. [3]</w:t>
      </w:r>
      <w:r w:rsidRPr="00646F54">
        <w:rPr>
          <w:sz w:val="24"/>
          <w:szCs w:val="24"/>
        </w:rPr>
        <w:t xml:space="preserve"> Empirijski broj koji pokazuje kako se viskoznost nekog ulja mijenja porastom </w:t>
      </w:r>
      <w:proofErr w:type="gramStart"/>
      <w:r w:rsidRPr="00646F54">
        <w:rPr>
          <w:sz w:val="24"/>
          <w:szCs w:val="24"/>
        </w:rPr>
        <w:t>ili</w:t>
      </w:r>
      <w:proofErr w:type="gramEnd"/>
      <w:r w:rsidRPr="00646F54">
        <w:rPr>
          <w:sz w:val="24"/>
          <w:szCs w:val="24"/>
        </w:rPr>
        <w:t xml:space="preserve"> sniženjem temperature naziva se indeks</w:t>
      </w:r>
      <w:r w:rsidR="008A73F0">
        <w:rPr>
          <w:sz w:val="24"/>
          <w:szCs w:val="24"/>
        </w:rPr>
        <w:t xml:space="preserve"> </w:t>
      </w:r>
      <w:r w:rsidRPr="00646F54">
        <w:rPr>
          <w:sz w:val="24"/>
          <w:szCs w:val="24"/>
        </w:rPr>
        <w:t xml:space="preserve">viskoznosti. Njegova visoka vrijednost označava relativno malu sklonost promjeni viskoznosti s temperaturom, za razliku </w:t>
      </w:r>
      <w:proofErr w:type="gramStart"/>
      <w:r w:rsidRPr="00646F54">
        <w:rPr>
          <w:sz w:val="24"/>
          <w:szCs w:val="24"/>
        </w:rPr>
        <w:t>od</w:t>
      </w:r>
      <w:proofErr w:type="gramEnd"/>
      <w:r w:rsidRPr="00646F54">
        <w:rPr>
          <w:sz w:val="24"/>
          <w:szCs w:val="24"/>
        </w:rPr>
        <w:t xml:space="preserve"> nižeg indeksa viskoznosti koji ukazuje na veliku promjenu viskoznosti s temperat</w:t>
      </w:r>
      <w:r w:rsidR="008A73F0">
        <w:rPr>
          <w:sz w:val="24"/>
          <w:szCs w:val="24"/>
        </w:rPr>
        <w:t>urom. [5]</w:t>
      </w:r>
      <w:r w:rsidRPr="00646F54">
        <w:rPr>
          <w:sz w:val="24"/>
          <w:szCs w:val="24"/>
        </w:rPr>
        <w:t xml:space="preserve"> Ako fluid mijenja viskoznost </w:t>
      </w:r>
      <w:proofErr w:type="gramStart"/>
      <w:r w:rsidRPr="00646F54">
        <w:rPr>
          <w:sz w:val="24"/>
          <w:szCs w:val="24"/>
        </w:rPr>
        <w:t>sa</w:t>
      </w:r>
      <w:proofErr w:type="gramEnd"/>
      <w:r w:rsidRPr="00646F54">
        <w:rPr>
          <w:sz w:val="24"/>
          <w:szCs w:val="24"/>
        </w:rPr>
        <w:t xml:space="preserve"> promjenom temperature, onda na niskim temperaturama velika viskoznost može dovesti do havarije pumpi, amortizera i drugih vitalnih sklopova</w:t>
      </w:r>
      <w:r w:rsidRPr="00646F54">
        <w:rPr>
          <w:i/>
          <w:iCs/>
          <w:sz w:val="24"/>
          <w:szCs w:val="24"/>
        </w:rPr>
        <w:t xml:space="preserve">. </w:t>
      </w:r>
      <w:r w:rsidRPr="00646F54">
        <w:rPr>
          <w:iCs/>
          <w:sz w:val="24"/>
          <w:szCs w:val="24"/>
        </w:rPr>
        <w:t>Tokom cijele godine mogu da se koriste multigradna ulja indeksa viskoznosti preko 130, dok ostala ulja moraju biti označena kao jednosezonska.</w:t>
      </w:r>
      <w:r w:rsidR="008A73F0">
        <w:rPr>
          <w:iCs/>
          <w:sz w:val="24"/>
          <w:szCs w:val="24"/>
        </w:rPr>
        <w:t xml:space="preserve"> </w:t>
      </w:r>
      <w:r w:rsidRPr="00646F54">
        <w:rPr>
          <w:sz w:val="24"/>
          <w:szCs w:val="24"/>
        </w:rPr>
        <w:t xml:space="preserve">Promjena indeksa viskoznosti kod uzoraka motornog ulja se javlja kao posljedica promjena viskoznosti </w:t>
      </w:r>
      <w:proofErr w:type="gramStart"/>
      <w:r w:rsidRPr="00646F54">
        <w:rPr>
          <w:sz w:val="24"/>
          <w:szCs w:val="24"/>
        </w:rPr>
        <w:t>na</w:t>
      </w:r>
      <w:proofErr w:type="gramEnd"/>
      <w:r w:rsidRPr="00646F54">
        <w:rPr>
          <w:sz w:val="24"/>
          <w:szCs w:val="24"/>
        </w:rPr>
        <w:t xml:space="preserve"> 40</w:t>
      </w:r>
      <w:r w:rsidRPr="00646F54">
        <w:rPr>
          <w:sz w:val="24"/>
          <w:szCs w:val="24"/>
          <w:vertAlign w:val="superscript"/>
        </w:rPr>
        <w:t>O</w:t>
      </w:r>
      <w:r w:rsidRPr="00646F54">
        <w:rPr>
          <w:sz w:val="24"/>
          <w:szCs w:val="24"/>
        </w:rPr>
        <w:t>C i 100</w:t>
      </w:r>
      <w:r w:rsidRPr="00646F54">
        <w:rPr>
          <w:sz w:val="24"/>
          <w:szCs w:val="24"/>
          <w:vertAlign w:val="superscript"/>
        </w:rPr>
        <w:t>O</w:t>
      </w:r>
      <w:r w:rsidRPr="00646F54">
        <w:rPr>
          <w:sz w:val="24"/>
          <w:szCs w:val="24"/>
        </w:rPr>
        <w:t>C.  Standardnim metodama: ISO 2909; ASTM D 2270; JUS B.H8.024 je opisano ovo svojstvo.</w:t>
      </w:r>
    </w:p>
    <w:p w:rsidR="00646F54" w:rsidRPr="005312E2" w:rsidRDefault="005312E2" w:rsidP="00646F54">
      <w:pPr>
        <w:autoSpaceDE w:val="0"/>
        <w:autoSpaceDN w:val="0"/>
        <w:adjustRightInd w:val="0"/>
        <w:jc w:val="both"/>
        <w:rPr>
          <w:sz w:val="24"/>
          <w:szCs w:val="24"/>
        </w:rPr>
      </w:pPr>
      <w:r>
        <w:rPr>
          <w:sz w:val="24"/>
          <w:szCs w:val="24"/>
        </w:rPr>
        <w:t>P</w:t>
      </w:r>
      <w:r w:rsidR="00646F54" w:rsidRPr="00646F54">
        <w:rPr>
          <w:sz w:val="24"/>
          <w:szCs w:val="24"/>
        </w:rPr>
        <w:t>ojam relativne viskoznosti</w:t>
      </w:r>
      <w:r w:rsidR="00646F54" w:rsidRPr="00646F54">
        <w:rPr>
          <w:i/>
          <w:sz w:val="24"/>
          <w:szCs w:val="24"/>
        </w:rPr>
        <w:t xml:space="preserve"> η</w:t>
      </w:r>
      <w:r w:rsidR="00646F54" w:rsidRPr="00646F54">
        <w:rPr>
          <w:i/>
          <w:sz w:val="24"/>
          <w:szCs w:val="24"/>
          <w:vertAlign w:val="subscript"/>
        </w:rPr>
        <w:t>rel,</w:t>
      </w:r>
      <w:r w:rsidR="00646F54" w:rsidRPr="00646F54">
        <w:rPr>
          <w:sz w:val="24"/>
          <w:szCs w:val="24"/>
        </w:rPr>
        <w:t xml:space="preserve"> predstavlja količnik viskoznosti rastvora </w:t>
      </w:r>
      <w:r w:rsidR="00646F54" w:rsidRPr="00646F54">
        <w:rPr>
          <w:i/>
          <w:sz w:val="24"/>
          <w:szCs w:val="24"/>
        </w:rPr>
        <w:t>η</w:t>
      </w:r>
      <w:r w:rsidR="00646F54" w:rsidRPr="00646F54">
        <w:rPr>
          <w:sz w:val="24"/>
          <w:szCs w:val="24"/>
        </w:rPr>
        <w:t xml:space="preserve"> i viskoznosti čistog rastvarača </w:t>
      </w:r>
      <w:r w:rsidR="00646F54" w:rsidRPr="00646F54">
        <w:rPr>
          <w:i/>
          <w:sz w:val="24"/>
          <w:szCs w:val="24"/>
        </w:rPr>
        <w:t>η</w:t>
      </w:r>
      <w:r w:rsidR="00646F54" w:rsidRPr="00646F54">
        <w:rPr>
          <w:i/>
          <w:sz w:val="24"/>
          <w:szCs w:val="24"/>
          <w:vertAlign w:val="subscript"/>
        </w:rPr>
        <w:t>o</w:t>
      </w:r>
      <w:r>
        <w:rPr>
          <w:sz w:val="24"/>
          <w:szCs w:val="24"/>
        </w:rPr>
        <w:t>:</w:t>
      </w:r>
    </w:p>
    <w:p w:rsidR="00646F54" w:rsidRDefault="00FA3107" w:rsidP="00646F54">
      <w:pPr>
        <w:ind w:firstLine="720"/>
        <w:jc w:val="both"/>
        <w:rPr>
          <w:sz w:val="22"/>
        </w:rPr>
      </w:pPr>
      <m:oMathPara>
        <m:oMathParaPr>
          <m:jc m:val="left"/>
        </m:oMathParaPr>
        <m:oMath>
          <m:sSub>
            <m:sSubPr>
              <m:ctrlPr>
                <w:rPr>
                  <w:rFonts w:ascii="Cambria Math" w:eastAsia="Calibri" w:hAnsi="Cambria Math"/>
                  <w:i/>
                  <w:sz w:val="22"/>
                </w:rPr>
              </m:ctrlPr>
            </m:sSubPr>
            <m:e>
              <m:r>
                <w:rPr>
                  <w:rFonts w:ascii="Cambria Math" w:hAnsi="Cambria Math"/>
                </w:rPr>
                <m:t>η</m:t>
              </m:r>
            </m:e>
            <m:sub>
              <m:r>
                <w:rPr>
                  <w:rFonts w:ascii="Cambria Math" w:hAnsi="Cambria Math"/>
                </w:rPr>
                <m:t>rel</m:t>
              </m:r>
            </m:sub>
          </m:sSub>
          <m:r>
            <w:rPr>
              <w:rFonts w:ascii="Cambria Math" w:hAnsi="Cambria Math"/>
            </w:rPr>
            <m:t>=</m:t>
          </m:r>
          <m:f>
            <m:fPr>
              <m:ctrlPr>
                <w:rPr>
                  <w:rFonts w:ascii="Cambria Math" w:eastAsia="Calibri" w:hAnsi="Cambria Math"/>
                  <w:i/>
                  <w:sz w:val="22"/>
                </w:rPr>
              </m:ctrlPr>
            </m:fPr>
            <m:num>
              <m:r>
                <w:rPr>
                  <w:rFonts w:ascii="Cambria Math" w:hAnsi="Cambria Math"/>
                </w:rPr>
                <m:t>η</m:t>
              </m:r>
            </m:num>
            <m:den>
              <m:sSub>
                <m:sSubPr>
                  <m:ctrlPr>
                    <w:rPr>
                      <w:rFonts w:ascii="Cambria Math" w:eastAsia="Calibri" w:hAnsi="Cambria Math"/>
                      <w:i/>
                      <w:sz w:val="22"/>
                    </w:rPr>
                  </m:ctrlPr>
                </m:sSubPr>
                <m:e>
                  <m:r>
                    <w:rPr>
                      <w:rFonts w:ascii="Cambria Math" w:hAnsi="Cambria Math"/>
                    </w:rPr>
                    <m:t>η</m:t>
                  </m:r>
                </m:e>
                <m:sub>
                  <m:r>
                    <w:rPr>
                      <w:rFonts w:ascii="Cambria Math" w:hAnsi="Cambria Math"/>
                    </w:rPr>
                    <m:t>o</m:t>
                  </m:r>
                </m:sub>
              </m:sSub>
            </m:den>
          </m:f>
        </m:oMath>
      </m:oMathPara>
    </w:p>
    <w:p w:rsidR="005312E2" w:rsidRPr="00646F54" w:rsidRDefault="005312E2" w:rsidP="005312E2">
      <w:pPr>
        <w:jc w:val="both"/>
        <w:rPr>
          <w:sz w:val="24"/>
          <w:szCs w:val="24"/>
        </w:rPr>
      </w:pPr>
      <w:proofErr w:type="gramStart"/>
      <w:r>
        <w:rPr>
          <w:sz w:val="24"/>
          <w:szCs w:val="24"/>
        </w:rPr>
        <w:t>i</w:t>
      </w:r>
      <w:proofErr w:type="gramEnd"/>
      <w:r>
        <w:rPr>
          <w:sz w:val="24"/>
          <w:szCs w:val="24"/>
        </w:rPr>
        <w:t xml:space="preserve"> koristi se z</w:t>
      </w:r>
      <w:r w:rsidRPr="00646F54">
        <w:rPr>
          <w:sz w:val="24"/>
          <w:szCs w:val="24"/>
        </w:rPr>
        <w:t>a proučavanje uticaja strukture i molarne mase polimera na viskoznost njihovih rastvora u različitim rastvaračima, kao i interakc</w:t>
      </w:r>
      <w:r>
        <w:rPr>
          <w:sz w:val="24"/>
          <w:szCs w:val="24"/>
        </w:rPr>
        <w:t>ije polimer-rastvarač.</w:t>
      </w:r>
    </w:p>
    <w:p w:rsidR="00646F54" w:rsidRPr="00646F54" w:rsidRDefault="00646F54" w:rsidP="00646F54">
      <w:pPr>
        <w:jc w:val="both"/>
        <w:rPr>
          <w:sz w:val="24"/>
          <w:szCs w:val="24"/>
        </w:rPr>
      </w:pPr>
      <w:r w:rsidRPr="00646F54">
        <w:rPr>
          <w:sz w:val="24"/>
          <w:szCs w:val="24"/>
        </w:rPr>
        <w:t>Priraštaj viskoznosti rastvarača, koji je prouzrokovan rastvorenim polimerom se iskazuje specifičnom viskoznošću, koja je definisana sljedećim izrazom:</w:t>
      </w:r>
    </w:p>
    <w:p w:rsidR="00646F54" w:rsidRPr="00646F54" w:rsidRDefault="00FA3107" w:rsidP="005312E2">
      <w:pPr>
        <w:jc w:val="both"/>
        <w:rPr>
          <w:sz w:val="24"/>
          <w:szCs w:val="24"/>
        </w:rPr>
      </w:pPr>
      <m:oMath>
        <m:sSub>
          <m:sSubPr>
            <m:ctrlPr>
              <w:rPr>
                <w:rFonts w:ascii="Cambria Math" w:eastAsia="Calibri" w:hAnsi="Cambria Math"/>
                <w:i/>
                <w:sz w:val="22"/>
              </w:rPr>
            </m:ctrlPr>
          </m:sSubPr>
          <m:e>
            <m:r>
              <w:rPr>
                <w:rFonts w:ascii="Cambria Math" w:hAnsi="Cambria Math"/>
              </w:rPr>
              <m:t>η</m:t>
            </m:r>
          </m:e>
          <m:sub>
            <m:r>
              <w:rPr>
                <w:rFonts w:ascii="Cambria Math" w:hAnsi="Cambria Math"/>
              </w:rPr>
              <m:t>sp</m:t>
            </m:r>
          </m:sub>
        </m:sSub>
        <m:r>
          <w:rPr>
            <w:rFonts w:ascii="Cambria Math" w:hAnsi="Cambria Math"/>
          </w:rPr>
          <m:t xml:space="preserve">= </m:t>
        </m:r>
        <m:sSub>
          <m:sSubPr>
            <m:ctrlPr>
              <w:rPr>
                <w:rFonts w:ascii="Cambria Math" w:eastAsia="Calibri" w:hAnsi="Cambria Math"/>
                <w:i/>
                <w:sz w:val="22"/>
              </w:rPr>
            </m:ctrlPr>
          </m:sSubPr>
          <m:e>
            <m:r>
              <w:rPr>
                <w:rFonts w:ascii="Cambria Math" w:hAnsi="Cambria Math"/>
              </w:rPr>
              <m:t>η</m:t>
            </m:r>
          </m:e>
          <m:sub>
            <m:r>
              <w:rPr>
                <w:rFonts w:ascii="Cambria Math" w:hAnsi="Cambria Math"/>
              </w:rPr>
              <m:t>rel</m:t>
            </m:r>
          </m:sub>
        </m:sSub>
        <m:r>
          <w:rPr>
            <w:rFonts w:ascii="Cambria Math" w:hAnsi="Cambria Math"/>
          </w:rPr>
          <m:t>-</m:t>
        </m:r>
      </m:oMath>
      <w:r w:rsidR="00646F54" w:rsidRPr="00646F54">
        <w:rPr>
          <w:sz w:val="24"/>
          <w:szCs w:val="24"/>
        </w:rPr>
        <w:t xml:space="preserve"> 1</w:t>
      </w:r>
    </w:p>
    <w:p w:rsidR="00646F54" w:rsidRPr="00646F54" w:rsidRDefault="00646F54" w:rsidP="00646F54">
      <w:pPr>
        <w:jc w:val="both"/>
        <w:rPr>
          <w:sz w:val="24"/>
          <w:szCs w:val="24"/>
        </w:rPr>
      </w:pPr>
      <w:r w:rsidRPr="00646F54">
        <w:rPr>
          <w:sz w:val="24"/>
          <w:szCs w:val="24"/>
        </w:rPr>
        <w:t>Izraz koji uzima u obzir i koncentraciju rastvorenog polimera</w:t>
      </w:r>
      <w:r w:rsidR="005312E2">
        <w:rPr>
          <w:sz w:val="24"/>
          <w:szCs w:val="24"/>
        </w:rPr>
        <w:t>,</w:t>
      </w:r>
      <w:r w:rsidRPr="00646F54">
        <w:rPr>
          <w:sz w:val="24"/>
          <w:szCs w:val="24"/>
        </w:rPr>
        <w:t xml:space="preserve"> a definiše redukovanu viskoznost (viskozitetni broj) kao priraštaj specifične viskoznosti po jedinici koncentracije je: </w:t>
      </w:r>
    </w:p>
    <w:p w:rsidR="00646F54" w:rsidRPr="00646F54" w:rsidRDefault="00FA3107" w:rsidP="00646F54">
      <w:pPr>
        <w:ind w:firstLine="720"/>
        <w:jc w:val="both"/>
        <w:rPr>
          <w:sz w:val="24"/>
          <w:szCs w:val="24"/>
        </w:rPr>
      </w:pPr>
      <m:oMathPara>
        <m:oMathParaPr>
          <m:jc m:val="left"/>
        </m:oMathParaPr>
        <m:oMath>
          <m:sSub>
            <m:sSubPr>
              <m:ctrlPr>
                <w:rPr>
                  <w:rFonts w:ascii="Cambria Math" w:eastAsia="Calibri" w:hAnsi="Cambria Math"/>
                  <w:i/>
                  <w:sz w:val="22"/>
                </w:rPr>
              </m:ctrlPr>
            </m:sSubPr>
            <m:e>
              <m:r>
                <w:rPr>
                  <w:rFonts w:ascii="Cambria Math" w:hAnsi="Cambria Math"/>
                </w:rPr>
                <m:t>η</m:t>
              </m:r>
            </m:e>
            <m:sub>
              <m:r>
                <w:rPr>
                  <w:rFonts w:ascii="Cambria Math" w:hAnsi="Cambria Math"/>
                </w:rPr>
                <m:t>red.</m:t>
              </m:r>
            </m:sub>
          </m:sSub>
          <m:r>
            <w:rPr>
              <w:rFonts w:ascii="Cambria Math" w:hAnsi="Cambria Math"/>
            </w:rPr>
            <m:t>=</m:t>
          </m:r>
          <m:f>
            <m:fPr>
              <m:ctrlPr>
                <w:rPr>
                  <w:rFonts w:ascii="Cambria Math" w:eastAsia="Calibri" w:hAnsi="Cambria Math"/>
                  <w:i/>
                  <w:sz w:val="22"/>
                </w:rPr>
              </m:ctrlPr>
            </m:fPr>
            <m:num>
              <m:sSub>
                <m:sSubPr>
                  <m:ctrlPr>
                    <w:rPr>
                      <w:rFonts w:ascii="Cambria Math" w:eastAsia="Calibri" w:hAnsi="Cambria Math"/>
                      <w:i/>
                      <w:sz w:val="22"/>
                    </w:rPr>
                  </m:ctrlPr>
                </m:sSubPr>
                <m:e>
                  <m:r>
                    <w:rPr>
                      <w:rFonts w:ascii="Cambria Math" w:hAnsi="Cambria Math"/>
                    </w:rPr>
                    <m:t>η</m:t>
                  </m:r>
                </m:e>
                <m:sub>
                  <m:r>
                    <w:rPr>
                      <w:rFonts w:ascii="Cambria Math" w:hAnsi="Cambria Math"/>
                    </w:rPr>
                    <m:t>sp</m:t>
                  </m:r>
                </m:sub>
              </m:sSub>
            </m:num>
            <m:den>
              <m:r>
                <w:rPr>
                  <w:rFonts w:ascii="Cambria Math" w:hAnsi="Cambria Math"/>
                </w:rPr>
                <m:t>c</m:t>
              </m:r>
            </m:den>
          </m:f>
        </m:oMath>
      </m:oMathPara>
    </w:p>
    <w:p w:rsidR="00646F54" w:rsidRPr="00646F54" w:rsidRDefault="00646F54" w:rsidP="00646F54">
      <w:pPr>
        <w:autoSpaceDE w:val="0"/>
        <w:autoSpaceDN w:val="0"/>
        <w:adjustRightInd w:val="0"/>
        <w:jc w:val="both"/>
        <w:rPr>
          <w:iCs/>
          <w:sz w:val="24"/>
          <w:szCs w:val="24"/>
        </w:rPr>
      </w:pPr>
      <w:r w:rsidRPr="00646F54">
        <w:rPr>
          <w:sz w:val="24"/>
          <w:szCs w:val="24"/>
        </w:rPr>
        <w:t>Da bi se odredio granični viskozitetni broj (</w:t>
      </w:r>
      <w:r w:rsidRPr="00646F54">
        <w:rPr>
          <w:i/>
          <w:sz w:val="24"/>
          <w:szCs w:val="24"/>
        </w:rPr>
        <w:t>unutrašnja viskoznost</w:t>
      </w:r>
      <w:r w:rsidRPr="00646F54">
        <w:rPr>
          <w:sz w:val="24"/>
          <w:szCs w:val="24"/>
        </w:rPr>
        <w:t xml:space="preserve">), </w:t>
      </w:r>
      <w:r w:rsidRPr="00646F54">
        <w:rPr>
          <w:i/>
          <w:iCs/>
          <w:sz w:val="24"/>
          <w:szCs w:val="24"/>
        </w:rPr>
        <w:t>[ƞ]</w:t>
      </w:r>
      <w:r w:rsidRPr="00646F54">
        <w:rPr>
          <w:sz w:val="24"/>
          <w:szCs w:val="24"/>
        </w:rPr>
        <w:t xml:space="preserve"> prema Huggins-u</w:t>
      </w:r>
      <w:hyperlink r:id="rId8" w:anchor="16" w:history="1">
        <w:r w:rsidRPr="00646F54">
          <w:rPr>
            <w:color w:val="0000FF"/>
            <w:sz w:val="24"/>
            <w:szCs w:val="24"/>
            <w:u w:val="single"/>
          </w:rPr>
          <w:t>,</w:t>
        </w:r>
      </w:hyperlink>
      <w:r w:rsidRPr="00646F54">
        <w:rPr>
          <w:sz w:val="24"/>
          <w:szCs w:val="24"/>
        </w:rPr>
        <w:t xml:space="preserve"> specifična viskoznost </w:t>
      </w:r>
      <w:r w:rsidRPr="00646F54">
        <w:rPr>
          <w:i/>
          <w:iCs/>
          <w:sz w:val="24"/>
          <w:szCs w:val="24"/>
        </w:rPr>
        <w:t>η</w:t>
      </w:r>
      <w:r w:rsidRPr="000D3C40">
        <w:rPr>
          <w:i/>
          <w:sz w:val="24"/>
          <w:szCs w:val="24"/>
          <w:vertAlign w:val="subscript"/>
        </w:rPr>
        <w:t>sp</w:t>
      </w:r>
      <w:r w:rsidRPr="00646F54">
        <w:rPr>
          <w:sz w:val="24"/>
          <w:szCs w:val="24"/>
        </w:rPr>
        <w:t xml:space="preserve"> se mjeri za niz koncentracija polimera </w:t>
      </w:r>
      <w:r w:rsidRPr="00646F54">
        <w:rPr>
          <w:i/>
          <w:iCs/>
          <w:sz w:val="24"/>
          <w:szCs w:val="24"/>
        </w:rPr>
        <w:t>c,</w:t>
      </w:r>
      <w:r w:rsidR="000D3C40">
        <w:rPr>
          <w:i/>
          <w:iCs/>
          <w:sz w:val="24"/>
          <w:szCs w:val="24"/>
        </w:rPr>
        <w:t xml:space="preserve"> </w:t>
      </w:r>
      <w:proofErr w:type="gramStart"/>
      <w:r w:rsidRPr="00646F54">
        <w:rPr>
          <w:sz w:val="24"/>
          <w:szCs w:val="24"/>
        </w:rPr>
        <w:t>te</w:t>
      </w:r>
      <w:proofErr w:type="gramEnd"/>
      <w:r w:rsidRPr="00646F54">
        <w:rPr>
          <w:sz w:val="24"/>
          <w:szCs w:val="24"/>
        </w:rPr>
        <w:t xml:space="preserve"> se vrši ekstrapolacija vrijednosti </w:t>
      </w:r>
      <w:r w:rsidRPr="000D3C40">
        <w:rPr>
          <w:i/>
          <w:iCs/>
          <w:sz w:val="24"/>
          <w:szCs w:val="24"/>
        </w:rPr>
        <w:t>η</w:t>
      </w:r>
      <w:r w:rsidRPr="000D3C40">
        <w:rPr>
          <w:i/>
          <w:sz w:val="24"/>
          <w:szCs w:val="24"/>
        </w:rPr>
        <w:t>sp/</w:t>
      </w:r>
      <w:r w:rsidRPr="000D3C40">
        <w:rPr>
          <w:i/>
          <w:iCs/>
          <w:sz w:val="24"/>
          <w:szCs w:val="24"/>
        </w:rPr>
        <w:t>c</w:t>
      </w:r>
      <w:r w:rsidRPr="00646F54">
        <w:rPr>
          <w:i/>
          <w:iCs/>
          <w:sz w:val="24"/>
          <w:szCs w:val="24"/>
        </w:rPr>
        <w:t xml:space="preserve"> </w:t>
      </w:r>
      <w:r w:rsidRPr="00646F54">
        <w:rPr>
          <w:iCs/>
          <w:sz w:val="24"/>
          <w:szCs w:val="24"/>
        </w:rPr>
        <w:t>na beskon</w:t>
      </w:r>
      <w:r w:rsidR="000D3C40">
        <w:rPr>
          <w:iCs/>
          <w:sz w:val="24"/>
          <w:szCs w:val="24"/>
        </w:rPr>
        <w:t>ačno razrjeđenje (c=0). [2]</w:t>
      </w:r>
      <w:r w:rsidRPr="00646F54">
        <w:rPr>
          <w:iCs/>
          <w:sz w:val="24"/>
          <w:szCs w:val="24"/>
        </w:rPr>
        <w:t xml:space="preserve"> Grafičkim predstavljanjem izraza:</w:t>
      </w:r>
    </w:p>
    <w:p w:rsidR="00646F54" w:rsidRPr="00646F54" w:rsidRDefault="00FA3107" w:rsidP="00646F54">
      <w:pPr>
        <w:ind w:firstLine="720"/>
        <w:rPr>
          <w:sz w:val="24"/>
          <w:szCs w:val="24"/>
        </w:rPr>
      </w:pPr>
      <m:oMathPara>
        <m:oMathParaPr>
          <m:jc m:val="left"/>
        </m:oMathParaPr>
        <m:oMath>
          <m:f>
            <m:fPr>
              <m:ctrlPr>
                <w:rPr>
                  <w:rFonts w:ascii="Cambria Math" w:eastAsia="Calibri" w:hAnsi="Cambria Math"/>
                  <w:i/>
                  <w:sz w:val="22"/>
                </w:rPr>
              </m:ctrlPr>
            </m:fPr>
            <m:num>
              <m:sSub>
                <m:sSubPr>
                  <m:ctrlPr>
                    <w:rPr>
                      <w:rFonts w:ascii="Cambria Math" w:eastAsia="Calibri" w:hAnsi="Cambria Math"/>
                      <w:i/>
                      <w:sz w:val="22"/>
                    </w:rPr>
                  </m:ctrlPr>
                </m:sSubPr>
                <m:e>
                  <m:r>
                    <w:rPr>
                      <w:rFonts w:ascii="Cambria Math" w:hAnsi="Cambria Math"/>
                    </w:rPr>
                    <m:t>η</m:t>
                  </m:r>
                </m:e>
                <m:sub>
                  <m:r>
                    <w:rPr>
                      <w:rFonts w:ascii="Cambria Math" w:hAnsi="Cambria Math"/>
                    </w:rPr>
                    <m:t>sp</m:t>
                  </m:r>
                </m:sub>
              </m:sSub>
            </m:num>
            <m:den>
              <m:r>
                <w:rPr>
                  <w:rFonts w:ascii="Cambria Math" w:hAnsi="Cambria Math"/>
                </w:rPr>
                <m:t>c</m:t>
              </m:r>
            </m:den>
          </m:f>
          <m:r>
            <w:rPr>
              <w:rFonts w:ascii="Cambria Math" w:hAnsi="Cambria Math"/>
            </w:rPr>
            <m:t xml:space="preserve">= </m:t>
          </m:r>
          <m:d>
            <m:dPr>
              <m:begChr m:val="["/>
              <m:endChr m:val="]"/>
              <m:ctrlPr>
                <w:rPr>
                  <w:rFonts w:ascii="Cambria Math" w:eastAsia="Calibri" w:hAnsi="Cambria Math"/>
                  <w:i/>
                  <w:sz w:val="22"/>
                </w:rPr>
              </m:ctrlPr>
            </m:dPr>
            <m:e>
              <m:r>
                <w:rPr>
                  <w:rFonts w:ascii="Cambria Math" w:hAnsi="Cambria Math"/>
                </w:rPr>
                <m:t>η</m:t>
              </m:r>
            </m:e>
          </m:d>
          <m:r>
            <w:rPr>
              <w:rFonts w:ascii="Cambria Math" w:hAnsi="Cambria Math"/>
            </w:rPr>
            <m:t xml:space="preserve">+ </m:t>
          </m:r>
          <m:sSub>
            <m:sSubPr>
              <m:ctrlPr>
                <w:rPr>
                  <w:rFonts w:ascii="Cambria Math" w:eastAsia="Calibri" w:hAnsi="Cambria Math"/>
                  <w:i/>
                  <w:sz w:val="22"/>
                </w:rPr>
              </m:ctrlPr>
            </m:sSubPr>
            <m:e>
              <m:r>
                <w:rPr>
                  <w:rFonts w:ascii="Cambria Math" w:hAnsi="Cambria Math"/>
                </w:rPr>
                <m:t>k</m:t>
              </m:r>
            </m:e>
            <m:sub>
              <m:r>
                <w:rPr>
                  <w:rFonts w:ascii="Cambria Math" w:hAnsi="Cambria Math"/>
                </w:rPr>
                <m:t>1</m:t>
              </m:r>
            </m:sub>
          </m:sSub>
          <m:sSup>
            <m:sSupPr>
              <m:ctrlPr>
                <w:rPr>
                  <w:rFonts w:ascii="Cambria Math" w:eastAsia="Calibri" w:hAnsi="Cambria Math"/>
                  <w:i/>
                  <w:sz w:val="22"/>
                </w:rPr>
              </m:ctrlPr>
            </m:sSupPr>
            <m:e>
              <m:d>
                <m:dPr>
                  <m:begChr m:val="["/>
                  <m:endChr m:val="]"/>
                  <m:ctrlPr>
                    <w:rPr>
                      <w:rFonts w:ascii="Cambria Math" w:eastAsia="Calibri" w:hAnsi="Cambria Math"/>
                      <w:i/>
                      <w:sz w:val="22"/>
                    </w:rPr>
                  </m:ctrlPr>
                </m:dPr>
                <m:e>
                  <m:r>
                    <w:rPr>
                      <w:rFonts w:ascii="Cambria Math" w:hAnsi="Cambria Math"/>
                    </w:rPr>
                    <m:t>η</m:t>
                  </m:r>
                </m:e>
              </m:d>
            </m:e>
            <m:sup>
              <m:r>
                <w:rPr>
                  <w:rFonts w:ascii="Cambria Math" w:hAnsi="Cambria Math"/>
                </w:rPr>
                <m:t>2</m:t>
              </m:r>
            </m:sup>
          </m:sSup>
          <m:r>
            <w:rPr>
              <w:rFonts w:ascii="Cambria Math" w:hAnsi="Cambria Math"/>
            </w:rPr>
            <m:t>c</m:t>
          </m:r>
        </m:oMath>
      </m:oMathPara>
    </w:p>
    <w:p w:rsidR="00646F54" w:rsidRPr="00646F54" w:rsidRDefault="00646F54" w:rsidP="00646F54">
      <w:pPr>
        <w:jc w:val="both"/>
        <w:rPr>
          <w:sz w:val="24"/>
          <w:szCs w:val="24"/>
        </w:rPr>
      </w:pPr>
      <w:proofErr w:type="gramStart"/>
      <w:r w:rsidRPr="00646F54">
        <w:rPr>
          <w:sz w:val="24"/>
          <w:szCs w:val="24"/>
        </w:rPr>
        <w:t>u</w:t>
      </w:r>
      <w:proofErr w:type="gramEnd"/>
      <w:r w:rsidRPr="00646F54">
        <w:rPr>
          <w:sz w:val="24"/>
          <w:szCs w:val="24"/>
        </w:rPr>
        <w:t xml:space="preserve"> dijagramu zavisnosti </w:t>
      </w:r>
      <w:r w:rsidRPr="00646F54">
        <w:rPr>
          <w:i/>
          <w:sz w:val="24"/>
          <w:szCs w:val="24"/>
        </w:rPr>
        <w:t>ηsp/c</w:t>
      </w:r>
      <w:r w:rsidRPr="00646F54">
        <w:rPr>
          <w:sz w:val="24"/>
          <w:szCs w:val="24"/>
        </w:rPr>
        <w:t xml:space="preserve"> od koncentracije </w:t>
      </w:r>
      <w:r w:rsidRPr="00646F54">
        <w:rPr>
          <w:i/>
          <w:sz w:val="24"/>
          <w:szCs w:val="24"/>
        </w:rPr>
        <w:t xml:space="preserve">c, </w:t>
      </w:r>
      <w:r w:rsidRPr="00646F54">
        <w:rPr>
          <w:sz w:val="24"/>
          <w:szCs w:val="24"/>
        </w:rPr>
        <w:t>vrijednost unutrašnje viskoznosti se dobije određivanjem odsječka na ordinati.</w:t>
      </w:r>
    </w:p>
    <w:p w:rsidR="00646F54" w:rsidRPr="00646F54" w:rsidRDefault="00646F54" w:rsidP="00646F54">
      <w:pPr>
        <w:autoSpaceDE w:val="0"/>
        <w:autoSpaceDN w:val="0"/>
        <w:adjustRightInd w:val="0"/>
        <w:jc w:val="both"/>
        <w:rPr>
          <w:sz w:val="24"/>
          <w:szCs w:val="24"/>
        </w:rPr>
      </w:pPr>
      <w:r w:rsidRPr="00646F54">
        <w:rPr>
          <w:sz w:val="24"/>
          <w:szCs w:val="24"/>
        </w:rPr>
        <w:t>Kraemer-ova jednačina se koristi za određivanje logaritamskog viskozitetnog broja (</w:t>
      </w:r>
      <w:r w:rsidRPr="00646F54">
        <w:rPr>
          <w:i/>
          <w:sz w:val="24"/>
          <w:szCs w:val="24"/>
        </w:rPr>
        <w:t>inherentna viskoznost</w:t>
      </w:r>
      <w:r w:rsidRPr="00646F54">
        <w:rPr>
          <w:sz w:val="24"/>
          <w:szCs w:val="24"/>
        </w:rPr>
        <w:t xml:space="preserve">) ekstrapolacijom krive </w:t>
      </w:r>
      <w:proofErr w:type="gramStart"/>
      <w:r w:rsidRPr="00646F54">
        <w:rPr>
          <w:sz w:val="24"/>
          <w:szCs w:val="24"/>
        </w:rPr>
        <w:t>na</w:t>
      </w:r>
      <w:proofErr w:type="gramEnd"/>
      <w:r w:rsidRPr="00646F54">
        <w:rPr>
          <w:sz w:val="24"/>
          <w:szCs w:val="24"/>
        </w:rPr>
        <w:t xml:space="preserve"> c=0, čija relacija glasi:</w:t>
      </w:r>
    </w:p>
    <w:p w:rsidR="00646F54" w:rsidRPr="00646F54" w:rsidRDefault="00FA3107" w:rsidP="00913036">
      <w:pPr>
        <w:ind w:firstLine="720"/>
        <w:rPr>
          <w:sz w:val="24"/>
          <w:szCs w:val="24"/>
        </w:rPr>
      </w:pPr>
      <m:oMath>
        <m:f>
          <m:fPr>
            <m:ctrlPr>
              <w:rPr>
                <w:rFonts w:ascii="Cambria Math" w:eastAsia="Calibri" w:hAnsi="Cambria Math"/>
                <w:i/>
                <w:sz w:val="22"/>
              </w:rPr>
            </m:ctrlPr>
          </m:fPr>
          <m:num>
            <m:r>
              <w:rPr>
                <w:rFonts w:ascii="Cambria Math" w:hAnsi="Cambria Math"/>
              </w:rPr>
              <m:t>ln</m:t>
            </m:r>
            <m:sSub>
              <m:sSubPr>
                <m:ctrlPr>
                  <w:rPr>
                    <w:rFonts w:ascii="Cambria Math" w:eastAsia="Calibri" w:hAnsi="Cambria Math"/>
                    <w:i/>
                    <w:sz w:val="22"/>
                  </w:rPr>
                </m:ctrlPr>
              </m:sSubPr>
              <m:e>
                <m:r>
                  <w:rPr>
                    <w:rFonts w:ascii="Cambria Math" w:hAnsi="Cambria Math"/>
                  </w:rPr>
                  <m:t>η</m:t>
                </m:r>
              </m:e>
              <m:sub>
                <m:r>
                  <w:rPr>
                    <w:rFonts w:ascii="Cambria Math" w:hAnsi="Cambria Math"/>
                  </w:rPr>
                  <m:t>rel</m:t>
                </m:r>
              </m:sub>
            </m:sSub>
          </m:num>
          <m:den>
            <m:r>
              <w:rPr>
                <w:rFonts w:ascii="Cambria Math" w:hAnsi="Cambria Math"/>
              </w:rPr>
              <m:t>c</m:t>
            </m:r>
          </m:den>
        </m:f>
        <m:r>
          <w:rPr>
            <w:rFonts w:ascii="Cambria Math" w:hAnsi="Cambria Math"/>
          </w:rPr>
          <m:t xml:space="preserve">= </m:t>
        </m:r>
        <m:d>
          <m:dPr>
            <m:begChr m:val="["/>
            <m:endChr m:val="]"/>
            <m:ctrlPr>
              <w:rPr>
                <w:rFonts w:ascii="Cambria Math" w:eastAsia="Calibri" w:hAnsi="Cambria Math"/>
                <w:i/>
                <w:sz w:val="22"/>
              </w:rPr>
            </m:ctrlPr>
          </m:dPr>
          <m:e>
            <m:r>
              <w:rPr>
                <w:rFonts w:ascii="Cambria Math" w:hAnsi="Cambria Math"/>
              </w:rPr>
              <m:t>η</m:t>
            </m:r>
          </m:e>
        </m:d>
        <m:r>
          <w:rPr>
            <w:rFonts w:ascii="Cambria Math" w:hAnsi="Cambria Math"/>
          </w:rPr>
          <m:t xml:space="preserve">- </m:t>
        </m:r>
        <m:sSub>
          <m:sSubPr>
            <m:ctrlPr>
              <w:rPr>
                <w:rFonts w:ascii="Cambria Math" w:eastAsia="Calibri" w:hAnsi="Cambria Math"/>
                <w:i/>
                <w:sz w:val="22"/>
              </w:rPr>
            </m:ctrlPr>
          </m:sSubPr>
          <m:e>
            <m:r>
              <w:rPr>
                <w:rFonts w:ascii="Cambria Math" w:hAnsi="Cambria Math"/>
              </w:rPr>
              <m:t>k</m:t>
            </m:r>
          </m:e>
          <m:sub>
            <m:r>
              <w:rPr>
                <w:rFonts w:ascii="Cambria Math" w:hAnsi="Cambria Math"/>
              </w:rPr>
              <m:t>2</m:t>
            </m:r>
          </m:sub>
        </m:sSub>
        <m:sSup>
          <m:sSupPr>
            <m:ctrlPr>
              <w:rPr>
                <w:rFonts w:ascii="Cambria Math" w:eastAsia="Calibri" w:hAnsi="Cambria Math"/>
                <w:i/>
                <w:sz w:val="22"/>
              </w:rPr>
            </m:ctrlPr>
          </m:sSupPr>
          <m:e>
            <m:d>
              <m:dPr>
                <m:begChr m:val="["/>
                <m:endChr m:val="]"/>
                <m:ctrlPr>
                  <w:rPr>
                    <w:rFonts w:ascii="Cambria Math" w:eastAsia="Calibri" w:hAnsi="Cambria Math"/>
                    <w:i/>
                    <w:sz w:val="22"/>
                  </w:rPr>
                </m:ctrlPr>
              </m:dPr>
              <m:e>
                <m:r>
                  <w:rPr>
                    <w:rFonts w:ascii="Cambria Math" w:hAnsi="Cambria Math"/>
                  </w:rPr>
                  <m:t>η</m:t>
                </m:r>
              </m:e>
            </m:d>
          </m:e>
          <m:sup>
            <m:r>
              <w:rPr>
                <w:rFonts w:ascii="Cambria Math" w:hAnsi="Cambria Math"/>
              </w:rPr>
              <m:t>2</m:t>
            </m:r>
          </m:sup>
        </m:sSup>
        <m:r>
          <w:rPr>
            <w:rFonts w:ascii="Cambria Math" w:hAnsi="Cambria Math"/>
          </w:rPr>
          <m:t>c</m:t>
        </m:r>
      </m:oMath>
      <w:r w:rsidR="000D3C40">
        <w:rPr>
          <w:sz w:val="24"/>
          <w:szCs w:val="24"/>
        </w:rPr>
        <w:t xml:space="preserve">  [2]</w:t>
      </w:r>
    </w:p>
    <w:p w:rsidR="00646F54" w:rsidRDefault="00646F54" w:rsidP="00646F54">
      <w:pPr>
        <w:autoSpaceDE w:val="0"/>
        <w:autoSpaceDN w:val="0"/>
        <w:adjustRightInd w:val="0"/>
        <w:jc w:val="both"/>
        <w:rPr>
          <w:iCs/>
          <w:sz w:val="24"/>
          <w:szCs w:val="24"/>
        </w:rPr>
      </w:pPr>
      <w:r w:rsidRPr="00646F54">
        <w:rPr>
          <w:sz w:val="24"/>
          <w:szCs w:val="24"/>
        </w:rPr>
        <w:t xml:space="preserve">Ako se </w:t>
      </w:r>
      <w:proofErr w:type="gramStart"/>
      <w:r w:rsidRPr="00646F54">
        <w:rPr>
          <w:sz w:val="24"/>
          <w:szCs w:val="24"/>
        </w:rPr>
        <w:t>na</w:t>
      </w:r>
      <w:proofErr w:type="gramEnd"/>
      <w:r w:rsidRPr="00646F54">
        <w:rPr>
          <w:sz w:val="24"/>
          <w:szCs w:val="24"/>
        </w:rPr>
        <w:t xml:space="preserve"> istom dijagramu na ordinate nanesu vrijednosti redukovane i inherentne viskoznosti a na apscisu odgovarajuće koncentracije, dobiju se dvije prave linije koje treba da se </w:t>
      </w:r>
      <w:r w:rsidR="005312E2">
        <w:rPr>
          <w:sz w:val="24"/>
          <w:szCs w:val="24"/>
        </w:rPr>
        <w:t>sijeku u istoj tački na ordinati</w:t>
      </w:r>
      <w:r w:rsidRPr="00646F54">
        <w:rPr>
          <w:sz w:val="24"/>
          <w:szCs w:val="24"/>
        </w:rPr>
        <w:t xml:space="preserve">, jer limes obe jednačine određuje istu vrijednost, </w:t>
      </w:r>
      <w:r w:rsidR="000D3C40">
        <w:rPr>
          <w:iCs/>
          <w:sz w:val="24"/>
          <w:szCs w:val="24"/>
        </w:rPr>
        <w:t>[ƞ]. [6]</w:t>
      </w:r>
    </w:p>
    <w:p w:rsidR="000537C6" w:rsidRDefault="000537C6" w:rsidP="00646F54">
      <w:pPr>
        <w:autoSpaceDE w:val="0"/>
        <w:autoSpaceDN w:val="0"/>
        <w:adjustRightInd w:val="0"/>
        <w:jc w:val="both"/>
        <w:rPr>
          <w:sz w:val="24"/>
          <w:szCs w:val="24"/>
          <w:lang w:val="hr-HR"/>
        </w:rPr>
      </w:pPr>
      <w:r w:rsidRPr="000537C6">
        <w:rPr>
          <w:i/>
          <w:sz w:val="24"/>
          <w:szCs w:val="24"/>
          <w:lang w:val="hr-HR"/>
        </w:rPr>
        <w:t>k</w:t>
      </w:r>
      <w:r w:rsidRPr="000537C6">
        <w:rPr>
          <w:i/>
          <w:sz w:val="24"/>
          <w:szCs w:val="24"/>
          <w:vertAlign w:val="subscript"/>
          <w:lang w:val="hr-HR"/>
        </w:rPr>
        <w:t>1</w:t>
      </w:r>
      <w:r w:rsidRPr="000537C6">
        <w:rPr>
          <w:sz w:val="24"/>
          <w:szCs w:val="24"/>
          <w:lang w:val="hr-HR"/>
        </w:rPr>
        <w:t xml:space="preserve"> je Huggins-ova a </w:t>
      </w:r>
      <w:r w:rsidRPr="000537C6">
        <w:rPr>
          <w:i/>
          <w:sz w:val="24"/>
          <w:szCs w:val="24"/>
          <w:lang w:val="hr-HR"/>
        </w:rPr>
        <w:t>k</w:t>
      </w:r>
      <w:r w:rsidRPr="000537C6">
        <w:rPr>
          <w:i/>
          <w:sz w:val="24"/>
          <w:szCs w:val="24"/>
          <w:vertAlign w:val="subscript"/>
          <w:lang w:val="hr-HR"/>
        </w:rPr>
        <w:t>2</w:t>
      </w:r>
      <w:r w:rsidRPr="000537C6">
        <w:rPr>
          <w:sz w:val="24"/>
          <w:szCs w:val="24"/>
          <w:lang w:val="hr-HR"/>
        </w:rPr>
        <w:t xml:space="preserve"> Kraemer-ova konstanta. Ove konstante su povezane sljedećom relacijom:</w:t>
      </w:r>
    </w:p>
    <w:p w:rsidR="000537C6" w:rsidRPr="000537C6" w:rsidRDefault="00FA3107" w:rsidP="00646F54">
      <w:pPr>
        <w:autoSpaceDE w:val="0"/>
        <w:autoSpaceDN w:val="0"/>
        <w:adjustRightInd w:val="0"/>
        <w:jc w:val="both"/>
        <w:rPr>
          <w:sz w:val="24"/>
          <w:szCs w:val="24"/>
          <w:lang w:val="hr-HR"/>
        </w:rPr>
      </w:pPr>
      <m:oMathPara>
        <m:oMathParaPr>
          <m:jc m:val="left"/>
        </m:oMathParaPr>
        <m:oMath>
          <m:sSub>
            <m:sSubPr>
              <m:ctrlPr>
                <w:rPr>
                  <w:rFonts w:ascii="Cambria Math" w:hAnsi="Cambria Math"/>
                  <w:i/>
                  <w:sz w:val="24"/>
                  <w:szCs w:val="24"/>
                  <w:lang w:val="hr-HR"/>
                </w:rPr>
              </m:ctrlPr>
            </m:sSubPr>
            <m:e>
              <m:r>
                <w:rPr>
                  <w:rFonts w:ascii="Cambria Math" w:hAnsi="Cambria Math"/>
                  <w:sz w:val="24"/>
                  <w:szCs w:val="24"/>
                  <w:lang w:val="hr-HR"/>
                </w:rPr>
                <m:t>k</m:t>
              </m:r>
            </m:e>
            <m:sub>
              <m:r>
                <w:rPr>
                  <w:rFonts w:ascii="Cambria Math" w:hAnsi="Cambria Math"/>
                  <w:sz w:val="24"/>
                  <w:szCs w:val="24"/>
                  <w:lang w:val="hr-HR"/>
                </w:rPr>
                <m:t>1</m:t>
              </m:r>
            </m:sub>
          </m:sSub>
          <m:r>
            <w:rPr>
              <w:rFonts w:ascii="Cambria Math" w:hAnsi="Cambria Math"/>
              <w:sz w:val="24"/>
              <w:szCs w:val="24"/>
              <w:lang w:val="hr-HR"/>
            </w:rPr>
            <m:t>+</m:t>
          </m:r>
          <m:sSub>
            <m:sSubPr>
              <m:ctrlPr>
                <w:rPr>
                  <w:rFonts w:ascii="Cambria Math" w:hAnsi="Cambria Math"/>
                  <w:i/>
                  <w:sz w:val="24"/>
                  <w:szCs w:val="24"/>
                  <w:lang w:val="hr-HR"/>
                </w:rPr>
              </m:ctrlPr>
            </m:sSubPr>
            <m:e>
              <m:r>
                <w:rPr>
                  <w:rFonts w:ascii="Cambria Math" w:hAnsi="Cambria Math"/>
                  <w:sz w:val="24"/>
                  <w:szCs w:val="24"/>
                  <w:lang w:val="hr-HR"/>
                </w:rPr>
                <m:t>k</m:t>
              </m:r>
            </m:e>
            <m:sub>
              <m:r>
                <w:rPr>
                  <w:rFonts w:ascii="Cambria Math" w:hAnsi="Cambria Math"/>
                  <w:sz w:val="24"/>
                  <w:szCs w:val="24"/>
                  <w:lang w:val="hr-HR"/>
                </w:rPr>
                <m:t>2</m:t>
              </m:r>
            </m:sub>
          </m:sSub>
          <m:r>
            <w:rPr>
              <w:rFonts w:ascii="Cambria Math" w:hAnsi="Cambria Math"/>
              <w:sz w:val="24"/>
              <w:szCs w:val="24"/>
              <w:lang w:val="hr-HR"/>
            </w:rPr>
            <m:t>=1/2</m:t>
          </m:r>
        </m:oMath>
      </m:oMathPara>
    </w:p>
    <w:p w:rsidR="000537C6" w:rsidRPr="000537C6" w:rsidRDefault="00540A9E" w:rsidP="00646F54">
      <w:pPr>
        <w:autoSpaceDE w:val="0"/>
        <w:autoSpaceDN w:val="0"/>
        <w:adjustRightInd w:val="0"/>
        <w:jc w:val="both"/>
        <w:rPr>
          <w:iCs/>
          <w:sz w:val="24"/>
          <w:szCs w:val="24"/>
        </w:rPr>
      </w:pPr>
      <w:r>
        <w:rPr>
          <w:sz w:val="24"/>
          <w:szCs w:val="24"/>
          <w:lang w:val="hr-HR"/>
        </w:rPr>
        <w:t>Dosljednost ove relacije nije uslovljeno</w:t>
      </w:r>
      <w:r w:rsidR="000D3C40">
        <w:rPr>
          <w:sz w:val="24"/>
          <w:szCs w:val="24"/>
          <w:lang w:val="hr-HR"/>
        </w:rPr>
        <w:t xml:space="preserve"> </w:t>
      </w:r>
      <w:r>
        <w:rPr>
          <w:sz w:val="24"/>
          <w:szCs w:val="24"/>
          <w:lang w:val="hr-HR"/>
        </w:rPr>
        <w:t>prirodom polimera</w:t>
      </w:r>
      <w:r w:rsidR="000537C6" w:rsidRPr="000537C6">
        <w:rPr>
          <w:sz w:val="24"/>
          <w:szCs w:val="24"/>
          <w:lang w:val="hr-HR"/>
        </w:rPr>
        <w:t>/</w:t>
      </w:r>
      <w:r>
        <w:rPr>
          <w:sz w:val="24"/>
          <w:szCs w:val="24"/>
          <w:lang w:val="hr-HR"/>
        </w:rPr>
        <w:t>rastvarača već vrijedi</w:t>
      </w:r>
      <w:r w:rsidR="000537C6" w:rsidRPr="000537C6">
        <w:rPr>
          <w:sz w:val="24"/>
          <w:szCs w:val="24"/>
          <w:lang w:val="hr-HR"/>
        </w:rPr>
        <w:br/>
      </w:r>
      <w:r>
        <w:rPr>
          <w:sz w:val="24"/>
          <w:szCs w:val="24"/>
          <w:lang w:val="hr-HR"/>
        </w:rPr>
        <w:t>bez ob</w:t>
      </w:r>
      <w:r w:rsidR="000D3C40">
        <w:rPr>
          <w:sz w:val="24"/>
          <w:szCs w:val="24"/>
          <w:lang w:val="hr-HR"/>
        </w:rPr>
        <w:t>zira na fizičke osobine. [7]</w:t>
      </w:r>
    </w:p>
    <w:p w:rsidR="00646F54" w:rsidRPr="00AF037A" w:rsidRDefault="00646F54" w:rsidP="00646F54">
      <w:pPr>
        <w:autoSpaceDE w:val="0"/>
        <w:autoSpaceDN w:val="0"/>
        <w:adjustRightInd w:val="0"/>
        <w:jc w:val="both"/>
      </w:pPr>
    </w:p>
    <w:p w:rsidR="000D3C40" w:rsidRDefault="000D3C40" w:rsidP="00646F54">
      <w:pPr>
        <w:autoSpaceDE w:val="0"/>
        <w:autoSpaceDN w:val="0"/>
        <w:adjustRightInd w:val="0"/>
        <w:rPr>
          <w:b/>
          <w:bCs/>
          <w:sz w:val="24"/>
          <w:szCs w:val="24"/>
        </w:rPr>
      </w:pPr>
    </w:p>
    <w:p w:rsidR="00646F54" w:rsidRPr="00646F54" w:rsidRDefault="00646F54" w:rsidP="00646F54">
      <w:pPr>
        <w:autoSpaceDE w:val="0"/>
        <w:autoSpaceDN w:val="0"/>
        <w:adjustRightInd w:val="0"/>
        <w:rPr>
          <w:b/>
          <w:bCs/>
          <w:sz w:val="24"/>
          <w:szCs w:val="24"/>
        </w:rPr>
      </w:pPr>
      <w:r w:rsidRPr="00646F54">
        <w:rPr>
          <w:b/>
          <w:bCs/>
          <w:sz w:val="24"/>
          <w:szCs w:val="24"/>
        </w:rPr>
        <w:t>Aditivi za poboljšanje indeksa viskoznosti</w:t>
      </w:r>
    </w:p>
    <w:p w:rsidR="00646F54" w:rsidRDefault="00646F54" w:rsidP="00D72A43">
      <w:pPr>
        <w:pStyle w:val="Default"/>
        <w:jc w:val="both"/>
      </w:pPr>
      <w:r w:rsidRPr="00646F54">
        <w:t xml:space="preserve">Poboljšivači indeksa viskoznosti su organski polimeri koji su rastvorljivi u ulju i koji se dodaju umjesto teže uljne komponente i osiguravaju ugušćenje, kao i dobru smičnu stabilnost u uslovima mehaničkih opterećenja. Kao što im i sam naziv govori oni poboljšavaju indeks viskoznosti a nazivaju se </w:t>
      </w:r>
      <w:r w:rsidR="000D3C40">
        <w:t xml:space="preserve">još modifikatori trenja. [8] </w:t>
      </w:r>
      <w:r w:rsidRPr="00646F54">
        <w:t>Aditivi za poboljšanje indeksa viskoznosti su nosioci važnih visko</w:t>
      </w:r>
      <w:r w:rsidR="000D3C40">
        <w:t>zi</w:t>
      </w:r>
      <w:r w:rsidRPr="00646F54">
        <w:t>metrijskih karakteristika multigradnih motornih ulja, a to su:</w:t>
      </w:r>
      <w:r w:rsidR="00D72A43">
        <w:t xml:space="preserve"> </w:t>
      </w:r>
      <w:r w:rsidRPr="00646F54">
        <w:t>na niskim temperaturama potrebno je tečno ulje, tako da se prilikom starta motora s malim unutrašnjim trenjem troši minimalna snaga motora;</w:t>
      </w:r>
      <w:r w:rsidR="00D72A43">
        <w:t xml:space="preserve"> </w:t>
      </w:r>
      <w:r w:rsidRPr="00646F54">
        <w:t>na visokim temperaturama potrebno je ulje određene viskoznosti, koje će osigurati dovoljnu debljinu uljnog filma i malu potrošnju ulja</w:t>
      </w:r>
      <w:r w:rsidR="00D72A43">
        <w:t xml:space="preserve">; </w:t>
      </w:r>
      <w:r w:rsidRPr="00646F54">
        <w:t>kod visokih pritisaka potrebno je ulje koje će osigurati određenu debljinu uljnog sloja, pored toga što današnja motorna ulja sadrže ad</w:t>
      </w:r>
      <w:r w:rsidR="000D3C40">
        <w:t>itiv protiv trošenja. [9]</w:t>
      </w:r>
    </w:p>
    <w:p w:rsidR="009621F7" w:rsidRDefault="009621F7" w:rsidP="009621F7">
      <w:pPr>
        <w:pStyle w:val="Default"/>
        <w:ind w:left="765"/>
        <w:jc w:val="both"/>
      </w:pPr>
    </w:p>
    <w:p w:rsidR="00646F54" w:rsidRPr="00646F54" w:rsidRDefault="00646F54" w:rsidP="000D3C40">
      <w:pPr>
        <w:pStyle w:val="NoSpacing"/>
        <w:jc w:val="both"/>
        <w:rPr>
          <w:szCs w:val="24"/>
        </w:rPr>
      </w:pPr>
      <w:r w:rsidRPr="00646F54">
        <w:rPr>
          <w:szCs w:val="24"/>
        </w:rPr>
        <w:t xml:space="preserve">Mehanizam djelovanja ovih aditiva je </w:t>
      </w:r>
      <w:r w:rsidRPr="00FA3107">
        <w:rPr>
          <w:szCs w:val="24"/>
          <w:lang w:val="sr-Latn-BA"/>
        </w:rPr>
        <w:t xml:space="preserve">zasnovan </w:t>
      </w:r>
      <w:proofErr w:type="gramStart"/>
      <w:r w:rsidRPr="00FA3107">
        <w:rPr>
          <w:szCs w:val="24"/>
          <w:lang w:val="sr-Latn-BA"/>
        </w:rPr>
        <w:t>na</w:t>
      </w:r>
      <w:proofErr w:type="gramEnd"/>
      <w:r w:rsidRPr="00FA3107">
        <w:rPr>
          <w:szCs w:val="24"/>
          <w:lang w:val="sr-Latn-BA"/>
        </w:rPr>
        <w:t xml:space="preserve"> različitim konformacijama polimernih molekula pri niskim i visokim temperaturama. Ulja koja sadrže ove aditive se ne ponašaju u skladu s Njutnovim zakonom viskoznosti, pa se npr. dinamička viskoznost mijenja pod uticajem veličine smičnog naprezanja. Smična naprezanja koja se javljaju između</w:t>
      </w:r>
      <w:r w:rsidRPr="00646F54">
        <w:rPr>
          <w:szCs w:val="24"/>
        </w:rPr>
        <w:t xml:space="preserve"> klipa i stjenki cilindra u motoru uzrokuju ireverzibilnu razgradnju molekula polimera na manje dijelove. Kod ulja koja sadrže aditive za poboljšanje indeksa viskoznosti, mogu se zapaziti dvije vrste pada viskoznosti i to: privremeni, koji nastaje usljed nenjutnovskih ponašanja protoka i stalni pad viskoznosti, koji nastaje usljed smične degradacije molekula polimera.</w:t>
      </w:r>
    </w:p>
    <w:p w:rsidR="00646F54" w:rsidRPr="00646F54" w:rsidRDefault="00646F54" w:rsidP="000D3C40">
      <w:pPr>
        <w:autoSpaceDE w:val="0"/>
        <w:autoSpaceDN w:val="0"/>
        <w:adjustRightInd w:val="0"/>
        <w:jc w:val="both"/>
        <w:rPr>
          <w:sz w:val="24"/>
          <w:szCs w:val="24"/>
        </w:rPr>
      </w:pPr>
      <w:r w:rsidRPr="00646F54">
        <w:rPr>
          <w:sz w:val="24"/>
          <w:szCs w:val="24"/>
        </w:rPr>
        <w:t xml:space="preserve">Dodatak poboljšivača indeksa viskoznosti tipa polimera utiče </w:t>
      </w:r>
      <w:proofErr w:type="gramStart"/>
      <w:r w:rsidRPr="00646F54">
        <w:rPr>
          <w:sz w:val="24"/>
          <w:szCs w:val="24"/>
        </w:rPr>
        <w:t>na</w:t>
      </w:r>
      <w:proofErr w:type="gramEnd"/>
      <w:r w:rsidRPr="00646F54">
        <w:rPr>
          <w:sz w:val="24"/>
          <w:szCs w:val="24"/>
        </w:rPr>
        <w:t xml:space="preserve"> ponašanje ulja u pogledu karakteristika tečenja. Osjetljivost poboljšivača indeksa viskoznosti </w:t>
      </w:r>
      <w:proofErr w:type="gramStart"/>
      <w:r w:rsidRPr="00646F54">
        <w:rPr>
          <w:sz w:val="24"/>
          <w:szCs w:val="24"/>
        </w:rPr>
        <w:t>na</w:t>
      </w:r>
      <w:proofErr w:type="gramEnd"/>
      <w:r w:rsidRPr="00646F54">
        <w:rPr>
          <w:sz w:val="24"/>
          <w:szCs w:val="24"/>
        </w:rPr>
        <w:t xml:space="preserve"> mehanička naprezanja povećava se povećanjem molekulske mase polimernih dodataka. Velika smična naprezanja uzrokuju ireverzibilnu razgradnju molekula polimera i smanjuje njihovu molekulsku masu.</w:t>
      </w:r>
      <w:r w:rsidR="000D3C40">
        <w:rPr>
          <w:sz w:val="24"/>
          <w:szCs w:val="24"/>
        </w:rPr>
        <w:t xml:space="preserve"> </w:t>
      </w:r>
      <w:r w:rsidRPr="00646F54">
        <w:rPr>
          <w:sz w:val="24"/>
          <w:szCs w:val="24"/>
        </w:rPr>
        <w:t xml:space="preserve">Ovo smanjenje prosječne molekulske mase rezultuje smanjenjem viskoznosti i indeksa </w:t>
      </w:r>
      <w:r w:rsidRPr="00646F54">
        <w:rPr>
          <w:sz w:val="24"/>
          <w:szCs w:val="24"/>
        </w:rPr>
        <w:lastRenderedPageBreak/>
        <w:t>viskoznosti.</w:t>
      </w:r>
    </w:p>
    <w:p w:rsidR="00646F54" w:rsidRPr="00646F54" w:rsidRDefault="00646F54" w:rsidP="009621F7">
      <w:pPr>
        <w:autoSpaceDE w:val="0"/>
        <w:autoSpaceDN w:val="0"/>
        <w:adjustRightInd w:val="0"/>
        <w:jc w:val="both"/>
        <w:rPr>
          <w:sz w:val="24"/>
          <w:szCs w:val="24"/>
        </w:rPr>
      </w:pPr>
      <w:r w:rsidRPr="00646F54">
        <w:rPr>
          <w:sz w:val="24"/>
          <w:szCs w:val="24"/>
        </w:rPr>
        <w:t xml:space="preserve">Rastvaranje makromolekula polimera u baznom ulju je veoma spor process, koji može da traje danima, ako se ne ubrza miješanjem </w:t>
      </w:r>
      <w:proofErr w:type="gramStart"/>
      <w:r w:rsidRPr="00646F54">
        <w:rPr>
          <w:sz w:val="24"/>
          <w:szCs w:val="24"/>
        </w:rPr>
        <w:t>ili</w:t>
      </w:r>
      <w:proofErr w:type="gramEnd"/>
      <w:r w:rsidRPr="00646F54">
        <w:rPr>
          <w:sz w:val="24"/>
          <w:szCs w:val="24"/>
        </w:rPr>
        <w:t xml:space="preserve"> povišenjem temperature. Njihova rastvorljivost zavisi i </w:t>
      </w:r>
      <w:proofErr w:type="gramStart"/>
      <w:r w:rsidRPr="00646F54">
        <w:rPr>
          <w:sz w:val="24"/>
          <w:szCs w:val="24"/>
        </w:rPr>
        <w:t>od</w:t>
      </w:r>
      <w:proofErr w:type="gramEnd"/>
      <w:r w:rsidRPr="00646F54">
        <w:rPr>
          <w:sz w:val="24"/>
          <w:szCs w:val="24"/>
        </w:rPr>
        <w:t xml:space="preserve"> hemijske strukture (polarnost, razgranatost, umrežanost), molarne mase, kao i osobina rastvarača–baznog ulja, na datoj temperaturi</w:t>
      </w:r>
      <w:r w:rsidR="00C30451">
        <w:rPr>
          <w:sz w:val="24"/>
          <w:szCs w:val="24"/>
        </w:rPr>
        <w:t>. Rastvaranjem polimera poboljši</w:t>
      </w:r>
      <w:r w:rsidRPr="00646F54">
        <w:rPr>
          <w:sz w:val="24"/>
          <w:szCs w:val="24"/>
        </w:rPr>
        <w:t xml:space="preserve">vača indeksa viskoznosti u mineralnom ulju nastaju koloidni sistemi određenih fizičkih svojstava, koji zavise </w:t>
      </w:r>
      <w:proofErr w:type="gramStart"/>
      <w:r w:rsidRPr="00646F54">
        <w:rPr>
          <w:sz w:val="24"/>
          <w:szCs w:val="24"/>
        </w:rPr>
        <w:t>od</w:t>
      </w:r>
      <w:proofErr w:type="gramEnd"/>
      <w:r w:rsidRPr="00646F54">
        <w:rPr>
          <w:sz w:val="24"/>
          <w:szCs w:val="24"/>
        </w:rPr>
        <w:t xml:space="preserve"> prirode i dužine molekula kao i vrste rastvarača. Molekuli polimera formiraju manje </w:t>
      </w:r>
      <w:proofErr w:type="gramStart"/>
      <w:r w:rsidRPr="00646F54">
        <w:rPr>
          <w:sz w:val="24"/>
          <w:szCs w:val="24"/>
        </w:rPr>
        <w:t>ili</w:t>
      </w:r>
      <w:proofErr w:type="gramEnd"/>
      <w:r w:rsidRPr="00646F54">
        <w:rPr>
          <w:sz w:val="24"/>
          <w:szCs w:val="24"/>
        </w:rPr>
        <w:t xml:space="preserve"> više čvrsto klupko, a čija veličina i čvrstina zavise od interakcija polimer-rastvarač i sila koje djeluju u samoj molekuli. Na rastvorene molekule polimera djeluju dvije vrste sila:</w:t>
      </w:r>
    </w:p>
    <w:p w:rsidR="00646F54" w:rsidRPr="001E418D" w:rsidRDefault="00646F54" w:rsidP="001E418D">
      <w:pPr>
        <w:pStyle w:val="ListParagraph"/>
        <w:numPr>
          <w:ilvl w:val="0"/>
          <w:numId w:val="10"/>
        </w:numPr>
        <w:autoSpaceDE w:val="0"/>
        <w:autoSpaceDN w:val="0"/>
        <w:adjustRightInd w:val="0"/>
        <w:jc w:val="both"/>
        <w:rPr>
          <w:szCs w:val="24"/>
        </w:rPr>
      </w:pPr>
      <w:r w:rsidRPr="001E418D">
        <w:rPr>
          <w:szCs w:val="24"/>
        </w:rPr>
        <w:t xml:space="preserve">Intramolekulske sile, koje djeluju unutar same molekule. Rezultat njihovog djelovanja je da molekule poprimaju klupčastu konformaciju male hidrodinamičke zapremine </w:t>
      </w:r>
      <w:proofErr w:type="gramStart"/>
      <w:r w:rsidRPr="001E418D">
        <w:rPr>
          <w:szCs w:val="24"/>
        </w:rPr>
        <w:t>te</w:t>
      </w:r>
      <w:proofErr w:type="gramEnd"/>
      <w:r w:rsidRPr="001E418D">
        <w:rPr>
          <w:szCs w:val="24"/>
        </w:rPr>
        <w:t xml:space="preserve"> se neznatno povećava viskoznost.</w:t>
      </w:r>
    </w:p>
    <w:p w:rsidR="00646F54" w:rsidRPr="001E418D" w:rsidRDefault="00646F54" w:rsidP="001E418D">
      <w:pPr>
        <w:pStyle w:val="ListParagraph"/>
        <w:numPr>
          <w:ilvl w:val="0"/>
          <w:numId w:val="10"/>
        </w:numPr>
        <w:autoSpaceDE w:val="0"/>
        <w:autoSpaceDN w:val="0"/>
        <w:adjustRightInd w:val="0"/>
        <w:jc w:val="both"/>
        <w:rPr>
          <w:szCs w:val="24"/>
        </w:rPr>
      </w:pPr>
      <w:r w:rsidRPr="001E418D">
        <w:rPr>
          <w:szCs w:val="24"/>
        </w:rPr>
        <w:t>Intermolekulske sile</w:t>
      </w:r>
      <w:r w:rsidR="001E418D">
        <w:rPr>
          <w:szCs w:val="24"/>
        </w:rPr>
        <w:t>,</w:t>
      </w:r>
      <w:r w:rsidRPr="001E418D">
        <w:rPr>
          <w:szCs w:val="24"/>
        </w:rPr>
        <w:t xml:space="preserve"> koje djeluju između molekula polimera i baznog ulja. Ove sile su suprotne intramolekulskim silama pa se k</w:t>
      </w:r>
      <w:r w:rsidR="001E418D">
        <w:rPr>
          <w:szCs w:val="24"/>
        </w:rPr>
        <w:t>lupko nastoji odmotati. [5]</w:t>
      </w:r>
    </w:p>
    <w:p w:rsidR="00646F54" w:rsidRPr="00646F54" w:rsidRDefault="00646F54" w:rsidP="009621F7">
      <w:pPr>
        <w:autoSpaceDE w:val="0"/>
        <w:autoSpaceDN w:val="0"/>
        <w:adjustRightInd w:val="0"/>
        <w:jc w:val="both"/>
        <w:rPr>
          <w:sz w:val="24"/>
          <w:szCs w:val="24"/>
        </w:rPr>
      </w:pPr>
      <w:r w:rsidRPr="00646F54">
        <w:rPr>
          <w:sz w:val="24"/>
          <w:szCs w:val="24"/>
        </w:rPr>
        <w:t xml:space="preserve">S povećanjem djelovanja intermolekulskih sila smanjuju se intramolekulska međudjelovanja pri čemu molekule polimera zauzimaju izdužene konformacije velike hidrodinamičke zapremine </w:t>
      </w:r>
      <w:proofErr w:type="gramStart"/>
      <w:r w:rsidRPr="00646F54">
        <w:rPr>
          <w:sz w:val="24"/>
          <w:szCs w:val="24"/>
        </w:rPr>
        <w:t>te</w:t>
      </w:r>
      <w:proofErr w:type="gramEnd"/>
      <w:r w:rsidRPr="00646F54">
        <w:rPr>
          <w:sz w:val="24"/>
          <w:szCs w:val="24"/>
        </w:rPr>
        <w:t xml:space="preserve"> se povećava viskoznost. Na ove procese utiču temperatura, kvalitet rastvarača polimera i molekulska masa polimera. Efikasnost rastvarača zavisi </w:t>
      </w:r>
      <w:proofErr w:type="gramStart"/>
      <w:r w:rsidRPr="00646F54">
        <w:rPr>
          <w:sz w:val="24"/>
          <w:szCs w:val="24"/>
        </w:rPr>
        <w:t>od</w:t>
      </w:r>
      <w:proofErr w:type="gramEnd"/>
      <w:r w:rsidRPr="00646F54">
        <w:rPr>
          <w:sz w:val="24"/>
          <w:szCs w:val="24"/>
        </w:rPr>
        <w:t xml:space="preserve"> njegove sličnosti s hemijskom strukturom polimera. Za istu količinu polimera rastvorenog u različitim rastvaračima veću viskoznost daje dobar rastvarač dok temperatura ima neznatan uticaj.</w:t>
      </w:r>
      <w:r w:rsidR="001E418D">
        <w:rPr>
          <w:sz w:val="24"/>
          <w:szCs w:val="24"/>
        </w:rPr>
        <w:t xml:space="preserve"> </w:t>
      </w:r>
      <w:r w:rsidRPr="00646F54">
        <w:rPr>
          <w:sz w:val="24"/>
          <w:szCs w:val="24"/>
        </w:rPr>
        <w:t>Rastvorljivost polimera u ulju se smanjuje s povećanjem njegove molekulske mase.</w:t>
      </w:r>
    </w:p>
    <w:p w:rsidR="00646F54" w:rsidRDefault="00646F54" w:rsidP="00646F54">
      <w:pPr>
        <w:autoSpaceDE w:val="0"/>
        <w:autoSpaceDN w:val="0"/>
        <w:adjustRightInd w:val="0"/>
        <w:ind w:left="765"/>
        <w:jc w:val="both"/>
        <w:rPr>
          <w:szCs w:val="24"/>
        </w:rPr>
      </w:pPr>
    </w:p>
    <w:p w:rsidR="00646F54" w:rsidRDefault="00936C67" w:rsidP="009621F7">
      <w:pPr>
        <w:autoSpaceDE w:val="0"/>
        <w:autoSpaceDN w:val="0"/>
        <w:adjustRightInd w:val="0"/>
        <w:jc w:val="center"/>
        <w:rPr>
          <w:szCs w:val="24"/>
        </w:rPr>
      </w:pPr>
      <w:r>
        <w:rPr>
          <w:noProof/>
          <w:snapToGrid/>
          <w:szCs w:val="24"/>
        </w:rPr>
        <w:drawing>
          <wp:inline distT="0" distB="0" distL="0" distR="0">
            <wp:extent cx="3743325" cy="1782958"/>
            <wp:effectExtent l="1905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a:srcRect/>
                    <a:stretch>
                      <a:fillRect/>
                    </a:stretch>
                  </pic:blipFill>
                  <pic:spPr bwMode="auto">
                    <a:xfrm>
                      <a:off x="0" y="0"/>
                      <a:ext cx="3743325" cy="1782958"/>
                    </a:xfrm>
                    <a:prstGeom prst="rect">
                      <a:avLst/>
                    </a:prstGeom>
                    <a:noFill/>
                    <a:ln w="9525">
                      <a:noFill/>
                      <a:miter lim="800000"/>
                      <a:headEnd/>
                      <a:tailEnd/>
                    </a:ln>
                  </pic:spPr>
                </pic:pic>
              </a:graphicData>
            </a:graphic>
          </wp:inline>
        </w:drawing>
      </w:r>
    </w:p>
    <w:p w:rsidR="00646F54" w:rsidRPr="00391845" w:rsidRDefault="00646F54" w:rsidP="009621F7">
      <w:pPr>
        <w:autoSpaceDE w:val="0"/>
        <w:autoSpaceDN w:val="0"/>
        <w:adjustRightInd w:val="0"/>
        <w:jc w:val="center"/>
        <w:rPr>
          <w:sz w:val="24"/>
          <w:szCs w:val="24"/>
        </w:rPr>
      </w:pPr>
      <w:r w:rsidRPr="00391845">
        <w:rPr>
          <w:sz w:val="24"/>
          <w:szCs w:val="24"/>
        </w:rPr>
        <w:t xml:space="preserve">Slika </w:t>
      </w:r>
      <w:r w:rsidR="00233268" w:rsidRPr="00391845">
        <w:rPr>
          <w:sz w:val="24"/>
          <w:szCs w:val="24"/>
        </w:rPr>
        <w:t>1</w:t>
      </w:r>
      <w:r w:rsidRPr="00391845">
        <w:rPr>
          <w:sz w:val="24"/>
          <w:szCs w:val="24"/>
        </w:rPr>
        <w:t>. Mehanizam djelovanja p</w:t>
      </w:r>
      <w:r w:rsidR="001E418D" w:rsidRPr="00391845">
        <w:rPr>
          <w:sz w:val="24"/>
          <w:szCs w:val="24"/>
        </w:rPr>
        <w:t>oboljšivača viskoznosti [2]</w:t>
      </w:r>
    </w:p>
    <w:p w:rsidR="009621F7" w:rsidRDefault="00233268" w:rsidP="009621F7">
      <w:pPr>
        <w:autoSpaceDE w:val="0"/>
        <w:autoSpaceDN w:val="0"/>
        <w:adjustRightInd w:val="0"/>
        <w:jc w:val="center"/>
        <w:rPr>
          <w:rStyle w:val="shorttext"/>
          <w:sz w:val="24"/>
          <w:szCs w:val="24"/>
        </w:rPr>
      </w:pPr>
      <w:r w:rsidRPr="00391845">
        <w:rPr>
          <w:rStyle w:val="shorttext"/>
          <w:sz w:val="24"/>
          <w:szCs w:val="24"/>
        </w:rPr>
        <w:t>Figure 1. The mechanism of action of viscosity improver</w:t>
      </w:r>
    </w:p>
    <w:p w:rsidR="00233268" w:rsidRPr="00233268" w:rsidRDefault="00233268" w:rsidP="009621F7">
      <w:pPr>
        <w:autoSpaceDE w:val="0"/>
        <w:autoSpaceDN w:val="0"/>
        <w:adjustRightInd w:val="0"/>
        <w:jc w:val="center"/>
        <w:rPr>
          <w:i/>
          <w:sz w:val="24"/>
          <w:szCs w:val="24"/>
        </w:rPr>
      </w:pPr>
    </w:p>
    <w:p w:rsidR="009621F7" w:rsidRPr="00065CE5" w:rsidRDefault="009621F7" w:rsidP="00065CE5">
      <w:pPr>
        <w:autoSpaceDE w:val="0"/>
        <w:autoSpaceDN w:val="0"/>
        <w:adjustRightInd w:val="0"/>
        <w:jc w:val="both"/>
        <w:rPr>
          <w:sz w:val="24"/>
          <w:szCs w:val="24"/>
        </w:rPr>
      </w:pPr>
      <w:r w:rsidRPr="009621F7">
        <w:rPr>
          <w:sz w:val="24"/>
          <w:szCs w:val="24"/>
        </w:rPr>
        <w:t>Najpoznatiji polimerni dodaci kao poboljšivači indeksa viskoznosti su poliestarskog tipa (polimetakrilati (PAMA</w:t>
      </w:r>
      <w:r w:rsidRPr="00065CE5">
        <w:rPr>
          <w:sz w:val="24"/>
          <w:szCs w:val="24"/>
        </w:rPr>
        <w:t xml:space="preserve">)), </w:t>
      </w:r>
      <w:proofErr w:type="gramStart"/>
      <w:r w:rsidRPr="00065CE5">
        <w:rPr>
          <w:sz w:val="24"/>
          <w:szCs w:val="24"/>
        </w:rPr>
        <w:t>ili</w:t>
      </w:r>
      <w:proofErr w:type="gramEnd"/>
      <w:r w:rsidRPr="00065CE5">
        <w:rPr>
          <w:sz w:val="24"/>
          <w:szCs w:val="24"/>
        </w:rPr>
        <w:t xml:space="preserve"> ugljovodoničnog tipa (kopolimeri alkena (OCP)), hidrogenizovani stiren-dienski kopolimer (STD), stiren p</w:t>
      </w:r>
      <w:r w:rsidR="00FA3107">
        <w:rPr>
          <w:sz w:val="24"/>
          <w:szCs w:val="24"/>
        </w:rPr>
        <w:t>oliester (STEP)</w:t>
      </w:r>
      <w:r w:rsidR="001E418D" w:rsidRPr="00065CE5">
        <w:rPr>
          <w:sz w:val="24"/>
          <w:szCs w:val="24"/>
        </w:rPr>
        <w:t>). [10]</w:t>
      </w:r>
      <w:r w:rsidR="00065CE5" w:rsidRPr="00065CE5">
        <w:rPr>
          <w:sz w:val="24"/>
          <w:szCs w:val="24"/>
        </w:rPr>
        <w:t xml:space="preserve"> </w:t>
      </w:r>
      <w:r w:rsidRPr="00065CE5">
        <w:rPr>
          <w:sz w:val="24"/>
          <w:szCs w:val="24"/>
        </w:rPr>
        <w:t xml:space="preserve">Ovi polimeri se najčešće dodaju u količini </w:t>
      </w:r>
      <w:r w:rsidR="00C30451" w:rsidRPr="00065CE5">
        <w:rPr>
          <w:sz w:val="24"/>
          <w:szCs w:val="24"/>
        </w:rPr>
        <w:t xml:space="preserve">do </w:t>
      </w:r>
      <w:r w:rsidRPr="00065CE5">
        <w:rPr>
          <w:sz w:val="24"/>
          <w:szCs w:val="24"/>
        </w:rPr>
        <w:t xml:space="preserve">oko 5 %. Dodatkom ovih aditiva poveća se i viskoznost ulja, pa se oni radije upotrebljavaju za manje viskozna ulja </w:t>
      </w:r>
      <w:proofErr w:type="gramStart"/>
      <w:r w:rsidRPr="00065CE5">
        <w:rPr>
          <w:sz w:val="24"/>
          <w:szCs w:val="24"/>
        </w:rPr>
        <w:t>ili</w:t>
      </w:r>
      <w:proofErr w:type="gramEnd"/>
      <w:r w:rsidRPr="00065CE5">
        <w:rPr>
          <w:sz w:val="24"/>
          <w:szCs w:val="24"/>
        </w:rPr>
        <w:t xml:space="preserve"> multigradna ulja. Pri radu motora temperatura se mijenja </w:t>
      </w:r>
      <w:proofErr w:type="gramStart"/>
      <w:r w:rsidRPr="00065CE5">
        <w:rPr>
          <w:sz w:val="24"/>
          <w:szCs w:val="24"/>
        </w:rPr>
        <w:t>od</w:t>
      </w:r>
      <w:proofErr w:type="gramEnd"/>
      <w:r w:rsidRPr="00065CE5">
        <w:rPr>
          <w:sz w:val="24"/>
          <w:szCs w:val="24"/>
        </w:rPr>
        <w:t xml:space="preserve"> -40 do +180 °C. Porastom temperature viskoznost se jako smanjuje i istovremeno se mijenja i konformacija polimernih molekula (povećava se prosječna dimenzija klupka tj. hidrodinamička zapremina) čime se kompenzuje smanjenje viskoznosti.</w:t>
      </w:r>
      <w:r w:rsidR="001E418D" w:rsidRPr="00065CE5">
        <w:rPr>
          <w:sz w:val="24"/>
          <w:szCs w:val="24"/>
        </w:rPr>
        <w:t xml:space="preserve"> </w:t>
      </w:r>
      <w:r w:rsidRPr="00065CE5">
        <w:rPr>
          <w:sz w:val="24"/>
          <w:szCs w:val="24"/>
        </w:rPr>
        <w:t>Pri sniženju temperature događa se obrnuto.</w:t>
      </w:r>
      <w:r w:rsidR="001E418D">
        <w:rPr>
          <w:szCs w:val="24"/>
        </w:rPr>
        <w:t xml:space="preserve"> </w:t>
      </w:r>
    </w:p>
    <w:p w:rsidR="009621F7" w:rsidRPr="009621F7" w:rsidRDefault="00065CE5" w:rsidP="00065CE5">
      <w:pPr>
        <w:tabs>
          <w:tab w:val="left" w:pos="6345"/>
        </w:tabs>
        <w:autoSpaceDE w:val="0"/>
        <w:autoSpaceDN w:val="0"/>
        <w:adjustRightInd w:val="0"/>
        <w:jc w:val="both"/>
        <w:rPr>
          <w:sz w:val="24"/>
          <w:szCs w:val="24"/>
        </w:rPr>
      </w:pPr>
      <w:r>
        <w:rPr>
          <w:sz w:val="24"/>
          <w:szCs w:val="24"/>
        </w:rPr>
        <w:tab/>
      </w:r>
    </w:p>
    <w:p w:rsidR="009621F7" w:rsidRPr="009621F7" w:rsidRDefault="009621F7" w:rsidP="009621F7">
      <w:pPr>
        <w:autoSpaceDE w:val="0"/>
        <w:autoSpaceDN w:val="0"/>
        <w:adjustRightInd w:val="0"/>
        <w:rPr>
          <w:b/>
          <w:bCs/>
          <w:sz w:val="24"/>
          <w:szCs w:val="24"/>
        </w:rPr>
      </w:pPr>
      <w:r w:rsidRPr="009621F7">
        <w:rPr>
          <w:b/>
          <w:bCs/>
          <w:sz w:val="24"/>
          <w:szCs w:val="24"/>
        </w:rPr>
        <w:t>Polimetakrilati (PMA)</w:t>
      </w:r>
    </w:p>
    <w:p w:rsidR="009621F7" w:rsidRPr="009621F7" w:rsidRDefault="009621F7" w:rsidP="009621F7">
      <w:pPr>
        <w:autoSpaceDE w:val="0"/>
        <w:autoSpaceDN w:val="0"/>
        <w:adjustRightInd w:val="0"/>
        <w:jc w:val="both"/>
        <w:rPr>
          <w:sz w:val="24"/>
          <w:szCs w:val="24"/>
        </w:rPr>
      </w:pPr>
      <w:r w:rsidRPr="009621F7">
        <w:rPr>
          <w:sz w:val="24"/>
          <w:szCs w:val="24"/>
        </w:rPr>
        <w:t xml:space="preserve">Polimetakrilatni aditivi su polimeri </w:t>
      </w:r>
      <w:proofErr w:type="gramStart"/>
      <w:r w:rsidRPr="009621F7">
        <w:rPr>
          <w:sz w:val="24"/>
          <w:szCs w:val="24"/>
        </w:rPr>
        <w:t>na</w:t>
      </w:r>
      <w:proofErr w:type="gramEnd"/>
      <w:r w:rsidRPr="009621F7">
        <w:rPr>
          <w:sz w:val="24"/>
          <w:szCs w:val="24"/>
        </w:rPr>
        <w:t xml:space="preserve"> bazi dugolančanih estera metakrilne kiseline s 8 do 20 ugljenikovih atoma, nastali slobodno-radikalskom polimerizacijom odgovarajućih monomera. Postoje tri grupe PMA s obzirom </w:t>
      </w:r>
      <w:proofErr w:type="gramStart"/>
      <w:r w:rsidRPr="009621F7">
        <w:rPr>
          <w:sz w:val="24"/>
          <w:szCs w:val="24"/>
        </w:rPr>
        <w:t>na</w:t>
      </w:r>
      <w:proofErr w:type="gramEnd"/>
      <w:r w:rsidRPr="009621F7">
        <w:rPr>
          <w:sz w:val="24"/>
          <w:szCs w:val="24"/>
        </w:rPr>
        <w:t xml:space="preserve"> dužinu alkil grupe iz prirodnih ili sintetičkih alkohola (kratki alkil lanci (C</w:t>
      </w:r>
      <w:r w:rsidRPr="009621F7">
        <w:rPr>
          <w:sz w:val="24"/>
          <w:szCs w:val="24"/>
          <w:vertAlign w:val="subscript"/>
        </w:rPr>
        <w:t>1</w:t>
      </w:r>
      <w:r w:rsidRPr="009621F7">
        <w:rPr>
          <w:sz w:val="24"/>
          <w:szCs w:val="24"/>
        </w:rPr>
        <w:t>-C</w:t>
      </w:r>
      <w:r w:rsidRPr="009621F7">
        <w:rPr>
          <w:sz w:val="24"/>
          <w:szCs w:val="24"/>
          <w:vertAlign w:val="subscript"/>
        </w:rPr>
        <w:t>10</w:t>
      </w:r>
      <w:r w:rsidRPr="009621F7">
        <w:rPr>
          <w:sz w:val="24"/>
          <w:szCs w:val="24"/>
        </w:rPr>
        <w:t>), srednji (C</w:t>
      </w:r>
      <w:r w:rsidRPr="009621F7">
        <w:rPr>
          <w:sz w:val="24"/>
          <w:szCs w:val="24"/>
          <w:vertAlign w:val="subscript"/>
        </w:rPr>
        <w:t>12</w:t>
      </w:r>
      <w:r w:rsidRPr="009621F7">
        <w:rPr>
          <w:sz w:val="24"/>
          <w:szCs w:val="24"/>
        </w:rPr>
        <w:t>-C</w:t>
      </w:r>
      <w:r w:rsidRPr="009621F7">
        <w:rPr>
          <w:sz w:val="24"/>
          <w:szCs w:val="24"/>
          <w:vertAlign w:val="subscript"/>
        </w:rPr>
        <w:t>15</w:t>
      </w:r>
      <w:r w:rsidRPr="009621F7">
        <w:rPr>
          <w:sz w:val="24"/>
          <w:szCs w:val="24"/>
        </w:rPr>
        <w:t>) i dugački (C</w:t>
      </w:r>
      <w:r w:rsidRPr="009621F7">
        <w:rPr>
          <w:sz w:val="24"/>
          <w:szCs w:val="24"/>
          <w:vertAlign w:val="subscript"/>
        </w:rPr>
        <w:t>18</w:t>
      </w:r>
      <w:r w:rsidRPr="009621F7">
        <w:rPr>
          <w:sz w:val="24"/>
          <w:szCs w:val="24"/>
        </w:rPr>
        <w:t>-C</w:t>
      </w:r>
      <w:r w:rsidRPr="009621F7">
        <w:rPr>
          <w:sz w:val="24"/>
          <w:szCs w:val="24"/>
          <w:vertAlign w:val="subscript"/>
        </w:rPr>
        <w:t>20</w:t>
      </w:r>
      <w:r w:rsidRPr="009621F7">
        <w:rPr>
          <w:sz w:val="24"/>
          <w:szCs w:val="24"/>
        </w:rPr>
        <w:t xml:space="preserve">)) koja se koristi u proizvodnji </w:t>
      </w:r>
      <w:r w:rsidRPr="009621F7">
        <w:rPr>
          <w:sz w:val="24"/>
          <w:szCs w:val="24"/>
        </w:rPr>
        <w:lastRenderedPageBreak/>
        <w:t>metakrilnih estara. Alkil grupe s vi</w:t>
      </w:r>
      <w:r w:rsidRPr="009621F7">
        <w:rPr>
          <w:sz w:val="24"/>
          <w:szCs w:val="24"/>
          <w:lang w:val="sr-Latn-BA"/>
        </w:rPr>
        <w:t xml:space="preserve">še </w:t>
      </w:r>
      <w:proofErr w:type="gramStart"/>
      <w:r w:rsidRPr="009621F7">
        <w:rPr>
          <w:sz w:val="24"/>
          <w:szCs w:val="24"/>
          <w:lang w:val="sr-Latn-BA"/>
        </w:rPr>
        <w:t>od</w:t>
      </w:r>
      <w:proofErr w:type="gramEnd"/>
      <w:r w:rsidRPr="009621F7">
        <w:rPr>
          <w:sz w:val="24"/>
          <w:szCs w:val="24"/>
          <w:lang w:val="sr-Latn-BA"/>
        </w:rPr>
        <w:t xml:space="preserve"> 14 C-atoma stupaju u interakciju s parafinskim voskom u baznim uljima, te u vezi s tim komercijalni polimetakrilati objedinjuju osobine sniženja tačke tečenja i poboljšanja indeksa viskoznosti u istom makromolekulu. Do sniženja tačke tečenja dolazi jer d</w:t>
      </w:r>
      <w:r w:rsidRPr="009621F7">
        <w:rPr>
          <w:sz w:val="24"/>
          <w:szCs w:val="24"/>
        </w:rPr>
        <w:t>uge alkil grupe na metakrilatnom aditivu kokristalizuju s dugolančanim parafinima ulja, ometaju povezivanje parafinskih</w:t>
      </w:r>
      <w:r w:rsidR="001E418D">
        <w:rPr>
          <w:sz w:val="24"/>
          <w:szCs w:val="24"/>
        </w:rPr>
        <w:t xml:space="preserve"> </w:t>
      </w:r>
      <w:r w:rsidRPr="009621F7">
        <w:rPr>
          <w:sz w:val="24"/>
          <w:szCs w:val="24"/>
        </w:rPr>
        <w:t>kristala u veće nak</w:t>
      </w:r>
      <w:r w:rsidR="001E418D">
        <w:rPr>
          <w:sz w:val="24"/>
          <w:szCs w:val="24"/>
        </w:rPr>
        <w:t>upine i formiranje gela. [5</w:t>
      </w:r>
      <w:r w:rsidRPr="009621F7">
        <w:rPr>
          <w:sz w:val="24"/>
          <w:szCs w:val="24"/>
        </w:rPr>
        <w:t>].</w:t>
      </w:r>
    </w:p>
    <w:p w:rsidR="009621F7" w:rsidRPr="009621F7" w:rsidRDefault="009621F7" w:rsidP="009621F7">
      <w:pPr>
        <w:autoSpaceDE w:val="0"/>
        <w:autoSpaceDN w:val="0"/>
        <w:adjustRightInd w:val="0"/>
        <w:jc w:val="both"/>
        <w:rPr>
          <w:sz w:val="24"/>
          <w:szCs w:val="24"/>
        </w:rPr>
      </w:pPr>
      <w:r w:rsidRPr="009621F7">
        <w:rPr>
          <w:sz w:val="24"/>
          <w:szCs w:val="24"/>
        </w:rPr>
        <w:t xml:space="preserve">PMA ima izrazito dobru rastvorljivost u različitim tipovima baznih ulja a posjeduje i dobru toplotnu postojanost </w:t>
      </w:r>
      <w:r w:rsidR="001E418D">
        <w:rPr>
          <w:sz w:val="24"/>
          <w:szCs w:val="24"/>
        </w:rPr>
        <w:t>i oksidacionu stabilnost. [8]</w:t>
      </w:r>
      <w:r w:rsidRPr="009621F7">
        <w:rPr>
          <w:sz w:val="24"/>
          <w:szCs w:val="24"/>
        </w:rPr>
        <w:t xml:space="preserve"> Prosječna molekulska masa poboljšivača indeksa viskoznosti </w:t>
      </w:r>
      <w:proofErr w:type="gramStart"/>
      <w:r w:rsidRPr="009621F7">
        <w:rPr>
          <w:sz w:val="24"/>
          <w:szCs w:val="24"/>
        </w:rPr>
        <w:t>na</w:t>
      </w:r>
      <w:proofErr w:type="gramEnd"/>
      <w:r w:rsidRPr="009621F7">
        <w:rPr>
          <w:sz w:val="24"/>
          <w:szCs w:val="24"/>
        </w:rPr>
        <w:t xml:space="preserve"> osnovi polimetakrilata koji se koriste za motorna ulja je između 250 000 i 750 000 g/mol, a polidisperznost je M</w:t>
      </w:r>
      <w:r w:rsidRPr="009621F7">
        <w:rPr>
          <w:sz w:val="24"/>
          <w:szCs w:val="24"/>
          <w:vertAlign w:val="subscript"/>
        </w:rPr>
        <w:t>w</w:t>
      </w:r>
      <w:r w:rsidRPr="009621F7">
        <w:rPr>
          <w:sz w:val="24"/>
          <w:szCs w:val="24"/>
        </w:rPr>
        <w:t>/M</w:t>
      </w:r>
      <w:r w:rsidRPr="009621F7">
        <w:rPr>
          <w:sz w:val="24"/>
          <w:szCs w:val="24"/>
          <w:vertAlign w:val="subscript"/>
        </w:rPr>
        <w:t xml:space="preserve">n </w:t>
      </w:r>
      <w:r w:rsidR="001E418D">
        <w:rPr>
          <w:sz w:val="24"/>
          <w:szCs w:val="24"/>
        </w:rPr>
        <w:t>= 3-4 [11</w:t>
      </w:r>
      <w:r w:rsidRPr="009621F7">
        <w:rPr>
          <w:sz w:val="24"/>
          <w:szCs w:val="24"/>
        </w:rPr>
        <w:t xml:space="preserve">]. Komercijalni proizvodi su najčešće koncentrovani rastvori u baznom ulju </w:t>
      </w:r>
      <w:proofErr w:type="gramStart"/>
      <w:r w:rsidRPr="009621F7">
        <w:rPr>
          <w:sz w:val="24"/>
          <w:szCs w:val="24"/>
        </w:rPr>
        <w:t>sa</w:t>
      </w:r>
      <w:proofErr w:type="gramEnd"/>
      <w:r w:rsidRPr="009621F7">
        <w:rPr>
          <w:sz w:val="24"/>
          <w:szCs w:val="24"/>
        </w:rPr>
        <w:t xml:space="preserve"> sadržajem polimera 35-60%. Sadržaj čvrstog polimera može da bude i do 70% u komercijalnim proizvodima druge namjene (hidraulična ulja i ulja za mjenjače).</w:t>
      </w:r>
    </w:p>
    <w:p w:rsidR="009621F7" w:rsidRPr="009621F7" w:rsidRDefault="009621F7" w:rsidP="009621F7">
      <w:pPr>
        <w:autoSpaceDE w:val="0"/>
        <w:autoSpaceDN w:val="0"/>
        <w:adjustRightInd w:val="0"/>
        <w:jc w:val="both"/>
        <w:rPr>
          <w:sz w:val="24"/>
          <w:szCs w:val="24"/>
        </w:rPr>
      </w:pPr>
      <w:r w:rsidRPr="009621F7">
        <w:rPr>
          <w:sz w:val="24"/>
          <w:szCs w:val="24"/>
        </w:rPr>
        <w:t xml:space="preserve">S obzirom </w:t>
      </w:r>
      <w:proofErr w:type="gramStart"/>
      <w:r w:rsidRPr="009621F7">
        <w:rPr>
          <w:sz w:val="24"/>
          <w:szCs w:val="24"/>
        </w:rPr>
        <w:t>na</w:t>
      </w:r>
      <w:proofErr w:type="gramEnd"/>
      <w:r w:rsidRPr="009621F7">
        <w:rPr>
          <w:sz w:val="24"/>
          <w:szCs w:val="24"/>
        </w:rPr>
        <w:t xml:space="preserve"> povoljan odnos cijena/performance proizvodi polimetakrilata sa disperznim osobinama su komercijalno veoma zastupljeni. Nedostatak u odnosu </w:t>
      </w:r>
      <w:proofErr w:type="gramStart"/>
      <w:r w:rsidRPr="009621F7">
        <w:rPr>
          <w:sz w:val="24"/>
          <w:szCs w:val="24"/>
        </w:rPr>
        <w:t>na</w:t>
      </w:r>
      <w:proofErr w:type="gramEnd"/>
      <w:r w:rsidRPr="009621F7">
        <w:rPr>
          <w:sz w:val="24"/>
          <w:szCs w:val="24"/>
        </w:rPr>
        <w:t xml:space="preserve"> kopolimere alkena im je u manjoj sposobnosti poboljšanja viskoznosti za iste vrijednosti molarnih masa.</w:t>
      </w:r>
    </w:p>
    <w:p w:rsidR="009621F7" w:rsidRPr="009621F7" w:rsidRDefault="009621F7" w:rsidP="009621F7">
      <w:pPr>
        <w:autoSpaceDE w:val="0"/>
        <w:autoSpaceDN w:val="0"/>
        <w:adjustRightInd w:val="0"/>
        <w:jc w:val="both"/>
        <w:rPr>
          <w:sz w:val="24"/>
          <w:szCs w:val="24"/>
        </w:rPr>
      </w:pPr>
    </w:p>
    <w:p w:rsidR="009621F7" w:rsidRPr="009621F7" w:rsidRDefault="009621F7" w:rsidP="009621F7">
      <w:pPr>
        <w:autoSpaceDE w:val="0"/>
        <w:autoSpaceDN w:val="0"/>
        <w:adjustRightInd w:val="0"/>
        <w:rPr>
          <w:b/>
          <w:bCs/>
          <w:sz w:val="24"/>
          <w:szCs w:val="24"/>
        </w:rPr>
      </w:pPr>
      <w:r w:rsidRPr="009621F7">
        <w:rPr>
          <w:b/>
          <w:bCs/>
          <w:sz w:val="24"/>
          <w:szCs w:val="24"/>
        </w:rPr>
        <w:t>Olefinski kopolimeri (OCP)</w:t>
      </w:r>
    </w:p>
    <w:p w:rsidR="009621F7" w:rsidRPr="009621F7" w:rsidRDefault="009621F7" w:rsidP="009621F7">
      <w:pPr>
        <w:autoSpaceDE w:val="0"/>
        <w:autoSpaceDN w:val="0"/>
        <w:adjustRightInd w:val="0"/>
        <w:jc w:val="both"/>
        <w:rPr>
          <w:sz w:val="24"/>
          <w:szCs w:val="24"/>
        </w:rPr>
      </w:pPr>
      <w:r w:rsidRPr="009621F7">
        <w:rPr>
          <w:sz w:val="24"/>
          <w:szCs w:val="24"/>
        </w:rPr>
        <w:t xml:space="preserve">Olefinski kopolimeri su kopolimeri etilena i propilena i nastaju polimerizacijom u rastvoru. Maseni udio etilena u kopolimeru iznosi </w:t>
      </w:r>
      <w:proofErr w:type="gramStart"/>
      <w:r w:rsidRPr="009621F7">
        <w:rPr>
          <w:sz w:val="24"/>
          <w:szCs w:val="24"/>
        </w:rPr>
        <w:t>od</w:t>
      </w:r>
      <w:proofErr w:type="gramEnd"/>
      <w:r w:rsidRPr="009621F7">
        <w:rPr>
          <w:sz w:val="24"/>
          <w:szCs w:val="24"/>
        </w:rPr>
        <w:t xml:space="preserve"> 40 - 60 % m/m. Njihov odnos u poboljšivaču viskoznosti je kompromis između sposobnosti ugušćenja, odnosno povećanja viskoznosti na visokim temperaturama i rastvorljivosti na niskoj temperaturi. S povećanjem udjela viskoznosti povećava se viskoznost rastvora, </w:t>
      </w:r>
      <w:proofErr w:type="gramStart"/>
      <w:r w:rsidRPr="009621F7">
        <w:rPr>
          <w:sz w:val="24"/>
          <w:szCs w:val="24"/>
        </w:rPr>
        <w:t>ali</w:t>
      </w:r>
      <w:proofErr w:type="gramEnd"/>
      <w:r w:rsidRPr="009621F7">
        <w:rPr>
          <w:sz w:val="24"/>
          <w:szCs w:val="24"/>
        </w:rPr>
        <w:t xml:space="preserve"> previše etilena dovodi do kristalizacije polimera i nerastvorljivosti na nižim temperaturama. Kopolimeri s veoma visokim udjelom etilena povećavaju sklonost stvaranju kristalnih struktura s parafinskim ugljovodonicima mineralnog baznog ulja </w:t>
      </w:r>
      <w:proofErr w:type="gramStart"/>
      <w:r w:rsidRPr="009621F7">
        <w:rPr>
          <w:sz w:val="24"/>
          <w:szCs w:val="24"/>
        </w:rPr>
        <w:t>te</w:t>
      </w:r>
      <w:proofErr w:type="gramEnd"/>
      <w:r w:rsidRPr="009621F7">
        <w:rPr>
          <w:sz w:val="24"/>
          <w:szCs w:val="24"/>
        </w:rPr>
        <w:t xml:space="preserve"> time smanjuju protok ulja. Povećano učešće propilena takođe nije poželjno, zbog male oksidacione stabilnosti. OCP posjeduje i dobru rastvorljivost </w:t>
      </w:r>
      <w:proofErr w:type="gramStart"/>
      <w:r w:rsidRPr="009621F7">
        <w:rPr>
          <w:sz w:val="24"/>
          <w:szCs w:val="24"/>
        </w:rPr>
        <w:t>te</w:t>
      </w:r>
      <w:proofErr w:type="gramEnd"/>
      <w:r w:rsidRPr="009621F7">
        <w:rPr>
          <w:sz w:val="24"/>
          <w:szCs w:val="24"/>
        </w:rPr>
        <w:t xml:space="preserve"> toplotnu stabilnost. OCP karakteriše izvrsna sposobnost ugušćivanja, te on ima važnu primjenu kao poboljšivač indeksa viskoznosti u motornim uljima, čije su polidisperznosti M</w:t>
      </w:r>
      <w:r w:rsidRPr="009621F7">
        <w:rPr>
          <w:sz w:val="24"/>
          <w:szCs w:val="24"/>
          <w:vertAlign w:val="subscript"/>
        </w:rPr>
        <w:t>w</w:t>
      </w:r>
      <w:r w:rsidRPr="009621F7">
        <w:rPr>
          <w:sz w:val="24"/>
          <w:szCs w:val="24"/>
        </w:rPr>
        <w:t>/M</w:t>
      </w:r>
      <w:r w:rsidRPr="009621F7">
        <w:rPr>
          <w:sz w:val="24"/>
          <w:szCs w:val="24"/>
          <w:vertAlign w:val="subscript"/>
        </w:rPr>
        <w:t xml:space="preserve">n </w:t>
      </w:r>
      <w:r w:rsidR="002B2B1D">
        <w:rPr>
          <w:sz w:val="24"/>
          <w:szCs w:val="24"/>
        </w:rPr>
        <w:t>= 2 - 2</w:t>
      </w:r>
      <w:proofErr w:type="gramStart"/>
      <w:r w:rsidR="002B2B1D">
        <w:rPr>
          <w:sz w:val="24"/>
          <w:szCs w:val="24"/>
        </w:rPr>
        <w:t>,5</w:t>
      </w:r>
      <w:proofErr w:type="gramEnd"/>
      <w:r w:rsidR="002B2B1D">
        <w:rPr>
          <w:sz w:val="24"/>
          <w:szCs w:val="24"/>
        </w:rPr>
        <w:t>. Prosječ</w:t>
      </w:r>
      <w:r w:rsidRPr="009621F7">
        <w:rPr>
          <w:sz w:val="24"/>
          <w:szCs w:val="24"/>
        </w:rPr>
        <w:t xml:space="preserve">na molekulska masa OCP kopolimera, kreće se od 50 000 do 200 000 g/mol. Ovi poboljšivači indeksa viskoznosti ne posjeduju svojstvo poboljšavanja tačke tečenja, već se u tu svrhu miješaju s 2-3 % konvencionalnih poboljšavača tačke tečenja. Kao komercijalni proizvodi nalaze se u čvrstom obliku </w:t>
      </w:r>
      <w:proofErr w:type="gramStart"/>
      <w:r w:rsidRPr="009621F7">
        <w:rPr>
          <w:sz w:val="24"/>
          <w:szCs w:val="24"/>
        </w:rPr>
        <w:t>ili</w:t>
      </w:r>
      <w:proofErr w:type="gramEnd"/>
      <w:r w:rsidRPr="009621F7">
        <w:rPr>
          <w:sz w:val="24"/>
          <w:szCs w:val="24"/>
        </w:rPr>
        <w:t xml:space="preserve"> koncentrovani rastvori u baznom ulju (6-15%). Prednost OCP u odnosu </w:t>
      </w:r>
      <w:proofErr w:type="gramStart"/>
      <w:r w:rsidRPr="009621F7">
        <w:rPr>
          <w:sz w:val="24"/>
          <w:szCs w:val="24"/>
        </w:rPr>
        <w:t>na</w:t>
      </w:r>
      <w:proofErr w:type="gramEnd"/>
      <w:r w:rsidRPr="009621F7">
        <w:rPr>
          <w:sz w:val="24"/>
          <w:szCs w:val="24"/>
        </w:rPr>
        <w:t xml:space="preserve"> druge poboljšivače indeksa visk</w:t>
      </w:r>
      <w:r w:rsidR="002B2B1D">
        <w:rPr>
          <w:sz w:val="24"/>
          <w:szCs w:val="24"/>
        </w:rPr>
        <w:t>oznosti je niska cijena. [8]</w:t>
      </w:r>
    </w:p>
    <w:p w:rsidR="009621F7" w:rsidRPr="009621F7" w:rsidRDefault="009621F7" w:rsidP="009621F7">
      <w:pPr>
        <w:autoSpaceDE w:val="0"/>
        <w:autoSpaceDN w:val="0"/>
        <w:adjustRightInd w:val="0"/>
        <w:jc w:val="both"/>
        <w:rPr>
          <w:sz w:val="24"/>
          <w:szCs w:val="24"/>
        </w:rPr>
      </w:pPr>
    </w:p>
    <w:p w:rsidR="009621F7" w:rsidRPr="009621F7" w:rsidRDefault="002B2B1D" w:rsidP="009621F7">
      <w:pPr>
        <w:autoSpaceDE w:val="0"/>
        <w:autoSpaceDN w:val="0"/>
        <w:adjustRightInd w:val="0"/>
        <w:jc w:val="both"/>
        <w:rPr>
          <w:b/>
          <w:sz w:val="24"/>
          <w:szCs w:val="24"/>
        </w:rPr>
      </w:pPr>
      <w:r>
        <w:rPr>
          <w:b/>
          <w:sz w:val="24"/>
          <w:szCs w:val="24"/>
        </w:rPr>
        <w:t>Hidrogenovani</w:t>
      </w:r>
      <w:r w:rsidR="009621F7" w:rsidRPr="009621F7">
        <w:rPr>
          <w:b/>
          <w:sz w:val="24"/>
          <w:szCs w:val="24"/>
        </w:rPr>
        <w:t xml:space="preserve"> stiren-dienski kopolimeri</w:t>
      </w:r>
    </w:p>
    <w:p w:rsidR="009621F7" w:rsidRPr="009621F7" w:rsidRDefault="009621F7" w:rsidP="009621F7">
      <w:pPr>
        <w:autoSpaceDE w:val="0"/>
        <w:autoSpaceDN w:val="0"/>
        <w:adjustRightInd w:val="0"/>
        <w:jc w:val="both"/>
        <w:rPr>
          <w:sz w:val="24"/>
          <w:szCs w:val="24"/>
        </w:rPr>
      </w:pPr>
      <w:r w:rsidRPr="009621F7">
        <w:rPr>
          <w:sz w:val="24"/>
          <w:szCs w:val="24"/>
        </w:rPr>
        <w:t>Stiren-dien kopolimeri se dobijaju anjonskom polimerizacijom stirena i diena.</w:t>
      </w:r>
      <w:r w:rsidR="002B2B1D">
        <w:rPr>
          <w:sz w:val="24"/>
          <w:szCs w:val="24"/>
        </w:rPr>
        <w:t xml:space="preserve"> </w:t>
      </w:r>
      <w:r w:rsidRPr="009621F7">
        <w:rPr>
          <w:sz w:val="24"/>
          <w:szCs w:val="24"/>
        </w:rPr>
        <w:t xml:space="preserve">Polimerizacijom u rastvoru dobije se koncentracija čvrstog polimera 20-25%. Komercijalni polimer se isporučuje u obliku koncentrovanog rastvora (6-20%), u obliku granula </w:t>
      </w:r>
      <w:proofErr w:type="gramStart"/>
      <w:r w:rsidRPr="009621F7">
        <w:rPr>
          <w:sz w:val="24"/>
          <w:szCs w:val="24"/>
        </w:rPr>
        <w:t>ili</w:t>
      </w:r>
      <w:proofErr w:type="gramEnd"/>
      <w:r w:rsidRPr="009621F7">
        <w:rPr>
          <w:sz w:val="24"/>
          <w:szCs w:val="24"/>
        </w:rPr>
        <w:t xml:space="preserve"> u obliku čvrstih blokova, dobijenih presovanjem. Anjonskom polimerizacijom nastaju polimeri </w:t>
      </w:r>
      <w:proofErr w:type="gramStart"/>
      <w:r w:rsidRPr="009621F7">
        <w:rPr>
          <w:sz w:val="24"/>
          <w:szCs w:val="24"/>
        </w:rPr>
        <w:t>sa</w:t>
      </w:r>
      <w:proofErr w:type="gramEnd"/>
      <w:r w:rsidRPr="009621F7">
        <w:rPr>
          <w:sz w:val="24"/>
          <w:szCs w:val="24"/>
        </w:rPr>
        <w:t xml:space="preserve"> uskom raspodjelom molarnih masa, te zbog toga posjeduju odličnu sposobnost ugušćenja. Međutim, prisustvo aromatskih prstenova i dvostrukih veza čini ove polimere više osjetljivim </w:t>
      </w:r>
      <w:proofErr w:type="gramStart"/>
      <w:r w:rsidRPr="009621F7">
        <w:rPr>
          <w:sz w:val="24"/>
          <w:szCs w:val="24"/>
        </w:rPr>
        <w:t>na</w:t>
      </w:r>
      <w:proofErr w:type="gramEnd"/>
      <w:r w:rsidRPr="009621F7">
        <w:rPr>
          <w:sz w:val="24"/>
          <w:szCs w:val="24"/>
        </w:rPr>
        <w:t xml:space="preserve"> oksidaciju, naročito ako se preostale dvostruke veze potpunosti ne zasite katalitičkim hidrogenovanjem, koje obavezno slijedi nakon polimerizacije. </w:t>
      </w:r>
    </w:p>
    <w:p w:rsidR="009621F7" w:rsidRPr="009621F7" w:rsidRDefault="009621F7" w:rsidP="009621F7">
      <w:pPr>
        <w:autoSpaceDE w:val="0"/>
        <w:autoSpaceDN w:val="0"/>
        <w:adjustRightInd w:val="0"/>
        <w:jc w:val="both"/>
        <w:rPr>
          <w:sz w:val="24"/>
          <w:szCs w:val="24"/>
        </w:rPr>
      </w:pPr>
      <w:r w:rsidRPr="009621F7">
        <w:rPr>
          <w:sz w:val="24"/>
          <w:szCs w:val="24"/>
        </w:rPr>
        <w:t xml:space="preserve">Zavisno </w:t>
      </w:r>
      <w:proofErr w:type="gramStart"/>
      <w:r w:rsidRPr="009621F7">
        <w:rPr>
          <w:sz w:val="24"/>
          <w:szCs w:val="24"/>
        </w:rPr>
        <w:t>od</w:t>
      </w:r>
      <w:proofErr w:type="gramEnd"/>
      <w:r w:rsidRPr="009621F7">
        <w:rPr>
          <w:sz w:val="24"/>
          <w:szCs w:val="24"/>
        </w:rPr>
        <w:t xml:space="preserve"> vrste prisutnog diena razlikuju se stiren-butadienski (SBC) i stirenizoprenski (SIP) kopolimeri. Odlikuju se optimalnom molekulskom masom otpornom </w:t>
      </w:r>
      <w:proofErr w:type="gramStart"/>
      <w:r w:rsidRPr="009621F7">
        <w:rPr>
          <w:sz w:val="24"/>
          <w:szCs w:val="24"/>
        </w:rPr>
        <w:t>na</w:t>
      </w:r>
      <w:proofErr w:type="gramEnd"/>
      <w:r w:rsidRPr="009621F7">
        <w:rPr>
          <w:sz w:val="24"/>
          <w:szCs w:val="24"/>
        </w:rPr>
        <w:t xml:space="preserve"> smična naprezanja prilikom upotrebe u motornim uljima.</w:t>
      </w:r>
      <w:r w:rsidR="002B2B1D">
        <w:rPr>
          <w:sz w:val="24"/>
          <w:szCs w:val="24"/>
        </w:rPr>
        <w:t xml:space="preserve"> </w:t>
      </w:r>
      <w:r w:rsidRPr="009621F7">
        <w:rPr>
          <w:sz w:val="24"/>
          <w:szCs w:val="24"/>
        </w:rPr>
        <w:t>Glavni nedostatak im je vis</w:t>
      </w:r>
      <w:r w:rsidR="002B2B1D">
        <w:rPr>
          <w:sz w:val="24"/>
          <w:szCs w:val="24"/>
        </w:rPr>
        <w:t>oka cijena. [8]</w:t>
      </w:r>
    </w:p>
    <w:p w:rsidR="00B61D1A" w:rsidRDefault="009621F7" w:rsidP="00D72A43">
      <w:pPr>
        <w:autoSpaceDE w:val="0"/>
        <w:autoSpaceDN w:val="0"/>
        <w:adjustRightInd w:val="0"/>
        <w:jc w:val="both"/>
        <w:rPr>
          <w:sz w:val="24"/>
          <w:szCs w:val="24"/>
        </w:rPr>
      </w:pPr>
      <w:r w:rsidRPr="009621F7">
        <w:rPr>
          <w:sz w:val="24"/>
          <w:szCs w:val="24"/>
        </w:rPr>
        <w:t xml:space="preserve">Stiren-izoprenski kopolimeri posjeduju dobra visokotemperaturna i niskotemperaturna svojstva (pumpabilnost). Prosječna molekulska masa stiren-izoprenskih kopolimera kreće se </w:t>
      </w:r>
      <w:proofErr w:type="gramStart"/>
      <w:r w:rsidRPr="009621F7">
        <w:rPr>
          <w:sz w:val="24"/>
          <w:szCs w:val="24"/>
        </w:rPr>
        <w:t>od</w:t>
      </w:r>
      <w:proofErr w:type="gramEnd"/>
      <w:r w:rsidRPr="009621F7">
        <w:rPr>
          <w:sz w:val="24"/>
          <w:szCs w:val="24"/>
        </w:rPr>
        <w:t xml:space="preserve"> 50 000 do 100 000 g/mol. Najširu primjenu imaju kod motornih ulja. Takođe se mogu koristiti i u drugim područjima primjene uz stroge zahtjeve za smičnu stabilnost, </w:t>
      </w:r>
      <w:proofErr w:type="gramStart"/>
      <w:r w:rsidRPr="009621F7">
        <w:rPr>
          <w:sz w:val="24"/>
          <w:szCs w:val="24"/>
        </w:rPr>
        <w:t>npr</w:t>
      </w:r>
      <w:proofErr w:type="gramEnd"/>
      <w:r w:rsidR="00D72A43">
        <w:rPr>
          <w:sz w:val="24"/>
          <w:szCs w:val="24"/>
        </w:rPr>
        <w:t xml:space="preserve">. </w:t>
      </w:r>
      <w:proofErr w:type="gramStart"/>
      <w:r w:rsidR="00D72A43">
        <w:rPr>
          <w:sz w:val="24"/>
          <w:szCs w:val="24"/>
        </w:rPr>
        <w:t>kod</w:t>
      </w:r>
      <w:proofErr w:type="gramEnd"/>
      <w:r w:rsidR="00D72A43">
        <w:rPr>
          <w:sz w:val="24"/>
          <w:szCs w:val="24"/>
        </w:rPr>
        <w:t xml:space="preserve"> </w:t>
      </w:r>
      <w:r w:rsidR="00D72A43">
        <w:rPr>
          <w:sz w:val="24"/>
          <w:szCs w:val="24"/>
        </w:rPr>
        <w:lastRenderedPageBreak/>
        <w:t>transmisija u traktorima.</w:t>
      </w:r>
    </w:p>
    <w:p w:rsidR="00065CE5" w:rsidRDefault="00065CE5" w:rsidP="00D72A43">
      <w:pPr>
        <w:autoSpaceDE w:val="0"/>
        <w:autoSpaceDN w:val="0"/>
        <w:adjustRightInd w:val="0"/>
        <w:jc w:val="both"/>
        <w:rPr>
          <w:sz w:val="24"/>
          <w:szCs w:val="24"/>
        </w:rPr>
      </w:pPr>
    </w:p>
    <w:p w:rsidR="00065CE5" w:rsidRPr="00D72A43" w:rsidRDefault="00065CE5" w:rsidP="00D72A43">
      <w:pPr>
        <w:autoSpaceDE w:val="0"/>
        <w:autoSpaceDN w:val="0"/>
        <w:adjustRightInd w:val="0"/>
        <w:jc w:val="both"/>
        <w:rPr>
          <w:sz w:val="24"/>
          <w:szCs w:val="24"/>
        </w:rPr>
      </w:pPr>
    </w:p>
    <w:p w:rsidR="00760075" w:rsidRPr="00646F54" w:rsidRDefault="00646F54" w:rsidP="00760075">
      <w:pPr>
        <w:jc w:val="center"/>
        <w:rPr>
          <w:b/>
          <w:sz w:val="28"/>
          <w:szCs w:val="28"/>
          <w:lang w:val="sr-Latn-BA"/>
        </w:rPr>
      </w:pPr>
      <w:r w:rsidRPr="00646F54">
        <w:rPr>
          <w:b/>
          <w:sz w:val="28"/>
          <w:szCs w:val="28"/>
          <w:lang w:val="sr-Latn-BA"/>
        </w:rPr>
        <w:t>MATERIJAL I METODE RADA</w:t>
      </w:r>
    </w:p>
    <w:p w:rsidR="00760075" w:rsidRPr="00EA4227" w:rsidRDefault="00760075" w:rsidP="00760075">
      <w:pPr>
        <w:jc w:val="both"/>
        <w:rPr>
          <w:sz w:val="24"/>
          <w:szCs w:val="24"/>
          <w:lang w:val="sr-Cyrl-CS"/>
        </w:rPr>
      </w:pPr>
    </w:p>
    <w:p w:rsidR="004F43CB" w:rsidRDefault="009621F7" w:rsidP="009621F7">
      <w:pPr>
        <w:autoSpaceDE w:val="0"/>
        <w:autoSpaceDN w:val="0"/>
        <w:adjustRightInd w:val="0"/>
        <w:jc w:val="both"/>
        <w:rPr>
          <w:sz w:val="24"/>
          <w:szCs w:val="24"/>
        </w:rPr>
      </w:pPr>
      <w:r w:rsidRPr="009621F7">
        <w:rPr>
          <w:sz w:val="24"/>
          <w:szCs w:val="24"/>
        </w:rPr>
        <w:t>Eksperimentalna ispitivanja su vršena u laboratorijskim uslovima.</w:t>
      </w:r>
      <w:r w:rsidR="0012781A">
        <w:rPr>
          <w:sz w:val="24"/>
          <w:szCs w:val="24"/>
        </w:rPr>
        <w:t xml:space="preserve"> Sva ispitivana bazna ulja i polimeri su komercijalni proizvodi poznatih evropskih proizvođača. Kao poboljšivač indeksa viskoznosti korišćen je olefin kopolimer.  </w:t>
      </w:r>
      <w:r w:rsidRPr="009621F7">
        <w:rPr>
          <w:sz w:val="24"/>
          <w:szCs w:val="24"/>
        </w:rPr>
        <w:t xml:space="preserve">Za analizu su pripremljeni rastvori </w:t>
      </w:r>
      <w:r w:rsidR="00E87024">
        <w:rPr>
          <w:sz w:val="24"/>
          <w:szCs w:val="24"/>
        </w:rPr>
        <w:t xml:space="preserve">poboljšivača viskoznosti </w:t>
      </w:r>
      <w:r w:rsidRPr="009621F7">
        <w:rPr>
          <w:sz w:val="24"/>
          <w:szCs w:val="24"/>
        </w:rPr>
        <w:t>tri vrste baznih ulja: mineralna bazna ulja, hidrokrekovana bazna ulja i polialfaolefini</w:t>
      </w:r>
      <w:r w:rsidR="00E87024">
        <w:rPr>
          <w:sz w:val="24"/>
          <w:szCs w:val="24"/>
        </w:rPr>
        <w:t xml:space="preserve"> (tabela 1)</w:t>
      </w:r>
      <w:r w:rsidRPr="009621F7">
        <w:rPr>
          <w:sz w:val="24"/>
          <w:szCs w:val="24"/>
        </w:rPr>
        <w:t>. Priprema uzoraka je obuhvatala rastvaranje polimera u baznom ulju uz konstantno m</w:t>
      </w:r>
      <w:r w:rsidR="002B2B1D">
        <w:rPr>
          <w:sz w:val="24"/>
          <w:szCs w:val="24"/>
        </w:rPr>
        <w:t>i</w:t>
      </w:r>
      <w:r w:rsidRPr="009621F7">
        <w:rPr>
          <w:sz w:val="24"/>
          <w:szCs w:val="24"/>
        </w:rPr>
        <w:t xml:space="preserve">ješanje radi homogenizacije i efikasnijeg rastvaranja uz zagrijavanje </w:t>
      </w:r>
      <w:proofErr w:type="gramStart"/>
      <w:r w:rsidRPr="009621F7">
        <w:rPr>
          <w:sz w:val="24"/>
          <w:szCs w:val="24"/>
        </w:rPr>
        <w:t>na</w:t>
      </w:r>
      <w:proofErr w:type="gramEnd"/>
      <w:r w:rsidRPr="009621F7">
        <w:rPr>
          <w:sz w:val="24"/>
          <w:szCs w:val="24"/>
        </w:rPr>
        <w:t xml:space="preserve"> temperaturi od 90</w:t>
      </w:r>
      <w:r w:rsidRPr="009621F7">
        <w:rPr>
          <w:sz w:val="24"/>
          <w:szCs w:val="24"/>
          <w:vertAlign w:val="superscript"/>
        </w:rPr>
        <w:t>o</w:t>
      </w:r>
      <w:r w:rsidRPr="009621F7">
        <w:rPr>
          <w:sz w:val="24"/>
          <w:szCs w:val="24"/>
        </w:rPr>
        <w:t>C. Poboljšivač viskoznosti je rastvoren u uzorcima baznih ulja u rasponu koncentracija od 0</w:t>
      </w:r>
      <w:proofErr w:type="gramStart"/>
      <w:r w:rsidRPr="009621F7">
        <w:rPr>
          <w:sz w:val="24"/>
          <w:szCs w:val="24"/>
        </w:rPr>
        <w:t>,3</w:t>
      </w:r>
      <w:proofErr w:type="gramEnd"/>
      <w:r w:rsidRPr="009621F7">
        <w:rPr>
          <w:sz w:val="24"/>
          <w:szCs w:val="24"/>
        </w:rPr>
        <w:t>% do 1,2%.</w:t>
      </w:r>
    </w:p>
    <w:p w:rsidR="0012781A" w:rsidRPr="0012781A" w:rsidRDefault="0012781A" w:rsidP="009621F7">
      <w:pPr>
        <w:autoSpaceDE w:val="0"/>
        <w:autoSpaceDN w:val="0"/>
        <w:adjustRightInd w:val="0"/>
        <w:jc w:val="both"/>
        <w:rPr>
          <w:sz w:val="24"/>
          <w:szCs w:val="24"/>
        </w:rPr>
      </w:pPr>
    </w:p>
    <w:p w:rsidR="009621F7" w:rsidRDefault="009621F7" w:rsidP="009621F7">
      <w:pPr>
        <w:autoSpaceDE w:val="0"/>
        <w:autoSpaceDN w:val="0"/>
        <w:adjustRightInd w:val="0"/>
        <w:jc w:val="center"/>
        <w:rPr>
          <w:sz w:val="24"/>
          <w:szCs w:val="24"/>
        </w:rPr>
      </w:pPr>
      <w:r w:rsidRPr="0012781A">
        <w:rPr>
          <w:sz w:val="24"/>
          <w:szCs w:val="24"/>
        </w:rPr>
        <w:t xml:space="preserve">Tabela 1. </w:t>
      </w:r>
      <w:r w:rsidR="004F43CB">
        <w:rPr>
          <w:sz w:val="24"/>
          <w:szCs w:val="24"/>
        </w:rPr>
        <w:t xml:space="preserve">Fizičko-hemijske karakteristike ispitivanih </w:t>
      </w:r>
      <w:r w:rsidRPr="0012781A">
        <w:rPr>
          <w:sz w:val="24"/>
          <w:szCs w:val="24"/>
        </w:rPr>
        <w:t xml:space="preserve">baznih ulja i </w:t>
      </w:r>
      <w:r w:rsidR="004F43CB">
        <w:rPr>
          <w:sz w:val="24"/>
          <w:szCs w:val="24"/>
        </w:rPr>
        <w:t>metode ispitivanja</w:t>
      </w:r>
    </w:p>
    <w:p w:rsidR="00233268" w:rsidRDefault="00233268" w:rsidP="009621F7">
      <w:pPr>
        <w:autoSpaceDE w:val="0"/>
        <w:autoSpaceDN w:val="0"/>
        <w:adjustRightInd w:val="0"/>
        <w:jc w:val="center"/>
        <w:rPr>
          <w:sz w:val="24"/>
          <w:szCs w:val="24"/>
        </w:rPr>
      </w:pPr>
      <w:r>
        <w:rPr>
          <w:sz w:val="24"/>
          <w:szCs w:val="24"/>
        </w:rPr>
        <w:t xml:space="preserve">Table 1. </w:t>
      </w:r>
      <w:r w:rsidRPr="00233268">
        <w:rPr>
          <w:sz w:val="24"/>
          <w:szCs w:val="24"/>
        </w:rPr>
        <w:t>Physico-chemical characteristics of the test base oils and test methods</w:t>
      </w:r>
    </w:p>
    <w:tbl>
      <w:tblPr>
        <w:tblStyle w:val="TableGrid"/>
        <w:tblW w:w="0" w:type="auto"/>
        <w:tblLook w:val="04A0" w:firstRow="1" w:lastRow="0" w:firstColumn="1" w:lastColumn="0" w:noHBand="0" w:noVBand="1"/>
      </w:tblPr>
      <w:tblGrid>
        <w:gridCol w:w="2737"/>
        <w:gridCol w:w="1808"/>
        <w:gridCol w:w="1517"/>
        <w:gridCol w:w="1515"/>
        <w:gridCol w:w="1440"/>
      </w:tblGrid>
      <w:tr w:rsidR="004F43CB" w:rsidTr="002D23F5">
        <w:trPr>
          <w:trHeight w:val="278"/>
        </w:trPr>
        <w:tc>
          <w:tcPr>
            <w:tcW w:w="2802" w:type="dxa"/>
            <w:vMerge w:val="restart"/>
          </w:tcPr>
          <w:p w:rsidR="004F43CB" w:rsidRDefault="004F43CB" w:rsidP="009621F7">
            <w:pPr>
              <w:autoSpaceDE w:val="0"/>
              <w:autoSpaceDN w:val="0"/>
              <w:adjustRightInd w:val="0"/>
              <w:jc w:val="center"/>
              <w:rPr>
                <w:sz w:val="24"/>
                <w:szCs w:val="24"/>
              </w:rPr>
            </w:pPr>
            <w:r>
              <w:rPr>
                <w:sz w:val="24"/>
                <w:szCs w:val="24"/>
              </w:rPr>
              <w:t>Fizičko-hemijska karakteristika</w:t>
            </w:r>
          </w:p>
        </w:tc>
        <w:tc>
          <w:tcPr>
            <w:tcW w:w="1842" w:type="dxa"/>
            <w:vMerge w:val="restart"/>
          </w:tcPr>
          <w:p w:rsidR="004F43CB" w:rsidRDefault="004F43CB" w:rsidP="009621F7">
            <w:pPr>
              <w:autoSpaceDE w:val="0"/>
              <w:autoSpaceDN w:val="0"/>
              <w:adjustRightInd w:val="0"/>
              <w:jc w:val="center"/>
              <w:rPr>
                <w:sz w:val="24"/>
                <w:szCs w:val="24"/>
              </w:rPr>
            </w:pPr>
            <w:r>
              <w:rPr>
                <w:sz w:val="24"/>
                <w:szCs w:val="24"/>
              </w:rPr>
              <w:t>Metoda ispitivanja</w:t>
            </w:r>
          </w:p>
        </w:tc>
        <w:tc>
          <w:tcPr>
            <w:tcW w:w="4599" w:type="dxa"/>
            <w:gridSpan w:val="3"/>
          </w:tcPr>
          <w:p w:rsidR="004F43CB" w:rsidRDefault="004F43CB" w:rsidP="009621F7">
            <w:pPr>
              <w:autoSpaceDE w:val="0"/>
              <w:autoSpaceDN w:val="0"/>
              <w:adjustRightInd w:val="0"/>
              <w:jc w:val="center"/>
              <w:rPr>
                <w:sz w:val="24"/>
                <w:szCs w:val="24"/>
              </w:rPr>
            </w:pPr>
            <w:r>
              <w:rPr>
                <w:sz w:val="24"/>
                <w:szCs w:val="24"/>
              </w:rPr>
              <w:t>Bazno ulje</w:t>
            </w:r>
          </w:p>
        </w:tc>
      </w:tr>
      <w:tr w:rsidR="004F43CB" w:rsidTr="002D23F5">
        <w:trPr>
          <w:trHeight w:val="277"/>
        </w:trPr>
        <w:tc>
          <w:tcPr>
            <w:tcW w:w="2802" w:type="dxa"/>
            <w:vMerge/>
          </w:tcPr>
          <w:p w:rsidR="004F43CB" w:rsidRDefault="004F43CB" w:rsidP="009621F7">
            <w:pPr>
              <w:autoSpaceDE w:val="0"/>
              <w:autoSpaceDN w:val="0"/>
              <w:adjustRightInd w:val="0"/>
              <w:jc w:val="center"/>
              <w:rPr>
                <w:sz w:val="24"/>
                <w:szCs w:val="24"/>
              </w:rPr>
            </w:pPr>
          </w:p>
        </w:tc>
        <w:tc>
          <w:tcPr>
            <w:tcW w:w="1842" w:type="dxa"/>
            <w:vMerge/>
          </w:tcPr>
          <w:p w:rsidR="004F43CB" w:rsidRDefault="004F43CB" w:rsidP="009621F7">
            <w:pPr>
              <w:autoSpaceDE w:val="0"/>
              <w:autoSpaceDN w:val="0"/>
              <w:adjustRightInd w:val="0"/>
              <w:jc w:val="center"/>
              <w:rPr>
                <w:sz w:val="24"/>
                <w:szCs w:val="24"/>
              </w:rPr>
            </w:pPr>
          </w:p>
        </w:tc>
        <w:tc>
          <w:tcPr>
            <w:tcW w:w="1560" w:type="dxa"/>
          </w:tcPr>
          <w:p w:rsidR="004F43CB" w:rsidRDefault="004F43CB" w:rsidP="009621F7">
            <w:pPr>
              <w:autoSpaceDE w:val="0"/>
              <w:autoSpaceDN w:val="0"/>
              <w:adjustRightInd w:val="0"/>
              <w:jc w:val="center"/>
              <w:rPr>
                <w:sz w:val="24"/>
                <w:szCs w:val="24"/>
              </w:rPr>
            </w:pPr>
            <w:r>
              <w:rPr>
                <w:sz w:val="24"/>
                <w:szCs w:val="24"/>
              </w:rPr>
              <w:t>PAO 6</w:t>
            </w:r>
          </w:p>
        </w:tc>
        <w:tc>
          <w:tcPr>
            <w:tcW w:w="1559" w:type="dxa"/>
          </w:tcPr>
          <w:p w:rsidR="004F43CB" w:rsidRDefault="004F43CB" w:rsidP="009621F7">
            <w:pPr>
              <w:autoSpaceDE w:val="0"/>
              <w:autoSpaceDN w:val="0"/>
              <w:adjustRightInd w:val="0"/>
              <w:jc w:val="center"/>
              <w:rPr>
                <w:sz w:val="24"/>
                <w:szCs w:val="24"/>
              </w:rPr>
            </w:pPr>
            <w:r>
              <w:rPr>
                <w:sz w:val="24"/>
                <w:szCs w:val="24"/>
              </w:rPr>
              <w:t>HC 6</w:t>
            </w:r>
          </w:p>
        </w:tc>
        <w:tc>
          <w:tcPr>
            <w:tcW w:w="1480" w:type="dxa"/>
          </w:tcPr>
          <w:p w:rsidR="004F43CB" w:rsidRDefault="004F43CB" w:rsidP="009621F7">
            <w:pPr>
              <w:autoSpaceDE w:val="0"/>
              <w:autoSpaceDN w:val="0"/>
              <w:adjustRightInd w:val="0"/>
              <w:jc w:val="center"/>
              <w:rPr>
                <w:sz w:val="24"/>
                <w:szCs w:val="24"/>
              </w:rPr>
            </w:pPr>
            <w:r>
              <w:rPr>
                <w:sz w:val="24"/>
                <w:szCs w:val="24"/>
              </w:rPr>
              <w:t>SN 150</w:t>
            </w:r>
          </w:p>
        </w:tc>
      </w:tr>
      <w:tr w:rsidR="004F43CB" w:rsidTr="002D23F5">
        <w:tc>
          <w:tcPr>
            <w:tcW w:w="2802" w:type="dxa"/>
          </w:tcPr>
          <w:p w:rsidR="004F43CB" w:rsidRPr="004F43CB" w:rsidRDefault="004F43CB" w:rsidP="009621F7">
            <w:pPr>
              <w:autoSpaceDE w:val="0"/>
              <w:autoSpaceDN w:val="0"/>
              <w:adjustRightInd w:val="0"/>
              <w:jc w:val="center"/>
              <w:rPr>
                <w:sz w:val="24"/>
                <w:szCs w:val="24"/>
              </w:rPr>
            </w:pPr>
            <w:r>
              <w:rPr>
                <w:sz w:val="24"/>
                <w:szCs w:val="24"/>
              </w:rPr>
              <w:t>Kinematička viskoznost na 100</w:t>
            </w:r>
            <w:r>
              <w:rPr>
                <w:sz w:val="24"/>
                <w:szCs w:val="24"/>
                <w:vertAlign w:val="superscript"/>
              </w:rPr>
              <w:t>o</w:t>
            </w:r>
            <w:r>
              <w:rPr>
                <w:sz w:val="24"/>
                <w:szCs w:val="24"/>
              </w:rPr>
              <w:t>C [mm</w:t>
            </w:r>
            <w:r>
              <w:rPr>
                <w:sz w:val="24"/>
                <w:szCs w:val="24"/>
                <w:vertAlign w:val="superscript"/>
              </w:rPr>
              <w:t>2</w:t>
            </w:r>
            <w:r>
              <w:rPr>
                <w:sz w:val="24"/>
                <w:szCs w:val="24"/>
              </w:rPr>
              <w:t>/s]</w:t>
            </w:r>
          </w:p>
        </w:tc>
        <w:tc>
          <w:tcPr>
            <w:tcW w:w="1842" w:type="dxa"/>
          </w:tcPr>
          <w:p w:rsidR="004F43CB" w:rsidRDefault="009537B7" w:rsidP="009621F7">
            <w:pPr>
              <w:autoSpaceDE w:val="0"/>
              <w:autoSpaceDN w:val="0"/>
              <w:adjustRightInd w:val="0"/>
              <w:jc w:val="center"/>
              <w:rPr>
                <w:sz w:val="24"/>
                <w:szCs w:val="24"/>
              </w:rPr>
            </w:pPr>
            <w:r>
              <w:rPr>
                <w:sz w:val="24"/>
                <w:szCs w:val="24"/>
              </w:rPr>
              <w:t>ISO 3104</w:t>
            </w:r>
          </w:p>
        </w:tc>
        <w:tc>
          <w:tcPr>
            <w:tcW w:w="1560" w:type="dxa"/>
          </w:tcPr>
          <w:p w:rsidR="004F43CB" w:rsidRDefault="002D23F5" w:rsidP="009621F7">
            <w:pPr>
              <w:autoSpaceDE w:val="0"/>
              <w:autoSpaceDN w:val="0"/>
              <w:adjustRightInd w:val="0"/>
              <w:jc w:val="center"/>
              <w:rPr>
                <w:sz w:val="24"/>
                <w:szCs w:val="24"/>
              </w:rPr>
            </w:pPr>
            <w:r>
              <w:rPr>
                <w:sz w:val="24"/>
                <w:szCs w:val="24"/>
              </w:rPr>
              <w:t>5,77</w:t>
            </w:r>
          </w:p>
        </w:tc>
        <w:tc>
          <w:tcPr>
            <w:tcW w:w="1559" w:type="dxa"/>
          </w:tcPr>
          <w:p w:rsidR="004F43CB" w:rsidRDefault="002D23F5" w:rsidP="009621F7">
            <w:pPr>
              <w:autoSpaceDE w:val="0"/>
              <w:autoSpaceDN w:val="0"/>
              <w:adjustRightInd w:val="0"/>
              <w:jc w:val="center"/>
              <w:rPr>
                <w:sz w:val="24"/>
                <w:szCs w:val="24"/>
              </w:rPr>
            </w:pPr>
            <w:r>
              <w:rPr>
                <w:sz w:val="24"/>
                <w:szCs w:val="24"/>
              </w:rPr>
              <w:t>6,07</w:t>
            </w:r>
          </w:p>
        </w:tc>
        <w:tc>
          <w:tcPr>
            <w:tcW w:w="1480" w:type="dxa"/>
          </w:tcPr>
          <w:p w:rsidR="004F43CB" w:rsidRDefault="002D23F5" w:rsidP="009621F7">
            <w:pPr>
              <w:autoSpaceDE w:val="0"/>
              <w:autoSpaceDN w:val="0"/>
              <w:adjustRightInd w:val="0"/>
              <w:jc w:val="center"/>
              <w:rPr>
                <w:sz w:val="24"/>
                <w:szCs w:val="24"/>
              </w:rPr>
            </w:pPr>
            <w:r>
              <w:rPr>
                <w:sz w:val="24"/>
                <w:szCs w:val="24"/>
              </w:rPr>
              <w:t>5,18</w:t>
            </w:r>
          </w:p>
        </w:tc>
      </w:tr>
      <w:tr w:rsidR="004F43CB" w:rsidTr="002D23F5">
        <w:tc>
          <w:tcPr>
            <w:tcW w:w="2802" w:type="dxa"/>
          </w:tcPr>
          <w:p w:rsidR="004F43CB" w:rsidRDefault="004F43CB" w:rsidP="004F43CB">
            <w:pPr>
              <w:autoSpaceDE w:val="0"/>
              <w:autoSpaceDN w:val="0"/>
              <w:adjustRightInd w:val="0"/>
              <w:jc w:val="center"/>
              <w:rPr>
                <w:sz w:val="24"/>
                <w:szCs w:val="24"/>
              </w:rPr>
            </w:pPr>
            <w:r>
              <w:rPr>
                <w:sz w:val="24"/>
                <w:szCs w:val="24"/>
              </w:rPr>
              <w:t>Kinematička viskoznost na 40</w:t>
            </w:r>
            <w:r>
              <w:rPr>
                <w:sz w:val="24"/>
                <w:szCs w:val="24"/>
                <w:vertAlign w:val="superscript"/>
              </w:rPr>
              <w:t>o</w:t>
            </w:r>
            <w:r>
              <w:rPr>
                <w:sz w:val="24"/>
                <w:szCs w:val="24"/>
              </w:rPr>
              <w:t>C [mm</w:t>
            </w:r>
            <w:r>
              <w:rPr>
                <w:sz w:val="24"/>
                <w:szCs w:val="24"/>
                <w:vertAlign w:val="superscript"/>
              </w:rPr>
              <w:t>2</w:t>
            </w:r>
            <w:r>
              <w:rPr>
                <w:sz w:val="24"/>
                <w:szCs w:val="24"/>
              </w:rPr>
              <w:t>/s]</w:t>
            </w:r>
          </w:p>
        </w:tc>
        <w:tc>
          <w:tcPr>
            <w:tcW w:w="1842" w:type="dxa"/>
          </w:tcPr>
          <w:p w:rsidR="004F43CB" w:rsidRDefault="009537B7" w:rsidP="009621F7">
            <w:pPr>
              <w:autoSpaceDE w:val="0"/>
              <w:autoSpaceDN w:val="0"/>
              <w:adjustRightInd w:val="0"/>
              <w:jc w:val="center"/>
              <w:rPr>
                <w:sz w:val="24"/>
                <w:szCs w:val="24"/>
              </w:rPr>
            </w:pPr>
            <w:r>
              <w:rPr>
                <w:sz w:val="24"/>
                <w:szCs w:val="24"/>
              </w:rPr>
              <w:t>ISO 3104</w:t>
            </w:r>
          </w:p>
        </w:tc>
        <w:tc>
          <w:tcPr>
            <w:tcW w:w="1560" w:type="dxa"/>
          </w:tcPr>
          <w:p w:rsidR="004F43CB" w:rsidRDefault="002D23F5" w:rsidP="009621F7">
            <w:pPr>
              <w:autoSpaceDE w:val="0"/>
              <w:autoSpaceDN w:val="0"/>
              <w:adjustRightInd w:val="0"/>
              <w:jc w:val="center"/>
              <w:rPr>
                <w:sz w:val="24"/>
                <w:szCs w:val="24"/>
              </w:rPr>
            </w:pPr>
            <w:r>
              <w:rPr>
                <w:sz w:val="24"/>
                <w:szCs w:val="24"/>
              </w:rPr>
              <w:t>30,21</w:t>
            </w:r>
          </w:p>
        </w:tc>
        <w:tc>
          <w:tcPr>
            <w:tcW w:w="1559" w:type="dxa"/>
          </w:tcPr>
          <w:p w:rsidR="004F43CB" w:rsidRDefault="002D23F5" w:rsidP="009621F7">
            <w:pPr>
              <w:autoSpaceDE w:val="0"/>
              <w:autoSpaceDN w:val="0"/>
              <w:adjustRightInd w:val="0"/>
              <w:jc w:val="center"/>
              <w:rPr>
                <w:sz w:val="24"/>
                <w:szCs w:val="24"/>
              </w:rPr>
            </w:pPr>
            <w:r>
              <w:rPr>
                <w:sz w:val="24"/>
                <w:szCs w:val="24"/>
              </w:rPr>
              <w:t>34,07</w:t>
            </w:r>
          </w:p>
        </w:tc>
        <w:tc>
          <w:tcPr>
            <w:tcW w:w="1480" w:type="dxa"/>
          </w:tcPr>
          <w:p w:rsidR="004F43CB" w:rsidRDefault="002D23F5" w:rsidP="009621F7">
            <w:pPr>
              <w:autoSpaceDE w:val="0"/>
              <w:autoSpaceDN w:val="0"/>
              <w:adjustRightInd w:val="0"/>
              <w:jc w:val="center"/>
              <w:rPr>
                <w:sz w:val="24"/>
                <w:szCs w:val="24"/>
              </w:rPr>
            </w:pPr>
            <w:r>
              <w:rPr>
                <w:sz w:val="24"/>
                <w:szCs w:val="24"/>
              </w:rPr>
              <w:t>29,82</w:t>
            </w:r>
          </w:p>
        </w:tc>
      </w:tr>
      <w:tr w:rsidR="004F43CB" w:rsidTr="002D23F5">
        <w:tc>
          <w:tcPr>
            <w:tcW w:w="2802" w:type="dxa"/>
          </w:tcPr>
          <w:p w:rsidR="004F43CB" w:rsidRDefault="004F43CB" w:rsidP="009621F7">
            <w:pPr>
              <w:autoSpaceDE w:val="0"/>
              <w:autoSpaceDN w:val="0"/>
              <w:adjustRightInd w:val="0"/>
              <w:jc w:val="center"/>
              <w:rPr>
                <w:sz w:val="24"/>
                <w:szCs w:val="24"/>
              </w:rPr>
            </w:pPr>
            <w:r>
              <w:rPr>
                <w:sz w:val="24"/>
                <w:szCs w:val="24"/>
              </w:rPr>
              <w:t>IV</w:t>
            </w:r>
          </w:p>
        </w:tc>
        <w:tc>
          <w:tcPr>
            <w:tcW w:w="1842" w:type="dxa"/>
          </w:tcPr>
          <w:p w:rsidR="004F43CB" w:rsidRDefault="009537B7" w:rsidP="009621F7">
            <w:pPr>
              <w:autoSpaceDE w:val="0"/>
              <w:autoSpaceDN w:val="0"/>
              <w:adjustRightInd w:val="0"/>
              <w:jc w:val="center"/>
              <w:rPr>
                <w:sz w:val="24"/>
                <w:szCs w:val="24"/>
              </w:rPr>
            </w:pPr>
            <w:r>
              <w:rPr>
                <w:sz w:val="24"/>
                <w:szCs w:val="24"/>
              </w:rPr>
              <w:t>ISO 2909</w:t>
            </w:r>
          </w:p>
        </w:tc>
        <w:tc>
          <w:tcPr>
            <w:tcW w:w="1560" w:type="dxa"/>
          </w:tcPr>
          <w:p w:rsidR="004F43CB" w:rsidRDefault="002D23F5" w:rsidP="009621F7">
            <w:pPr>
              <w:autoSpaceDE w:val="0"/>
              <w:autoSpaceDN w:val="0"/>
              <w:adjustRightInd w:val="0"/>
              <w:jc w:val="center"/>
              <w:rPr>
                <w:sz w:val="24"/>
                <w:szCs w:val="24"/>
              </w:rPr>
            </w:pPr>
            <w:r>
              <w:rPr>
                <w:sz w:val="24"/>
                <w:szCs w:val="24"/>
              </w:rPr>
              <w:t>130</w:t>
            </w:r>
          </w:p>
        </w:tc>
        <w:tc>
          <w:tcPr>
            <w:tcW w:w="1559" w:type="dxa"/>
          </w:tcPr>
          <w:p w:rsidR="004F43CB" w:rsidRDefault="002D23F5" w:rsidP="009621F7">
            <w:pPr>
              <w:autoSpaceDE w:val="0"/>
              <w:autoSpaceDN w:val="0"/>
              <w:adjustRightInd w:val="0"/>
              <w:jc w:val="center"/>
              <w:rPr>
                <w:sz w:val="24"/>
                <w:szCs w:val="24"/>
              </w:rPr>
            </w:pPr>
            <w:r>
              <w:rPr>
                <w:sz w:val="24"/>
                <w:szCs w:val="24"/>
              </w:rPr>
              <w:t>125</w:t>
            </w:r>
          </w:p>
        </w:tc>
        <w:tc>
          <w:tcPr>
            <w:tcW w:w="1480" w:type="dxa"/>
          </w:tcPr>
          <w:p w:rsidR="004F43CB" w:rsidRDefault="002D23F5" w:rsidP="009621F7">
            <w:pPr>
              <w:autoSpaceDE w:val="0"/>
              <w:autoSpaceDN w:val="0"/>
              <w:adjustRightInd w:val="0"/>
              <w:jc w:val="center"/>
              <w:rPr>
                <w:sz w:val="24"/>
                <w:szCs w:val="24"/>
              </w:rPr>
            </w:pPr>
            <w:r>
              <w:rPr>
                <w:sz w:val="24"/>
                <w:szCs w:val="24"/>
              </w:rPr>
              <w:t>103</w:t>
            </w:r>
          </w:p>
        </w:tc>
      </w:tr>
      <w:tr w:rsidR="004F43CB" w:rsidTr="002D23F5">
        <w:tc>
          <w:tcPr>
            <w:tcW w:w="2802" w:type="dxa"/>
          </w:tcPr>
          <w:p w:rsidR="004F43CB" w:rsidRDefault="004F43CB" w:rsidP="009621F7">
            <w:pPr>
              <w:autoSpaceDE w:val="0"/>
              <w:autoSpaceDN w:val="0"/>
              <w:adjustRightInd w:val="0"/>
              <w:jc w:val="center"/>
              <w:rPr>
                <w:sz w:val="24"/>
                <w:szCs w:val="24"/>
              </w:rPr>
            </w:pPr>
            <w:r>
              <w:rPr>
                <w:sz w:val="24"/>
                <w:szCs w:val="24"/>
              </w:rPr>
              <w:t>Tačka paljenja [</w:t>
            </w:r>
            <w:r>
              <w:rPr>
                <w:sz w:val="24"/>
                <w:szCs w:val="24"/>
                <w:vertAlign w:val="superscript"/>
              </w:rPr>
              <w:t>o</w:t>
            </w:r>
            <w:r>
              <w:rPr>
                <w:sz w:val="24"/>
                <w:szCs w:val="24"/>
              </w:rPr>
              <w:t>C]</w:t>
            </w:r>
          </w:p>
        </w:tc>
        <w:tc>
          <w:tcPr>
            <w:tcW w:w="1842" w:type="dxa"/>
          </w:tcPr>
          <w:p w:rsidR="004F43CB" w:rsidRDefault="009537B7" w:rsidP="009621F7">
            <w:pPr>
              <w:autoSpaceDE w:val="0"/>
              <w:autoSpaceDN w:val="0"/>
              <w:adjustRightInd w:val="0"/>
              <w:jc w:val="center"/>
              <w:rPr>
                <w:sz w:val="24"/>
                <w:szCs w:val="24"/>
              </w:rPr>
            </w:pPr>
            <w:r>
              <w:rPr>
                <w:sz w:val="24"/>
                <w:szCs w:val="24"/>
              </w:rPr>
              <w:t>ISO 2592</w:t>
            </w:r>
          </w:p>
        </w:tc>
        <w:tc>
          <w:tcPr>
            <w:tcW w:w="1560" w:type="dxa"/>
          </w:tcPr>
          <w:p w:rsidR="004F43CB" w:rsidRDefault="002D23F5" w:rsidP="009621F7">
            <w:pPr>
              <w:autoSpaceDE w:val="0"/>
              <w:autoSpaceDN w:val="0"/>
              <w:adjustRightInd w:val="0"/>
              <w:jc w:val="center"/>
              <w:rPr>
                <w:sz w:val="24"/>
                <w:szCs w:val="24"/>
              </w:rPr>
            </w:pPr>
            <w:r>
              <w:rPr>
                <w:sz w:val="24"/>
                <w:szCs w:val="24"/>
              </w:rPr>
              <w:t>230</w:t>
            </w:r>
          </w:p>
        </w:tc>
        <w:tc>
          <w:tcPr>
            <w:tcW w:w="1559" w:type="dxa"/>
          </w:tcPr>
          <w:p w:rsidR="004F43CB" w:rsidRDefault="002D23F5" w:rsidP="009621F7">
            <w:pPr>
              <w:autoSpaceDE w:val="0"/>
              <w:autoSpaceDN w:val="0"/>
              <w:adjustRightInd w:val="0"/>
              <w:jc w:val="center"/>
              <w:rPr>
                <w:sz w:val="24"/>
                <w:szCs w:val="24"/>
              </w:rPr>
            </w:pPr>
            <w:r>
              <w:rPr>
                <w:sz w:val="24"/>
                <w:szCs w:val="24"/>
              </w:rPr>
              <w:t>240</w:t>
            </w:r>
          </w:p>
        </w:tc>
        <w:tc>
          <w:tcPr>
            <w:tcW w:w="1480" w:type="dxa"/>
          </w:tcPr>
          <w:p w:rsidR="004F43CB" w:rsidRDefault="002D23F5" w:rsidP="009621F7">
            <w:pPr>
              <w:autoSpaceDE w:val="0"/>
              <w:autoSpaceDN w:val="0"/>
              <w:adjustRightInd w:val="0"/>
              <w:jc w:val="center"/>
              <w:rPr>
                <w:sz w:val="24"/>
                <w:szCs w:val="24"/>
              </w:rPr>
            </w:pPr>
            <w:r>
              <w:rPr>
                <w:sz w:val="24"/>
                <w:szCs w:val="24"/>
              </w:rPr>
              <w:t>205</w:t>
            </w:r>
          </w:p>
        </w:tc>
      </w:tr>
      <w:tr w:rsidR="004F43CB" w:rsidTr="002D23F5">
        <w:tc>
          <w:tcPr>
            <w:tcW w:w="2802" w:type="dxa"/>
          </w:tcPr>
          <w:p w:rsidR="004F43CB" w:rsidRDefault="004F43CB" w:rsidP="004F43CB">
            <w:pPr>
              <w:autoSpaceDE w:val="0"/>
              <w:autoSpaceDN w:val="0"/>
              <w:adjustRightInd w:val="0"/>
              <w:jc w:val="center"/>
              <w:rPr>
                <w:sz w:val="24"/>
                <w:szCs w:val="24"/>
              </w:rPr>
            </w:pPr>
            <w:r>
              <w:rPr>
                <w:sz w:val="24"/>
                <w:szCs w:val="24"/>
              </w:rPr>
              <w:t>Tačka tečenja [</w:t>
            </w:r>
            <w:r>
              <w:rPr>
                <w:sz w:val="24"/>
                <w:szCs w:val="24"/>
                <w:vertAlign w:val="superscript"/>
              </w:rPr>
              <w:t>o</w:t>
            </w:r>
            <w:r>
              <w:rPr>
                <w:sz w:val="24"/>
                <w:szCs w:val="24"/>
              </w:rPr>
              <w:t>C]</w:t>
            </w:r>
          </w:p>
        </w:tc>
        <w:tc>
          <w:tcPr>
            <w:tcW w:w="1842" w:type="dxa"/>
          </w:tcPr>
          <w:p w:rsidR="004F43CB" w:rsidRDefault="009537B7" w:rsidP="009621F7">
            <w:pPr>
              <w:autoSpaceDE w:val="0"/>
              <w:autoSpaceDN w:val="0"/>
              <w:adjustRightInd w:val="0"/>
              <w:jc w:val="center"/>
              <w:rPr>
                <w:sz w:val="24"/>
                <w:szCs w:val="24"/>
              </w:rPr>
            </w:pPr>
            <w:r>
              <w:rPr>
                <w:sz w:val="24"/>
                <w:szCs w:val="24"/>
              </w:rPr>
              <w:t>ISO 3016</w:t>
            </w:r>
          </w:p>
        </w:tc>
        <w:tc>
          <w:tcPr>
            <w:tcW w:w="1560" w:type="dxa"/>
          </w:tcPr>
          <w:p w:rsidR="004F43CB" w:rsidRDefault="002D23F5" w:rsidP="009621F7">
            <w:pPr>
              <w:autoSpaceDE w:val="0"/>
              <w:autoSpaceDN w:val="0"/>
              <w:adjustRightInd w:val="0"/>
              <w:jc w:val="center"/>
              <w:rPr>
                <w:sz w:val="24"/>
                <w:szCs w:val="24"/>
              </w:rPr>
            </w:pPr>
            <w:r>
              <w:rPr>
                <w:sz w:val="24"/>
                <w:szCs w:val="24"/>
              </w:rPr>
              <w:t>-54</w:t>
            </w:r>
          </w:p>
        </w:tc>
        <w:tc>
          <w:tcPr>
            <w:tcW w:w="1559" w:type="dxa"/>
          </w:tcPr>
          <w:p w:rsidR="004F43CB" w:rsidRDefault="002D23F5" w:rsidP="009621F7">
            <w:pPr>
              <w:autoSpaceDE w:val="0"/>
              <w:autoSpaceDN w:val="0"/>
              <w:adjustRightInd w:val="0"/>
              <w:jc w:val="center"/>
              <w:rPr>
                <w:sz w:val="24"/>
                <w:szCs w:val="24"/>
              </w:rPr>
            </w:pPr>
            <w:r>
              <w:rPr>
                <w:sz w:val="24"/>
                <w:szCs w:val="24"/>
              </w:rPr>
              <w:t>-9</w:t>
            </w:r>
          </w:p>
        </w:tc>
        <w:tc>
          <w:tcPr>
            <w:tcW w:w="1480" w:type="dxa"/>
          </w:tcPr>
          <w:p w:rsidR="004F43CB" w:rsidRDefault="002D23F5" w:rsidP="009621F7">
            <w:pPr>
              <w:autoSpaceDE w:val="0"/>
              <w:autoSpaceDN w:val="0"/>
              <w:adjustRightInd w:val="0"/>
              <w:jc w:val="center"/>
              <w:rPr>
                <w:sz w:val="24"/>
                <w:szCs w:val="24"/>
              </w:rPr>
            </w:pPr>
            <w:r>
              <w:rPr>
                <w:sz w:val="24"/>
                <w:szCs w:val="24"/>
              </w:rPr>
              <w:t>-9</w:t>
            </w:r>
          </w:p>
        </w:tc>
      </w:tr>
      <w:tr w:rsidR="004F43CB" w:rsidTr="002D23F5">
        <w:tc>
          <w:tcPr>
            <w:tcW w:w="2802" w:type="dxa"/>
          </w:tcPr>
          <w:p w:rsidR="004F43CB" w:rsidRDefault="004F43CB" w:rsidP="009621F7">
            <w:pPr>
              <w:autoSpaceDE w:val="0"/>
              <w:autoSpaceDN w:val="0"/>
              <w:adjustRightInd w:val="0"/>
              <w:jc w:val="center"/>
              <w:rPr>
                <w:sz w:val="24"/>
                <w:szCs w:val="24"/>
              </w:rPr>
            </w:pPr>
            <w:r>
              <w:rPr>
                <w:sz w:val="24"/>
                <w:szCs w:val="24"/>
              </w:rPr>
              <w:t>Sadržaj sumpora [% m/m]</w:t>
            </w:r>
          </w:p>
        </w:tc>
        <w:tc>
          <w:tcPr>
            <w:tcW w:w="1842" w:type="dxa"/>
          </w:tcPr>
          <w:p w:rsidR="004F43CB" w:rsidRDefault="009537B7" w:rsidP="009621F7">
            <w:pPr>
              <w:autoSpaceDE w:val="0"/>
              <w:autoSpaceDN w:val="0"/>
              <w:adjustRightInd w:val="0"/>
              <w:jc w:val="center"/>
              <w:rPr>
                <w:sz w:val="24"/>
                <w:szCs w:val="24"/>
              </w:rPr>
            </w:pPr>
            <w:r>
              <w:rPr>
                <w:sz w:val="24"/>
                <w:szCs w:val="24"/>
              </w:rPr>
              <w:t>ISO 20847</w:t>
            </w:r>
          </w:p>
        </w:tc>
        <w:tc>
          <w:tcPr>
            <w:tcW w:w="1560" w:type="dxa"/>
          </w:tcPr>
          <w:p w:rsidR="004F43CB" w:rsidRDefault="002D23F5" w:rsidP="009621F7">
            <w:pPr>
              <w:autoSpaceDE w:val="0"/>
              <w:autoSpaceDN w:val="0"/>
              <w:adjustRightInd w:val="0"/>
              <w:jc w:val="center"/>
              <w:rPr>
                <w:sz w:val="24"/>
                <w:szCs w:val="24"/>
              </w:rPr>
            </w:pPr>
            <w:r>
              <w:rPr>
                <w:sz w:val="24"/>
                <w:szCs w:val="24"/>
              </w:rPr>
              <w:t>&lt;0,01</w:t>
            </w:r>
          </w:p>
        </w:tc>
        <w:tc>
          <w:tcPr>
            <w:tcW w:w="1559" w:type="dxa"/>
          </w:tcPr>
          <w:p w:rsidR="004F43CB" w:rsidRDefault="002D23F5" w:rsidP="009621F7">
            <w:pPr>
              <w:autoSpaceDE w:val="0"/>
              <w:autoSpaceDN w:val="0"/>
              <w:adjustRightInd w:val="0"/>
              <w:jc w:val="center"/>
              <w:rPr>
                <w:sz w:val="24"/>
                <w:szCs w:val="24"/>
              </w:rPr>
            </w:pPr>
            <w:r>
              <w:rPr>
                <w:sz w:val="24"/>
                <w:szCs w:val="24"/>
              </w:rPr>
              <w:t>0,03</w:t>
            </w:r>
          </w:p>
        </w:tc>
        <w:tc>
          <w:tcPr>
            <w:tcW w:w="1480" w:type="dxa"/>
          </w:tcPr>
          <w:p w:rsidR="004F43CB" w:rsidRDefault="002D23F5" w:rsidP="009621F7">
            <w:pPr>
              <w:autoSpaceDE w:val="0"/>
              <w:autoSpaceDN w:val="0"/>
              <w:adjustRightInd w:val="0"/>
              <w:jc w:val="center"/>
              <w:rPr>
                <w:sz w:val="24"/>
                <w:szCs w:val="24"/>
              </w:rPr>
            </w:pPr>
            <w:r>
              <w:rPr>
                <w:sz w:val="24"/>
                <w:szCs w:val="24"/>
              </w:rPr>
              <w:t>0,7</w:t>
            </w:r>
          </w:p>
        </w:tc>
      </w:tr>
      <w:tr w:rsidR="004F43CB" w:rsidTr="002D23F5">
        <w:tc>
          <w:tcPr>
            <w:tcW w:w="2802" w:type="dxa"/>
          </w:tcPr>
          <w:p w:rsidR="004F43CB" w:rsidRDefault="004F43CB" w:rsidP="009621F7">
            <w:pPr>
              <w:autoSpaceDE w:val="0"/>
              <w:autoSpaceDN w:val="0"/>
              <w:adjustRightInd w:val="0"/>
              <w:jc w:val="center"/>
              <w:rPr>
                <w:sz w:val="24"/>
                <w:szCs w:val="24"/>
              </w:rPr>
            </w:pPr>
            <w:r>
              <w:rPr>
                <w:sz w:val="24"/>
                <w:szCs w:val="24"/>
              </w:rPr>
              <w:t>Sadržaj aromatskih ugljovodonika [% m/m]</w:t>
            </w:r>
          </w:p>
        </w:tc>
        <w:tc>
          <w:tcPr>
            <w:tcW w:w="1842" w:type="dxa"/>
          </w:tcPr>
          <w:p w:rsidR="004F43CB" w:rsidRDefault="009537B7" w:rsidP="009621F7">
            <w:pPr>
              <w:autoSpaceDE w:val="0"/>
              <w:autoSpaceDN w:val="0"/>
              <w:adjustRightInd w:val="0"/>
              <w:jc w:val="center"/>
              <w:rPr>
                <w:sz w:val="24"/>
                <w:szCs w:val="24"/>
              </w:rPr>
            </w:pPr>
            <w:r>
              <w:rPr>
                <w:sz w:val="24"/>
                <w:szCs w:val="24"/>
              </w:rPr>
              <w:t>IEC 60590</w:t>
            </w:r>
          </w:p>
        </w:tc>
        <w:tc>
          <w:tcPr>
            <w:tcW w:w="1560" w:type="dxa"/>
          </w:tcPr>
          <w:p w:rsidR="004F43CB" w:rsidRDefault="002D23F5" w:rsidP="009621F7">
            <w:pPr>
              <w:autoSpaceDE w:val="0"/>
              <w:autoSpaceDN w:val="0"/>
              <w:adjustRightInd w:val="0"/>
              <w:jc w:val="center"/>
              <w:rPr>
                <w:sz w:val="24"/>
                <w:szCs w:val="24"/>
              </w:rPr>
            </w:pPr>
            <w:r>
              <w:rPr>
                <w:sz w:val="24"/>
                <w:szCs w:val="24"/>
              </w:rPr>
              <w:t>0</w:t>
            </w:r>
          </w:p>
        </w:tc>
        <w:tc>
          <w:tcPr>
            <w:tcW w:w="1559" w:type="dxa"/>
          </w:tcPr>
          <w:p w:rsidR="004F43CB" w:rsidRDefault="002D23F5" w:rsidP="009621F7">
            <w:pPr>
              <w:autoSpaceDE w:val="0"/>
              <w:autoSpaceDN w:val="0"/>
              <w:adjustRightInd w:val="0"/>
              <w:jc w:val="center"/>
              <w:rPr>
                <w:sz w:val="24"/>
                <w:szCs w:val="24"/>
              </w:rPr>
            </w:pPr>
            <w:r>
              <w:rPr>
                <w:sz w:val="24"/>
                <w:szCs w:val="24"/>
              </w:rPr>
              <w:t>5,2</w:t>
            </w:r>
          </w:p>
        </w:tc>
        <w:tc>
          <w:tcPr>
            <w:tcW w:w="1480" w:type="dxa"/>
          </w:tcPr>
          <w:p w:rsidR="004F43CB" w:rsidRDefault="002D23F5" w:rsidP="009621F7">
            <w:pPr>
              <w:autoSpaceDE w:val="0"/>
              <w:autoSpaceDN w:val="0"/>
              <w:adjustRightInd w:val="0"/>
              <w:jc w:val="center"/>
              <w:rPr>
                <w:sz w:val="24"/>
                <w:szCs w:val="24"/>
              </w:rPr>
            </w:pPr>
            <w:r>
              <w:rPr>
                <w:sz w:val="24"/>
                <w:szCs w:val="24"/>
              </w:rPr>
              <w:t>8,3</w:t>
            </w:r>
          </w:p>
        </w:tc>
      </w:tr>
      <w:tr w:rsidR="004F43CB" w:rsidTr="002D23F5">
        <w:tc>
          <w:tcPr>
            <w:tcW w:w="2802" w:type="dxa"/>
          </w:tcPr>
          <w:p w:rsidR="004F43CB" w:rsidRDefault="009537B7" w:rsidP="009621F7">
            <w:pPr>
              <w:autoSpaceDE w:val="0"/>
              <w:autoSpaceDN w:val="0"/>
              <w:adjustRightInd w:val="0"/>
              <w:jc w:val="center"/>
              <w:rPr>
                <w:sz w:val="24"/>
                <w:szCs w:val="24"/>
              </w:rPr>
            </w:pPr>
            <w:r>
              <w:rPr>
                <w:sz w:val="24"/>
                <w:szCs w:val="24"/>
              </w:rPr>
              <w:t>Sadržaj parafina [% m/m]</w:t>
            </w:r>
          </w:p>
        </w:tc>
        <w:tc>
          <w:tcPr>
            <w:tcW w:w="1842" w:type="dxa"/>
          </w:tcPr>
          <w:p w:rsidR="004F43CB" w:rsidRDefault="009537B7" w:rsidP="009621F7">
            <w:pPr>
              <w:autoSpaceDE w:val="0"/>
              <w:autoSpaceDN w:val="0"/>
              <w:adjustRightInd w:val="0"/>
              <w:jc w:val="center"/>
              <w:rPr>
                <w:sz w:val="24"/>
                <w:szCs w:val="24"/>
              </w:rPr>
            </w:pPr>
            <w:r>
              <w:rPr>
                <w:sz w:val="24"/>
                <w:szCs w:val="24"/>
              </w:rPr>
              <w:t>IEC 60590</w:t>
            </w:r>
          </w:p>
        </w:tc>
        <w:tc>
          <w:tcPr>
            <w:tcW w:w="1560" w:type="dxa"/>
          </w:tcPr>
          <w:p w:rsidR="004F43CB" w:rsidRDefault="002D23F5" w:rsidP="009621F7">
            <w:pPr>
              <w:autoSpaceDE w:val="0"/>
              <w:autoSpaceDN w:val="0"/>
              <w:adjustRightInd w:val="0"/>
              <w:jc w:val="center"/>
              <w:rPr>
                <w:sz w:val="24"/>
                <w:szCs w:val="24"/>
              </w:rPr>
            </w:pPr>
            <w:r>
              <w:rPr>
                <w:sz w:val="24"/>
                <w:szCs w:val="24"/>
              </w:rPr>
              <w:t>100</w:t>
            </w:r>
          </w:p>
        </w:tc>
        <w:tc>
          <w:tcPr>
            <w:tcW w:w="1559" w:type="dxa"/>
          </w:tcPr>
          <w:p w:rsidR="004F43CB" w:rsidRDefault="002D23F5" w:rsidP="009621F7">
            <w:pPr>
              <w:autoSpaceDE w:val="0"/>
              <w:autoSpaceDN w:val="0"/>
              <w:adjustRightInd w:val="0"/>
              <w:jc w:val="center"/>
              <w:rPr>
                <w:sz w:val="24"/>
                <w:szCs w:val="24"/>
              </w:rPr>
            </w:pPr>
            <w:r>
              <w:rPr>
                <w:sz w:val="24"/>
                <w:szCs w:val="24"/>
              </w:rPr>
              <w:t>63</w:t>
            </w:r>
          </w:p>
        </w:tc>
        <w:tc>
          <w:tcPr>
            <w:tcW w:w="1480" w:type="dxa"/>
          </w:tcPr>
          <w:p w:rsidR="004F43CB" w:rsidRDefault="002D23F5" w:rsidP="009621F7">
            <w:pPr>
              <w:autoSpaceDE w:val="0"/>
              <w:autoSpaceDN w:val="0"/>
              <w:adjustRightInd w:val="0"/>
              <w:jc w:val="center"/>
              <w:rPr>
                <w:sz w:val="24"/>
                <w:szCs w:val="24"/>
              </w:rPr>
            </w:pPr>
            <w:r>
              <w:rPr>
                <w:sz w:val="24"/>
                <w:szCs w:val="24"/>
              </w:rPr>
              <w:t>58,4</w:t>
            </w:r>
          </w:p>
        </w:tc>
      </w:tr>
    </w:tbl>
    <w:p w:rsidR="009621F7" w:rsidRPr="009621F7" w:rsidRDefault="009621F7" w:rsidP="009621F7">
      <w:pPr>
        <w:autoSpaceDE w:val="0"/>
        <w:autoSpaceDN w:val="0"/>
        <w:adjustRightInd w:val="0"/>
        <w:rPr>
          <w:sz w:val="24"/>
          <w:szCs w:val="24"/>
        </w:rPr>
      </w:pPr>
    </w:p>
    <w:p w:rsidR="009621F7" w:rsidRDefault="009621F7" w:rsidP="00E87024">
      <w:pPr>
        <w:autoSpaceDE w:val="0"/>
        <w:autoSpaceDN w:val="0"/>
        <w:adjustRightInd w:val="0"/>
        <w:jc w:val="both"/>
        <w:rPr>
          <w:sz w:val="24"/>
          <w:szCs w:val="24"/>
        </w:rPr>
      </w:pPr>
      <w:r w:rsidRPr="009621F7">
        <w:rPr>
          <w:sz w:val="24"/>
          <w:szCs w:val="24"/>
        </w:rPr>
        <w:t xml:space="preserve">Korišćenjem viskozimetra po Übbelohde-u (slika 2.) su određivane vrijednosti kinematičke viskoznosti baznog ulja i rastvora polimera u baznom ulju različitih koncentracija na temperaturama </w:t>
      </w:r>
      <w:r w:rsidR="00FA3107">
        <w:rPr>
          <w:sz w:val="24"/>
          <w:szCs w:val="24"/>
        </w:rPr>
        <w:t>40±0</w:t>
      </w:r>
      <w:proofErr w:type="gramStart"/>
      <w:r w:rsidR="00FA3107">
        <w:rPr>
          <w:sz w:val="24"/>
          <w:szCs w:val="24"/>
        </w:rPr>
        <w:t>,1</w:t>
      </w:r>
      <w:proofErr w:type="gramEnd"/>
      <w:r w:rsidRPr="009621F7">
        <w:rPr>
          <w:sz w:val="24"/>
          <w:szCs w:val="24"/>
        </w:rPr>
        <w:t>°C i 100±0,1°C</w:t>
      </w:r>
      <w:r w:rsidR="00E87024">
        <w:rPr>
          <w:sz w:val="24"/>
          <w:szCs w:val="24"/>
        </w:rPr>
        <w:t>.</w:t>
      </w:r>
    </w:p>
    <w:p w:rsidR="00E87024" w:rsidRPr="00E87024" w:rsidRDefault="00E87024" w:rsidP="00E87024">
      <w:pPr>
        <w:autoSpaceDE w:val="0"/>
        <w:autoSpaceDN w:val="0"/>
        <w:adjustRightInd w:val="0"/>
        <w:jc w:val="both"/>
        <w:rPr>
          <w:sz w:val="24"/>
          <w:szCs w:val="24"/>
        </w:rPr>
      </w:pPr>
    </w:p>
    <w:p w:rsidR="009621F7" w:rsidRPr="009621F7" w:rsidRDefault="00936C67" w:rsidP="009621F7">
      <w:pPr>
        <w:autoSpaceDE w:val="0"/>
        <w:autoSpaceDN w:val="0"/>
        <w:adjustRightInd w:val="0"/>
        <w:jc w:val="center"/>
        <w:rPr>
          <w:noProof/>
          <w:sz w:val="24"/>
          <w:szCs w:val="24"/>
        </w:rPr>
      </w:pPr>
      <w:r>
        <w:rPr>
          <w:noProof/>
          <w:snapToGrid/>
          <w:sz w:val="24"/>
          <w:szCs w:val="24"/>
        </w:rPr>
        <w:drawing>
          <wp:inline distT="0" distB="0" distL="0" distR="0">
            <wp:extent cx="2341968" cy="1609725"/>
            <wp:effectExtent l="19050" t="0" r="1182" b="0"/>
            <wp:docPr id="31" name="Picture 9" descr="D:\Documents and Settings\acer\Desktop\_20160529_2249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Documents and Settings\acer\Desktop\_20160529_224925.JPG"/>
                    <pic:cNvPicPr>
                      <a:picLocks noChangeAspect="1" noChangeArrowheads="1"/>
                    </pic:cNvPicPr>
                  </pic:nvPicPr>
                  <pic:blipFill>
                    <a:blip r:embed="rId10" cstate="print"/>
                    <a:srcRect/>
                    <a:stretch>
                      <a:fillRect/>
                    </a:stretch>
                  </pic:blipFill>
                  <pic:spPr bwMode="auto">
                    <a:xfrm>
                      <a:off x="0" y="0"/>
                      <a:ext cx="2345391" cy="1612078"/>
                    </a:xfrm>
                    <a:prstGeom prst="rect">
                      <a:avLst/>
                    </a:prstGeom>
                    <a:noFill/>
                    <a:ln w="9525">
                      <a:noFill/>
                      <a:miter lim="800000"/>
                      <a:headEnd/>
                      <a:tailEnd/>
                    </a:ln>
                  </pic:spPr>
                </pic:pic>
              </a:graphicData>
            </a:graphic>
          </wp:inline>
        </w:drawing>
      </w:r>
    </w:p>
    <w:p w:rsidR="009621F7" w:rsidRPr="00E87024" w:rsidRDefault="009621F7" w:rsidP="00D72A43">
      <w:pPr>
        <w:autoSpaceDE w:val="0"/>
        <w:autoSpaceDN w:val="0"/>
        <w:adjustRightInd w:val="0"/>
        <w:jc w:val="center"/>
        <w:rPr>
          <w:noProof/>
          <w:sz w:val="22"/>
          <w:szCs w:val="22"/>
        </w:rPr>
      </w:pPr>
      <w:r w:rsidRPr="00E87024">
        <w:rPr>
          <w:noProof/>
          <w:sz w:val="22"/>
          <w:szCs w:val="22"/>
        </w:rPr>
        <w:t>Slika 2. Viskozi</w:t>
      </w:r>
      <w:r w:rsidR="00D72A43" w:rsidRPr="00E87024">
        <w:rPr>
          <w:noProof/>
          <w:sz w:val="22"/>
          <w:szCs w:val="22"/>
        </w:rPr>
        <w:t>metar u termostatiranom kupatilu</w:t>
      </w:r>
    </w:p>
    <w:p w:rsidR="00233268" w:rsidRPr="00E87024" w:rsidRDefault="00233268" w:rsidP="00E87024">
      <w:pPr>
        <w:autoSpaceDE w:val="0"/>
        <w:autoSpaceDN w:val="0"/>
        <w:adjustRightInd w:val="0"/>
        <w:jc w:val="center"/>
        <w:rPr>
          <w:noProof/>
          <w:sz w:val="22"/>
          <w:szCs w:val="22"/>
        </w:rPr>
      </w:pPr>
      <w:r w:rsidRPr="00E87024">
        <w:rPr>
          <w:noProof/>
          <w:sz w:val="22"/>
          <w:szCs w:val="22"/>
        </w:rPr>
        <w:t>Figure 2. Viscometer in a thermostatted bath</w:t>
      </w:r>
    </w:p>
    <w:p w:rsidR="00E87024" w:rsidRPr="009621F7" w:rsidRDefault="00E87024" w:rsidP="00E87024">
      <w:pPr>
        <w:autoSpaceDE w:val="0"/>
        <w:autoSpaceDN w:val="0"/>
        <w:adjustRightInd w:val="0"/>
        <w:jc w:val="both"/>
        <w:rPr>
          <w:sz w:val="24"/>
          <w:szCs w:val="24"/>
        </w:rPr>
      </w:pPr>
      <w:r w:rsidRPr="009621F7">
        <w:rPr>
          <w:sz w:val="24"/>
          <w:szCs w:val="24"/>
        </w:rPr>
        <w:t xml:space="preserve">Postupak određivanja kinematičke viskoznosti je propisan standardnom metodom ASTM D 445, kojom je opisano mjerenje vremena za koje određena količina ispitivane tečnosti slobodnim padom prođe kroz kalibrisanu kapilaru staklenog viskozimetra. Vrijednost </w:t>
      </w:r>
      <w:r w:rsidRPr="009621F7">
        <w:rPr>
          <w:sz w:val="24"/>
          <w:szCs w:val="24"/>
        </w:rPr>
        <w:lastRenderedPageBreak/>
        <w:t>kinematičke vrijednosti se dobije množenjem izmjernog vremena s konstantom viskozimetra, izražena u mm</w:t>
      </w:r>
      <w:r w:rsidRPr="009621F7">
        <w:rPr>
          <w:sz w:val="24"/>
          <w:szCs w:val="24"/>
          <w:vertAlign w:val="superscript"/>
        </w:rPr>
        <w:t>2</w:t>
      </w:r>
      <w:r w:rsidRPr="009621F7">
        <w:rPr>
          <w:sz w:val="24"/>
          <w:szCs w:val="24"/>
        </w:rPr>
        <w:t>/s.</w:t>
      </w:r>
    </w:p>
    <w:p w:rsidR="00E87024" w:rsidRPr="009621F7" w:rsidRDefault="00E87024" w:rsidP="00E87024">
      <w:pPr>
        <w:autoSpaceDE w:val="0"/>
        <w:autoSpaceDN w:val="0"/>
        <w:adjustRightInd w:val="0"/>
        <w:jc w:val="both"/>
        <w:rPr>
          <w:sz w:val="24"/>
          <w:szCs w:val="24"/>
        </w:rPr>
      </w:pPr>
    </w:p>
    <w:p w:rsidR="009621F7" w:rsidRPr="009621F7" w:rsidRDefault="009621F7" w:rsidP="009621F7">
      <w:pPr>
        <w:autoSpaceDE w:val="0"/>
        <w:autoSpaceDN w:val="0"/>
        <w:adjustRightInd w:val="0"/>
        <w:jc w:val="both"/>
        <w:rPr>
          <w:sz w:val="24"/>
          <w:szCs w:val="24"/>
        </w:rPr>
      </w:pPr>
      <w:r w:rsidRPr="009621F7">
        <w:rPr>
          <w:sz w:val="24"/>
          <w:szCs w:val="24"/>
        </w:rPr>
        <w:t xml:space="preserve">Zavisnost promjene viskoznosti s promjenom temperature se najbolje iskazuje preko indeksa viskoznosti. Indeks viskoznosti se izračunava prema standardnoj metodi ASTM D 2270, iz vrijednosti kinematičkih viskoznosti tečnih proizvoda određenih </w:t>
      </w:r>
      <w:proofErr w:type="gramStart"/>
      <w:r w:rsidRPr="009621F7">
        <w:rPr>
          <w:sz w:val="24"/>
          <w:szCs w:val="24"/>
        </w:rPr>
        <w:t>na</w:t>
      </w:r>
      <w:proofErr w:type="gramEnd"/>
      <w:r w:rsidRPr="009621F7">
        <w:rPr>
          <w:sz w:val="24"/>
          <w:szCs w:val="24"/>
        </w:rPr>
        <w:t xml:space="preserve"> 40</w:t>
      </w:r>
      <w:r w:rsidRPr="009621F7">
        <w:rPr>
          <w:sz w:val="24"/>
          <w:szCs w:val="24"/>
          <w:vertAlign w:val="superscript"/>
        </w:rPr>
        <w:t>o</w:t>
      </w:r>
      <w:r w:rsidRPr="009621F7">
        <w:rPr>
          <w:sz w:val="24"/>
          <w:szCs w:val="24"/>
        </w:rPr>
        <w:t>C i 100</w:t>
      </w:r>
      <w:r w:rsidRPr="009621F7">
        <w:rPr>
          <w:sz w:val="24"/>
          <w:szCs w:val="24"/>
          <w:vertAlign w:val="superscript"/>
        </w:rPr>
        <w:t>o</w:t>
      </w:r>
      <w:r w:rsidRPr="009621F7">
        <w:rPr>
          <w:sz w:val="24"/>
          <w:szCs w:val="24"/>
        </w:rPr>
        <w:t xml:space="preserve">C. </w:t>
      </w:r>
    </w:p>
    <w:p w:rsidR="009621F7" w:rsidRPr="009621F7" w:rsidRDefault="009621F7" w:rsidP="009621F7">
      <w:pPr>
        <w:autoSpaceDE w:val="0"/>
        <w:autoSpaceDN w:val="0"/>
        <w:adjustRightInd w:val="0"/>
        <w:jc w:val="both"/>
        <w:rPr>
          <w:sz w:val="24"/>
          <w:szCs w:val="24"/>
          <w:lang w:val="sr-Latn-BA"/>
        </w:rPr>
      </w:pPr>
      <w:r w:rsidRPr="009621F7">
        <w:rPr>
          <w:sz w:val="24"/>
          <w:szCs w:val="24"/>
        </w:rPr>
        <w:t xml:space="preserve">Relativna viskoznost, </w:t>
      </w:r>
      <w:r w:rsidRPr="009621F7">
        <w:rPr>
          <w:i/>
          <w:iCs/>
          <w:sz w:val="24"/>
          <w:szCs w:val="24"/>
        </w:rPr>
        <w:t>η</w:t>
      </w:r>
      <w:r w:rsidR="00C071A5" w:rsidRPr="00C071A5">
        <w:rPr>
          <w:i/>
          <w:sz w:val="24"/>
          <w:szCs w:val="24"/>
          <w:vertAlign w:val="subscript"/>
        </w:rPr>
        <w:t>rel</w:t>
      </w:r>
      <w:r w:rsidRPr="009621F7">
        <w:rPr>
          <w:sz w:val="24"/>
          <w:szCs w:val="24"/>
        </w:rPr>
        <w:t>, izračunata je kao srednja vrijednost tri mjerenja prema formuli</w:t>
      </w:r>
      <w:r w:rsidRPr="009621F7">
        <w:rPr>
          <w:sz w:val="24"/>
          <w:szCs w:val="24"/>
          <w:lang w:val="sr-Latn-BA"/>
        </w:rPr>
        <w:t xml:space="preserve">: </w:t>
      </w:r>
    </w:p>
    <w:p w:rsidR="009621F7" w:rsidRPr="009621F7" w:rsidRDefault="009621F7" w:rsidP="009621F7">
      <w:pPr>
        <w:autoSpaceDE w:val="0"/>
        <w:autoSpaceDN w:val="0"/>
        <w:adjustRightInd w:val="0"/>
        <w:jc w:val="both"/>
        <w:rPr>
          <w:sz w:val="24"/>
          <w:szCs w:val="24"/>
        </w:rPr>
      </w:pPr>
      <w:proofErr w:type="gramStart"/>
      <w:r w:rsidRPr="009621F7">
        <w:rPr>
          <w:i/>
          <w:iCs/>
          <w:sz w:val="24"/>
          <w:szCs w:val="24"/>
        </w:rPr>
        <w:t>η</w:t>
      </w:r>
      <w:r w:rsidR="00C071A5" w:rsidRPr="00C071A5">
        <w:rPr>
          <w:i/>
          <w:sz w:val="24"/>
          <w:szCs w:val="24"/>
          <w:vertAlign w:val="subscript"/>
        </w:rPr>
        <w:t>rel</w:t>
      </w:r>
      <w:proofErr w:type="gramEnd"/>
      <w:r w:rsidRPr="009621F7">
        <w:rPr>
          <w:sz w:val="24"/>
          <w:szCs w:val="24"/>
        </w:rPr>
        <w:t xml:space="preserve"> = </w:t>
      </w:r>
      <w:r w:rsidRPr="009621F7">
        <w:rPr>
          <w:i/>
          <w:iCs/>
          <w:sz w:val="24"/>
          <w:szCs w:val="24"/>
        </w:rPr>
        <w:t xml:space="preserve">t </w:t>
      </w:r>
      <w:r w:rsidRPr="009621F7">
        <w:rPr>
          <w:sz w:val="24"/>
          <w:szCs w:val="24"/>
        </w:rPr>
        <w:t xml:space="preserve">/ </w:t>
      </w:r>
      <w:r w:rsidRPr="009621F7">
        <w:rPr>
          <w:i/>
          <w:iCs/>
          <w:sz w:val="24"/>
          <w:szCs w:val="24"/>
        </w:rPr>
        <w:t>t</w:t>
      </w:r>
      <w:r w:rsidRPr="00C071A5">
        <w:rPr>
          <w:sz w:val="24"/>
          <w:szCs w:val="24"/>
          <w:vertAlign w:val="subscript"/>
        </w:rPr>
        <w:t>0</w:t>
      </w:r>
      <w:r w:rsidRPr="009621F7">
        <w:rPr>
          <w:sz w:val="24"/>
          <w:szCs w:val="24"/>
        </w:rPr>
        <w:t xml:space="preserve">, gde je </w:t>
      </w:r>
      <w:r w:rsidRPr="009621F7">
        <w:rPr>
          <w:i/>
          <w:iCs/>
          <w:sz w:val="24"/>
          <w:szCs w:val="24"/>
        </w:rPr>
        <w:t>t</w:t>
      </w:r>
      <w:r w:rsidRPr="00C071A5">
        <w:rPr>
          <w:sz w:val="24"/>
          <w:szCs w:val="24"/>
          <w:vertAlign w:val="subscript"/>
        </w:rPr>
        <w:t>0</w:t>
      </w:r>
      <w:r w:rsidRPr="009621F7">
        <w:rPr>
          <w:sz w:val="24"/>
          <w:szCs w:val="24"/>
        </w:rPr>
        <w:t xml:space="preserve"> vrijeme proticanja baznog ulja, a </w:t>
      </w:r>
      <w:r w:rsidRPr="009621F7">
        <w:rPr>
          <w:i/>
          <w:iCs/>
          <w:sz w:val="24"/>
          <w:szCs w:val="24"/>
        </w:rPr>
        <w:t xml:space="preserve">t </w:t>
      </w:r>
      <w:r w:rsidRPr="009621F7">
        <w:rPr>
          <w:sz w:val="24"/>
          <w:szCs w:val="24"/>
        </w:rPr>
        <w:t xml:space="preserve">vrijeme proticanja rastvora polimera u baznom ulju određene koncentracije. Na osnovu relativne viskoznosti izračunata je specifična viskoznost </w:t>
      </w:r>
      <w:r w:rsidRPr="009621F7">
        <w:rPr>
          <w:i/>
          <w:iCs/>
          <w:sz w:val="24"/>
          <w:szCs w:val="24"/>
        </w:rPr>
        <w:t>η</w:t>
      </w:r>
      <w:r w:rsidRPr="00C071A5">
        <w:rPr>
          <w:i/>
          <w:sz w:val="24"/>
          <w:szCs w:val="24"/>
          <w:vertAlign w:val="subscript"/>
        </w:rPr>
        <w:t>sp</w:t>
      </w:r>
      <w:r w:rsidRPr="009621F7">
        <w:rPr>
          <w:sz w:val="24"/>
          <w:szCs w:val="24"/>
        </w:rPr>
        <w:t xml:space="preserve">, kao: </w:t>
      </w:r>
      <w:r w:rsidRPr="009621F7">
        <w:rPr>
          <w:i/>
          <w:iCs/>
          <w:sz w:val="24"/>
          <w:szCs w:val="24"/>
        </w:rPr>
        <w:t>η</w:t>
      </w:r>
      <w:r w:rsidRPr="00C071A5">
        <w:rPr>
          <w:i/>
          <w:sz w:val="24"/>
          <w:szCs w:val="24"/>
          <w:vertAlign w:val="subscript"/>
        </w:rPr>
        <w:t>sp</w:t>
      </w:r>
      <w:r w:rsidRPr="009621F7">
        <w:rPr>
          <w:i/>
          <w:iCs/>
          <w:sz w:val="24"/>
          <w:szCs w:val="24"/>
        </w:rPr>
        <w:t>= η</w:t>
      </w:r>
      <w:r w:rsidR="00C071A5" w:rsidRPr="00C071A5">
        <w:rPr>
          <w:i/>
          <w:sz w:val="24"/>
          <w:szCs w:val="24"/>
          <w:vertAlign w:val="subscript"/>
        </w:rPr>
        <w:t>rel</w:t>
      </w:r>
      <w:r w:rsidRPr="00C071A5">
        <w:rPr>
          <w:i/>
          <w:sz w:val="24"/>
          <w:szCs w:val="24"/>
          <w:vertAlign w:val="subscript"/>
        </w:rPr>
        <w:t xml:space="preserve"> </w:t>
      </w:r>
      <w:r w:rsidRPr="009621F7">
        <w:rPr>
          <w:sz w:val="24"/>
          <w:szCs w:val="24"/>
        </w:rPr>
        <w:t>– 1,</w:t>
      </w:r>
    </w:p>
    <w:p w:rsidR="009621F7" w:rsidRPr="009621F7" w:rsidRDefault="009621F7" w:rsidP="009621F7">
      <w:pPr>
        <w:autoSpaceDE w:val="0"/>
        <w:autoSpaceDN w:val="0"/>
        <w:adjustRightInd w:val="0"/>
        <w:jc w:val="both"/>
        <w:rPr>
          <w:sz w:val="24"/>
          <w:szCs w:val="24"/>
        </w:rPr>
      </w:pPr>
      <w:proofErr w:type="gramStart"/>
      <w:r w:rsidRPr="009621F7">
        <w:rPr>
          <w:sz w:val="24"/>
          <w:szCs w:val="24"/>
        </w:rPr>
        <w:t>a</w:t>
      </w:r>
      <w:proofErr w:type="gramEnd"/>
      <w:r w:rsidRPr="009621F7">
        <w:rPr>
          <w:sz w:val="24"/>
          <w:szCs w:val="24"/>
        </w:rPr>
        <w:t xml:space="preserve"> zatim i redukovana viskoznost, </w:t>
      </w:r>
      <w:r w:rsidRPr="009621F7">
        <w:rPr>
          <w:i/>
          <w:iCs/>
          <w:sz w:val="24"/>
          <w:szCs w:val="24"/>
        </w:rPr>
        <w:t>η</w:t>
      </w:r>
      <w:r w:rsidR="00C071A5" w:rsidRPr="00C071A5">
        <w:rPr>
          <w:i/>
          <w:sz w:val="24"/>
          <w:szCs w:val="24"/>
          <w:vertAlign w:val="subscript"/>
        </w:rPr>
        <w:t>red</w:t>
      </w:r>
      <w:r w:rsidRPr="009621F7">
        <w:rPr>
          <w:sz w:val="24"/>
          <w:szCs w:val="24"/>
        </w:rPr>
        <w:t xml:space="preserve">, prema formuli: </w:t>
      </w:r>
      <w:r w:rsidRPr="009621F7">
        <w:rPr>
          <w:i/>
          <w:iCs/>
          <w:sz w:val="24"/>
          <w:szCs w:val="24"/>
        </w:rPr>
        <w:t>η</w:t>
      </w:r>
      <w:r w:rsidR="00C071A5" w:rsidRPr="00C071A5">
        <w:rPr>
          <w:i/>
          <w:sz w:val="24"/>
          <w:szCs w:val="24"/>
          <w:vertAlign w:val="subscript"/>
        </w:rPr>
        <w:t>red</w:t>
      </w:r>
      <w:r w:rsidRPr="009621F7">
        <w:rPr>
          <w:sz w:val="24"/>
          <w:szCs w:val="24"/>
        </w:rPr>
        <w:t xml:space="preserve">= </w:t>
      </w:r>
      <w:r w:rsidRPr="009621F7">
        <w:rPr>
          <w:i/>
          <w:iCs/>
          <w:sz w:val="24"/>
          <w:szCs w:val="24"/>
        </w:rPr>
        <w:t>η</w:t>
      </w:r>
      <w:r w:rsidRPr="00C071A5">
        <w:rPr>
          <w:i/>
          <w:sz w:val="24"/>
          <w:szCs w:val="24"/>
          <w:vertAlign w:val="subscript"/>
        </w:rPr>
        <w:t>sp</w:t>
      </w:r>
      <w:r w:rsidRPr="009621F7">
        <w:rPr>
          <w:sz w:val="24"/>
          <w:szCs w:val="24"/>
        </w:rPr>
        <w:t xml:space="preserve"> / </w:t>
      </w:r>
      <w:r w:rsidRPr="009621F7">
        <w:rPr>
          <w:i/>
          <w:iCs/>
          <w:sz w:val="24"/>
          <w:szCs w:val="24"/>
        </w:rPr>
        <w:t>c</w:t>
      </w:r>
      <w:r w:rsidRPr="009621F7">
        <w:rPr>
          <w:sz w:val="24"/>
          <w:szCs w:val="24"/>
        </w:rPr>
        <w:t>,</w:t>
      </w:r>
    </w:p>
    <w:p w:rsidR="009621F7" w:rsidRPr="009621F7" w:rsidRDefault="009621F7" w:rsidP="009621F7">
      <w:pPr>
        <w:autoSpaceDE w:val="0"/>
        <w:autoSpaceDN w:val="0"/>
        <w:adjustRightInd w:val="0"/>
        <w:jc w:val="both"/>
        <w:rPr>
          <w:sz w:val="24"/>
          <w:szCs w:val="24"/>
        </w:rPr>
      </w:pPr>
      <w:proofErr w:type="gramStart"/>
      <w:r w:rsidRPr="009621F7">
        <w:rPr>
          <w:sz w:val="24"/>
          <w:szCs w:val="24"/>
        </w:rPr>
        <w:t>gdje</w:t>
      </w:r>
      <w:proofErr w:type="gramEnd"/>
      <w:r w:rsidRPr="009621F7">
        <w:rPr>
          <w:sz w:val="24"/>
          <w:szCs w:val="24"/>
        </w:rPr>
        <w:t xml:space="preserve"> je </w:t>
      </w:r>
      <w:r w:rsidRPr="009621F7">
        <w:rPr>
          <w:i/>
          <w:iCs/>
          <w:sz w:val="24"/>
          <w:szCs w:val="24"/>
        </w:rPr>
        <w:t xml:space="preserve">c </w:t>
      </w:r>
      <w:r w:rsidRPr="009621F7">
        <w:rPr>
          <w:sz w:val="24"/>
          <w:szCs w:val="24"/>
        </w:rPr>
        <w:t xml:space="preserve">– koncentracija rastvora baznog ulja izražena u g/100g. Grafičkim prikazivanjem zavisnosti redukovane viskoznosti rastvora polimera </w:t>
      </w:r>
      <w:proofErr w:type="gramStart"/>
      <w:r w:rsidRPr="009621F7">
        <w:rPr>
          <w:sz w:val="24"/>
          <w:szCs w:val="24"/>
        </w:rPr>
        <w:t>od</w:t>
      </w:r>
      <w:proofErr w:type="gramEnd"/>
      <w:r w:rsidRPr="009621F7">
        <w:rPr>
          <w:sz w:val="24"/>
          <w:szCs w:val="24"/>
        </w:rPr>
        <w:t xml:space="preserve"> koncentracije u datom baznom ulju, te ekstrapolacijom krive na nultu vrijednost koncentracije (c</w:t>
      </w:r>
      <w:r w:rsidR="00C071A5">
        <w:rPr>
          <w:sz w:val="24"/>
          <w:szCs w:val="24"/>
        </w:rPr>
        <w:t xml:space="preserve"> </w:t>
      </w:r>
      <w:r w:rsidRPr="009621F7">
        <w:rPr>
          <w:sz w:val="24"/>
          <w:szCs w:val="24"/>
        </w:rPr>
        <w:t>= 0 g/100g) dobija se vrij</w:t>
      </w:r>
      <w:r w:rsidR="00E87024">
        <w:rPr>
          <w:sz w:val="24"/>
          <w:szCs w:val="24"/>
        </w:rPr>
        <w:t>ednost graničnog viskozitetnog broja.</w:t>
      </w:r>
    </w:p>
    <w:p w:rsidR="009621F7" w:rsidRDefault="009621F7" w:rsidP="00760075">
      <w:pPr>
        <w:jc w:val="both"/>
        <w:rPr>
          <w:sz w:val="24"/>
          <w:szCs w:val="24"/>
        </w:rPr>
      </w:pPr>
    </w:p>
    <w:p w:rsidR="00760075" w:rsidRPr="009621F7" w:rsidRDefault="00760075" w:rsidP="00D26BBC">
      <w:pPr>
        <w:jc w:val="both"/>
        <w:rPr>
          <w:sz w:val="28"/>
          <w:szCs w:val="28"/>
          <w:lang w:val="sr-Latn-BA"/>
        </w:rPr>
      </w:pPr>
    </w:p>
    <w:p w:rsidR="00760075" w:rsidRPr="009621F7" w:rsidRDefault="009621F7" w:rsidP="00760075">
      <w:pPr>
        <w:jc w:val="center"/>
        <w:rPr>
          <w:b/>
          <w:sz w:val="28"/>
          <w:szCs w:val="28"/>
          <w:lang w:val="sr-Latn-BA"/>
        </w:rPr>
      </w:pPr>
      <w:r w:rsidRPr="009621F7">
        <w:rPr>
          <w:b/>
          <w:sz w:val="28"/>
          <w:szCs w:val="28"/>
          <w:lang w:val="sr-Latn-BA"/>
        </w:rPr>
        <w:t>REZULTATI I DISKUSIJA</w:t>
      </w:r>
    </w:p>
    <w:p w:rsidR="00760075" w:rsidRPr="00481E5B" w:rsidRDefault="00760075" w:rsidP="00760075">
      <w:pPr>
        <w:jc w:val="center"/>
        <w:rPr>
          <w:b/>
          <w:sz w:val="24"/>
          <w:szCs w:val="24"/>
          <w:lang w:val="sr-Cyrl-CS"/>
        </w:rPr>
      </w:pPr>
    </w:p>
    <w:p w:rsidR="009621F7" w:rsidRPr="009621F7" w:rsidRDefault="009621F7" w:rsidP="009621F7">
      <w:pPr>
        <w:autoSpaceDE w:val="0"/>
        <w:autoSpaceDN w:val="0"/>
        <w:adjustRightInd w:val="0"/>
        <w:jc w:val="both"/>
        <w:rPr>
          <w:sz w:val="24"/>
          <w:szCs w:val="24"/>
        </w:rPr>
      </w:pPr>
      <w:r w:rsidRPr="009621F7">
        <w:rPr>
          <w:sz w:val="24"/>
          <w:szCs w:val="24"/>
        </w:rPr>
        <w:t xml:space="preserve">Slika 3 ilustruje zavisnost indeksa viskoznosti </w:t>
      </w:r>
      <w:r w:rsidR="00FA3107" w:rsidRPr="00FA3107">
        <w:rPr>
          <w:sz w:val="24"/>
          <w:szCs w:val="24"/>
          <w:lang w:val="sr-Latn-BA"/>
        </w:rPr>
        <w:t>ispitivanih rastvora</w:t>
      </w:r>
      <w:r w:rsidR="00C071A5" w:rsidRPr="00FA3107">
        <w:rPr>
          <w:sz w:val="24"/>
          <w:szCs w:val="24"/>
          <w:lang w:val="sr-Latn-BA"/>
        </w:rPr>
        <w:t xml:space="preserve"> baznih</w:t>
      </w:r>
      <w:r w:rsidR="00C071A5">
        <w:rPr>
          <w:sz w:val="24"/>
          <w:szCs w:val="24"/>
        </w:rPr>
        <w:t xml:space="preserve"> ulja </w:t>
      </w:r>
      <w:proofErr w:type="gramStart"/>
      <w:r w:rsidR="00C071A5">
        <w:rPr>
          <w:sz w:val="24"/>
          <w:szCs w:val="24"/>
        </w:rPr>
        <w:t>od</w:t>
      </w:r>
      <w:proofErr w:type="gramEnd"/>
      <w:r w:rsidR="00C071A5">
        <w:rPr>
          <w:sz w:val="24"/>
          <w:szCs w:val="24"/>
        </w:rPr>
        <w:t xml:space="preserve"> </w:t>
      </w:r>
      <w:r w:rsidRPr="009621F7">
        <w:rPr>
          <w:sz w:val="24"/>
          <w:szCs w:val="24"/>
        </w:rPr>
        <w:t>koncentracije poboljšivača indeksa viskoznosti.</w:t>
      </w:r>
    </w:p>
    <w:p w:rsidR="009621F7" w:rsidRPr="009621F7" w:rsidRDefault="009621F7" w:rsidP="009621F7">
      <w:pPr>
        <w:autoSpaceDE w:val="0"/>
        <w:autoSpaceDN w:val="0"/>
        <w:adjustRightInd w:val="0"/>
        <w:jc w:val="both"/>
        <w:rPr>
          <w:sz w:val="24"/>
          <w:szCs w:val="24"/>
        </w:rPr>
      </w:pPr>
    </w:p>
    <w:p w:rsidR="009621F7" w:rsidRPr="009621F7" w:rsidRDefault="00936C67" w:rsidP="009621F7">
      <w:pPr>
        <w:autoSpaceDE w:val="0"/>
        <w:autoSpaceDN w:val="0"/>
        <w:adjustRightInd w:val="0"/>
        <w:jc w:val="center"/>
        <w:rPr>
          <w:sz w:val="24"/>
          <w:szCs w:val="24"/>
        </w:rPr>
      </w:pPr>
      <w:r>
        <w:rPr>
          <w:noProof/>
          <w:snapToGrid/>
          <w:sz w:val="24"/>
          <w:szCs w:val="24"/>
        </w:rPr>
        <w:drawing>
          <wp:inline distT="0" distB="0" distL="0" distR="0">
            <wp:extent cx="4389120" cy="2328545"/>
            <wp:effectExtent l="19050" t="0" r="11430" b="0"/>
            <wp:docPr id="35"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621F7" w:rsidRPr="009621F7" w:rsidRDefault="009621F7" w:rsidP="009621F7">
      <w:pPr>
        <w:autoSpaceDE w:val="0"/>
        <w:autoSpaceDN w:val="0"/>
        <w:adjustRightInd w:val="0"/>
        <w:jc w:val="center"/>
        <w:rPr>
          <w:noProof/>
          <w:sz w:val="24"/>
          <w:szCs w:val="24"/>
        </w:rPr>
      </w:pPr>
    </w:p>
    <w:p w:rsidR="009621F7" w:rsidRDefault="009621F7" w:rsidP="009621F7">
      <w:pPr>
        <w:autoSpaceDE w:val="0"/>
        <w:autoSpaceDN w:val="0"/>
        <w:adjustRightInd w:val="0"/>
        <w:jc w:val="center"/>
        <w:rPr>
          <w:noProof/>
          <w:sz w:val="24"/>
          <w:szCs w:val="24"/>
        </w:rPr>
      </w:pPr>
      <w:r w:rsidRPr="002E0F65">
        <w:rPr>
          <w:noProof/>
          <w:sz w:val="24"/>
          <w:szCs w:val="24"/>
        </w:rPr>
        <w:t xml:space="preserve">Slika 3. </w:t>
      </w:r>
      <w:r w:rsidR="00391845">
        <w:rPr>
          <w:noProof/>
          <w:sz w:val="24"/>
          <w:szCs w:val="24"/>
        </w:rPr>
        <w:t>Korelacija između</w:t>
      </w:r>
      <w:r w:rsidRPr="002E0F65">
        <w:rPr>
          <w:noProof/>
          <w:sz w:val="24"/>
          <w:szCs w:val="24"/>
        </w:rPr>
        <w:t xml:space="preserve"> </w:t>
      </w:r>
      <w:r w:rsidR="00233268">
        <w:rPr>
          <w:noProof/>
          <w:sz w:val="24"/>
          <w:szCs w:val="24"/>
        </w:rPr>
        <w:t>IV</w:t>
      </w:r>
      <w:r w:rsidR="00391845">
        <w:rPr>
          <w:noProof/>
          <w:sz w:val="24"/>
          <w:szCs w:val="24"/>
        </w:rPr>
        <w:t xml:space="preserve"> rastvora baznih ulja i</w:t>
      </w:r>
      <w:r w:rsidRPr="002E0F65">
        <w:rPr>
          <w:noProof/>
          <w:sz w:val="24"/>
          <w:szCs w:val="24"/>
        </w:rPr>
        <w:t xml:space="preserve"> koncentracije polimera</w:t>
      </w:r>
    </w:p>
    <w:p w:rsidR="00233268" w:rsidRPr="002E0F65" w:rsidRDefault="00233268" w:rsidP="009621F7">
      <w:pPr>
        <w:autoSpaceDE w:val="0"/>
        <w:autoSpaceDN w:val="0"/>
        <w:adjustRightInd w:val="0"/>
        <w:jc w:val="center"/>
        <w:rPr>
          <w:noProof/>
          <w:sz w:val="24"/>
          <w:szCs w:val="24"/>
        </w:rPr>
      </w:pPr>
      <w:r>
        <w:rPr>
          <w:noProof/>
          <w:sz w:val="24"/>
          <w:szCs w:val="24"/>
        </w:rPr>
        <w:t xml:space="preserve">Figure 3. </w:t>
      </w:r>
      <w:r w:rsidR="00391845">
        <w:rPr>
          <w:noProof/>
          <w:sz w:val="24"/>
          <w:szCs w:val="24"/>
        </w:rPr>
        <w:t xml:space="preserve">Corelation IV solution base oils and </w:t>
      </w:r>
      <w:r w:rsidRPr="00233268">
        <w:rPr>
          <w:noProof/>
          <w:sz w:val="24"/>
          <w:szCs w:val="24"/>
        </w:rPr>
        <w:t>concentration of the polymer</w:t>
      </w:r>
    </w:p>
    <w:p w:rsidR="009621F7" w:rsidRPr="009621F7" w:rsidRDefault="009621F7" w:rsidP="009621F7">
      <w:pPr>
        <w:autoSpaceDE w:val="0"/>
        <w:autoSpaceDN w:val="0"/>
        <w:adjustRightInd w:val="0"/>
        <w:jc w:val="both"/>
        <w:rPr>
          <w:sz w:val="24"/>
          <w:szCs w:val="24"/>
        </w:rPr>
      </w:pPr>
    </w:p>
    <w:p w:rsidR="009621F7" w:rsidRPr="00FA3107" w:rsidRDefault="009621F7" w:rsidP="009621F7">
      <w:pPr>
        <w:autoSpaceDE w:val="0"/>
        <w:autoSpaceDN w:val="0"/>
        <w:adjustRightInd w:val="0"/>
        <w:jc w:val="both"/>
        <w:rPr>
          <w:sz w:val="24"/>
          <w:szCs w:val="24"/>
          <w:lang w:val="sr-Latn-BA"/>
        </w:rPr>
      </w:pPr>
      <w:r w:rsidRPr="00FA3107">
        <w:rPr>
          <w:sz w:val="24"/>
          <w:szCs w:val="24"/>
          <w:lang w:val="sr-Latn-BA"/>
        </w:rPr>
        <w:t xml:space="preserve">Sa slike 3. se jasno uočava porast vrijednosti indeksa viskoznosti rastvora s porastom koncentracije polimera kod svih uzoraka baznih ulja. Sve tri funkcije pokazuju eksponencijalnu zavisnost i dobro slaganje eksperimentalnih rezultata sa matematičkom funkcijom dobijenom kompjuterskom obradom rezultata. Korelacioni faktor je preko 0,98. </w:t>
      </w:r>
    </w:p>
    <w:p w:rsidR="009621F7" w:rsidRPr="009621F7" w:rsidRDefault="009621F7" w:rsidP="009621F7">
      <w:pPr>
        <w:autoSpaceDE w:val="0"/>
        <w:autoSpaceDN w:val="0"/>
        <w:adjustRightInd w:val="0"/>
        <w:jc w:val="both"/>
        <w:rPr>
          <w:sz w:val="24"/>
          <w:szCs w:val="24"/>
        </w:rPr>
      </w:pPr>
      <w:r w:rsidRPr="00FA3107">
        <w:rPr>
          <w:sz w:val="24"/>
          <w:szCs w:val="24"/>
          <w:lang w:val="sr-Latn-BA"/>
        </w:rPr>
        <w:t xml:space="preserve">Od svih ispitivanih rastvora baznih ulja, najveća vrijednost indeksa viskoznosti je postignuta u rastvoru polialfaolefina i pri </w:t>
      </w:r>
      <w:r w:rsidR="00C63F89" w:rsidRPr="00FA3107">
        <w:rPr>
          <w:sz w:val="24"/>
          <w:szCs w:val="24"/>
          <w:lang w:val="sr-Latn-BA"/>
        </w:rPr>
        <w:t xml:space="preserve">koncentraciji polimera od 1,2% </w:t>
      </w:r>
      <w:r w:rsidRPr="00FA3107">
        <w:rPr>
          <w:sz w:val="24"/>
          <w:szCs w:val="24"/>
          <w:lang w:val="sr-Latn-BA"/>
        </w:rPr>
        <w:t xml:space="preserve"> iznosi 169. Dodatak polimera u koncentraciji od 1,2%  dovodi do povećanja indeksa viskoznosti rastvora polialfaolefina za 30%. Pri istoj koncentraciji polimera, kod hidrokrekovanog baznog ulja dolazi do povećanja </w:t>
      </w:r>
      <w:r w:rsidR="001A1C14" w:rsidRPr="00FA3107">
        <w:rPr>
          <w:sz w:val="24"/>
          <w:szCs w:val="24"/>
          <w:lang w:val="sr-Latn-BA"/>
        </w:rPr>
        <w:t xml:space="preserve">indeksa </w:t>
      </w:r>
      <w:r w:rsidRPr="00FA3107">
        <w:rPr>
          <w:sz w:val="24"/>
          <w:szCs w:val="24"/>
          <w:lang w:val="sr-Latn-BA"/>
        </w:rPr>
        <w:t>viskoznosti za 31,2%, dok je povećanje indeksa viskoznosti najviše izraženo kod mineralnog baznog ulja i iznosi 46,6%.</w:t>
      </w:r>
      <w:r w:rsidR="00C63F89" w:rsidRPr="00FA3107">
        <w:rPr>
          <w:sz w:val="24"/>
          <w:szCs w:val="24"/>
          <w:lang w:val="sr-Latn-BA"/>
        </w:rPr>
        <w:t xml:space="preserve"> </w:t>
      </w:r>
      <w:r w:rsidRPr="00FA3107">
        <w:rPr>
          <w:sz w:val="24"/>
          <w:szCs w:val="24"/>
          <w:lang w:val="sr-Latn-BA"/>
        </w:rPr>
        <w:t>Iz dijagrama se može uočiti da pri dodatku polimera</w:t>
      </w:r>
      <w:r w:rsidRPr="009621F7">
        <w:rPr>
          <w:sz w:val="24"/>
          <w:szCs w:val="24"/>
        </w:rPr>
        <w:t xml:space="preserve"> </w:t>
      </w:r>
      <w:r w:rsidRPr="009621F7">
        <w:rPr>
          <w:sz w:val="24"/>
          <w:szCs w:val="24"/>
        </w:rPr>
        <w:lastRenderedPageBreak/>
        <w:t>oko 1% i više dolazi do znatno manjeg povećanja indeksa viskoznosti rastvora ispitivanih baznih ulja.</w:t>
      </w:r>
    </w:p>
    <w:p w:rsidR="009621F7" w:rsidRPr="009621F7" w:rsidRDefault="009621F7" w:rsidP="009621F7">
      <w:pPr>
        <w:autoSpaceDE w:val="0"/>
        <w:autoSpaceDN w:val="0"/>
        <w:adjustRightInd w:val="0"/>
        <w:jc w:val="both"/>
        <w:rPr>
          <w:sz w:val="24"/>
          <w:szCs w:val="24"/>
        </w:rPr>
      </w:pPr>
    </w:p>
    <w:p w:rsidR="009621F7" w:rsidRPr="009621F7" w:rsidRDefault="009621F7" w:rsidP="009621F7">
      <w:pPr>
        <w:autoSpaceDE w:val="0"/>
        <w:autoSpaceDN w:val="0"/>
        <w:adjustRightInd w:val="0"/>
        <w:jc w:val="both"/>
        <w:rPr>
          <w:sz w:val="24"/>
          <w:szCs w:val="24"/>
        </w:rPr>
      </w:pPr>
      <w:r w:rsidRPr="009621F7">
        <w:rPr>
          <w:sz w:val="24"/>
          <w:szCs w:val="24"/>
        </w:rPr>
        <w:t xml:space="preserve">Sljedeći dijagrami prikazuju ponašanje ispitivanog poboljšivača viskoznosti u rastvorima baznih ulja ilustrujući zavisnost relativne i redukovane viskoznosti </w:t>
      </w:r>
      <w:proofErr w:type="gramStart"/>
      <w:r w:rsidRPr="009621F7">
        <w:rPr>
          <w:sz w:val="24"/>
          <w:szCs w:val="24"/>
        </w:rPr>
        <w:t>od</w:t>
      </w:r>
      <w:proofErr w:type="gramEnd"/>
      <w:r w:rsidRPr="009621F7">
        <w:rPr>
          <w:sz w:val="24"/>
          <w:szCs w:val="24"/>
        </w:rPr>
        <w:t xml:space="preserve"> koncentracije polimera u određenom baznom ulju na datoj temperaturi.  </w:t>
      </w:r>
    </w:p>
    <w:p w:rsidR="009621F7" w:rsidRPr="009621F7" w:rsidRDefault="009621F7" w:rsidP="009621F7">
      <w:pPr>
        <w:autoSpaceDE w:val="0"/>
        <w:autoSpaceDN w:val="0"/>
        <w:adjustRightInd w:val="0"/>
        <w:jc w:val="both"/>
        <w:rPr>
          <w:sz w:val="24"/>
          <w:szCs w:val="24"/>
        </w:rPr>
      </w:pPr>
    </w:p>
    <w:p w:rsidR="009621F7" w:rsidRPr="009621F7" w:rsidRDefault="009621F7" w:rsidP="009621F7">
      <w:pPr>
        <w:autoSpaceDE w:val="0"/>
        <w:autoSpaceDN w:val="0"/>
        <w:adjustRightInd w:val="0"/>
        <w:jc w:val="center"/>
        <w:rPr>
          <w:sz w:val="24"/>
          <w:szCs w:val="24"/>
        </w:rPr>
      </w:pPr>
    </w:p>
    <w:p w:rsidR="009621F7" w:rsidRPr="009621F7" w:rsidRDefault="00C63F89" w:rsidP="00C63F89">
      <w:pPr>
        <w:autoSpaceDE w:val="0"/>
        <w:autoSpaceDN w:val="0"/>
        <w:adjustRightInd w:val="0"/>
        <w:jc w:val="center"/>
        <w:rPr>
          <w:sz w:val="24"/>
          <w:szCs w:val="24"/>
        </w:rPr>
      </w:pPr>
      <w:r>
        <w:rPr>
          <w:noProof/>
          <w:snapToGrid/>
          <w:sz w:val="24"/>
          <w:szCs w:val="24"/>
        </w:rPr>
        <w:drawing>
          <wp:inline distT="0" distB="0" distL="0" distR="0">
            <wp:extent cx="4543425" cy="2295525"/>
            <wp:effectExtent l="19050" t="0" r="9525" b="0"/>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621F7" w:rsidRPr="00C071A5" w:rsidRDefault="009621F7" w:rsidP="009621F7">
      <w:pPr>
        <w:autoSpaceDE w:val="0"/>
        <w:autoSpaceDN w:val="0"/>
        <w:adjustRightInd w:val="0"/>
        <w:jc w:val="center"/>
        <w:rPr>
          <w:sz w:val="24"/>
          <w:szCs w:val="24"/>
        </w:rPr>
      </w:pPr>
      <w:r w:rsidRPr="00C071A5">
        <w:rPr>
          <w:sz w:val="24"/>
          <w:szCs w:val="24"/>
        </w:rPr>
        <w:t xml:space="preserve">Slika 4. </w:t>
      </w:r>
      <w:r w:rsidR="00BF0540">
        <w:rPr>
          <w:sz w:val="24"/>
          <w:szCs w:val="24"/>
        </w:rPr>
        <w:t xml:space="preserve">Zavisnost redukovane </w:t>
      </w:r>
      <w:r w:rsidR="00C63F89">
        <w:rPr>
          <w:sz w:val="24"/>
          <w:szCs w:val="24"/>
        </w:rPr>
        <w:t xml:space="preserve">viskoznosti </w:t>
      </w:r>
      <w:proofErr w:type="gramStart"/>
      <w:r w:rsidR="00BF0540">
        <w:rPr>
          <w:sz w:val="24"/>
          <w:szCs w:val="24"/>
        </w:rPr>
        <w:t>od</w:t>
      </w:r>
      <w:proofErr w:type="gramEnd"/>
      <w:r w:rsidR="00BF0540">
        <w:rPr>
          <w:sz w:val="24"/>
          <w:szCs w:val="24"/>
        </w:rPr>
        <w:t xml:space="preserve"> koncentracije polimera</w:t>
      </w:r>
      <w:r w:rsidRPr="00C071A5">
        <w:rPr>
          <w:sz w:val="24"/>
          <w:szCs w:val="24"/>
        </w:rPr>
        <w:t xml:space="preserve"> u baznom ulju PAO 6 na 40</w:t>
      </w:r>
      <w:r w:rsidRPr="00C071A5">
        <w:rPr>
          <w:sz w:val="24"/>
          <w:szCs w:val="24"/>
          <w:vertAlign w:val="superscript"/>
        </w:rPr>
        <w:t>o</w:t>
      </w:r>
      <w:r w:rsidRPr="00C071A5">
        <w:rPr>
          <w:sz w:val="24"/>
          <w:szCs w:val="24"/>
        </w:rPr>
        <w:t>C.</w:t>
      </w:r>
      <w:r w:rsidR="00BF0540">
        <w:rPr>
          <w:sz w:val="24"/>
          <w:szCs w:val="24"/>
        </w:rPr>
        <w:t xml:space="preserve"> </w:t>
      </w:r>
      <w:r w:rsidR="00BF0540" w:rsidRPr="00BF0540">
        <w:rPr>
          <w:sz w:val="24"/>
          <w:szCs w:val="24"/>
        </w:rPr>
        <w:t xml:space="preserve">Figure 4. The dependence of the viscosity reduction of the concentration of </w:t>
      </w:r>
      <w:r w:rsidR="00BF0540">
        <w:rPr>
          <w:sz w:val="24"/>
          <w:szCs w:val="24"/>
        </w:rPr>
        <w:t>the polymer in base oil PAO 6 at</w:t>
      </w:r>
      <w:r w:rsidR="00BF0540" w:rsidRPr="00BF0540">
        <w:rPr>
          <w:sz w:val="24"/>
          <w:szCs w:val="24"/>
        </w:rPr>
        <w:t xml:space="preserve"> 40</w:t>
      </w:r>
      <w:r w:rsidR="00BF0540">
        <w:rPr>
          <w:sz w:val="24"/>
          <w:szCs w:val="24"/>
          <w:vertAlign w:val="superscript"/>
        </w:rPr>
        <w:t>o</w:t>
      </w:r>
      <w:r w:rsidR="00BF0540" w:rsidRPr="00BF0540">
        <w:rPr>
          <w:sz w:val="24"/>
          <w:szCs w:val="24"/>
        </w:rPr>
        <w:t>C.</w:t>
      </w:r>
    </w:p>
    <w:p w:rsidR="00C63F89" w:rsidRDefault="00C63F89" w:rsidP="009621F7">
      <w:pPr>
        <w:autoSpaceDE w:val="0"/>
        <w:autoSpaceDN w:val="0"/>
        <w:adjustRightInd w:val="0"/>
        <w:jc w:val="both"/>
        <w:rPr>
          <w:sz w:val="24"/>
          <w:szCs w:val="24"/>
        </w:rPr>
      </w:pPr>
    </w:p>
    <w:p w:rsidR="009621F7" w:rsidRPr="009621F7" w:rsidRDefault="009621F7" w:rsidP="009621F7">
      <w:pPr>
        <w:autoSpaceDE w:val="0"/>
        <w:autoSpaceDN w:val="0"/>
        <w:adjustRightInd w:val="0"/>
        <w:jc w:val="both"/>
        <w:rPr>
          <w:sz w:val="24"/>
          <w:szCs w:val="24"/>
        </w:rPr>
      </w:pPr>
      <w:r w:rsidRPr="009621F7">
        <w:rPr>
          <w:sz w:val="24"/>
          <w:szCs w:val="24"/>
        </w:rPr>
        <w:t>Na slici 4.</w:t>
      </w:r>
      <w:r w:rsidR="00C071A5">
        <w:rPr>
          <w:sz w:val="24"/>
          <w:szCs w:val="24"/>
        </w:rPr>
        <w:t xml:space="preserve"> </w:t>
      </w:r>
      <w:proofErr w:type="gramStart"/>
      <w:r w:rsidRPr="009621F7">
        <w:rPr>
          <w:sz w:val="24"/>
          <w:szCs w:val="24"/>
        </w:rPr>
        <w:t>je</w:t>
      </w:r>
      <w:proofErr w:type="gramEnd"/>
      <w:r w:rsidRPr="009621F7">
        <w:rPr>
          <w:sz w:val="24"/>
          <w:szCs w:val="24"/>
        </w:rPr>
        <w:t xml:space="preserve"> prikazan dijagram za dvije funkcije. Jedna </w:t>
      </w:r>
      <w:proofErr w:type="gramStart"/>
      <w:r w:rsidRPr="009621F7">
        <w:rPr>
          <w:sz w:val="24"/>
          <w:szCs w:val="24"/>
        </w:rPr>
        <w:t>od</w:t>
      </w:r>
      <w:proofErr w:type="gramEnd"/>
      <w:r w:rsidRPr="009621F7">
        <w:rPr>
          <w:sz w:val="24"/>
          <w:szCs w:val="24"/>
        </w:rPr>
        <w:t xml:space="preserve"> njih (crvena linija) je dobijena primjenom Huggins-ove jednačine, koja predstavlja zavisnost redukovane viskoznosti (100g/g) od koncentracije. Druga funkcija (zelena linija) je nastala primjenom Kraemer-ove jednačine, koja predstavlja količnik prirodnog logaritma (po bazi e) relativne viskoznosti i koncentracije polimera (g/100g) u zavisnosti </w:t>
      </w:r>
      <w:proofErr w:type="gramStart"/>
      <w:r w:rsidRPr="009621F7">
        <w:rPr>
          <w:sz w:val="24"/>
          <w:szCs w:val="24"/>
        </w:rPr>
        <w:t>od</w:t>
      </w:r>
      <w:proofErr w:type="gramEnd"/>
      <w:r w:rsidRPr="009621F7">
        <w:rPr>
          <w:sz w:val="24"/>
          <w:szCs w:val="24"/>
        </w:rPr>
        <w:t xml:space="preserve"> koncentracije. Primjenom ovih jednačina dobija se vrijednost unutrašnje viskoznosti </w:t>
      </w:r>
      <w:proofErr w:type="gramStart"/>
      <w:r w:rsidRPr="009621F7">
        <w:rPr>
          <w:sz w:val="24"/>
          <w:szCs w:val="24"/>
        </w:rPr>
        <w:t>od</w:t>
      </w:r>
      <w:proofErr w:type="gramEnd"/>
      <w:r w:rsidRPr="009621F7">
        <w:rPr>
          <w:sz w:val="24"/>
          <w:szCs w:val="24"/>
        </w:rPr>
        <w:t xml:space="preserve"> oko 70 g/g, koja pokazuje njihovo relativno dobro slaganje.</w:t>
      </w:r>
    </w:p>
    <w:p w:rsidR="009621F7" w:rsidRPr="009621F7" w:rsidRDefault="009621F7" w:rsidP="009621F7">
      <w:pPr>
        <w:autoSpaceDE w:val="0"/>
        <w:autoSpaceDN w:val="0"/>
        <w:adjustRightInd w:val="0"/>
        <w:jc w:val="both"/>
        <w:rPr>
          <w:sz w:val="24"/>
          <w:szCs w:val="24"/>
        </w:rPr>
      </w:pPr>
    </w:p>
    <w:p w:rsidR="00BF0540" w:rsidRDefault="00936C67" w:rsidP="00BF0540">
      <w:pPr>
        <w:autoSpaceDE w:val="0"/>
        <w:autoSpaceDN w:val="0"/>
        <w:adjustRightInd w:val="0"/>
        <w:jc w:val="center"/>
        <w:rPr>
          <w:noProof/>
          <w:sz w:val="24"/>
          <w:szCs w:val="24"/>
        </w:rPr>
      </w:pPr>
      <w:r>
        <w:rPr>
          <w:noProof/>
          <w:snapToGrid/>
          <w:sz w:val="24"/>
          <w:szCs w:val="24"/>
        </w:rPr>
        <w:drawing>
          <wp:inline distT="0" distB="0" distL="0" distR="0">
            <wp:extent cx="4657725" cy="2276475"/>
            <wp:effectExtent l="57150" t="0" r="47625" b="66675"/>
            <wp:docPr id="37"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91845" w:rsidRPr="002E0F65" w:rsidRDefault="00391845" w:rsidP="00391845">
      <w:pPr>
        <w:autoSpaceDE w:val="0"/>
        <w:autoSpaceDN w:val="0"/>
        <w:adjustRightInd w:val="0"/>
        <w:jc w:val="center"/>
        <w:rPr>
          <w:noProof/>
          <w:sz w:val="24"/>
          <w:szCs w:val="24"/>
        </w:rPr>
      </w:pPr>
      <w:r>
        <w:rPr>
          <w:noProof/>
          <w:sz w:val="24"/>
          <w:szCs w:val="24"/>
        </w:rPr>
        <w:t>Slika 5</w:t>
      </w:r>
      <w:r w:rsidRPr="002E0F65">
        <w:rPr>
          <w:noProof/>
          <w:sz w:val="24"/>
          <w:szCs w:val="24"/>
        </w:rPr>
        <w:t xml:space="preserve">. Grafičko određivanje </w:t>
      </w:r>
      <w:r>
        <w:rPr>
          <w:noProof/>
          <w:sz w:val="24"/>
          <w:szCs w:val="24"/>
        </w:rPr>
        <w:t>graničnog viskozitetnog broja</w:t>
      </w:r>
      <w:r w:rsidRPr="002E0F65">
        <w:rPr>
          <w:noProof/>
          <w:sz w:val="24"/>
          <w:szCs w:val="24"/>
        </w:rPr>
        <w:t xml:space="preserve"> za polimer OCP u baznom ulju SN 150 na 40</w:t>
      </w:r>
      <w:r w:rsidRPr="002E0F65">
        <w:rPr>
          <w:noProof/>
          <w:sz w:val="24"/>
          <w:szCs w:val="24"/>
          <w:vertAlign w:val="superscript"/>
        </w:rPr>
        <w:t>o</w:t>
      </w:r>
      <w:r w:rsidRPr="002E0F65">
        <w:rPr>
          <w:noProof/>
          <w:sz w:val="24"/>
          <w:szCs w:val="24"/>
        </w:rPr>
        <w:t>C</w:t>
      </w:r>
      <w:r>
        <w:rPr>
          <w:noProof/>
          <w:sz w:val="24"/>
          <w:szCs w:val="24"/>
        </w:rPr>
        <w:t xml:space="preserve"> Figure 5. Graphical determination limiting viscosity number for polymer OCP in base oil SN 150 at </w:t>
      </w:r>
      <w:r w:rsidRPr="002E0F65">
        <w:rPr>
          <w:noProof/>
          <w:sz w:val="24"/>
          <w:szCs w:val="24"/>
        </w:rPr>
        <w:t>40</w:t>
      </w:r>
      <w:r w:rsidRPr="002E0F65">
        <w:rPr>
          <w:noProof/>
          <w:sz w:val="24"/>
          <w:szCs w:val="24"/>
          <w:vertAlign w:val="superscript"/>
        </w:rPr>
        <w:t>o</w:t>
      </w:r>
      <w:r w:rsidRPr="002E0F65">
        <w:rPr>
          <w:noProof/>
          <w:sz w:val="24"/>
          <w:szCs w:val="24"/>
        </w:rPr>
        <w:t>C</w:t>
      </w:r>
    </w:p>
    <w:p w:rsidR="009621F7" w:rsidRPr="009621F7" w:rsidRDefault="009621F7" w:rsidP="009621F7">
      <w:pPr>
        <w:autoSpaceDE w:val="0"/>
        <w:autoSpaceDN w:val="0"/>
        <w:adjustRightInd w:val="0"/>
        <w:jc w:val="both"/>
        <w:rPr>
          <w:noProof/>
          <w:sz w:val="24"/>
          <w:szCs w:val="24"/>
        </w:rPr>
      </w:pPr>
    </w:p>
    <w:p w:rsidR="009621F7" w:rsidRDefault="00936C67" w:rsidP="009621F7">
      <w:pPr>
        <w:autoSpaceDE w:val="0"/>
        <w:autoSpaceDN w:val="0"/>
        <w:adjustRightInd w:val="0"/>
        <w:jc w:val="center"/>
        <w:rPr>
          <w:noProof/>
          <w:sz w:val="24"/>
          <w:szCs w:val="24"/>
        </w:rPr>
      </w:pPr>
      <w:r>
        <w:rPr>
          <w:noProof/>
          <w:snapToGrid/>
          <w:sz w:val="24"/>
          <w:szCs w:val="24"/>
        </w:rPr>
        <w:lastRenderedPageBreak/>
        <w:drawing>
          <wp:inline distT="0" distB="0" distL="0" distR="0">
            <wp:extent cx="4752975" cy="2276475"/>
            <wp:effectExtent l="19050" t="0" r="9525" b="0"/>
            <wp:docPr id="38"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E0F65" w:rsidRPr="009621F7" w:rsidRDefault="002E0F65" w:rsidP="009621F7">
      <w:pPr>
        <w:autoSpaceDE w:val="0"/>
        <w:autoSpaceDN w:val="0"/>
        <w:adjustRightInd w:val="0"/>
        <w:jc w:val="center"/>
        <w:rPr>
          <w:noProof/>
          <w:sz w:val="24"/>
          <w:szCs w:val="24"/>
        </w:rPr>
      </w:pPr>
    </w:p>
    <w:p w:rsidR="009621F7" w:rsidRPr="002E0F65" w:rsidRDefault="009621F7" w:rsidP="009621F7">
      <w:pPr>
        <w:autoSpaceDE w:val="0"/>
        <w:autoSpaceDN w:val="0"/>
        <w:adjustRightInd w:val="0"/>
        <w:jc w:val="center"/>
        <w:rPr>
          <w:noProof/>
          <w:sz w:val="24"/>
          <w:szCs w:val="24"/>
        </w:rPr>
      </w:pPr>
      <w:r w:rsidRPr="002E0F65">
        <w:rPr>
          <w:noProof/>
          <w:sz w:val="24"/>
          <w:szCs w:val="24"/>
        </w:rPr>
        <w:t xml:space="preserve">Slika 6. Grafičko određivanje </w:t>
      </w:r>
      <w:r w:rsidR="00391845">
        <w:rPr>
          <w:noProof/>
          <w:sz w:val="24"/>
          <w:szCs w:val="24"/>
        </w:rPr>
        <w:t>graničnog viskozitetnog broja</w:t>
      </w:r>
      <w:r w:rsidRPr="002E0F65">
        <w:rPr>
          <w:noProof/>
          <w:sz w:val="24"/>
          <w:szCs w:val="24"/>
        </w:rPr>
        <w:t xml:space="preserve"> za polimer OCP u baznom ulju SN 150 na 40</w:t>
      </w:r>
      <w:r w:rsidRPr="002E0F65">
        <w:rPr>
          <w:noProof/>
          <w:sz w:val="24"/>
          <w:szCs w:val="24"/>
          <w:vertAlign w:val="superscript"/>
        </w:rPr>
        <w:t>o</w:t>
      </w:r>
      <w:r w:rsidRPr="002E0F65">
        <w:rPr>
          <w:noProof/>
          <w:sz w:val="24"/>
          <w:szCs w:val="24"/>
        </w:rPr>
        <w:t>C</w:t>
      </w:r>
      <w:r w:rsidR="00391845">
        <w:rPr>
          <w:noProof/>
          <w:sz w:val="24"/>
          <w:szCs w:val="24"/>
        </w:rPr>
        <w:t xml:space="preserve"> Figure 6. Graphical determination limiting viscosity number for polymer OCP in base oil SN 150 at </w:t>
      </w:r>
      <w:r w:rsidR="00391845" w:rsidRPr="002E0F65">
        <w:rPr>
          <w:noProof/>
          <w:sz w:val="24"/>
          <w:szCs w:val="24"/>
        </w:rPr>
        <w:t>40</w:t>
      </w:r>
      <w:r w:rsidR="00391845" w:rsidRPr="002E0F65">
        <w:rPr>
          <w:noProof/>
          <w:sz w:val="24"/>
          <w:szCs w:val="24"/>
          <w:vertAlign w:val="superscript"/>
        </w:rPr>
        <w:t>o</w:t>
      </w:r>
      <w:r w:rsidR="00391845" w:rsidRPr="002E0F65">
        <w:rPr>
          <w:noProof/>
          <w:sz w:val="24"/>
          <w:szCs w:val="24"/>
        </w:rPr>
        <w:t>C</w:t>
      </w:r>
    </w:p>
    <w:p w:rsidR="009621F7" w:rsidRPr="009621F7" w:rsidRDefault="009621F7" w:rsidP="009621F7">
      <w:pPr>
        <w:autoSpaceDE w:val="0"/>
        <w:autoSpaceDN w:val="0"/>
        <w:adjustRightInd w:val="0"/>
        <w:jc w:val="both"/>
        <w:rPr>
          <w:noProof/>
          <w:sz w:val="24"/>
          <w:szCs w:val="24"/>
        </w:rPr>
      </w:pPr>
    </w:p>
    <w:p w:rsidR="009621F7" w:rsidRPr="009621F7" w:rsidRDefault="009621F7" w:rsidP="009621F7">
      <w:pPr>
        <w:autoSpaceDE w:val="0"/>
        <w:autoSpaceDN w:val="0"/>
        <w:adjustRightInd w:val="0"/>
        <w:jc w:val="both"/>
        <w:rPr>
          <w:noProof/>
          <w:sz w:val="24"/>
          <w:szCs w:val="24"/>
        </w:rPr>
      </w:pPr>
      <w:r w:rsidRPr="009621F7">
        <w:rPr>
          <w:noProof/>
          <w:sz w:val="24"/>
          <w:szCs w:val="24"/>
        </w:rPr>
        <w:t>U slučaju hidrokrekovanog baznog ulja, primjenom pomenutih jednačina, dobija se vrijednost unutrašnje viskoznosti oko 76,57 g/g  (slika 5.), koja potvrđuje njihovo veoma dobro slaganje. Slabije slaganje ove jednačine su pokazale u slučaju mineralnog baznog ulja, gdje je dobijena vrijednost unutrašnje viskoznosti oko 108,15 g/g, kao posljedica eksperimentalnih grešaka, obzirom da se radi o malim koncentracijama polimera.</w:t>
      </w:r>
    </w:p>
    <w:p w:rsidR="009621F7" w:rsidRPr="009621F7" w:rsidRDefault="009621F7" w:rsidP="009621F7">
      <w:pPr>
        <w:autoSpaceDE w:val="0"/>
        <w:autoSpaceDN w:val="0"/>
        <w:adjustRightInd w:val="0"/>
        <w:jc w:val="both"/>
        <w:rPr>
          <w:noProof/>
          <w:sz w:val="24"/>
          <w:szCs w:val="24"/>
        </w:rPr>
      </w:pPr>
    </w:p>
    <w:p w:rsidR="009621F7" w:rsidRDefault="009621F7" w:rsidP="00A164AF">
      <w:pPr>
        <w:autoSpaceDE w:val="0"/>
        <w:autoSpaceDN w:val="0"/>
        <w:adjustRightInd w:val="0"/>
        <w:jc w:val="center"/>
        <w:rPr>
          <w:noProof/>
          <w:sz w:val="24"/>
          <w:szCs w:val="24"/>
        </w:rPr>
      </w:pPr>
      <w:r w:rsidRPr="0027225F">
        <w:rPr>
          <w:noProof/>
          <w:sz w:val="24"/>
          <w:szCs w:val="24"/>
        </w:rPr>
        <w:t>Tabela 2. Vri</w:t>
      </w:r>
      <w:r w:rsidR="00A164AF">
        <w:rPr>
          <w:noProof/>
          <w:sz w:val="24"/>
          <w:szCs w:val="24"/>
        </w:rPr>
        <w:t xml:space="preserve">jednosti </w:t>
      </w:r>
      <w:r w:rsidR="00A164AF" w:rsidRPr="00A164AF">
        <w:rPr>
          <w:noProof/>
          <w:sz w:val="24"/>
          <w:szCs w:val="24"/>
        </w:rPr>
        <w:t>[η]</w:t>
      </w:r>
      <w:r w:rsidR="00A164AF" w:rsidRPr="009621F7">
        <w:rPr>
          <w:b/>
          <w:noProof/>
          <w:sz w:val="24"/>
          <w:szCs w:val="24"/>
        </w:rPr>
        <w:t xml:space="preserve"> </w:t>
      </w:r>
      <w:r w:rsidRPr="0027225F">
        <w:rPr>
          <w:noProof/>
          <w:sz w:val="24"/>
          <w:szCs w:val="24"/>
        </w:rPr>
        <w:t xml:space="preserve"> rastvora poli</w:t>
      </w:r>
      <w:r w:rsidR="00A164AF">
        <w:rPr>
          <w:noProof/>
          <w:sz w:val="24"/>
          <w:szCs w:val="24"/>
        </w:rPr>
        <w:t>mera u baznom ulju (</w:t>
      </w:r>
      <w:r w:rsidRPr="0027225F">
        <w:rPr>
          <w:noProof/>
          <w:sz w:val="24"/>
          <w:szCs w:val="24"/>
        </w:rPr>
        <w:t>40</w:t>
      </w:r>
      <w:r w:rsidRPr="0027225F">
        <w:rPr>
          <w:noProof/>
          <w:sz w:val="24"/>
          <w:szCs w:val="24"/>
          <w:vertAlign w:val="superscript"/>
        </w:rPr>
        <w:t>o</w:t>
      </w:r>
      <w:r w:rsidR="00A164AF">
        <w:rPr>
          <w:noProof/>
          <w:sz w:val="24"/>
          <w:szCs w:val="24"/>
        </w:rPr>
        <w:t xml:space="preserve">C i </w:t>
      </w:r>
      <w:r w:rsidRPr="0027225F">
        <w:rPr>
          <w:noProof/>
          <w:sz w:val="24"/>
          <w:szCs w:val="24"/>
        </w:rPr>
        <w:t>100</w:t>
      </w:r>
      <w:r w:rsidRPr="0027225F">
        <w:rPr>
          <w:noProof/>
          <w:sz w:val="24"/>
          <w:szCs w:val="24"/>
          <w:vertAlign w:val="superscript"/>
        </w:rPr>
        <w:t>o</w:t>
      </w:r>
      <w:r w:rsidRPr="0027225F">
        <w:rPr>
          <w:noProof/>
          <w:sz w:val="24"/>
          <w:szCs w:val="24"/>
        </w:rPr>
        <w:t>C</w:t>
      </w:r>
      <w:r w:rsidR="00A164AF">
        <w:rPr>
          <w:noProof/>
          <w:sz w:val="24"/>
          <w:szCs w:val="24"/>
        </w:rPr>
        <w:t>)</w:t>
      </w:r>
    </w:p>
    <w:p w:rsidR="00A164AF" w:rsidRPr="0027225F" w:rsidRDefault="00A164AF" w:rsidP="00A164AF">
      <w:pPr>
        <w:autoSpaceDE w:val="0"/>
        <w:autoSpaceDN w:val="0"/>
        <w:adjustRightInd w:val="0"/>
        <w:jc w:val="center"/>
        <w:rPr>
          <w:noProof/>
          <w:sz w:val="24"/>
          <w:szCs w:val="24"/>
        </w:rPr>
      </w:pPr>
      <w:r>
        <w:rPr>
          <w:noProof/>
          <w:sz w:val="24"/>
          <w:szCs w:val="24"/>
        </w:rPr>
        <w:t xml:space="preserve">Table 2. Value </w:t>
      </w:r>
      <w:r w:rsidRPr="00A164AF">
        <w:rPr>
          <w:noProof/>
          <w:sz w:val="24"/>
          <w:szCs w:val="24"/>
        </w:rPr>
        <w:t>[η]</w:t>
      </w:r>
      <w:r>
        <w:rPr>
          <w:noProof/>
          <w:sz w:val="24"/>
          <w:szCs w:val="24"/>
        </w:rPr>
        <w:t xml:space="preserve"> solution of the polymer in base oil (</w:t>
      </w:r>
      <w:r w:rsidRPr="0027225F">
        <w:rPr>
          <w:noProof/>
          <w:sz w:val="24"/>
          <w:szCs w:val="24"/>
        </w:rPr>
        <w:t>40</w:t>
      </w:r>
      <w:r w:rsidRPr="0027225F">
        <w:rPr>
          <w:noProof/>
          <w:sz w:val="24"/>
          <w:szCs w:val="24"/>
          <w:vertAlign w:val="superscript"/>
        </w:rPr>
        <w:t>o</w:t>
      </w:r>
      <w:r>
        <w:rPr>
          <w:noProof/>
          <w:sz w:val="24"/>
          <w:szCs w:val="24"/>
        </w:rPr>
        <w:t xml:space="preserve">C i </w:t>
      </w:r>
      <w:r w:rsidRPr="0027225F">
        <w:rPr>
          <w:noProof/>
          <w:sz w:val="24"/>
          <w:szCs w:val="24"/>
        </w:rPr>
        <w:t>100</w:t>
      </w:r>
      <w:r w:rsidRPr="0027225F">
        <w:rPr>
          <w:noProof/>
          <w:sz w:val="24"/>
          <w:szCs w:val="24"/>
          <w:vertAlign w:val="superscript"/>
        </w:rPr>
        <w:t>o</w:t>
      </w:r>
      <w:r w:rsidRPr="0027225F">
        <w:rPr>
          <w:noProof/>
          <w:sz w:val="24"/>
          <w:szCs w:val="24"/>
        </w:rPr>
        <w:t>C</w:t>
      </w:r>
      <w:r>
        <w:rPr>
          <w:noProof/>
          <w:sz w:val="24"/>
          <w:szCs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5"/>
        <w:gridCol w:w="2249"/>
        <w:gridCol w:w="2249"/>
        <w:gridCol w:w="2254"/>
      </w:tblGrid>
      <w:tr w:rsidR="009621F7" w:rsidRPr="009621F7" w:rsidTr="009621F7">
        <w:tc>
          <w:tcPr>
            <w:tcW w:w="2321" w:type="dxa"/>
            <w:shd w:val="clear" w:color="auto" w:fill="auto"/>
          </w:tcPr>
          <w:p w:rsidR="009621F7" w:rsidRPr="009621F7" w:rsidRDefault="009621F7" w:rsidP="009621F7">
            <w:pPr>
              <w:autoSpaceDE w:val="0"/>
              <w:autoSpaceDN w:val="0"/>
              <w:adjustRightInd w:val="0"/>
              <w:jc w:val="center"/>
              <w:rPr>
                <w:b/>
                <w:noProof/>
                <w:sz w:val="24"/>
                <w:szCs w:val="24"/>
              </w:rPr>
            </w:pPr>
            <w:r w:rsidRPr="009621F7">
              <w:rPr>
                <w:b/>
                <w:noProof/>
                <w:sz w:val="24"/>
                <w:szCs w:val="24"/>
              </w:rPr>
              <w:t>Rastvor polimera u baznom ulju</w:t>
            </w:r>
          </w:p>
        </w:tc>
        <w:tc>
          <w:tcPr>
            <w:tcW w:w="2322" w:type="dxa"/>
            <w:shd w:val="clear" w:color="auto" w:fill="auto"/>
          </w:tcPr>
          <w:p w:rsidR="009621F7" w:rsidRPr="009621F7" w:rsidRDefault="009621F7" w:rsidP="009621F7">
            <w:pPr>
              <w:autoSpaceDE w:val="0"/>
              <w:autoSpaceDN w:val="0"/>
              <w:adjustRightInd w:val="0"/>
              <w:jc w:val="center"/>
              <w:rPr>
                <w:b/>
                <w:noProof/>
                <w:sz w:val="24"/>
                <w:szCs w:val="24"/>
              </w:rPr>
            </w:pPr>
            <w:r w:rsidRPr="009621F7">
              <w:rPr>
                <w:b/>
                <w:noProof/>
                <w:sz w:val="24"/>
                <w:szCs w:val="24"/>
              </w:rPr>
              <w:t>OCP u PAO 6</w:t>
            </w:r>
          </w:p>
        </w:tc>
        <w:tc>
          <w:tcPr>
            <w:tcW w:w="2322" w:type="dxa"/>
            <w:shd w:val="clear" w:color="auto" w:fill="auto"/>
          </w:tcPr>
          <w:p w:rsidR="009621F7" w:rsidRPr="009621F7" w:rsidRDefault="009621F7" w:rsidP="009621F7">
            <w:pPr>
              <w:autoSpaceDE w:val="0"/>
              <w:autoSpaceDN w:val="0"/>
              <w:adjustRightInd w:val="0"/>
              <w:jc w:val="center"/>
              <w:rPr>
                <w:b/>
                <w:noProof/>
                <w:sz w:val="24"/>
                <w:szCs w:val="24"/>
              </w:rPr>
            </w:pPr>
            <w:r w:rsidRPr="009621F7">
              <w:rPr>
                <w:b/>
                <w:noProof/>
                <w:sz w:val="24"/>
                <w:szCs w:val="24"/>
              </w:rPr>
              <w:t>OCP u HC 6</w:t>
            </w:r>
          </w:p>
        </w:tc>
        <w:tc>
          <w:tcPr>
            <w:tcW w:w="2322" w:type="dxa"/>
            <w:shd w:val="clear" w:color="auto" w:fill="auto"/>
          </w:tcPr>
          <w:p w:rsidR="009621F7" w:rsidRPr="009621F7" w:rsidRDefault="009621F7" w:rsidP="009621F7">
            <w:pPr>
              <w:autoSpaceDE w:val="0"/>
              <w:autoSpaceDN w:val="0"/>
              <w:adjustRightInd w:val="0"/>
              <w:jc w:val="center"/>
              <w:rPr>
                <w:b/>
                <w:noProof/>
                <w:sz w:val="24"/>
                <w:szCs w:val="24"/>
              </w:rPr>
            </w:pPr>
            <w:r w:rsidRPr="009621F7">
              <w:rPr>
                <w:b/>
                <w:noProof/>
                <w:sz w:val="24"/>
                <w:szCs w:val="24"/>
              </w:rPr>
              <w:t>OCP u SN 150</w:t>
            </w:r>
          </w:p>
        </w:tc>
      </w:tr>
      <w:tr w:rsidR="009621F7" w:rsidRPr="009621F7" w:rsidTr="009621F7">
        <w:tc>
          <w:tcPr>
            <w:tcW w:w="2321" w:type="dxa"/>
            <w:shd w:val="clear" w:color="auto" w:fill="auto"/>
          </w:tcPr>
          <w:p w:rsidR="009621F7" w:rsidRPr="009621F7" w:rsidRDefault="009621F7" w:rsidP="009621F7">
            <w:pPr>
              <w:autoSpaceDE w:val="0"/>
              <w:autoSpaceDN w:val="0"/>
              <w:adjustRightInd w:val="0"/>
              <w:jc w:val="both"/>
              <w:rPr>
                <w:b/>
                <w:noProof/>
                <w:sz w:val="24"/>
                <w:szCs w:val="24"/>
              </w:rPr>
            </w:pPr>
            <w:r w:rsidRPr="009621F7">
              <w:rPr>
                <w:b/>
                <w:noProof/>
                <w:sz w:val="24"/>
                <w:szCs w:val="24"/>
              </w:rPr>
              <w:t>[η] (g/g) na 40</w:t>
            </w:r>
            <w:r w:rsidRPr="009621F7">
              <w:rPr>
                <w:b/>
                <w:noProof/>
                <w:sz w:val="24"/>
                <w:szCs w:val="24"/>
                <w:vertAlign w:val="superscript"/>
              </w:rPr>
              <w:t>o</w:t>
            </w:r>
            <w:r w:rsidRPr="009621F7">
              <w:rPr>
                <w:b/>
                <w:noProof/>
                <w:sz w:val="24"/>
                <w:szCs w:val="24"/>
              </w:rPr>
              <w:t>C</w:t>
            </w:r>
          </w:p>
        </w:tc>
        <w:tc>
          <w:tcPr>
            <w:tcW w:w="2322" w:type="dxa"/>
            <w:shd w:val="clear" w:color="auto" w:fill="auto"/>
          </w:tcPr>
          <w:p w:rsidR="009621F7" w:rsidRPr="009621F7" w:rsidRDefault="009621F7" w:rsidP="009621F7">
            <w:pPr>
              <w:autoSpaceDE w:val="0"/>
              <w:autoSpaceDN w:val="0"/>
              <w:adjustRightInd w:val="0"/>
              <w:jc w:val="center"/>
              <w:rPr>
                <w:noProof/>
                <w:sz w:val="24"/>
                <w:szCs w:val="24"/>
              </w:rPr>
            </w:pPr>
            <w:r w:rsidRPr="009621F7">
              <w:rPr>
                <w:noProof/>
                <w:sz w:val="24"/>
                <w:szCs w:val="24"/>
              </w:rPr>
              <w:t>70,00</w:t>
            </w:r>
          </w:p>
        </w:tc>
        <w:tc>
          <w:tcPr>
            <w:tcW w:w="2322" w:type="dxa"/>
            <w:shd w:val="clear" w:color="auto" w:fill="auto"/>
          </w:tcPr>
          <w:p w:rsidR="009621F7" w:rsidRPr="009621F7" w:rsidRDefault="009621F7" w:rsidP="009621F7">
            <w:pPr>
              <w:autoSpaceDE w:val="0"/>
              <w:autoSpaceDN w:val="0"/>
              <w:adjustRightInd w:val="0"/>
              <w:jc w:val="center"/>
              <w:rPr>
                <w:noProof/>
                <w:sz w:val="24"/>
                <w:szCs w:val="24"/>
              </w:rPr>
            </w:pPr>
            <w:r w:rsidRPr="009621F7">
              <w:rPr>
                <w:noProof/>
                <w:sz w:val="24"/>
                <w:szCs w:val="24"/>
              </w:rPr>
              <w:t>76,57</w:t>
            </w:r>
          </w:p>
        </w:tc>
        <w:tc>
          <w:tcPr>
            <w:tcW w:w="2322" w:type="dxa"/>
            <w:shd w:val="clear" w:color="auto" w:fill="auto"/>
          </w:tcPr>
          <w:p w:rsidR="009621F7" w:rsidRPr="009621F7" w:rsidRDefault="009621F7" w:rsidP="009621F7">
            <w:pPr>
              <w:autoSpaceDE w:val="0"/>
              <w:autoSpaceDN w:val="0"/>
              <w:adjustRightInd w:val="0"/>
              <w:jc w:val="center"/>
              <w:rPr>
                <w:noProof/>
                <w:sz w:val="24"/>
                <w:szCs w:val="24"/>
              </w:rPr>
            </w:pPr>
            <w:r w:rsidRPr="009621F7">
              <w:rPr>
                <w:noProof/>
                <w:sz w:val="24"/>
                <w:szCs w:val="24"/>
              </w:rPr>
              <w:t>108,15</w:t>
            </w:r>
          </w:p>
        </w:tc>
      </w:tr>
      <w:tr w:rsidR="009621F7" w:rsidRPr="009621F7" w:rsidTr="009621F7">
        <w:tc>
          <w:tcPr>
            <w:tcW w:w="2321" w:type="dxa"/>
            <w:shd w:val="clear" w:color="auto" w:fill="auto"/>
          </w:tcPr>
          <w:p w:rsidR="009621F7" w:rsidRPr="009621F7" w:rsidRDefault="009621F7" w:rsidP="009621F7">
            <w:pPr>
              <w:autoSpaceDE w:val="0"/>
              <w:autoSpaceDN w:val="0"/>
              <w:adjustRightInd w:val="0"/>
              <w:jc w:val="both"/>
              <w:rPr>
                <w:b/>
                <w:noProof/>
                <w:sz w:val="24"/>
                <w:szCs w:val="24"/>
              </w:rPr>
            </w:pPr>
            <w:r w:rsidRPr="009621F7">
              <w:rPr>
                <w:b/>
                <w:noProof/>
                <w:sz w:val="24"/>
                <w:szCs w:val="24"/>
              </w:rPr>
              <w:t>[η] (g/g) na 100</w:t>
            </w:r>
            <w:r w:rsidRPr="009621F7">
              <w:rPr>
                <w:b/>
                <w:noProof/>
                <w:sz w:val="24"/>
                <w:szCs w:val="24"/>
                <w:vertAlign w:val="superscript"/>
              </w:rPr>
              <w:t>o</w:t>
            </w:r>
            <w:r w:rsidRPr="009621F7">
              <w:rPr>
                <w:b/>
                <w:noProof/>
                <w:sz w:val="24"/>
                <w:szCs w:val="24"/>
              </w:rPr>
              <w:t>C</w:t>
            </w:r>
          </w:p>
        </w:tc>
        <w:tc>
          <w:tcPr>
            <w:tcW w:w="2322" w:type="dxa"/>
            <w:shd w:val="clear" w:color="auto" w:fill="auto"/>
          </w:tcPr>
          <w:p w:rsidR="009621F7" w:rsidRPr="009621F7" w:rsidRDefault="009621F7" w:rsidP="009621F7">
            <w:pPr>
              <w:autoSpaceDE w:val="0"/>
              <w:autoSpaceDN w:val="0"/>
              <w:adjustRightInd w:val="0"/>
              <w:jc w:val="center"/>
              <w:rPr>
                <w:noProof/>
                <w:sz w:val="24"/>
                <w:szCs w:val="24"/>
              </w:rPr>
            </w:pPr>
            <w:r w:rsidRPr="009621F7">
              <w:rPr>
                <w:noProof/>
                <w:sz w:val="24"/>
                <w:szCs w:val="24"/>
              </w:rPr>
              <w:t>62,85</w:t>
            </w:r>
          </w:p>
        </w:tc>
        <w:tc>
          <w:tcPr>
            <w:tcW w:w="2322" w:type="dxa"/>
            <w:shd w:val="clear" w:color="auto" w:fill="auto"/>
          </w:tcPr>
          <w:p w:rsidR="009621F7" w:rsidRPr="009621F7" w:rsidRDefault="009621F7" w:rsidP="009621F7">
            <w:pPr>
              <w:autoSpaceDE w:val="0"/>
              <w:autoSpaceDN w:val="0"/>
              <w:adjustRightInd w:val="0"/>
              <w:jc w:val="center"/>
              <w:rPr>
                <w:noProof/>
                <w:sz w:val="24"/>
                <w:szCs w:val="24"/>
              </w:rPr>
            </w:pPr>
            <w:r w:rsidRPr="009621F7">
              <w:rPr>
                <w:noProof/>
                <w:sz w:val="24"/>
                <w:szCs w:val="24"/>
              </w:rPr>
              <w:t>66,35</w:t>
            </w:r>
          </w:p>
        </w:tc>
        <w:tc>
          <w:tcPr>
            <w:tcW w:w="2322" w:type="dxa"/>
            <w:shd w:val="clear" w:color="auto" w:fill="auto"/>
          </w:tcPr>
          <w:p w:rsidR="009621F7" w:rsidRPr="009621F7" w:rsidRDefault="009621F7" w:rsidP="009621F7">
            <w:pPr>
              <w:autoSpaceDE w:val="0"/>
              <w:autoSpaceDN w:val="0"/>
              <w:adjustRightInd w:val="0"/>
              <w:jc w:val="center"/>
              <w:rPr>
                <w:noProof/>
                <w:sz w:val="24"/>
                <w:szCs w:val="24"/>
              </w:rPr>
            </w:pPr>
            <w:r w:rsidRPr="009621F7">
              <w:rPr>
                <w:noProof/>
                <w:sz w:val="24"/>
                <w:szCs w:val="24"/>
              </w:rPr>
              <w:t>94,8</w:t>
            </w:r>
          </w:p>
        </w:tc>
      </w:tr>
    </w:tbl>
    <w:p w:rsidR="009621F7" w:rsidRPr="009621F7" w:rsidRDefault="009621F7" w:rsidP="009621F7">
      <w:pPr>
        <w:autoSpaceDE w:val="0"/>
        <w:autoSpaceDN w:val="0"/>
        <w:adjustRightInd w:val="0"/>
        <w:rPr>
          <w:noProof/>
          <w:sz w:val="24"/>
          <w:szCs w:val="24"/>
        </w:rPr>
      </w:pPr>
    </w:p>
    <w:p w:rsidR="009621F7" w:rsidRPr="00386BD3" w:rsidRDefault="009621F7" w:rsidP="00386BD3">
      <w:pPr>
        <w:autoSpaceDE w:val="0"/>
        <w:autoSpaceDN w:val="0"/>
        <w:adjustRightInd w:val="0"/>
        <w:jc w:val="both"/>
        <w:rPr>
          <w:noProof/>
          <w:sz w:val="24"/>
          <w:szCs w:val="24"/>
        </w:rPr>
      </w:pPr>
      <w:r w:rsidRPr="009621F7">
        <w:rPr>
          <w:noProof/>
          <w:sz w:val="24"/>
          <w:szCs w:val="24"/>
        </w:rPr>
        <w:t xml:space="preserve">Iz tabele 2. se jasno vidi da su vrijednosti </w:t>
      </w:r>
      <w:r w:rsidR="00CF7828">
        <w:rPr>
          <w:noProof/>
          <w:sz w:val="24"/>
          <w:szCs w:val="24"/>
        </w:rPr>
        <w:t>graničnog viskozitetnog broja</w:t>
      </w:r>
      <w:r w:rsidRPr="009621F7">
        <w:rPr>
          <w:noProof/>
          <w:sz w:val="24"/>
          <w:szCs w:val="24"/>
        </w:rPr>
        <w:t xml:space="preserve"> rastvora baznih ulja veće na 40</w:t>
      </w:r>
      <w:r w:rsidRPr="009621F7">
        <w:rPr>
          <w:noProof/>
          <w:sz w:val="24"/>
          <w:szCs w:val="24"/>
          <w:vertAlign w:val="superscript"/>
        </w:rPr>
        <w:t>o</w:t>
      </w:r>
      <w:r w:rsidRPr="009621F7">
        <w:rPr>
          <w:noProof/>
          <w:sz w:val="24"/>
          <w:szCs w:val="24"/>
        </w:rPr>
        <w:t>C nego one određene na 100</w:t>
      </w:r>
      <w:r w:rsidRPr="009621F7">
        <w:rPr>
          <w:noProof/>
          <w:sz w:val="24"/>
          <w:szCs w:val="24"/>
          <w:vertAlign w:val="superscript"/>
        </w:rPr>
        <w:t>o</w:t>
      </w:r>
      <w:r w:rsidRPr="009621F7">
        <w:rPr>
          <w:noProof/>
          <w:sz w:val="24"/>
          <w:szCs w:val="24"/>
        </w:rPr>
        <w:t>C</w:t>
      </w:r>
      <w:r w:rsidRPr="00386BD3">
        <w:rPr>
          <w:noProof/>
          <w:sz w:val="24"/>
          <w:szCs w:val="24"/>
        </w:rPr>
        <w:t>.</w:t>
      </w:r>
      <w:r w:rsidR="0027225F">
        <w:rPr>
          <w:noProof/>
          <w:sz w:val="24"/>
          <w:szCs w:val="24"/>
        </w:rPr>
        <w:t xml:space="preserve"> </w:t>
      </w:r>
      <w:r w:rsidR="00386BD3" w:rsidRPr="00386BD3">
        <w:rPr>
          <w:sz w:val="24"/>
          <w:szCs w:val="24"/>
          <w:lang w:val="hr-HR"/>
        </w:rPr>
        <w:t>Porast</w:t>
      </w:r>
      <w:r w:rsidR="00386BD3">
        <w:rPr>
          <w:sz w:val="24"/>
          <w:szCs w:val="24"/>
          <w:lang w:val="hr-HR"/>
        </w:rPr>
        <w:t>om</w:t>
      </w:r>
      <w:r w:rsidR="00386BD3" w:rsidRPr="00386BD3">
        <w:rPr>
          <w:sz w:val="24"/>
          <w:szCs w:val="24"/>
          <w:lang w:val="hr-HR"/>
        </w:rPr>
        <w:t xml:space="preserve"> tempera</w:t>
      </w:r>
      <w:r w:rsidR="00386BD3">
        <w:rPr>
          <w:sz w:val="24"/>
          <w:szCs w:val="24"/>
          <w:lang w:val="hr-HR"/>
        </w:rPr>
        <w:t>ture dolazi do slabljenja veza u rastvoru polimera</w:t>
      </w:r>
      <w:r w:rsidR="00386BD3" w:rsidRPr="00386BD3">
        <w:rPr>
          <w:sz w:val="24"/>
          <w:szCs w:val="24"/>
          <w:lang w:val="hr-HR"/>
        </w:rPr>
        <w:t>, što omoguć</w:t>
      </w:r>
      <w:r w:rsidR="00386BD3">
        <w:rPr>
          <w:sz w:val="24"/>
          <w:szCs w:val="24"/>
          <w:lang w:val="hr-HR"/>
        </w:rPr>
        <w:t>ava</w:t>
      </w:r>
      <w:r w:rsidR="0027225F">
        <w:rPr>
          <w:sz w:val="24"/>
          <w:szCs w:val="24"/>
          <w:lang w:val="hr-HR"/>
        </w:rPr>
        <w:t xml:space="preserve"> povećanje međudjelovanja unutar molekule kao i između samih molekula</w:t>
      </w:r>
      <w:r w:rsidR="00386BD3">
        <w:rPr>
          <w:sz w:val="24"/>
          <w:szCs w:val="24"/>
          <w:lang w:val="hr-HR"/>
        </w:rPr>
        <w:t xml:space="preserve">, koje </w:t>
      </w:r>
      <w:r w:rsidR="00386BD3" w:rsidRPr="00386BD3">
        <w:rPr>
          <w:sz w:val="24"/>
          <w:szCs w:val="24"/>
          <w:lang w:val="hr-HR"/>
        </w:rPr>
        <w:t>rezult</w:t>
      </w:r>
      <w:r w:rsidR="00386BD3">
        <w:rPr>
          <w:sz w:val="24"/>
          <w:szCs w:val="24"/>
          <w:lang w:val="hr-HR"/>
        </w:rPr>
        <w:t xml:space="preserve">uje </w:t>
      </w:r>
      <w:r w:rsidR="00386BD3" w:rsidRPr="00386BD3">
        <w:rPr>
          <w:sz w:val="24"/>
          <w:szCs w:val="24"/>
          <w:lang w:val="hr-HR"/>
        </w:rPr>
        <w:t>izvijanj</w:t>
      </w:r>
      <w:r w:rsidR="00386BD3">
        <w:rPr>
          <w:sz w:val="24"/>
          <w:szCs w:val="24"/>
          <w:lang w:val="hr-HR"/>
        </w:rPr>
        <w:t>em</w:t>
      </w:r>
      <w:r w:rsidR="00386BD3" w:rsidRPr="00386BD3">
        <w:rPr>
          <w:sz w:val="24"/>
          <w:szCs w:val="24"/>
          <w:lang w:val="hr-HR"/>
        </w:rPr>
        <w:t xml:space="preserve"> polimernih molekula, </w:t>
      </w:r>
      <w:r w:rsidR="00386BD3">
        <w:rPr>
          <w:sz w:val="24"/>
          <w:szCs w:val="24"/>
          <w:lang w:val="hr-HR"/>
        </w:rPr>
        <w:t>i</w:t>
      </w:r>
      <w:r w:rsidR="00386BD3" w:rsidRPr="00386BD3">
        <w:rPr>
          <w:sz w:val="24"/>
          <w:szCs w:val="24"/>
          <w:lang w:val="hr-HR"/>
        </w:rPr>
        <w:t xml:space="preserve"> manj</w:t>
      </w:r>
      <w:r w:rsidR="00386BD3">
        <w:rPr>
          <w:sz w:val="24"/>
          <w:szCs w:val="24"/>
          <w:lang w:val="hr-HR"/>
        </w:rPr>
        <w:t>om</w:t>
      </w:r>
      <w:r w:rsidR="00386BD3" w:rsidRPr="00386BD3">
        <w:rPr>
          <w:sz w:val="24"/>
          <w:szCs w:val="24"/>
          <w:lang w:val="hr-HR"/>
        </w:rPr>
        <w:t xml:space="preserve"> hidrodinam</w:t>
      </w:r>
      <w:r w:rsidR="00386BD3">
        <w:rPr>
          <w:sz w:val="24"/>
          <w:szCs w:val="24"/>
          <w:lang w:val="hr-HR"/>
        </w:rPr>
        <w:t xml:space="preserve">ičkom zapreminom, </w:t>
      </w:r>
      <w:r w:rsidR="00386BD3" w:rsidRPr="00386BD3">
        <w:rPr>
          <w:sz w:val="24"/>
          <w:szCs w:val="24"/>
          <w:lang w:val="hr-HR"/>
        </w:rPr>
        <w:t>sa</w:t>
      </w:r>
      <w:r w:rsidR="00386BD3">
        <w:rPr>
          <w:sz w:val="24"/>
          <w:szCs w:val="24"/>
          <w:lang w:val="hr-HR"/>
        </w:rPr>
        <w:t xml:space="preserve"> posljedicom</w:t>
      </w:r>
      <w:r w:rsidR="00386BD3" w:rsidRPr="00386BD3">
        <w:rPr>
          <w:sz w:val="24"/>
          <w:szCs w:val="24"/>
          <w:lang w:val="hr-HR"/>
        </w:rPr>
        <w:t xml:space="preserve"> smanjenj</w:t>
      </w:r>
      <w:r w:rsidR="00386BD3">
        <w:rPr>
          <w:sz w:val="24"/>
          <w:szCs w:val="24"/>
          <w:lang w:val="hr-HR"/>
        </w:rPr>
        <w:t>a</w:t>
      </w:r>
      <w:r w:rsidR="00386BD3" w:rsidRPr="00386BD3">
        <w:rPr>
          <w:sz w:val="24"/>
          <w:szCs w:val="24"/>
          <w:lang w:val="hr-HR"/>
        </w:rPr>
        <w:t xml:space="preserve"> viskoznosti.</w:t>
      </w:r>
      <w:r w:rsidR="0027225F">
        <w:rPr>
          <w:sz w:val="24"/>
          <w:szCs w:val="24"/>
          <w:lang w:val="hr-HR"/>
        </w:rPr>
        <w:t xml:space="preserve"> </w:t>
      </w:r>
    </w:p>
    <w:p w:rsidR="009621F7" w:rsidRPr="00386BD3" w:rsidRDefault="009621F7" w:rsidP="00760075">
      <w:pPr>
        <w:jc w:val="both"/>
        <w:rPr>
          <w:sz w:val="24"/>
          <w:szCs w:val="24"/>
        </w:rPr>
      </w:pPr>
    </w:p>
    <w:p w:rsidR="006216B0" w:rsidRPr="00953E96" w:rsidRDefault="006216B0" w:rsidP="00953E96">
      <w:pPr>
        <w:jc w:val="both"/>
        <w:rPr>
          <w:rStyle w:val="FontStyle18"/>
          <w:sz w:val="22"/>
          <w:szCs w:val="22"/>
          <w:lang w:val="sr-Latn-BA" w:eastAsia="hr-HR"/>
        </w:rPr>
      </w:pPr>
    </w:p>
    <w:p w:rsidR="006216B0" w:rsidRDefault="006216B0" w:rsidP="006828CE">
      <w:pPr>
        <w:jc w:val="both"/>
        <w:rPr>
          <w:sz w:val="24"/>
          <w:szCs w:val="24"/>
          <w:lang w:val="sr-Latn-BA"/>
        </w:rPr>
      </w:pPr>
    </w:p>
    <w:p w:rsidR="00760075" w:rsidRDefault="009621F7" w:rsidP="00760075">
      <w:pPr>
        <w:jc w:val="center"/>
        <w:rPr>
          <w:b/>
          <w:sz w:val="28"/>
          <w:szCs w:val="28"/>
          <w:lang w:val="sr-Latn-BA"/>
        </w:rPr>
      </w:pPr>
      <w:r w:rsidRPr="009621F7">
        <w:rPr>
          <w:b/>
          <w:sz w:val="28"/>
          <w:szCs w:val="28"/>
          <w:lang w:val="sr-Latn-BA"/>
        </w:rPr>
        <w:t>ZAKLJUČAK</w:t>
      </w:r>
    </w:p>
    <w:p w:rsidR="001A1C14" w:rsidRPr="009621F7" w:rsidRDefault="001A1C14" w:rsidP="00760075">
      <w:pPr>
        <w:jc w:val="center"/>
        <w:rPr>
          <w:b/>
          <w:sz w:val="28"/>
          <w:szCs w:val="28"/>
          <w:lang w:val="sr-Latn-BA"/>
        </w:rPr>
      </w:pPr>
    </w:p>
    <w:p w:rsidR="00E80842" w:rsidRPr="009621F7" w:rsidRDefault="001A1C14" w:rsidP="001A1C14">
      <w:pPr>
        <w:jc w:val="both"/>
        <w:rPr>
          <w:sz w:val="24"/>
          <w:szCs w:val="24"/>
        </w:rPr>
      </w:pPr>
      <w:r>
        <w:rPr>
          <w:sz w:val="24"/>
          <w:szCs w:val="24"/>
        </w:rPr>
        <w:t xml:space="preserve">Sadržaj aromatskih ugljovodonika u baznim uljima jako utiče </w:t>
      </w:r>
      <w:proofErr w:type="gramStart"/>
      <w:r>
        <w:rPr>
          <w:sz w:val="24"/>
          <w:szCs w:val="24"/>
        </w:rPr>
        <w:t>na</w:t>
      </w:r>
      <w:proofErr w:type="gramEnd"/>
      <w:r>
        <w:rPr>
          <w:sz w:val="24"/>
          <w:szCs w:val="24"/>
        </w:rPr>
        <w:t xml:space="preserve"> rastvorljivost ispitivanog polimera. </w:t>
      </w:r>
      <w:r w:rsidRPr="001A1C14">
        <w:rPr>
          <w:sz w:val="24"/>
          <w:szCs w:val="24"/>
        </w:rPr>
        <w:t xml:space="preserve">Najbolju rastvorljivost polimer je pokazao u mineralnom baznom ulju SN 150, zbog toga što je sadržaj aromata u ovom </w:t>
      </w:r>
      <w:r w:rsidR="00220706">
        <w:rPr>
          <w:sz w:val="24"/>
          <w:szCs w:val="24"/>
        </w:rPr>
        <w:t xml:space="preserve">baznom </w:t>
      </w:r>
      <w:r w:rsidRPr="001A1C14">
        <w:rPr>
          <w:sz w:val="24"/>
          <w:szCs w:val="24"/>
        </w:rPr>
        <w:t>ulju najveći.</w:t>
      </w:r>
      <w:r w:rsidR="00774208">
        <w:rPr>
          <w:sz w:val="24"/>
          <w:szCs w:val="24"/>
        </w:rPr>
        <w:t xml:space="preserve"> S obzirom na to, ovaj rastvor je i pokazao najveći porast indeksa viskoznosti i to za 46</w:t>
      </w:r>
      <w:proofErr w:type="gramStart"/>
      <w:r w:rsidR="00774208">
        <w:rPr>
          <w:sz w:val="24"/>
          <w:szCs w:val="24"/>
        </w:rPr>
        <w:t>,6</w:t>
      </w:r>
      <w:proofErr w:type="gramEnd"/>
      <w:r w:rsidR="00774208">
        <w:rPr>
          <w:sz w:val="24"/>
          <w:szCs w:val="24"/>
        </w:rPr>
        <w:t xml:space="preserve">%. </w:t>
      </w:r>
      <w:r w:rsidRPr="001A1C14">
        <w:rPr>
          <w:sz w:val="24"/>
          <w:szCs w:val="24"/>
        </w:rPr>
        <w:t xml:space="preserve"> Najmanji uticaj </w:t>
      </w:r>
      <w:proofErr w:type="gramStart"/>
      <w:r w:rsidRPr="001A1C14">
        <w:rPr>
          <w:sz w:val="24"/>
          <w:szCs w:val="24"/>
        </w:rPr>
        <w:t>na</w:t>
      </w:r>
      <w:proofErr w:type="gramEnd"/>
      <w:r w:rsidRPr="001A1C14">
        <w:rPr>
          <w:sz w:val="24"/>
          <w:szCs w:val="24"/>
        </w:rPr>
        <w:t xml:space="preserve"> porast</w:t>
      </w:r>
      <w:r>
        <w:rPr>
          <w:sz w:val="24"/>
          <w:szCs w:val="24"/>
        </w:rPr>
        <w:t xml:space="preserve"> indeksa</w:t>
      </w:r>
      <w:r w:rsidRPr="001A1C14">
        <w:rPr>
          <w:sz w:val="24"/>
          <w:szCs w:val="24"/>
        </w:rPr>
        <w:t xml:space="preserve"> viskoznosti polimer je pokazao u baznom ulju polialfaolefina zbog </w:t>
      </w:r>
      <w:r w:rsidR="00774208">
        <w:rPr>
          <w:sz w:val="24"/>
          <w:szCs w:val="24"/>
        </w:rPr>
        <w:t>slabije izražene</w:t>
      </w:r>
      <w:r w:rsidRPr="001A1C14">
        <w:rPr>
          <w:sz w:val="24"/>
          <w:szCs w:val="24"/>
        </w:rPr>
        <w:t xml:space="preserve"> rastvorljivosti, usljed manjeg sadržaja aromata nego kod ostalih ispitivanih ulja.</w:t>
      </w:r>
      <w:r>
        <w:rPr>
          <w:sz w:val="24"/>
          <w:szCs w:val="24"/>
        </w:rPr>
        <w:t xml:space="preserve"> Uprkos tome, </w:t>
      </w:r>
      <w:r w:rsidRPr="009621F7">
        <w:rPr>
          <w:sz w:val="24"/>
          <w:szCs w:val="24"/>
        </w:rPr>
        <w:t>najveća vrijednost indeksa viskoznosti</w:t>
      </w:r>
      <w:r w:rsidRPr="001A1C14">
        <w:rPr>
          <w:sz w:val="24"/>
          <w:szCs w:val="24"/>
        </w:rPr>
        <w:t xml:space="preserve"> </w:t>
      </w:r>
      <w:r w:rsidRPr="009621F7">
        <w:rPr>
          <w:sz w:val="24"/>
          <w:szCs w:val="24"/>
        </w:rPr>
        <w:t>pri koncentraciji polimera od 1</w:t>
      </w:r>
      <w:proofErr w:type="gramStart"/>
      <w:r w:rsidRPr="009621F7">
        <w:rPr>
          <w:sz w:val="24"/>
          <w:szCs w:val="24"/>
        </w:rPr>
        <w:t>,2</w:t>
      </w:r>
      <w:proofErr w:type="gramEnd"/>
      <w:r w:rsidRPr="009621F7">
        <w:rPr>
          <w:sz w:val="24"/>
          <w:szCs w:val="24"/>
        </w:rPr>
        <w:t xml:space="preserve">% je postignuta </w:t>
      </w:r>
      <w:r w:rsidR="00774208">
        <w:rPr>
          <w:sz w:val="24"/>
          <w:szCs w:val="24"/>
        </w:rPr>
        <w:t xml:space="preserve">u rastvoru polialfaolefina </w:t>
      </w:r>
      <w:r w:rsidRPr="009621F7">
        <w:rPr>
          <w:sz w:val="24"/>
          <w:szCs w:val="24"/>
        </w:rPr>
        <w:t>i iznosi 169</w:t>
      </w:r>
      <w:r w:rsidR="00774208">
        <w:rPr>
          <w:sz w:val="24"/>
          <w:szCs w:val="24"/>
        </w:rPr>
        <w:t xml:space="preserve">, </w:t>
      </w:r>
      <w:r w:rsidR="00B952DC">
        <w:rPr>
          <w:sz w:val="24"/>
          <w:szCs w:val="24"/>
        </w:rPr>
        <w:t xml:space="preserve">ali to je </w:t>
      </w:r>
      <w:r w:rsidR="00774208">
        <w:rPr>
          <w:sz w:val="24"/>
          <w:szCs w:val="24"/>
        </w:rPr>
        <w:t>zbog visoke vrijednosti</w:t>
      </w:r>
      <w:r>
        <w:rPr>
          <w:sz w:val="24"/>
          <w:szCs w:val="24"/>
        </w:rPr>
        <w:t xml:space="preserve"> </w:t>
      </w:r>
      <w:r w:rsidR="00B952DC">
        <w:rPr>
          <w:sz w:val="24"/>
          <w:szCs w:val="24"/>
        </w:rPr>
        <w:t xml:space="preserve">indeksa viskoznosti </w:t>
      </w:r>
      <w:r w:rsidR="00CF7828">
        <w:rPr>
          <w:sz w:val="24"/>
          <w:szCs w:val="24"/>
        </w:rPr>
        <w:t xml:space="preserve">samog baznog ulja PAO 6. </w:t>
      </w:r>
      <w:r w:rsidR="00E80842">
        <w:rPr>
          <w:sz w:val="24"/>
          <w:szCs w:val="24"/>
        </w:rPr>
        <w:t xml:space="preserve">Određivanjem graničnog viskozitetnog broja pripremljenih rastvora, </w:t>
      </w:r>
      <w:r w:rsidR="00E80842">
        <w:rPr>
          <w:sz w:val="24"/>
          <w:szCs w:val="24"/>
        </w:rPr>
        <w:lastRenderedPageBreak/>
        <w:t xml:space="preserve">primjenom jednačina Huggins-a i Kraemer-a, a </w:t>
      </w:r>
      <w:proofErr w:type="gramStart"/>
      <w:r w:rsidR="00E80842">
        <w:rPr>
          <w:sz w:val="24"/>
          <w:szCs w:val="24"/>
        </w:rPr>
        <w:t>na</w:t>
      </w:r>
      <w:proofErr w:type="gramEnd"/>
      <w:r w:rsidR="00E80842">
        <w:rPr>
          <w:sz w:val="24"/>
          <w:szCs w:val="24"/>
        </w:rPr>
        <w:t xml:space="preserve"> osnovu slaganja</w:t>
      </w:r>
      <w:r w:rsidR="00220706">
        <w:rPr>
          <w:sz w:val="24"/>
          <w:szCs w:val="24"/>
        </w:rPr>
        <w:t xml:space="preserve"> ovih jednačina</w:t>
      </w:r>
      <w:r w:rsidR="00E80842">
        <w:rPr>
          <w:sz w:val="24"/>
          <w:szCs w:val="24"/>
        </w:rPr>
        <w:t xml:space="preserve"> s eksperimentalno dobijenim rezultatima, došlo se do zaključka, da bolji odziv </w:t>
      </w:r>
      <w:r w:rsidR="00220706">
        <w:rPr>
          <w:sz w:val="24"/>
          <w:szCs w:val="24"/>
        </w:rPr>
        <w:t>daje Huggins-ova jednačina.</w:t>
      </w:r>
    </w:p>
    <w:p w:rsidR="00953E96" w:rsidRPr="00D04762" w:rsidRDefault="00953E96" w:rsidP="00953E96">
      <w:pPr>
        <w:spacing w:after="120"/>
        <w:jc w:val="both"/>
        <w:rPr>
          <w:sz w:val="28"/>
          <w:szCs w:val="28"/>
        </w:rPr>
      </w:pPr>
    </w:p>
    <w:p w:rsidR="00760075" w:rsidRPr="00D04762" w:rsidRDefault="00812B7A" w:rsidP="00760075">
      <w:pPr>
        <w:jc w:val="center"/>
        <w:rPr>
          <w:b/>
          <w:sz w:val="28"/>
          <w:szCs w:val="28"/>
          <w:lang w:val="sr-Latn-BA"/>
        </w:rPr>
      </w:pPr>
      <w:r w:rsidRPr="00D04762">
        <w:rPr>
          <w:b/>
          <w:sz w:val="28"/>
          <w:szCs w:val="28"/>
          <w:lang w:val="sr-Latn-BA"/>
        </w:rPr>
        <w:t>LITERATURA</w:t>
      </w:r>
    </w:p>
    <w:p w:rsidR="00760075" w:rsidRPr="00D03967" w:rsidRDefault="00760075" w:rsidP="00760075">
      <w:pPr>
        <w:jc w:val="center"/>
        <w:rPr>
          <w:b/>
          <w:sz w:val="24"/>
          <w:szCs w:val="24"/>
          <w:lang w:val="sr-Latn-BA"/>
        </w:rPr>
      </w:pPr>
    </w:p>
    <w:p w:rsidR="00D04762" w:rsidRPr="00812B7A" w:rsidRDefault="00D04762" w:rsidP="00D04762">
      <w:pPr>
        <w:widowControl/>
        <w:numPr>
          <w:ilvl w:val="0"/>
          <w:numId w:val="5"/>
        </w:numPr>
        <w:autoSpaceDE w:val="0"/>
        <w:autoSpaceDN w:val="0"/>
        <w:adjustRightInd w:val="0"/>
        <w:jc w:val="both"/>
        <w:rPr>
          <w:rFonts w:eastAsia="Calibri"/>
          <w:sz w:val="24"/>
          <w:szCs w:val="24"/>
        </w:rPr>
      </w:pPr>
      <w:r w:rsidRPr="00812B7A">
        <w:rPr>
          <w:rFonts w:eastAsia="NimbusSanL-Regu-Identity-H"/>
          <w:sz w:val="24"/>
          <w:szCs w:val="24"/>
        </w:rPr>
        <w:t>Nehal Ahmed, S., Amal Nassar, M. (2011). Lubricating Oil Additives, Tribology - Lubricants and Lubrication,Dr. Chang-Hung Kuo (Ed.), ISBN: 978-953-307-371-2, InTech, Available from:</w:t>
      </w:r>
      <w:hyperlink r:id="rId15" w:history="1">
        <w:r w:rsidRPr="00812B7A">
          <w:rPr>
            <w:rStyle w:val="Hyperlink"/>
            <w:rFonts w:eastAsia="NimbusSanL-Regu-Identity-H"/>
            <w:sz w:val="24"/>
            <w:szCs w:val="24"/>
          </w:rPr>
          <w:t>http://www.intechopen.com/books/tribology-lubricants-and-lubrication/lubricating-oil-additives</w:t>
        </w:r>
      </w:hyperlink>
    </w:p>
    <w:p w:rsidR="00D04762" w:rsidRPr="00812B7A" w:rsidRDefault="00D04762" w:rsidP="00D04762">
      <w:pPr>
        <w:widowControl/>
        <w:numPr>
          <w:ilvl w:val="0"/>
          <w:numId w:val="5"/>
        </w:numPr>
        <w:autoSpaceDE w:val="0"/>
        <w:autoSpaceDN w:val="0"/>
        <w:adjustRightInd w:val="0"/>
        <w:jc w:val="both"/>
        <w:rPr>
          <w:sz w:val="24"/>
          <w:szCs w:val="24"/>
        </w:rPr>
      </w:pPr>
      <w:r w:rsidRPr="00812B7A">
        <w:rPr>
          <w:sz w:val="24"/>
          <w:szCs w:val="24"/>
        </w:rPr>
        <w:t>Covitch, M.J., Trickett, K.J.</w:t>
      </w:r>
      <w:r w:rsidR="00FA3107">
        <w:rPr>
          <w:sz w:val="24"/>
          <w:szCs w:val="24"/>
        </w:rPr>
        <w:t>,</w:t>
      </w:r>
      <w:r w:rsidRPr="00812B7A">
        <w:rPr>
          <w:sz w:val="24"/>
          <w:szCs w:val="24"/>
        </w:rPr>
        <w:t xml:space="preserve"> How polymers behave as viscosity index improvers in lubicating oils. </w:t>
      </w:r>
      <w:r w:rsidRPr="00812B7A">
        <w:rPr>
          <w:bCs/>
          <w:sz w:val="24"/>
          <w:szCs w:val="24"/>
        </w:rPr>
        <w:t>Advances in Chemical Engineering and Science, 2015, 5, 134-151.</w:t>
      </w:r>
    </w:p>
    <w:p w:rsidR="00D04762" w:rsidRDefault="00FA3107" w:rsidP="00D04762">
      <w:pPr>
        <w:widowControl/>
        <w:numPr>
          <w:ilvl w:val="0"/>
          <w:numId w:val="5"/>
        </w:numPr>
        <w:autoSpaceDE w:val="0"/>
        <w:autoSpaceDN w:val="0"/>
        <w:adjustRightInd w:val="0"/>
        <w:jc w:val="both"/>
        <w:rPr>
          <w:sz w:val="24"/>
          <w:szCs w:val="24"/>
        </w:rPr>
      </w:pPr>
      <w:r>
        <w:rPr>
          <w:sz w:val="24"/>
          <w:szCs w:val="24"/>
        </w:rPr>
        <w:t>Perić, S.,</w:t>
      </w:r>
      <w:bookmarkStart w:id="0" w:name="_GoBack"/>
      <w:bookmarkEnd w:id="0"/>
      <w:r>
        <w:rPr>
          <w:sz w:val="24"/>
          <w:szCs w:val="24"/>
        </w:rPr>
        <w:t xml:space="preserve"> </w:t>
      </w:r>
      <w:r w:rsidR="00D04762" w:rsidRPr="00812B7A">
        <w:rPr>
          <w:sz w:val="24"/>
          <w:szCs w:val="24"/>
        </w:rPr>
        <w:t xml:space="preserve">Praćenje radnih svojstava maziva u primeni. Vojnotehnički Glasnik, 60(4) (2012), 59-81. </w:t>
      </w:r>
    </w:p>
    <w:p w:rsidR="00D04762" w:rsidRPr="00812B7A" w:rsidRDefault="00D04762" w:rsidP="00D04762">
      <w:pPr>
        <w:widowControl/>
        <w:numPr>
          <w:ilvl w:val="0"/>
          <w:numId w:val="5"/>
        </w:numPr>
        <w:autoSpaceDE w:val="0"/>
        <w:autoSpaceDN w:val="0"/>
        <w:adjustRightInd w:val="0"/>
        <w:jc w:val="both"/>
        <w:rPr>
          <w:sz w:val="24"/>
          <w:szCs w:val="24"/>
        </w:rPr>
      </w:pPr>
      <w:r w:rsidRPr="00812B7A">
        <w:rPr>
          <w:sz w:val="24"/>
          <w:szCs w:val="24"/>
          <w:lang w:val="sr-Latn-BA"/>
        </w:rPr>
        <w:t>Ćaleta Prolić, Lepušić, A.. Utjecaj pjenjenja na svojstva protiv trošenja mazivih ulja. Goriva i Maziva, 51(1) (2012), 29-46.</w:t>
      </w:r>
    </w:p>
    <w:p w:rsidR="00D04762" w:rsidRPr="00812B7A" w:rsidRDefault="00D04762" w:rsidP="00D04762">
      <w:pPr>
        <w:widowControl/>
        <w:numPr>
          <w:ilvl w:val="0"/>
          <w:numId w:val="5"/>
        </w:numPr>
        <w:autoSpaceDE w:val="0"/>
        <w:autoSpaceDN w:val="0"/>
        <w:adjustRightInd w:val="0"/>
        <w:jc w:val="both"/>
        <w:rPr>
          <w:sz w:val="24"/>
          <w:szCs w:val="24"/>
        </w:rPr>
      </w:pPr>
      <w:r w:rsidRPr="00812B7A">
        <w:rPr>
          <w:bCs/>
          <w:sz w:val="24"/>
          <w:szCs w:val="24"/>
        </w:rPr>
        <w:t>Mihaljuš-Sklepi</w:t>
      </w:r>
      <w:r w:rsidRPr="00812B7A">
        <w:rPr>
          <w:sz w:val="24"/>
          <w:szCs w:val="24"/>
        </w:rPr>
        <w:t>ć</w:t>
      </w:r>
      <w:r w:rsidR="00FA3107">
        <w:rPr>
          <w:bCs/>
          <w:sz w:val="24"/>
          <w:szCs w:val="24"/>
        </w:rPr>
        <w:t xml:space="preserve">, V., Podobnik, M., Bambić, J., </w:t>
      </w:r>
      <w:r w:rsidRPr="00812B7A">
        <w:rPr>
          <w:bCs/>
          <w:sz w:val="24"/>
          <w:szCs w:val="24"/>
        </w:rPr>
        <w:t>Ponašanje poboljšivača indeksa viskoznosti motornih ulja pri produženom testu smične stabilnosti. Goriva i maziva, 47(2) (2008), 107-128.</w:t>
      </w:r>
    </w:p>
    <w:p w:rsidR="00D04762" w:rsidRPr="00812B7A" w:rsidRDefault="00D04762" w:rsidP="00D04762">
      <w:pPr>
        <w:widowControl/>
        <w:numPr>
          <w:ilvl w:val="0"/>
          <w:numId w:val="5"/>
        </w:numPr>
        <w:autoSpaceDE w:val="0"/>
        <w:autoSpaceDN w:val="0"/>
        <w:adjustRightInd w:val="0"/>
        <w:jc w:val="both"/>
        <w:rPr>
          <w:sz w:val="24"/>
          <w:szCs w:val="24"/>
        </w:rPr>
      </w:pPr>
      <w:r w:rsidRPr="00812B7A">
        <w:rPr>
          <w:sz w:val="24"/>
          <w:szCs w:val="24"/>
        </w:rPr>
        <w:t>Đaković, Lj</w:t>
      </w:r>
      <w:proofErr w:type="gramStart"/>
      <w:r w:rsidRPr="00812B7A">
        <w:rPr>
          <w:sz w:val="24"/>
          <w:szCs w:val="24"/>
        </w:rPr>
        <w:t>..</w:t>
      </w:r>
      <w:proofErr w:type="gramEnd"/>
      <w:r w:rsidRPr="00812B7A">
        <w:rPr>
          <w:sz w:val="24"/>
          <w:szCs w:val="24"/>
        </w:rPr>
        <w:t xml:space="preserve"> Koloidna hemija, Zavod za udžbenike i nastavna sredstva, Beograd (1984) str. 271.</w:t>
      </w:r>
    </w:p>
    <w:p w:rsidR="00D04762" w:rsidRPr="007829FD" w:rsidRDefault="00D04762" w:rsidP="00D04762">
      <w:pPr>
        <w:widowControl/>
        <w:numPr>
          <w:ilvl w:val="0"/>
          <w:numId w:val="5"/>
        </w:numPr>
        <w:autoSpaceDE w:val="0"/>
        <w:autoSpaceDN w:val="0"/>
        <w:adjustRightInd w:val="0"/>
        <w:jc w:val="both"/>
        <w:rPr>
          <w:sz w:val="24"/>
          <w:szCs w:val="24"/>
        </w:rPr>
      </w:pPr>
      <w:r w:rsidRPr="007829FD">
        <w:rPr>
          <w:sz w:val="24"/>
          <w:szCs w:val="24"/>
        </w:rPr>
        <w:t xml:space="preserve">Pamies, R., Determination </w:t>
      </w:r>
      <w:r w:rsidRPr="007829FD">
        <w:rPr>
          <w:bCs/>
          <w:snapToGrid/>
          <w:color w:val="131313"/>
          <w:sz w:val="24"/>
          <w:szCs w:val="24"/>
        </w:rPr>
        <w:t>intrinsic viscosities of macromoleculesand nanoparticles. Comparison of single-pointand dilution procedures</w:t>
      </w:r>
    </w:p>
    <w:p w:rsidR="00812B7A" w:rsidRPr="00D04762" w:rsidRDefault="00812B7A" w:rsidP="00D04762">
      <w:pPr>
        <w:widowControl/>
        <w:numPr>
          <w:ilvl w:val="0"/>
          <w:numId w:val="5"/>
        </w:numPr>
        <w:autoSpaceDE w:val="0"/>
        <w:autoSpaceDN w:val="0"/>
        <w:adjustRightInd w:val="0"/>
        <w:jc w:val="both"/>
        <w:rPr>
          <w:sz w:val="24"/>
          <w:szCs w:val="24"/>
        </w:rPr>
      </w:pPr>
      <w:r w:rsidRPr="00D04762">
        <w:rPr>
          <w:sz w:val="24"/>
          <w:szCs w:val="24"/>
          <w:lang w:val="sr-Latn-BA"/>
        </w:rPr>
        <w:t>Ćaleta Prolić, T., Felja, M., Petek Grahovac, R., Lepušić, A.</w:t>
      </w:r>
      <w:r w:rsidR="00FA3107">
        <w:rPr>
          <w:sz w:val="24"/>
          <w:szCs w:val="24"/>
          <w:lang w:val="sr-Latn-BA"/>
        </w:rPr>
        <w:t>,</w:t>
      </w:r>
      <w:r w:rsidRPr="00D04762">
        <w:rPr>
          <w:sz w:val="24"/>
          <w:szCs w:val="24"/>
          <w:lang w:val="sr-Latn-BA"/>
        </w:rPr>
        <w:t xml:space="preserve"> Utjecaj modifikatora viskoznosti na formuliranje univerzalnog zupčaničkog traktorskog ulja (UTTO) SAE gradacije viskoznosti 10W-30. Goriva i Maziva, 54(3) (2015), 242-270.</w:t>
      </w:r>
    </w:p>
    <w:p w:rsidR="00D04762" w:rsidRDefault="00D04762" w:rsidP="00D04762">
      <w:pPr>
        <w:widowControl/>
        <w:numPr>
          <w:ilvl w:val="0"/>
          <w:numId w:val="5"/>
        </w:numPr>
        <w:autoSpaceDE w:val="0"/>
        <w:autoSpaceDN w:val="0"/>
        <w:adjustRightInd w:val="0"/>
        <w:jc w:val="both"/>
        <w:rPr>
          <w:sz w:val="24"/>
          <w:szCs w:val="24"/>
        </w:rPr>
      </w:pPr>
      <w:r>
        <w:rPr>
          <w:sz w:val="24"/>
          <w:szCs w:val="24"/>
        </w:rPr>
        <w:t>Maziva i podmazivanje. JUGOMA, Zagreb, 1986.</w:t>
      </w:r>
    </w:p>
    <w:p w:rsidR="00812B7A" w:rsidRPr="00D04762" w:rsidRDefault="00812B7A" w:rsidP="00D04762">
      <w:pPr>
        <w:widowControl/>
        <w:numPr>
          <w:ilvl w:val="0"/>
          <w:numId w:val="5"/>
        </w:numPr>
        <w:autoSpaceDE w:val="0"/>
        <w:autoSpaceDN w:val="0"/>
        <w:adjustRightInd w:val="0"/>
        <w:jc w:val="both"/>
        <w:rPr>
          <w:sz w:val="24"/>
          <w:szCs w:val="24"/>
        </w:rPr>
      </w:pPr>
      <w:r w:rsidRPr="00D04762">
        <w:rPr>
          <w:sz w:val="24"/>
          <w:szCs w:val="24"/>
          <w:lang w:val="sr-Latn-BA"/>
        </w:rPr>
        <w:t>Milosavljević, M., Kovač, O., Mišić, I., Dugić P.</w:t>
      </w:r>
      <w:r w:rsidR="00FA3107">
        <w:rPr>
          <w:sz w:val="24"/>
          <w:szCs w:val="24"/>
          <w:lang w:val="sr-Latn-BA"/>
        </w:rPr>
        <w:t>,</w:t>
      </w:r>
      <w:r w:rsidRPr="00D04762">
        <w:rPr>
          <w:sz w:val="24"/>
          <w:szCs w:val="24"/>
          <w:lang w:val="sr-Latn-BA"/>
        </w:rPr>
        <w:t xml:space="preserve"> Utjecaj vrste poboljšivača indeksa viskoznosti na smičnu stabilnost motornih mazivih ulja. Goriva i Maziva, 54(3) (2015), 271-284.</w:t>
      </w:r>
    </w:p>
    <w:p w:rsidR="00812B7A" w:rsidRPr="00812B7A" w:rsidRDefault="00FA3107" w:rsidP="00812B7A">
      <w:pPr>
        <w:widowControl/>
        <w:numPr>
          <w:ilvl w:val="0"/>
          <w:numId w:val="5"/>
        </w:numPr>
        <w:autoSpaceDE w:val="0"/>
        <w:autoSpaceDN w:val="0"/>
        <w:adjustRightInd w:val="0"/>
        <w:jc w:val="both"/>
        <w:rPr>
          <w:sz w:val="24"/>
          <w:szCs w:val="24"/>
        </w:rPr>
      </w:pPr>
      <w:r>
        <w:rPr>
          <w:sz w:val="24"/>
          <w:szCs w:val="24"/>
        </w:rPr>
        <w:t xml:space="preserve">Dugić, P., </w:t>
      </w:r>
      <w:r w:rsidR="00812B7A" w:rsidRPr="00812B7A">
        <w:rPr>
          <w:sz w:val="24"/>
          <w:szCs w:val="24"/>
        </w:rPr>
        <w:t>Interakcioni fenomeni između visokomolekularnih komponenata motornih ulja. Doktorska disertacija, Univerzitet u Banjoj Luci, Tehnološki fakultet, Banja Luka, 2005.</w:t>
      </w:r>
    </w:p>
    <w:p w:rsidR="00812B7A" w:rsidRDefault="00812B7A" w:rsidP="00812B7A">
      <w:pPr>
        <w:autoSpaceDE w:val="0"/>
        <w:autoSpaceDN w:val="0"/>
        <w:adjustRightInd w:val="0"/>
        <w:jc w:val="both"/>
        <w:rPr>
          <w:szCs w:val="24"/>
        </w:rPr>
      </w:pPr>
    </w:p>
    <w:p w:rsidR="00812B7A" w:rsidRDefault="00812B7A" w:rsidP="00760075">
      <w:pPr>
        <w:jc w:val="both"/>
        <w:rPr>
          <w:sz w:val="24"/>
          <w:szCs w:val="24"/>
        </w:rPr>
      </w:pPr>
    </w:p>
    <w:p w:rsidR="00ED09E2" w:rsidRPr="00953E96" w:rsidRDefault="00ED09E2" w:rsidP="00760075">
      <w:pPr>
        <w:jc w:val="both"/>
      </w:pPr>
    </w:p>
    <w:sectPr w:rsidR="00ED09E2" w:rsidRPr="00953E96" w:rsidSect="00C2020E">
      <w:headerReference w:type="default" r:id="rId16"/>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7695" w:rsidRDefault="00D07695" w:rsidP="002338FC">
      <w:r>
        <w:separator/>
      </w:r>
    </w:p>
  </w:endnote>
  <w:endnote w:type="continuationSeparator" w:id="0">
    <w:p w:rsidR="00D07695" w:rsidRDefault="00D07695" w:rsidP="00233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NimbusSanL-Regu-Identity-H">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7695" w:rsidRDefault="00D07695" w:rsidP="002338FC">
      <w:r>
        <w:separator/>
      </w:r>
    </w:p>
  </w:footnote>
  <w:footnote w:type="continuationSeparator" w:id="0">
    <w:p w:rsidR="00D07695" w:rsidRDefault="00D07695" w:rsidP="002338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F89" w:rsidRPr="00ED09E2" w:rsidRDefault="00C63F89" w:rsidP="00B74A23">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 xml:space="preserve"> SAVJETOVANJE HEMIČARA, TEHNOLOGA I EKOLOGA REPUBLIKE SRPSKE</w:t>
    </w:r>
  </w:p>
  <w:p w:rsidR="00C63F89" w:rsidRPr="00ED09E2" w:rsidRDefault="00C63F89"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96971"/>
    <w:multiLevelType w:val="hybridMultilevel"/>
    <w:tmpl w:val="BA481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C9054C"/>
    <w:multiLevelType w:val="hybridMultilevel"/>
    <w:tmpl w:val="9F8EA5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E13BA6"/>
    <w:multiLevelType w:val="hybridMultilevel"/>
    <w:tmpl w:val="327C4354"/>
    <w:lvl w:ilvl="0" w:tplc="82B4D75C">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6421F6"/>
    <w:multiLevelType w:val="hybridMultilevel"/>
    <w:tmpl w:val="BD90BC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C485DF6"/>
    <w:multiLevelType w:val="hybridMultilevel"/>
    <w:tmpl w:val="FF201B70"/>
    <w:lvl w:ilvl="0" w:tplc="2808473A">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53124BE"/>
    <w:multiLevelType w:val="hybridMultilevel"/>
    <w:tmpl w:val="BD90BC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5A6706"/>
    <w:multiLevelType w:val="hybridMultilevel"/>
    <w:tmpl w:val="8E6A1C3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8" w15:restartNumberingAfterBreak="0">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CD49FF"/>
    <w:multiLevelType w:val="hybridMultilevel"/>
    <w:tmpl w:val="6BB8FD6A"/>
    <w:lvl w:ilvl="0" w:tplc="82B4D7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7"/>
  </w:num>
  <w:num w:numId="4">
    <w:abstractNumId w:val="1"/>
  </w:num>
  <w:num w:numId="5">
    <w:abstractNumId w:val="6"/>
  </w:num>
  <w:num w:numId="6">
    <w:abstractNumId w:val="3"/>
  </w:num>
  <w:num w:numId="7">
    <w:abstractNumId w:val="0"/>
  </w:num>
  <w:num w:numId="8">
    <w:abstractNumId w:val="9"/>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47105"/>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1E7"/>
    <w:rsid w:val="0001563D"/>
    <w:rsid w:val="000200CE"/>
    <w:rsid w:val="000537C6"/>
    <w:rsid w:val="00065CE5"/>
    <w:rsid w:val="00077B28"/>
    <w:rsid w:val="00083E6E"/>
    <w:rsid w:val="000A694D"/>
    <w:rsid w:val="000D1625"/>
    <w:rsid w:val="000D2D8C"/>
    <w:rsid w:val="000D3C40"/>
    <w:rsid w:val="001137B3"/>
    <w:rsid w:val="0012781A"/>
    <w:rsid w:val="00140B76"/>
    <w:rsid w:val="00155E2A"/>
    <w:rsid w:val="00163092"/>
    <w:rsid w:val="001739B1"/>
    <w:rsid w:val="001A1C14"/>
    <w:rsid w:val="001C387B"/>
    <w:rsid w:val="001E1E4E"/>
    <w:rsid w:val="001E418D"/>
    <w:rsid w:val="00211CB6"/>
    <w:rsid w:val="00220706"/>
    <w:rsid w:val="00233268"/>
    <w:rsid w:val="002338FC"/>
    <w:rsid w:val="0027080A"/>
    <w:rsid w:val="0027225F"/>
    <w:rsid w:val="0028158C"/>
    <w:rsid w:val="002B2B1D"/>
    <w:rsid w:val="002D23F5"/>
    <w:rsid w:val="002E0F65"/>
    <w:rsid w:val="00305A84"/>
    <w:rsid w:val="00325004"/>
    <w:rsid w:val="00336813"/>
    <w:rsid w:val="00336F7A"/>
    <w:rsid w:val="003766E9"/>
    <w:rsid w:val="00386BD3"/>
    <w:rsid w:val="00391845"/>
    <w:rsid w:val="003920C8"/>
    <w:rsid w:val="003B16FE"/>
    <w:rsid w:val="003B72C8"/>
    <w:rsid w:val="003F1333"/>
    <w:rsid w:val="00401583"/>
    <w:rsid w:val="004253EC"/>
    <w:rsid w:val="00461945"/>
    <w:rsid w:val="00463A00"/>
    <w:rsid w:val="00490446"/>
    <w:rsid w:val="004C00FA"/>
    <w:rsid w:val="004C627A"/>
    <w:rsid w:val="004E7652"/>
    <w:rsid w:val="004F43CB"/>
    <w:rsid w:val="00525FD2"/>
    <w:rsid w:val="005312E2"/>
    <w:rsid w:val="00540A9E"/>
    <w:rsid w:val="00545371"/>
    <w:rsid w:val="00574798"/>
    <w:rsid w:val="005759F4"/>
    <w:rsid w:val="005C50D9"/>
    <w:rsid w:val="005D3448"/>
    <w:rsid w:val="005F7535"/>
    <w:rsid w:val="006216B0"/>
    <w:rsid w:val="00622152"/>
    <w:rsid w:val="00646F54"/>
    <w:rsid w:val="00660753"/>
    <w:rsid w:val="006828CE"/>
    <w:rsid w:val="00683342"/>
    <w:rsid w:val="006E78D0"/>
    <w:rsid w:val="006F6C8A"/>
    <w:rsid w:val="00716081"/>
    <w:rsid w:val="00727FB9"/>
    <w:rsid w:val="00760075"/>
    <w:rsid w:val="00774208"/>
    <w:rsid w:val="007829FD"/>
    <w:rsid w:val="007E3B9F"/>
    <w:rsid w:val="00810EAE"/>
    <w:rsid w:val="00812B7A"/>
    <w:rsid w:val="0081689C"/>
    <w:rsid w:val="00817944"/>
    <w:rsid w:val="00833ED8"/>
    <w:rsid w:val="008360AF"/>
    <w:rsid w:val="00852DAF"/>
    <w:rsid w:val="0089222D"/>
    <w:rsid w:val="008A73F0"/>
    <w:rsid w:val="008B6638"/>
    <w:rsid w:val="00913036"/>
    <w:rsid w:val="00936C67"/>
    <w:rsid w:val="009409BD"/>
    <w:rsid w:val="009537B7"/>
    <w:rsid w:val="00953E96"/>
    <w:rsid w:val="009621F7"/>
    <w:rsid w:val="00966613"/>
    <w:rsid w:val="00971A94"/>
    <w:rsid w:val="0097443A"/>
    <w:rsid w:val="009D1F13"/>
    <w:rsid w:val="00A07BD5"/>
    <w:rsid w:val="00A12585"/>
    <w:rsid w:val="00A12E19"/>
    <w:rsid w:val="00A164AF"/>
    <w:rsid w:val="00A6443F"/>
    <w:rsid w:val="00A77759"/>
    <w:rsid w:val="00A84827"/>
    <w:rsid w:val="00AC1B67"/>
    <w:rsid w:val="00AD5C7B"/>
    <w:rsid w:val="00AE6533"/>
    <w:rsid w:val="00AF4097"/>
    <w:rsid w:val="00AF610C"/>
    <w:rsid w:val="00B36B75"/>
    <w:rsid w:val="00B4586A"/>
    <w:rsid w:val="00B5014F"/>
    <w:rsid w:val="00B61D1A"/>
    <w:rsid w:val="00B74A23"/>
    <w:rsid w:val="00B76763"/>
    <w:rsid w:val="00B9126A"/>
    <w:rsid w:val="00B92BF7"/>
    <w:rsid w:val="00B952DC"/>
    <w:rsid w:val="00BB260E"/>
    <w:rsid w:val="00BB3447"/>
    <w:rsid w:val="00BF0540"/>
    <w:rsid w:val="00C06783"/>
    <w:rsid w:val="00C071A5"/>
    <w:rsid w:val="00C2020E"/>
    <w:rsid w:val="00C30451"/>
    <w:rsid w:val="00C47735"/>
    <w:rsid w:val="00C63F89"/>
    <w:rsid w:val="00C879E5"/>
    <w:rsid w:val="00CE104C"/>
    <w:rsid w:val="00CF7828"/>
    <w:rsid w:val="00D04762"/>
    <w:rsid w:val="00D07695"/>
    <w:rsid w:val="00D127B0"/>
    <w:rsid w:val="00D26BBC"/>
    <w:rsid w:val="00D70DC8"/>
    <w:rsid w:val="00D72A43"/>
    <w:rsid w:val="00D82D92"/>
    <w:rsid w:val="00DB66DC"/>
    <w:rsid w:val="00DD0313"/>
    <w:rsid w:val="00E0331A"/>
    <w:rsid w:val="00E07990"/>
    <w:rsid w:val="00E80842"/>
    <w:rsid w:val="00E839FB"/>
    <w:rsid w:val="00E87024"/>
    <w:rsid w:val="00E949EC"/>
    <w:rsid w:val="00E95CC0"/>
    <w:rsid w:val="00EC41D0"/>
    <w:rsid w:val="00ED09E2"/>
    <w:rsid w:val="00ED1115"/>
    <w:rsid w:val="00ED42E9"/>
    <w:rsid w:val="00ED7FD0"/>
    <w:rsid w:val="00EF062E"/>
    <w:rsid w:val="00F07E47"/>
    <w:rsid w:val="00F15BFE"/>
    <w:rsid w:val="00F50206"/>
    <w:rsid w:val="00F63BC1"/>
    <w:rsid w:val="00F711E7"/>
    <w:rsid w:val="00FA3107"/>
    <w:rsid w:val="00FB17CF"/>
    <w:rsid w:val="00FB3FE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5:docId w15:val="{FDCA2BF2-F952-45AB-AF8F-C75B71D77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E4E"/>
    <w:pPr>
      <w:widowControl w:val="0"/>
    </w:pPr>
    <w:rPr>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basedOn w:val="DefaultParagraphFont"/>
    <w:rsid w:val="00E949EC"/>
    <w:rPr>
      <w:color w:val="0000FF"/>
      <w:u w:val="single"/>
    </w:rPr>
  </w:style>
  <w:style w:type="character" w:styleId="FollowedHyperlink">
    <w:name w:val="FollowedHyperlink"/>
    <w:basedOn w:val="DefaultParagraphFont"/>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style>
  <w:style w:type="character" w:customStyle="1" w:styleId="EndnoteTextChar">
    <w:name w:val="Endnote Text Char"/>
    <w:basedOn w:val="DefaultParagraphFont"/>
    <w:link w:val="EndnoteText"/>
    <w:rsid w:val="00E07990"/>
    <w:rPr>
      <w:snapToGrid w:val="0"/>
    </w:rPr>
  </w:style>
  <w:style w:type="character" w:styleId="EndnoteReference">
    <w:name w:val="endnote reference"/>
    <w:basedOn w:val="DefaultParagraphFont"/>
    <w:rsid w:val="00E07990"/>
    <w:rPr>
      <w:vertAlign w:val="superscript"/>
    </w:rPr>
  </w:style>
  <w:style w:type="character" w:customStyle="1" w:styleId="FontStyle18">
    <w:name w:val="Font Style18"/>
    <w:basedOn w:val="DefaultParagraphFont"/>
    <w:rsid w:val="006216B0"/>
    <w:rPr>
      <w:rFonts w:ascii="Calibri" w:hAnsi="Calibri" w:cs="Calibri"/>
      <w:sz w:val="16"/>
      <w:szCs w:val="16"/>
    </w:rPr>
  </w:style>
  <w:style w:type="paragraph" w:styleId="ListParagraph">
    <w:name w:val="List Paragraph"/>
    <w:basedOn w:val="Normal"/>
    <w:uiPriority w:val="34"/>
    <w:qFormat/>
    <w:rsid w:val="00646F54"/>
    <w:pPr>
      <w:widowControl/>
      <w:ind w:left="720"/>
      <w:contextualSpacing/>
    </w:pPr>
    <w:rPr>
      <w:rFonts w:eastAsia="Calibri"/>
      <w:snapToGrid/>
      <w:sz w:val="24"/>
      <w:szCs w:val="22"/>
    </w:rPr>
  </w:style>
  <w:style w:type="character" w:customStyle="1" w:styleId="apple-converted-space">
    <w:name w:val="apple-converted-space"/>
    <w:basedOn w:val="DefaultParagraphFont"/>
    <w:rsid w:val="00646F54"/>
  </w:style>
  <w:style w:type="paragraph" w:customStyle="1" w:styleId="Default">
    <w:name w:val="Default"/>
    <w:rsid w:val="00646F54"/>
    <w:pPr>
      <w:autoSpaceDE w:val="0"/>
      <w:autoSpaceDN w:val="0"/>
      <w:adjustRightInd w:val="0"/>
    </w:pPr>
    <w:rPr>
      <w:rFonts w:eastAsia="Calibri"/>
      <w:color w:val="000000"/>
      <w:sz w:val="24"/>
      <w:szCs w:val="24"/>
    </w:rPr>
  </w:style>
  <w:style w:type="paragraph" w:styleId="NoSpacing">
    <w:name w:val="No Spacing"/>
    <w:uiPriority w:val="1"/>
    <w:qFormat/>
    <w:rsid w:val="00646F54"/>
    <w:rPr>
      <w:rFonts w:eastAsia="Calibri"/>
      <w:sz w:val="24"/>
      <w:szCs w:val="22"/>
    </w:rPr>
  </w:style>
  <w:style w:type="character" w:styleId="PlaceholderText">
    <w:name w:val="Placeholder Text"/>
    <w:basedOn w:val="DefaultParagraphFont"/>
    <w:uiPriority w:val="99"/>
    <w:semiHidden/>
    <w:rsid w:val="000537C6"/>
    <w:rPr>
      <w:color w:val="808080"/>
    </w:rPr>
  </w:style>
  <w:style w:type="table" w:styleId="TableGrid">
    <w:name w:val="Table Grid"/>
    <w:basedOn w:val="TableNormal"/>
    <w:rsid w:val="004F43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horttext">
    <w:name w:val="short_text"/>
    <w:basedOn w:val="DefaultParagraphFont"/>
    <w:rsid w:val="002332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691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nslate.googleusercontent.com/translate_f" TargetMode="External"/><Relationship Id="rId13" Type="http://schemas.openxmlformats.org/officeDocument/2006/relationships/chart" Target="charts/chart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yperlink" Target="http://www.intechopen.com/books/tribology-lubricants-and-lubrication/lubricating-oil-additives" TargetMode="Externa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hart" Target="charts/chart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Savjetovanje%20tehnologa%20Impruveri\Paper_Template.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Book1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SkyDrive\Documents\Book1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SkyDrive\Documents\Book1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User\SkyDrive\Documents\Book1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sr-Latn-RS" sz="1400" baseline="0"/>
              <a:t>Indeks viskoznosti  baznih ulja </a:t>
            </a:r>
            <a:endParaRPr lang="en-US" sz="1400"/>
          </a:p>
        </c:rich>
      </c:tx>
      <c:layout/>
      <c:overlay val="1"/>
    </c:title>
    <c:autoTitleDeleted val="0"/>
    <c:plotArea>
      <c:layout>
        <c:manualLayout>
          <c:layoutTarget val="inner"/>
          <c:xMode val="edge"/>
          <c:yMode val="edge"/>
          <c:x val="0.13190507436570428"/>
          <c:y val="0.1827029040724758"/>
          <c:w val="0.69649148970015118"/>
          <c:h val="0.63914486495639877"/>
        </c:manualLayout>
      </c:layout>
      <c:lineChart>
        <c:grouping val="standard"/>
        <c:varyColors val="0"/>
        <c:ser>
          <c:idx val="0"/>
          <c:order val="0"/>
          <c:tx>
            <c:strRef>
              <c:f>[Book11]Sheet1!$C$100</c:f>
              <c:strCache>
                <c:ptCount val="1"/>
                <c:pt idx="0">
                  <c:v>PAO 6</c:v>
                </c:pt>
              </c:strCache>
            </c:strRef>
          </c:tx>
          <c:spPr>
            <a:ln>
              <a:noFill/>
            </a:ln>
          </c:spPr>
          <c:trendline>
            <c:spPr>
              <a:ln w="31750">
                <a:solidFill>
                  <a:srgbClr val="0070C0"/>
                </a:solidFill>
              </a:ln>
            </c:spPr>
            <c:trendlineType val="power"/>
            <c:dispRSqr val="1"/>
            <c:dispEq val="1"/>
            <c:trendlineLbl>
              <c:layout>
                <c:manualLayout>
                  <c:x val="-0.29216797900262637"/>
                  <c:y val="-1.4363517060367512E-2"/>
                </c:manualLayout>
              </c:layout>
              <c:tx>
                <c:rich>
                  <a:bodyPr/>
                  <a:lstStyle/>
                  <a:p>
                    <a:pPr>
                      <a:defRPr/>
                    </a:pPr>
                    <a:r>
                      <a:rPr lang="en-US" b="1" baseline="0"/>
                      <a:t>y = 131,7x</a:t>
                    </a:r>
                    <a:r>
                      <a:rPr lang="en-US" b="1" baseline="30000"/>
                      <a:t>0,147</a:t>
                    </a:r>
                    <a:r>
                      <a:rPr lang="en-US" b="1" baseline="0"/>
                      <a:t>
R² = 0,982</a:t>
                    </a:r>
                    <a:endParaRPr lang="en-US" b="1"/>
                  </a:p>
                </c:rich>
              </c:tx>
              <c:numFmt formatCode="General" sourceLinked="0"/>
            </c:trendlineLbl>
          </c:trendline>
          <c:cat>
            <c:numRef>
              <c:f>[Book11]Sheet1!$B$101:$B$106</c:f>
              <c:numCache>
                <c:formatCode>General</c:formatCode>
                <c:ptCount val="6"/>
                <c:pt idx="0">
                  <c:v>0</c:v>
                </c:pt>
                <c:pt idx="1">
                  <c:v>0.30000000000000032</c:v>
                </c:pt>
                <c:pt idx="2">
                  <c:v>0.5</c:v>
                </c:pt>
                <c:pt idx="3">
                  <c:v>0.8</c:v>
                </c:pt>
                <c:pt idx="4">
                  <c:v>1</c:v>
                </c:pt>
                <c:pt idx="5">
                  <c:v>1.2</c:v>
                </c:pt>
              </c:numCache>
            </c:numRef>
          </c:cat>
          <c:val>
            <c:numRef>
              <c:f>[Book11]Sheet1!$C$101:$C$106</c:f>
              <c:numCache>
                <c:formatCode>General</c:formatCode>
                <c:ptCount val="6"/>
                <c:pt idx="0">
                  <c:v>130</c:v>
                </c:pt>
                <c:pt idx="1">
                  <c:v>148</c:v>
                </c:pt>
                <c:pt idx="2">
                  <c:v>157</c:v>
                </c:pt>
                <c:pt idx="3">
                  <c:v>161</c:v>
                </c:pt>
                <c:pt idx="4">
                  <c:v>168</c:v>
                </c:pt>
                <c:pt idx="5">
                  <c:v>169</c:v>
                </c:pt>
              </c:numCache>
            </c:numRef>
          </c:val>
          <c:smooth val="0"/>
        </c:ser>
        <c:ser>
          <c:idx val="1"/>
          <c:order val="1"/>
          <c:tx>
            <c:strRef>
              <c:f>[Book11]Sheet1!$D$100</c:f>
              <c:strCache>
                <c:ptCount val="1"/>
                <c:pt idx="0">
                  <c:v>HC 6</c:v>
                </c:pt>
              </c:strCache>
            </c:strRef>
          </c:tx>
          <c:spPr>
            <a:ln>
              <a:noFill/>
            </a:ln>
          </c:spPr>
          <c:trendline>
            <c:spPr>
              <a:ln w="31750">
                <a:solidFill>
                  <a:srgbClr val="C00000"/>
                </a:solidFill>
              </a:ln>
            </c:spPr>
            <c:trendlineType val="power"/>
            <c:dispRSqr val="1"/>
            <c:dispEq val="1"/>
            <c:trendlineLbl>
              <c:layout>
                <c:manualLayout>
                  <c:x val="0.18675495108565976"/>
                  <c:y val="2.9052578105156213E-2"/>
                </c:manualLayout>
              </c:layout>
              <c:tx>
                <c:rich>
                  <a:bodyPr/>
                  <a:lstStyle/>
                  <a:p>
                    <a:pPr>
                      <a:defRPr/>
                    </a:pPr>
                    <a:r>
                      <a:rPr lang="en-US" b="1" baseline="0"/>
                      <a:t>y = 124,8x</a:t>
                    </a:r>
                    <a:r>
                      <a:rPr lang="en-US" b="1" baseline="30000"/>
                      <a:t>0,156</a:t>
                    </a:r>
                    <a:r>
                      <a:rPr lang="en-US" b="1" baseline="0"/>
                      <a:t>
R² = 0,987</a:t>
                    </a:r>
                    <a:endParaRPr lang="en-US" b="1"/>
                  </a:p>
                </c:rich>
              </c:tx>
              <c:numFmt formatCode="General" sourceLinked="0"/>
            </c:trendlineLbl>
          </c:trendline>
          <c:cat>
            <c:numRef>
              <c:f>[Book11]Sheet1!$B$101:$B$106</c:f>
              <c:numCache>
                <c:formatCode>General</c:formatCode>
                <c:ptCount val="6"/>
                <c:pt idx="0">
                  <c:v>0</c:v>
                </c:pt>
                <c:pt idx="1">
                  <c:v>0.30000000000000032</c:v>
                </c:pt>
                <c:pt idx="2">
                  <c:v>0.5</c:v>
                </c:pt>
                <c:pt idx="3">
                  <c:v>0.8</c:v>
                </c:pt>
                <c:pt idx="4">
                  <c:v>1</c:v>
                </c:pt>
                <c:pt idx="5">
                  <c:v>1.2</c:v>
                </c:pt>
              </c:numCache>
            </c:numRef>
          </c:cat>
          <c:val>
            <c:numRef>
              <c:f>[Book11]Sheet1!$D$101:$D$106</c:f>
              <c:numCache>
                <c:formatCode>General</c:formatCode>
                <c:ptCount val="6"/>
                <c:pt idx="0">
                  <c:v>125</c:v>
                </c:pt>
                <c:pt idx="1">
                  <c:v>137</c:v>
                </c:pt>
                <c:pt idx="2">
                  <c:v>151</c:v>
                </c:pt>
                <c:pt idx="3">
                  <c:v>156</c:v>
                </c:pt>
                <c:pt idx="4">
                  <c:v>160</c:v>
                </c:pt>
                <c:pt idx="5">
                  <c:v>164</c:v>
                </c:pt>
              </c:numCache>
            </c:numRef>
          </c:val>
          <c:smooth val="0"/>
        </c:ser>
        <c:ser>
          <c:idx val="2"/>
          <c:order val="2"/>
          <c:tx>
            <c:strRef>
              <c:f>[Book11]Sheet1!$E$100</c:f>
              <c:strCache>
                <c:ptCount val="1"/>
                <c:pt idx="0">
                  <c:v>SN 150</c:v>
                </c:pt>
              </c:strCache>
            </c:strRef>
          </c:tx>
          <c:spPr>
            <a:ln>
              <a:noFill/>
            </a:ln>
          </c:spPr>
          <c:trendline>
            <c:spPr>
              <a:ln w="31750">
                <a:solidFill>
                  <a:srgbClr val="00B050"/>
                </a:solidFill>
              </a:ln>
            </c:spPr>
            <c:trendlineType val="power"/>
            <c:dispRSqr val="1"/>
            <c:dispEq val="1"/>
            <c:trendlineLbl>
              <c:layout>
                <c:manualLayout>
                  <c:x val="-5.0501312335957865E-2"/>
                  <c:y val="0.15604549431321174"/>
                </c:manualLayout>
              </c:layout>
              <c:tx>
                <c:rich>
                  <a:bodyPr/>
                  <a:lstStyle/>
                  <a:p>
                    <a:pPr>
                      <a:defRPr/>
                    </a:pPr>
                    <a:r>
                      <a:rPr lang="en-US" b="1" baseline="0"/>
                      <a:t>y = 103,3x</a:t>
                    </a:r>
                    <a:r>
                      <a:rPr lang="en-US" b="1" baseline="30000"/>
                      <a:t>0,216</a:t>
                    </a:r>
                    <a:r>
                      <a:rPr lang="en-US" b="1" baseline="0"/>
                      <a:t>
R² = 0,998</a:t>
                    </a:r>
                    <a:endParaRPr lang="en-US" b="1"/>
                  </a:p>
                </c:rich>
              </c:tx>
              <c:numFmt formatCode="General" sourceLinked="0"/>
            </c:trendlineLbl>
          </c:trendline>
          <c:cat>
            <c:numRef>
              <c:f>[Book11]Sheet1!$B$101:$B$106</c:f>
              <c:numCache>
                <c:formatCode>General</c:formatCode>
                <c:ptCount val="6"/>
                <c:pt idx="0">
                  <c:v>0</c:v>
                </c:pt>
                <c:pt idx="1">
                  <c:v>0.30000000000000032</c:v>
                </c:pt>
                <c:pt idx="2">
                  <c:v>0.5</c:v>
                </c:pt>
                <c:pt idx="3">
                  <c:v>0.8</c:v>
                </c:pt>
                <c:pt idx="4">
                  <c:v>1</c:v>
                </c:pt>
                <c:pt idx="5">
                  <c:v>1.2</c:v>
                </c:pt>
              </c:numCache>
            </c:numRef>
          </c:cat>
          <c:val>
            <c:numRef>
              <c:f>[Book11]Sheet1!$E$101:$E$106</c:f>
              <c:numCache>
                <c:formatCode>General</c:formatCode>
                <c:ptCount val="6"/>
                <c:pt idx="0">
                  <c:v>103</c:v>
                </c:pt>
                <c:pt idx="1">
                  <c:v>120</c:v>
                </c:pt>
                <c:pt idx="2">
                  <c:v>132</c:v>
                </c:pt>
                <c:pt idx="3">
                  <c:v>140</c:v>
                </c:pt>
                <c:pt idx="4">
                  <c:v>147</c:v>
                </c:pt>
                <c:pt idx="5">
                  <c:v>151</c:v>
                </c:pt>
              </c:numCache>
            </c:numRef>
          </c:val>
          <c:smooth val="0"/>
        </c:ser>
        <c:dLbls>
          <c:showLegendKey val="0"/>
          <c:showVal val="0"/>
          <c:showCatName val="0"/>
          <c:showSerName val="0"/>
          <c:showPercent val="0"/>
          <c:showBubbleSize val="0"/>
        </c:dLbls>
        <c:marker val="1"/>
        <c:smooth val="0"/>
        <c:axId val="115284952"/>
        <c:axId val="115285344"/>
      </c:lineChart>
      <c:catAx>
        <c:axId val="115284952"/>
        <c:scaling>
          <c:orientation val="minMax"/>
        </c:scaling>
        <c:delete val="0"/>
        <c:axPos val="b"/>
        <c:minorGridlines/>
        <c:title>
          <c:tx>
            <c:rich>
              <a:bodyPr/>
              <a:lstStyle/>
              <a:p>
                <a:pPr>
                  <a:defRPr/>
                </a:pPr>
                <a:r>
                  <a:rPr lang="sr-Latn-RS"/>
                  <a:t>koncentracija</a:t>
                </a:r>
                <a:r>
                  <a:rPr lang="sr-Latn-RS" baseline="0"/>
                  <a:t> polimera (%)</a:t>
                </a:r>
                <a:endParaRPr lang="en-US"/>
              </a:p>
            </c:rich>
          </c:tx>
          <c:layout/>
          <c:overlay val="0"/>
        </c:title>
        <c:numFmt formatCode="General" sourceLinked="1"/>
        <c:majorTickMark val="out"/>
        <c:minorTickMark val="none"/>
        <c:tickLblPos val="nextTo"/>
        <c:crossAx val="115285344"/>
        <c:crosses val="autoZero"/>
        <c:auto val="1"/>
        <c:lblAlgn val="ctr"/>
        <c:lblOffset val="100"/>
        <c:noMultiLvlLbl val="0"/>
      </c:catAx>
      <c:valAx>
        <c:axId val="115285344"/>
        <c:scaling>
          <c:orientation val="minMax"/>
          <c:min val="90"/>
        </c:scaling>
        <c:delete val="0"/>
        <c:axPos val="l"/>
        <c:majorGridlines/>
        <c:title>
          <c:tx>
            <c:rich>
              <a:bodyPr rot="-5400000" vert="horz"/>
              <a:lstStyle/>
              <a:p>
                <a:pPr>
                  <a:defRPr/>
                </a:pPr>
                <a:r>
                  <a:rPr lang="sr-Latn-RS"/>
                  <a:t>Indeks</a:t>
                </a:r>
                <a:r>
                  <a:rPr lang="sr-Latn-RS" baseline="0"/>
                  <a:t> viskoznosti</a:t>
                </a:r>
                <a:endParaRPr lang="en-US"/>
              </a:p>
            </c:rich>
          </c:tx>
          <c:layout/>
          <c:overlay val="0"/>
        </c:title>
        <c:numFmt formatCode="General" sourceLinked="1"/>
        <c:majorTickMark val="out"/>
        <c:minorTickMark val="none"/>
        <c:tickLblPos val="nextTo"/>
        <c:crossAx val="115284952"/>
        <c:crosses val="autoZero"/>
        <c:crossBetween val="midCat"/>
      </c:valAx>
    </c:plotArea>
    <c:legend>
      <c:legendPos val="r"/>
      <c:legendEntry>
        <c:idx val="3"/>
        <c:delete val="1"/>
      </c:legendEntry>
      <c:legendEntry>
        <c:idx val="4"/>
        <c:delete val="1"/>
      </c:legendEntry>
      <c:legendEntry>
        <c:idx val="5"/>
        <c:delete val="1"/>
      </c:legendEntry>
      <c:layout>
        <c:manualLayout>
          <c:xMode val="edge"/>
          <c:yMode val="edge"/>
          <c:x val="0.85693197725284365"/>
          <c:y val="0.4855351414406533"/>
          <c:w val="0.14306808654126604"/>
          <c:h val="0.32604695206663387"/>
        </c:manualLayout>
      </c:layout>
      <c:overlay val="0"/>
    </c:legend>
    <c:plotVisOnly val="1"/>
    <c:dispBlanksAs val="gap"/>
    <c:showDLblsOverMax val="0"/>
  </c:chart>
  <c:spPr>
    <a:solidFill>
      <a:schemeClr val="accent1">
        <a:lumMod val="40000"/>
        <a:lumOff val="60000"/>
      </a:schemeClr>
    </a:solidFill>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sr-Latn-BA" sz="1200">
                <a:latin typeface="Times New Roman" panose="02020603050405020304" pitchFamily="18" charset="0"/>
                <a:cs typeface="Times New Roman" panose="02020603050405020304" pitchFamily="18" charset="0"/>
              </a:rPr>
              <a:t>Primjena Huggins-ove</a:t>
            </a:r>
            <a:r>
              <a:rPr lang="sr-Latn-BA" sz="1200" baseline="0">
                <a:latin typeface="Times New Roman" panose="02020603050405020304" pitchFamily="18" charset="0"/>
                <a:cs typeface="Times New Roman" panose="02020603050405020304" pitchFamily="18" charset="0"/>
              </a:rPr>
              <a:t> i Kraemer-ove jednačine na rastvor polimera OCP u baznom ulju PAO 6 </a:t>
            </a:r>
            <a:endParaRPr lang="en-US" sz="1200">
              <a:latin typeface="Times New Roman" panose="02020603050405020304" pitchFamily="18" charset="0"/>
              <a:cs typeface="Times New Roman" panose="02020603050405020304" pitchFamily="18" charset="0"/>
            </a:endParaRPr>
          </a:p>
        </c:rich>
      </c:tx>
      <c:layout>
        <c:manualLayout>
          <c:xMode val="edge"/>
          <c:yMode val="edge"/>
          <c:x val="0.11095486037218318"/>
          <c:y val="3.7717948146000296E-2"/>
        </c:manualLayout>
      </c:layout>
      <c:overlay val="1"/>
    </c:title>
    <c:autoTitleDeleted val="0"/>
    <c:plotArea>
      <c:layout>
        <c:manualLayout>
          <c:layoutTarget val="inner"/>
          <c:xMode val="edge"/>
          <c:yMode val="edge"/>
          <c:x val="0.16304990178114545"/>
          <c:y val="0.20454188039773058"/>
          <c:w val="0.65960260249159719"/>
          <c:h val="0.62151675330277312"/>
        </c:manualLayout>
      </c:layout>
      <c:lineChart>
        <c:grouping val="standard"/>
        <c:varyColors val="0"/>
        <c:ser>
          <c:idx val="1"/>
          <c:order val="0"/>
          <c:tx>
            <c:strRef>
              <c:f>Sheet1!$C$72</c:f>
              <c:strCache>
                <c:ptCount val="1"/>
                <c:pt idx="0">
                  <c:v>Huggins-ova jednačina</c:v>
                </c:pt>
              </c:strCache>
            </c:strRef>
          </c:tx>
          <c:spPr>
            <a:ln>
              <a:solidFill>
                <a:schemeClr val="bg1"/>
              </a:solidFill>
            </a:ln>
          </c:spPr>
          <c:marker>
            <c:spPr>
              <a:ln>
                <a:solidFill>
                  <a:schemeClr val="bg1"/>
                </a:solidFill>
              </a:ln>
            </c:spPr>
          </c:marker>
          <c:trendline>
            <c:trendlineType val="linear"/>
            <c:dispRSqr val="0"/>
            <c:dispEq val="0"/>
          </c:trendline>
          <c:trendline>
            <c:spPr>
              <a:ln w="31750">
                <a:solidFill>
                  <a:srgbClr val="FF0000"/>
                </a:solidFill>
              </a:ln>
            </c:spPr>
            <c:trendlineType val="linear"/>
            <c:dispRSqr val="1"/>
            <c:dispEq val="1"/>
            <c:trendlineLbl>
              <c:layout>
                <c:manualLayout>
                  <c:x val="-2.2830956941193251E-2"/>
                  <c:y val="-6.4053293992008637E-3"/>
                </c:manualLayout>
              </c:layout>
              <c:tx>
                <c:rich>
                  <a:bodyPr/>
                  <a:lstStyle/>
                  <a:p>
                    <a:pPr>
                      <a:defRPr/>
                    </a:pPr>
                    <a:r>
                      <a:rPr lang="en-US" b="1" baseline="0"/>
                      <a:t>y = 0,0807x + 0,6974</a:t>
                    </a:r>
                    <a:r>
                      <a:rPr lang="en-US" baseline="0"/>
                      <a:t>
</a:t>
                    </a:r>
                    <a:endParaRPr lang="en-US"/>
                  </a:p>
                </c:rich>
              </c:tx>
              <c:numFmt formatCode="General" sourceLinked="0"/>
            </c:trendlineLbl>
          </c:trendline>
          <c:cat>
            <c:numRef>
              <c:f>Sheet1!$B$73:$B$78</c:f>
              <c:numCache>
                <c:formatCode>General</c:formatCode>
                <c:ptCount val="6"/>
                <c:pt idx="0">
                  <c:v>0</c:v>
                </c:pt>
                <c:pt idx="1">
                  <c:v>0.30000000000000032</c:v>
                </c:pt>
                <c:pt idx="2">
                  <c:v>0.5</c:v>
                </c:pt>
                <c:pt idx="3">
                  <c:v>0.8</c:v>
                </c:pt>
                <c:pt idx="4">
                  <c:v>1</c:v>
                </c:pt>
                <c:pt idx="5">
                  <c:v>1.2</c:v>
                </c:pt>
              </c:numCache>
            </c:numRef>
          </c:cat>
          <c:val>
            <c:numRef>
              <c:f>Sheet1!$C$73:$C$78</c:f>
              <c:numCache>
                <c:formatCode>General</c:formatCode>
                <c:ptCount val="6"/>
                <c:pt idx="0">
                  <c:v>0.69740000000000002</c:v>
                </c:pt>
                <c:pt idx="1">
                  <c:v>0.76670000000000282</c:v>
                </c:pt>
                <c:pt idx="2">
                  <c:v>0.86000000000000065</c:v>
                </c:pt>
                <c:pt idx="3">
                  <c:v>0.95000000000000062</c:v>
                </c:pt>
                <c:pt idx="4">
                  <c:v>1.04</c:v>
                </c:pt>
                <c:pt idx="5" formatCode="0.00">
                  <c:v>1.08</c:v>
                </c:pt>
              </c:numCache>
            </c:numRef>
          </c:val>
          <c:smooth val="0"/>
        </c:ser>
        <c:ser>
          <c:idx val="0"/>
          <c:order val="1"/>
          <c:tx>
            <c:strRef>
              <c:f>Sheet1!$D$72</c:f>
              <c:strCache>
                <c:ptCount val="1"/>
                <c:pt idx="0">
                  <c:v>Kraemer-ova jednačina</c:v>
                </c:pt>
              </c:strCache>
            </c:strRef>
          </c:tx>
          <c:spPr>
            <a:ln>
              <a:solidFill>
                <a:schemeClr val="bg1"/>
              </a:solidFill>
            </a:ln>
          </c:spPr>
          <c:marker>
            <c:spPr>
              <a:solidFill>
                <a:srgbClr val="00B050"/>
              </a:solidFill>
              <a:ln>
                <a:solidFill>
                  <a:schemeClr val="bg1"/>
                </a:solidFill>
              </a:ln>
            </c:spPr>
          </c:marker>
          <c:trendline>
            <c:spPr>
              <a:ln w="31750">
                <a:solidFill>
                  <a:srgbClr val="00B050"/>
                </a:solidFill>
              </a:ln>
            </c:spPr>
            <c:trendlineType val="linear"/>
            <c:dispRSqr val="0"/>
            <c:dispEq val="1"/>
            <c:trendlineLbl>
              <c:layout>
                <c:manualLayout>
                  <c:x val="2.0418853893263342E-2"/>
                  <c:y val="-5.8751746940723534E-2"/>
                </c:manualLayout>
              </c:layout>
              <c:tx>
                <c:rich>
                  <a:bodyPr/>
                  <a:lstStyle/>
                  <a:p>
                    <a:pPr>
                      <a:defRPr/>
                    </a:pPr>
                    <a:r>
                      <a:rPr lang="en-US" b="1" baseline="0"/>
                      <a:t>y = 0,0006x + 0,7013</a:t>
                    </a:r>
                    <a:endParaRPr lang="en-US" b="1"/>
                  </a:p>
                </c:rich>
              </c:tx>
              <c:numFmt formatCode="General" sourceLinked="0"/>
            </c:trendlineLbl>
          </c:trendline>
          <c:cat>
            <c:numRef>
              <c:f>Sheet1!$B$73:$B$78</c:f>
              <c:numCache>
                <c:formatCode>General</c:formatCode>
                <c:ptCount val="6"/>
                <c:pt idx="0">
                  <c:v>0</c:v>
                </c:pt>
                <c:pt idx="1">
                  <c:v>0.30000000000000032</c:v>
                </c:pt>
                <c:pt idx="2">
                  <c:v>0.5</c:v>
                </c:pt>
                <c:pt idx="3">
                  <c:v>0.8</c:v>
                </c:pt>
                <c:pt idx="4">
                  <c:v>1</c:v>
                </c:pt>
                <c:pt idx="5">
                  <c:v>1.2</c:v>
                </c:pt>
              </c:numCache>
            </c:numRef>
          </c:cat>
          <c:val>
            <c:numRef>
              <c:f>Sheet1!$D$73:$D$78</c:f>
              <c:numCache>
                <c:formatCode>General</c:formatCode>
                <c:ptCount val="6"/>
                <c:pt idx="0">
                  <c:v>0.70190000000000063</c:v>
                </c:pt>
                <c:pt idx="1">
                  <c:v>0.69000000000000061</c:v>
                </c:pt>
                <c:pt idx="2">
                  <c:v>0.71500000000000064</c:v>
                </c:pt>
                <c:pt idx="3">
                  <c:v>0.70660000000000234</c:v>
                </c:pt>
                <c:pt idx="4">
                  <c:v>0.71290000000000064</c:v>
                </c:pt>
                <c:pt idx="5">
                  <c:v>0.69399999999999995</c:v>
                </c:pt>
              </c:numCache>
            </c:numRef>
          </c:val>
          <c:smooth val="0"/>
        </c:ser>
        <c:dLbls>
          <c:showLegendKey val="0"/>
          <c:showVal val="0"/>
          <c:showCatName val="0"/>
          <c:showSerName val="0"/>
          <c:showPercent val="0"/>
          <c:showBubbleSize val="0"/>
        </c:dLbls>
        <c:marker val="1"/>
        <c:smooth val="0"/>
        <c:axId val="115913520"/>
        <c:axId val="115913912"/>
      </c:lineChart>
      <c:catAx>
        <c:axId val="115913520"/>
        <c:scaling>
          <c:orientation val="minMax"/>
        </c:scaling>
        <c:delete val="0"/>
        <c:axPos val="b"/>
        <c:minorGridlines/>
        <c:title>
          <c:tx>
            <c:rich>
              <a:bodyPr/>
              <a:lstStyle/>
              <a:p>
                <a:pPr>
                  <a:defRPr>
                    <a:latin typeface="Times New Roman" pitchFamily="18" charset="0"/>
                    <a:cs typeface="Times New Roman" pitchFamily="18" charset="0"/>
                  </a:defRPr>
                </a:pPr>
                <a:r>
                  <a:rPr lang="sr-Latn-BA">
                    <a:latin typeface="Times New Roman" pitchFamily="18" charset="0"/>
                    <a:cs typeface="Times New Roman" pitchFamily="18" charset="0"/>
                  </a:rPr>
                  <a:t>koncentracija polimera OCP</a:t>
                </a:r>
                <a:r>
                  <a:rPr lang="sr-Latn-BA" baseline="0">
                    <a:latin typeface="Times New Roman" pitchFamily="18" charset="0"/>
                    <a:cs typeface="Times New Roman" pitchFamily="18" charset="0"/>
                  </a:rPr>
                  <a:t> </a:t>
                </a:r>
                <a:r>
                  <a:rPr lang="sr-Latn-BA">
                    <a:latin typeface="Times New Roman" pitchFamily="18" charset="0"/>
                    <a:cs typeface="Times New Roman" pitchFamily="18" charset="0"/>
                  </a:rPr>
                  <a:t>[g/100g]</a:t>
                </a:r>
                <a:endParaRPr lang="en-US">
                  <a:latin typeface="Times New Roman" pitchFamily="18" charset="0"/>
                  <a:cs typeface="Times New Roman" pitchFamily="18" charset="0"/>
                </a:endParaRPr>
              </a:p>
            </c:rich>
          </c:tx>
          <c:layout/>
          <c:overlay val="0"/>
        </c:title>
        <c:numFmt formatCode="General" sourceLinked="1"/>
        <c:majorTickMark val="none"/>
        <c:minorTickMark val="out"/>
        <c:tickLblPos val="nextTo"/>
        <c:crossAx val="115913912"/>
        <c:crossesAt val="0.60000000000000064"/>
        <c:auto val="1"/>
        <c:lblAlgn val="ctr"/>
        <c:lblOffset val="100"/>
        <c:tickLblSkip val="1"/>
        <c:noMultiLvlLbl val="0"/>
      </c:catAx>
      <c:valAx>
        <c:axId val="115913912"/>
        <c:scaling>
          <c:orientation val="minMax"/>
          <c:min val="0.60000000000000064"/>
        </c:scaling>
        <c:delete val="0"/>
        <c:axPos val="l"/>
        <c:minorGridlines/>
        <c:title>
          <c:tx>
            <c:rich>
              <a:bodyPr rot="-5400000" vert="horz"/>
              <a:lstStyle/>
              <a:p>
                <a:pPr>
                  <a:defRPr/>
                </a:pPr>
                <a:r>
                  <a:rPr lang="sr-Latn-RS">
                    <a:latin typeface="Times New Roman" pitchFamily="18" charset="0"/>
                    <a:cs typeface="Times New Roman" pitchFamily="18" charset="0"/>
                  </a:rPr>
                  <a:t>redukovana</a:t>
                </a:r>
                <a:r>
                  <a:rPr lang="sr-Latn-RS" baseline="0"/>
                  <a:t> viskoznost na 40</a:t>
                </a:r>
                <a:r>
                  <a:rPr lang="en-US" baseline="0">
                    <a:latin typeface="Times New Roman"/>
                    <a:cs typeface="Times New Roman"/>
                  </a:rPr>
                  <a:t>ᵒ</a:t>
                </a:r>
                <a:r>
                  <a:rPr lang="sr-Latn-RS" baseline="0">
                    <a:latin typeface="Times New Roman"/>
                    <a:cs typeface="Times New Roman"/>
                  </a:rPr>
                  <a:t>C [100g/g], </a:t>
                </a:r>
              </a:p>
              <a:p>
                <a:pPr>
                  <a:defRPr/>
                </a:pPr>
                <a:r>
                  <a:rPr lang="sr-Latn-RS" baseline="0">
                    <a:latin typeface="Times New Roman"/>
                    <a:cs typeface="Times New Roman"/>
                  </a:rPr>
                  <a:t>ln </a:t>
                </a:r>
                <a:r>
                  <a:rPr lang="el-GR" baseline="0">
                    <a:latin typeface="Times New Roman"/>
                    <a:cs typeface="Times New Roman"/>
                  </a:rPr>
                  <a:t>η</a:t>
                </a:r>
                <a:r>
                  <a:rPr lang="sr-Latn-RS" baseline="0">
                    <a:latin typeface="Times New Roman"/>
                    <a:cs typeface="Times New Roman"/>
                  </a:rPr>
                  <a:t>rel/c</a:t>
                </a:r>
                <a:endParaRPr lang="en-US"/>
              </a:p>
            </c:rich>
          </c:tx>
          <c:layout>
            <c:manualLayout>
              <c:xMode val="edge"/>
              <c:yMode val="edge"/>
              <c:x val="1.0038682271634278E-3"/>
              <c:y val="0.12526807593034273"/>
            </c:manualLayout>
          </c:layout>
          <c:overlay val="0"/>
        </c:title>
        <c:numFmt formatCode="General" sourceLinked="1"/>
        <c:majorTickMark val="cross"/>
        <c:minorTickMark val="cross"/>
        <c:tickLblPos val="low"/>
        <c:crossAx val="115913520"/>
        <c:crossesAt val="1"/>
        <c:crossBetween val="midCat"/>
      </c:valAx>
      <c:spPr>
        <a:ln>
          <a:solidFill>
            <a:schemeClr val="bg1"/>
          </a:solidFill>
        </a:ln>
      </c:spPr>
    </c:plotArea>
    <c:legend>
      <c:legendPos val="r"/>
      <c:legendEntry>
        <c:idx val="2"/>
        <c:delete val="1"/>
      </c:legendEntry>
      <c:legendEntry>
        <c:idx val="3"/>
        <c:delete val="1"/>
      </c:legendEntry>
      <c:legendEntry>
        <c:idx val="4"/>
        <c:delete val="1"/>
      </c:legendEntry>
      <c:layout>
        <c:manualLayout>
          <c:xMode val="edge"/>
          <c:yMode val="edge"/>
          <c:x val="0.78543033972605059"/>
          <c:y val="0.34595217264508632"/>
          <c:w val="0.2117916398174787"/>
          <c:h val="0.38222586759988497"/>
        </c:manualLayout>
      </c:layout>
      <c:overlay val="0"/>
      <c:txPr>
        <a:bodyPr/>
        <a:lstStyle/>
        <a:p>
          <a:pPr>
            <a:defRPr>
              <a:latin typeface="Times New Roman" pitchFamily="18" charset="0"/>
              <a:cs typeface="Times New Roman" pitchFamily="18" charset="0"/>
            </a:defRPr>
          </a:pPr>
          <a:endParaRPr lang="en-US"/>
        </a:p>
      </c:txPr>
    </c:legend>
    <c:plotVisOnly val="1"/>
    <c:dispBlanksAs val="gap"/>
    <c:showDLblsOverMax val="0"/>
  </c:chart>
  <c:spPr>
    <a:solidFill>
      <a:schemeClr val="accent5">
        <a:lumMod val="60000"/>
        <a:lumOff val="40000"/>
      </a:schemeClr>
    </a:solidFill>
    <a:ln>
      <a:solidFill>
        <a:schemeClr val="accent5">
          <a:lumMod val="60000"/>
          <a:lumOff val="40000"/>
        </a:schemeClr>
      </a:solid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sr-Latn-BA" sz="1200">
                <a:latin typeface="Times New Roman" panose="02020603050405020304" pitchFamily="18" charset="0"/>
                <a:cs typeface="Times New Roman" panose="02020603050405020304" pitchFamily="18" charset="0"/>
              </a:rPr>
              <a:t>Primjena Huggins-ove i Kraemer-ove jednačine na rastvor polimera OCP u</a:t>
            </a:r>
            <a:r>
              <a:rPr lang="sr-Latn-BA" sz="1200" baseline="0">
                <a:latin typeface="Times New Roman" panose="02020603050405020304" pitchFamily="18" charset="0"/>
                <a:cs typeface="Times New Roman" panose="02020603050405020304" pitchFamily="18" charset="0"/>
              </a:rPr>
              <a:t> baznom ulju HC 6 </a:t>
            </a:r>
            <a:endParaRPr lang="en-US" sz="1200">
              <a:latin typeface="Times New Roman" panose="02020603050405020304" pitchFamily="18" charset="0"/>
              <a:cs typeface="Times New Roman" panose="02020603050405020304" pitchFamily="18" charset="0"/>
            </a:endParaRPr>
          </a:p>
        </c:rich>
      </c:tx>
      <c:layout>
        <c:manualLayout>
          <c:xMode val="edge"/>
          <c:yMode val="edge"/>
          <c:x val="0.13624305128828043"/>
          <c:y val="2.5039205522507383E-2"/>
        </c:manualLayout>
      </c:layout>
      <c:overlay val="1"/>
    </c:title>
    <c:autoTitleDeleted val="0"/>
    <c:plotArea>
      <c:layout>
        <c:manualLayout>
          <c:layoutTarget val="inner"/>
          <c:xMode val="edge"/>
          <c:yMode val="edge"/>
          <c:x val="0.15120448404574263"/>
          <c:y val="0.1722905131558205"/>
          <c:w val="0.65491328103043378"/>
          <c:h val="0.6615189681250585"/>
        </c:manualLayout>
      </c:layout>
      <c:lineChart>
        <c:grouping val="standard"/>
        <c:varyColors val="0"/>
        <c:ser>
          <c:idx val="0"/>
          <c:order val="0"/>
          <c:tx>
            <c:strRef>
              <c:f>Sheet1!$C$82</c:f>
              <c:strCache>
                <c:ptCount val="1"/>
                <c:pt idx="0">
                  <c:v>Huggins-ova jednačina</c:v>
                </c:pt>
              </c:strCache>
            </c:strRef>
          </c:tx>
          <c:spPr>
            <a:ln>
              <a:solidFill>
                <a:schemeClr val="bg1"/>
              </a:solidFill>
            </a:ln>
          </c:spPr>
          <c:marker>
            <c:spPr>
              <a:solidFill>
                <a:srgbClr val="C00000"/>
              </a:solidFill>
              <a:ln>
                <a:solidFill>
                  <a:schemeClr val="bg1"/>
                </a:solidFill>
              </a:ln>
            </c:spPr>
          </c:marker>
          <c:trendline>
            <c:spPr>
              <a:ln w="31750">
                <a:solidFill>
                  <a:srgbClr val="FF0000"/>
                </a:solidFill>
              </a:ln>
            </c:spPr>
            <c:trendlineType val="linear"/>
            <c:dispRSqr val="1"/>
            <c:dispEq val="1"/>
            <c:trendlineLbl>
              <c:layout>
                <c:manualLayout>
                  <c:x val="1.9198498554286885E-2"/>
                  <c:y val="6.0852894955529188E-3"/>
                </c:manualLayout>
              </c:layout>
              <c:tx>
                <c:rich>
                  <a:bodyPr/>
                  <a:lstStyle/>
                  <a:p>
                    <a:pPr>
                      <a:defRPr/>
                    </a:pPr>
                    <a:r>
                      <a:rPr lang="en-US" b="1" baseline="0"/>
                      <a:t>y = 0,0873x + 0,7615</a:t>
                    </a:r>
                    <a:r>
                      <a:rPr lang="en-US" baseline="0"/>
                      <a:t>
</a:t>
                    </a:r>
                    <a:endParaRPr lang="en-US"/>
                  </a:p>
                </c:rich>
              </c:tx>
              <c:numFmt formatCode="General" sourceLinked="0"/>
            </c:trendlineLbl>
          </c:trendline>
          <c:cat>
            <c:numRef>
              <c:f>Sheet1!$B$83:$B$88</c:f>
              <c:numCache>
                <c:formatCode>General</c:formatCode>
                <c:ptCount val="6"/>
                <c:pt idx="0">
                  <c:v>0</c:v>
                </c:pt>
                <c:pt idx="1">
                  <c:v>0.30000000000000032</c:v>
                </c:pt>
                <c:pt idx="2">
                  <c:v>0.5</c:v>
                </c:pt>
                <c:pt idx="3">
                  <c:v>0.8</c:v>
                </c:pt>
                <c:pt idx="4">
                  <c:v>1</c:v>
                </c:pt>
                <c:pt idx="5">
                  <c:v>1.2</c:v>
                </c:pt>
              </c:numCache>
            </c:numRef>
          </c:cat>
          <c:val>
            <c:numRef>
              <c:f>Sheet1!$C$83:$C$88</c:f>
              <c:numCache>
                <c:formatCode>General</c:formatCode>
                <c:ptCount val="6"/>
                <c:pt idx="0">
                  <c:v>0.76149999999999995</c:v>
                </c:pt>
                <c:pt idx="1">
                  <c:v>0.86670000000000236</c:v>
                </c:pt>
                <c:pt idx="2">
                  <c:v>0.92</c:v>
                </c:pt>
                <c:pt idx="3">
                  <c:v>1.0125</c:v>
                </c:pt>
                <c:pt idx="4">
                  <c:v>1.1100000000000001</c:v>
                </c:pt>
                <c:pt idx="5">
                  <c:v>1.2082999999999962</c:v>
                </c:pt>
              </c:numCache>
            </c:numRef>
          </c:val>
          <c:smooth val="0"/>
        </c:ser>
        <c:ser>
          <c:idx val="1"/>
          <c:order val="1"/>
          <c:tx>
            <c:strRef>
              <c:f>Sheet1!$D$82</c:f>
              <c:strCache>
                <c:ptCount val="1"/>
                <c:pt idx="0">
                  <c:v>Kraemer-ova jednačina</c:v>
                </c:pt>
              </c:strCache>
            </c:strRef>
          </c:tx>
          <c:spPr>
            <a:ln>
              <a:solidFill>
                <a:schemeClr val="bg1"/>
              </a:solidFill>
            </a:ln>
          </c:spPr>
          <c:marker>
            <c:spPr>
              <a:solidFill>
                <a:srgbClr val="00B050"/>
              </a:solidFill>
              <a:ln>
                <a:solidFill>
                  <a:schemeClr val="bg1"/>
                </a:solidFill>
              </a:ln>
            </c:spPr>
          </c:marker>
          <c:trendline>
            <c:spPr>
              <a:ln w="31750">
                <a:solidFill>
                  <a:srgbClr val="00B050"/>
                </a:solidFill>
              </a:ln>
            </c:spPr>
            <c:trendlineType val="linear"/>
            <c:dispRSqr val="1"/>
            <c:dispEq val="1"/>
            <c:trendlineLbl>
              <c:layout>
                <c:manualLayout>
                  <c:x val="1.4504003696452702E-2"/>
                  <c:y val="-4.9751958194514577E-2"/>
                </c:manualLayout>
              </c:layout>
              <c:tx>
                <c:rich>
                  <a:bodyPr/>
                  <a:lstStyle/>
                  <a:p>
                    <a:pPr>
                      <a:defRPr/>
                    </a:pPr>
                    <a:r>
                      <a:rPr lang="en-US" b="1" baseline="0"/>
                      <a:t>y = -0,0058x + 0,7698</a:t>
                    </a:r>
                    <a:r>
                      <a:rPr lang="en-US" baseline="0"/>
                      <a:t>
</a:t>
                    </a:r>
                    <a:endParaRPr lang="en-US"/>
                  </a:p>
                </c:rich>
              </c:tx>
              <c:numFmt formatCode="General" sourceLinked="0"/>
            </c:trendlineLbl>
          </c:trendline>
          <c:cat>
            <c:numRef>
              <c:f>Sheet1!$B$83:$B$88</c:f>
              <c:numCache>
                <c:formatCode>General</c:formatCode>
                <c:ptCount val="6"/>
                <c:pt idx="0">
                  <c:v>0</c:v>
                </c:pt>
                <c:pt idx="1">
                  <c:v>0.30000000000000032</c:v>
                </c:pt>
                <c:pt idx="2">
                  <c:v>0.5</c:v>
                </c:pt>
                <c:pt idx="3">
                  <c:v>0.8</c:v>
                </c:pt>
                <c:pt idx="4">
                  <c:v>1</c:v>
                </c:pt>
                <c:pt idx="5">
                  <c:v>1.2</c:v>
                </c:pt>
              </c:numCache>
            </c:numRef>
          </c:cat>
          <c:val>
            <c:numRef>
              <c:f>Sheet1!$D$83:$D$88</c:f>
              <c:numCache>
                <c:formatCode>General</c:formatCode>
                <c:ptCount val="6"/>
                <c:pt idx="0">
                  <c:v>0.76980000000000248</c:v>
                </c:pt>
                <c:pt idx="1">
                  <c:v>0.77040000000000064</c:v>
                </c:pt>
                <c:pt idx="2">
                  <c:v>0.75690000000000213</c:v>
                </c:pt>
                <c:pt idx="3">
                  <c:v>0.74170000000000236</c:v>
                </c:pt>
                <c:pt idx="4">
                  <c:v>0.74670000000000236</c:v>
                </c:pt>
                <c:pt idx="5">
                  <c:v>0.74670000000000236</c:v>
                </c:pt>
              </c:numCache>
            </c:numRef>
          </c:val>
          <c:smooth val="0"/>
        </c:ser>
        <c:dLbls>
          <c:showLegendKey val="0"/>
          <c:showVal val="0"/>
          <c:showCatName val="0"/>
          <c:showSerName val="0"/>
          <c:showPercent val="0"/>
          <c:showBubbleSize val="0"/>
        </c:dLbls>
        <c:marker val="1"/>
        <c:smooth val="0"/>
        <c:axId val="115282992"/>
        <c:axId val="115281816"/>
      </c:lineChart>
      <c:catAx>
        <c:axId val="115282992"/>
        <c:scaling>
          <c:orientation val="minMax"/>
        </c:scaling>
        <c:delete val="0"/>
        <c:axPos val="b"/>
        <c:minorGridlines/>
        <c:title>
          <c:tx>
            <c:rich>
              <a:bodyPr/>
              <a:lstStyle/>
              <a:p>
                <a:pPr>
                  <a:defRPr>
                    <a:latin typeface="Times New Roman" pitchFamily="18" charset="0"/>
                    <a:cs typeface="Times New Roman" pitchFamily="18" charset="0"/>
                  </a:defRPr>
                </a:pPr>
                <a:r>
                  <a:rPr lang="sr-Latn-BA">
                    <a:latin typeface="Times New Roman" pitchFamily="18" charset="0"/>
                    <a:cs typeface="Times New Roman" pitchFamily="18" charset="0"/>
                  </a:rPr>
                  <a:t>koncentracija</a:t>
                </a:r>
                <a:r>
                  <a:rPr lang="sr-Latn-BA" baseline="0">
                    <a:latin typeface="Times New Roman" pitchFamily="18" charset="0"/>
                    <a:cs typeface="Times New Roman" pitchFamily="18" charset="0"/>
                  </a:rPr>
                  <a:t> polimera OCP [g/100g]</a:t>
                </a:r>
                <a:endParaRPr lang="en-US">
                  <a:latin typeface="Times New Roman" pitchFamily="18" charset="0"/>
                  <a:cs typeface="Times New Roman" pitchFamily="18" charset="0"/>
                </a:endParaRPr>
              </a:p>
            </c:rich>
          </c:tx>
          <c:layout/>
          <c:overlay val="0"/>
        </c:title>
        <c:numFmt formatCode="General" sourceLinked="1"/>
        <c:majorTickMark val="out"/>
        <c:minorTickMark val="none"/>
        <c:tickLblPos val="nextTo"/>
        <c:crossAx val="115281816"/>
        <c:crosses val="autoZero"/>
        <c:auto val="1"/>
        <c:lblAlgn val="ctr"/>
        <c:lblOffset val="100"/>
        <c:noMultiLvlLbl val="0"/>
      </c:catAx>
      <c:valAx>
        <c:axId val="115281816"/>
        <c:scaling>
          <c:orientation val="minMax"/>
          <c:min val="0.60000000000000064"/>
        </c:scaling>
        <c:delete val="0"/>
        <c:axPos val="l"/>
        <c:minorGridlines/>
        <c:title>
          <c:tx>
            <c:rich>
              <a:bodyPr rot="-5400000" vert="horz"/>
              <a:lstStyle/>
              <a:p>
                <a:pPr>
                  <a:defRPr>
                    <a:latin typeface="Times New Roman" pitchFamily="18" charset="0"/>
                    <a:cs typeface="Times New Roman" pitchFamily="18" charset="0"/>
                  </a:defRPr>
                </a:pPr>
                <a:r>
                  <a:rPr lang="sr-Latn-RS">
                    <a:latin typeface="Times New Roman" pitchFamily="18" charset="0"/>
                    <a:cs typeface="Times New Roman" pitchFamily="18" charset="0"/>
                  </a:rPr>
                  <a:t>redukovana</a:t>
                </a:r>
                <a:r>
                  <a:rPr lang="sr-Latn-RS" baseline="0">
                    <a:latin typeface="Times New Roman" pitchFamily="18" charset="0"/>
                    <a:cs typeface="Times New Roman" pitchFamily="18" charset="0"/>
                  </a:rPr>
                  <a:t> viskoznost na 40</a:t>
                </a:r>
                <a:r>
                  <a:rPr lang="en-US" baseline="0">
                    <a:latin typeface="Times New Roman" pitchFamily="18" charset="0"/>
                    <a:cs typeface="Times New Roman" pitchFamily="18" charset="0"/>
                  </a:rPr>
                  <a:t>ᵒ</a:t>
                </a:r>
                <a:r>
                  <a:rPr lang="sr-Latn-RS" baseline="0">
                    <a:latin typeface="Times New Roman" pitchFamily="18" charset="0"/>
                    <a:cs typeface="Times New Roman" pitchFamily="18" charset="0"/>
                  </a:rPr>
                  <a:t>C  100g/g], </a:t>
                </a:r>
              </a:p>
              <a:p>
                <a:pPr>
                  <a:defRPr>
                    <a:latin typeface="Times New Roman" pitchFamily="18" charset="0"/>
                    <a:cs typeface="Times New Roman" pitchFamily="18" charset="0"/>
                  </a:defRPr>
                </a:pPr>
                <a:r>
                  <a:rPr lang="sr-Latn-RS" baseline="0">
                    <a:latin typeface="Times New Roman" pitchFamily="18" charset="0"/>
                    <a:cs typeface="Times New Roman" pitchFamily="18" charset="0"/>
                  </a:rPr>
                  <a:t>ln </a:t>
                </a:r>
                <a:r>
                  <a:rPr lang="el-GR" baseline="0">
                    <a:latin typeface="Times New Roman" pitchFamily="18" charset="0"/>
                    <a:cs typeface="Times New Roman" pitchFamily="18" charset="0"/>
                  </a:rPr>
                  <a:t>η</a:t>
                </a:r>
                <a:r>
                  <a:rPr lang="sr-Latn-RS" baseline="0">
                    <a:latin typeface="Times New Roman" pitchFamily="18" charset="0"/>
                    <a:cs typeface="Times New Roman" pitchFamily="18" charset="0"/>
                  </a:rPr>
                  <a:t> rel/c </a:t>
                </a:r>
                <a:endParaRPr lang="en-US">
                  <a:latin typeface="Times New Roman" pitchFamily="18" charset="0"/>
                  <a:cs typeface="Times New Roman" pitchFamily="18" charset="0"/>
                </a:endParaRPr>
              </a:p>
            </c:rich>
          </c:tx>
          <c:layout>
            <c:manualLayout>
              <c:xMode val="edge"/>
              <c:yMode val="edge"/>
              <c:x val="0"/>
              <c:y val="0.12208128795616041"/>
            </c:manualLayout>
          </c:layout>
          <c:overlay val="0"/>
        </c:title>
        <c:numFmt formatCode="General" sourceLinked="1"/>
        <c:majorTickMark val="out"/>
        <c:minorTickMark val="none"/>
        <c:tickLblPos val="nextTo"/>
        <c:spPr>
          <a:solidFill>
            <a:schemeClr val="accent5">
              <a:lumMod val="60000"/>
              <a:lumOff val="40000"/>
            </a:schemeClr>
          </a:solidFill>
        </c:spPr>
        <c:crossAx val="115282992"/>
        <c:crosses val="autoZero"/>
        <c:crossBetween val="midCat"/>
      </c:valAx>
    </c:plotArea>
    <c:legend>
      <c:legendPos val="r"/>
      <c:legendEntry>
        <c:idx val="2"/>
        <c:delete val="1"/>
      </c:legendEntry>
      <c:legendEntry>
        <c:idx val="3"/>
        <c:delete val="1"/>
      </c:legendEntry>
      <c:layout>
        <c:manualLayout>
          <c:xMode val="edge"/>
          <c:yMode val="edge"/>
          <c:x val="0.77505397510795027"/>
          <c:y val="0.31571351246463841"/>
          <c:w val="0.22027876555753109"/>
          <c:h val="0.37480314960629935"/>
        </c:manualLayout>
      </c:layout>
      <c:overlay val="0"/>
      <c:txPr>
        <a:bodyPr/>
        <a:lstStyle/>
        <a:p>
          <a:pPr>
            <a:defRPr>
              <a:latin typeface="Times New Roman" pitchFamily="18" charset="0"/>
              <a:cs typeface="Times New Roman" pitchFamily="18" charset="0"/>
            </a:defRPr>
          </a:pPr>
          <a:endParaRPr lang="en-US"/>
        </a:p>
      </c:txPr>
    </c:legend>
    <c:plotVisOnly val="1"/>
    <c:dispBlanksAs val="gap"/>
    <c:showDLblsOverMax val="0"/>
  </c:chart>
  <c:spPr>
    <a:solidFill>
      <a:schemeClr val="accent5">
        <a:lumMod val="60000"/>
        <a:lumOff val="40000"/>
      </a:schemeClr>
    </a:solidFill>
    <a:ln>
      <a:solidFill>
        <a:schemeClr val="accent5">
          <a:lumMod val="60000"/>
          <a:lumOff val="40000"/>
        </a:schemeClr>
      </a:solidFill>
    </a:ln>
    <a:effectLst>
      <a:outerShdw blurRad="50800" dist="50800" dir="5400000" algn="ctr" rotWithShape="0">
        <a:schemeClr val="accent2">
          <a:lumMod val="20000"/>
          <a:lumOff val="80000"/>
        </a:schemeClr>
      </a:outerShdw>
    </a:effectLst>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sr-Latn-RS" sz="1200">
                <a:latin typeface="Times New Roman" pitchFamily="18" charset="0"/>
                <a:cs typeface="Times New Roman" pitchFamily="18" charset="0"/>
              </a:rPr>
              <a:t>Primjena</a:t>
            </a:r>
            <a:r>
              <a:rPr lang="sr-Latn-RS" sz="1200" baseline="0">
                <a:latin typeface="Times New Roman" pitchFamily="18" charset="0"/>
                <a:cs typeface="Times New Roman" pitchFamily="18" charset="0"/>
              </a:rPr>
              <a:t> Huggins-ove i Kraemer-ove jednačine na rastvor polimera OCP u baznom ulju SN 150</a:t>
            </a:r>
            <a:endParaRPr lang="en-US" sz="1200">
              <a:latin typeface="Times New Roman" pitchFamily="18" charset="0"/>
              <a:cs typeface="Times New Roman" pitchFamily="18" charset="0"/>
            </a:endParaRPr>
          </a:p>
        </c:rich>
      </c:tx>
      <c:layout>
        <c:manualLayout>
          <c:xMode val="edge"/>
          <c:yMode val="edge"/>
          <c:x val="0.11802814719822796"/>
          <c:y val="0"/>
        </c:manualLayout>
      </c:layout>
      <c:overlay val="1"/>
    </c:title>
    <c:autoTitleDeleted val="0"/>
    <c:plotArea>
      <c:layout>
        <c:manualLayout>
          <c:layoutTarget val="inner"/>
          <c:xMode val="edge"/>
          <c:yMode val="edge"/>
          <c:x val="0.16016431813758752"/>
          <c:y val="0.16011421166496448"/>
          <c:w val="0.63909400038926711"/>
          <c:h val="0.65892145571356209"/>
        </c:manualLayout>
      </c:layout>
      <c:lineChart>
        <c:grouping val="standard"/>
        <c:varyColors val="0"/>
        <c:ser>
          <c:idx val="0"/>
          <c:order val="0"/>
          <c:tx>
            <c:strRef>
              <c:f>Sheet1!$D$103</c:f>
              <c:strCache>
                <c:ptCount val="1"/>
                <c:pt idx="0">
                  <c:v>Huggins-ova jednačina</c:v>
                </c:pt>
              </c:strCache>
            </c:strRef>
          </c:tx>
          <c:spPr>
            <a:ln>
              <a:noFill/>
            </a:ln>
          </c:spPr>
          <c:marker>
            <c:spPr>
              <a:solidFill>
                <a:srgbClr val="FF0000"/>
              </a:solidFill>
              <a:ln>
                <a:solidFill>
                  <a:srgbClr val="FF0000"/>
                </a:solidFill>
              </a:ln>
            </c:spPr>
          </c:marker>
          <c:trendline>
            <c:trendlineType val="linear"/>
            <c:dispRSqr val="0"/>
            <c:dispEq val="0"/>
          </c:trendline>
          <c:trendline>
            <c:spPr>
              <a:ln w="31750">
                <a:solidFill>
                  <a:srgbClr val="FF0000"/>
                </a:solidFill>
              </a:ln>
            </c:spPr>
            <c:trendlineType val="linear"/>
            <c:dispRSqr val="0"/>
            <c:dispEq val="0"/>
          </c:trendline>
          <c:trendline>
            <c:spPr>
              <a:ln>
                <a:solidFill>
                  <a:srgbClr val="FF0000"/>
                </a:solidFill>
              </a:ln>
            </c:spPr>
            <c:trendlineType val="linear"/>
            <c:dispRSqr val="0"/>
            <c:dispEq val="0"/>
          </c:trendline>
          <c:trendline>
            <c:spPr>
              <a:ln>
                <a:solidFill>
                  <a:srgbClr val="FF0000"/>
                </a:solidFill>
              </a:ln>
            </c:spPr>
            <c:trendlineType val="linear"/>
            <c:dispRSqr val="0"/>
            <c:dispEq val="0"/>
          </c:trendline>
          <c:trendline>
            <c:trendlineType val="linear"/>
            <c:dispRSqr val="0"/>
            <c:dispEq val="1"/>
            <c:trendlineLbl>
              <c:layout>
                <c:manualLayout>
                  <c:x val="-3.2355544646123252E-2"/>
                  <c:y val="-5.9678928193677289E-2"/>
                </c:manualLayout>
              </c:layout>
              <c:tx>
                <c:rich>
                  <a:bodyPr/>
                  <a:lstStyle/>
                  <a:p>
                    <a:pPr>
                      <a:defRPr/>
                    </a:pPr>
                    <a:r>
                      <a:rPr lang="en-US" b="1" baseline="0"/>
                      <a:t>y = 0,038x + 1,114</a:t>
                    </a:r>
                    <a:endParaRPr lang="en-US" b="1"/>
                  </a:p>
                </c:rich>
              </c:tx>
              <c:numFmt formatCode="General" sourceLinked="0"/>
            </c:trendlineLbl>
          </c:trendline>
          <c:cat>
            <c:numRef>
              <c:f>Sheet1!$C$104:$C$109</c:f>
              <c:numCache>
                <c:formatCode>General</c:formatCode>
                <c:ptCount val="6"/>
                <c:pt idx="0">
                  <c:v>0</c:v>
                </c:pt>
                <c:pt idx="1">
                  <c:v>0.30000000000000032</c:v>
                </c:pt>
                <c:pt idx="2">
                  <c:v>0.5</c:v>
                </c:pt>
                <c:pt idx="3">
                  <c:v>0.8</c:v>
                </c:pt>
                <c:pt idx="4">
                  <c:v>1</c:v>
                </c:pt>
                <c:pt idx="5">
                  <c:v>1.2</c:v>
                </c:pt>
              </c:numCache>
            </c:numRef>
          </c:cat>
          <c:val>
            <c:numRef>
              <c:f>Sheet1!$D$104:$D$109</c:f>
              <c:numCache>
                <c:formatCode>General</c:formatCode>
                <c:ptCount val="6"/>
                <c:pt idx="0">
                  <c:v>1.1140000000000001</c:v>
                </c:pt>
                <c:pt idx="1">
                  <c:v>1.3</c:v>
                </c:pt>
                <c:pt idx="2">
                  <c:v>1.02</c:v>
                </c:pt>
                <c:pt idx="3">
                  <c:v>1.1499999999999957</c:v>
                </c:pt>
                <c:pt idx="4">
                  <c:v>1.34</c:v>
                </c:pt>
                <c:pt idx="5">
                  <c:v>1.33</c:v>
                </c:pt>
              </c:numCache>
            </c:numRef>
          </c:val>
          <c:smooth val="0"/>
        </c:ser>
        <c:ser>
          <c:idx val="1"/>
          <c:order val="1"/>
          <c:tx>
            <c:strRef>
              <c:f>Sheet1!$E$103</c:f>
              <c:strCache>
                <c:ptCount val="1"/>
                <c:pt idx="0">
                  <c:v>Kraemer-ova jednačina</c:v>
                </c:pt>
              </c:strCache>
            </c:strRef>
          </c:tx>
          <c:spPr>
            <a:ln>
              <a:noFill/>
            </a:ln>
          </c:spPr>
          <c:marker>
            <c:spPr>
              <a:solidFill>
                <a:srgbClr val="00B050"/>
              </a:solidFill>
              <a:ln w="3175"/>
            </c:spPr>
          </c:marker>
          <c:trendline>
            <c:trendlineType val="linear"/>
            <c:dispRSqr val="0"/>
            <c:dispEq val="0"/>
          </c:trendline>
          <c:trendline>
            <c:spPr>
              <a:ln w="31750">
                <a:solidFill>
                  <a:srgbClr val="C00000"/>
                </a:solidFill>
              </a:ln>
            </c:spPr>
            <c:trendlineType val="linear"/>
            <c:dispRSqr val="0"/>
            <c:dispEq val="0"/>
          </c:trendline>
          <c:trendline>
            <c:spPr>
              <a:ln w="31750">
                <a:solidFill>
                  <a:srgbClr val="00B050"/>
                </a:solidFill>
              </a:ln>
            </c:spPr>
            <c:trendlineType val="linear"/>
            <c:dispRSqr val="0"/>
            <c:dispEq val="0"/>
          </c:trendline>
          <c:trendline>
            <c:spPr>
              <a:ln w="31750">
                <a:solidFill>
                  <a:srgbClr val="00B050"/>
                </a:solidFill>
              </a:ln>
            </c:spPr>
            <c:trendlineType val="linear"/>
            <c:dispRSqr val="0"/>
            <c:dispEq val="1"/>
            <c:trendlineLbl>
              <c:layout>
                <c:manualLayout>
                  <c:x val="7.6913963085659892E-3"/>
                  <c:y val="-0.1223614212402558"/>
                </c:manualLayout>
              </c:layout>
              <c:tx>
                <c:rich>
                  <a:bodyPr/>
                  <a:lstStyle/>
                  <a:p>
                    <a:pPr>
                      <a:defRPr/>
                    </a:pPr>
                    <a:r>
                      <a:rPr lang="en-US" b="1" baseline="0"/>
                      <a:t>y = -0,057x + 1,049</a:t>
                    </a:r>
                    <a:endParaRPr lang="en-US" b="1"/>
                  </a:p>
                </c:rich>
              </c:tx>
              <c:numFmt formatCode="General" sourceLinked="0"/>
            </c:trendlineLbl>
          </c:trendline>
          <c:cat>
            <c:numRef>
              <c:f>Sheet1!$C$104:$C$109</c:f>
              <c:numCache>
                <c:formatCode>General</c:formatCode>
                <c:ptCount val="6"/>
                <c:pt idx="0">
                  <c:v>0</c:v>
                </c:pt>
                <c:pt idx="1">
                  <c:v>0.30000000000000032</c:v>
                </c:pt>
                <c:pt idx="2">
                  <c:v>0.5</c:v>
                </c:pt>
                <c:pt idx="3">
                  <c:v>0.8</c:v>
                </c:pt>
                <c:pt idx="4">
                  <c:v>1</c:v>
                </c:pt>
                <c:pt idx="5">
                  <c:v>1.2</c:v>
                </c:pt>
              </c:numCache>
            </c:numRef>
          </c:cat>
          <c:val>
            <c:numRef>
              <c:f>Sheet1!$E$104:$E$109</c:f>
              <c:numCache>
                <c:formatCode>General</c:formatCode>
                <c:ptCount val="6"/>
                <c:pt idx="0">
                  <c:v>1.0489999999999962</c:v>
                </c:pt>
                <c:pt idx="1">
                  <c:v>1.1000000000000001</c:v>
                </c:pt>
                <c:pt idx="2">
                  <c:v>0.82000000000000062</c:v>
                </c:pt>
                <c:pt idx="3">
                  <c:v>0.82000000000000062</c:v>
                </c:pt>
                <c:pt idx="4">
                  <c:v>0.85000000000000064</c:v>
                </c:pt>
                <c:pt idx="5">
                  <c:v>0.8</c:v>
                </c:pt>
              </c:numCache>
            </c:numRef>
          </c:val>
          <c:smooth val="0"/>
        </c:ser>
        <c:dLbls>
          <c:showLegendKey val="0"/>
          <c:showVal val="0"/>
          <c:showCatName val="0"/>
          <c:showSerName val="0"/>
          <c:showPercent val="0"/>
          <c:showBubbleSize val="0"/>
        </c:dLbls>
        <c:marker val="1"/>
        <c:smooth val="0"/>
        <c:axId val="115914696"/>
        <c:axId val="115915088"/>
      </c:lineChart>
      <c:catAx>
        <c:axId val="115914696"/>
        <c:scaling>
          <c:orientation val="minMax"/>
        </c:scaling>
        <c:delete val="0"/>
        <c:axPos val="b"/>
        <c:minorGridlines>
          <c:spPr>
            <a:ln>
              <a:solidFill>
                <a:schemeClr val="tx1">
                  <a:lumMod val="65000"/>
                  <a:lumOff val="35000"/>
                </a:schemeClr>
              </a:solidFill>
            </a:ln>
          </c:spPr>
        </c:minorGridlines>
        <c:title>
          <c:tx>
            <c:rich>
              <a:bodyPr/>
              <a:lstStyle/>
              <a:p>
                <a:pPr>
                  <a:defRPr>
                    <a:latin typeface="Times New Roman" pitchFamily="18" charset="0"/>
                    <a:cs typeface="Times New Roman" pitchFamily="18" charset="0"/>
                  </a:defRPr>
                </a:pPr>
                <a:r>
                  <a:rPr lang="sr-Latn-RS">
                    <a:latin typeface="Times New Roman" pitchFamily="18" charset="0"/>
                    <a:cs typeface="Times New Roman" pitchFamily="18" charset="0"/>
                  </a:rPr>
                  <a:t>koncentracija</a:t>
                </a:r>
                <a:r>
                  <a:rPr lang="sr-Latn-RS" baseline="0">
                    <a:latin typeface="Times New Roman" pitchFamily="18" charset="0"/>
                    <a:cs typeface="Times New Roman" pitchFamily="18" charset="0"/>
                  </a:rPr>
                  <a:t> polimera [g/100g]</a:t>
                </a:r>
                <a:endParaRPr lang="en-US">
                  <a:latin typeface="Times New Roman" pitchFamily="18" charset="0"/>
                  <a:cs typeface="Times New Roman" pitchFamily="18" charset="0"/>
                </a:endParaRPr>
              </a:p>
            </c:rich>
          </c:tx>
          <c:layout/>
          <c:overlay val="0"/>
        </c:title>
        <c:numFmt formatCode="General" sourceLinked="1"/>
        <c:majorTickMark val="out"/>
        <c:minorTickMark val="none"/>
        <c:tickLblPos val="nextTo"/>
        <c:crossAx val="115915088"/>
        <c:crosses val="autoZero"/>
        <c:auto val="1"/>
        <c:lblAlgn val="ctr"/>
        <c:lblOffset val="100"/>
        <c:noMultiLvlLbl val="0"/>
      </c:catAx>
      <c:valAx>
        <c:axId val="115915088"/>
        <c:scaling>
          <c:orientation val="minMax"/>
          <c:min val="0.60000000000000064"/>
        </c:scaling>
        <c:delete val="0"/>
        <c:axPos val="l"/>
        <c:minorGridlines>
          <c:spPr>
            <a:ln>
              <a:solidFill>
                <a:schemeClr val="bg1">
                  <a:lumMod val="75000"/>
                </a:schemeClr>
              </a:solidFill>
            </a:ln>
          </c:spPr>
        </c:minorGridlines>
        <c:title>
          <c:tx>
            <c:rich>
              <a:bodyPr rot="-5400000" vert="horz"/>
              <a:lstStyle/>
              <a:p>
                <a:pPr>
                  <a:defRPr>
                    <a:latin typeface="Times New Roman" pitchFamily="18" charset="0"/>
                    <a:cs typeface="Times New Roman" pitchFamily="18" charset="0"/>
                  </a:defRPr>
                </a:pPr>
                <a:r>
                  <a:rPr lang="sr-Latn-RS">
                    <a:latin typeface="Times New Roman" pitchFamily="18" charset="0"/>
                    <a:cs typeface="Times New Roman" pitchFamily="18" charset="0"/>
                  </a:rPr>
                  <a:t>redukovana</a:t>
                </a:r>
                <a:r>
                  <a:rPr lang="sr-Latn-RS" baseline="0">
                    <a:latin typeface="Times New Roman" pitchFamily="18" charset="0"/>
                    <a:cs typeface="Times New Roman" pitchFamily="18" charset="0"/>
                  </a:rPr>
                  <a:t> viskoznost na 40</a:t>
                </a:r>
                <a:r>
                  <a:rPr lang="en-US" baseline="0">
                    <a:latin typeface="Times New Roman" pitchFamily="18" charset="0"/>
                    <a:cs typeface="Times New Roman" pitchFamily="18" charset="0"/>
                  </a:rPr>
                  <a:t>ᵒ</a:t>
                </a:r>
                <a:r>
                  <a:rPr lang="sr-Latn-RS" baseline="0">
                    <a:latin typeface="Times New Roman" pitchFamily="18" charset="0"/>
                    <a:cs typeface="Times New Roman" pitchFamily="18" charset="0"/>
                  </a:rPr>
                  <a:t>C [100g/g], </a:t>
                </a:r>
              </a:p>
              <a:p>
                <a:pPr>
                  <a:defRPr>
                    <a:latin typeface="Times New Roman" pitchFamily="18" charset="0"/>
                    <a:cs typeface="Times New Roman" pitchFamily="18" charset="0"/>
                  </a:defRPr>
                </a:pPr>
                <a:r>
                  <a:rPr lang="sr-Latn-RS" baseline="0">
                    <a:latin typeface="Times New Roman" pitchFamily="18" charset="0"/>
                    <a:cs typeface="Times New Roman" pitchFamily="18" charset="0"/>
                  </a:rPr>
                  <a:t>ln </a:t>
                </a:r>
                <a:r>
                  <a:rPr lang="el-GR" baseline="0">
                    <a:latin typeface="Times New Roman" pitchFamily="18" charset="0"/>
                    <a:cs typeface="Times New Roman" pitchFamily="18" charset="0"/>
                  </a:rPr>
                  <a:t>η</a:t>
                </a:r>
                <a:r>
                  <a:rPr lang="sr-Latn-RS" baseline="0">
                    <a:latin typeface="Times New Roman" pitchFamily="18" charset="0"/>
                    <a:cs typeface="Times New Roman" pitchFamily="18" charset="0"/>
                  </a:rPr>
                  <a:t>rel/c</a:t>
                </a:r>
                <a:endParaRPr lang="en-US">
                  <a:latin typeface="Times New Roman" pitchFamily="18" charset="0"/>
                  <a:cs typeface="Times New Roman" pitchFamily="18" charset="0"/>
                </a:endParaRPr>
              </a:p>
            </c:rich>
          </c:tx>
          <c:layout/>
          <c:overlay val="0"/>
        </c:title>
        <c:numFmt formatCode="General" sourceLinked="1"/>
        <c:majorTickMark val="out"/>
        <c:minorTickMark val="none"/>
        <c:tickLblPos val="nextTo"/>
        <c:crossAx val="115914696"/>
        <c:crosses val="autoZero"/>
        <c:crossBetween val="midCat"/>
      </c:valAx>
      <c:spPr>
        <a:solidFill>
          <a:schemeClr val="bg1"/>
        </a:solidFill>
      </c:spPr>
    </c:plotArea>
    <c:legend>
      <c:legendPos val="r"/>
      <c:legendEntry>
        <c:idx val="2"/>
        <c:delete val="1"/>
      </c:legendEntry>
      <c:legendEntry>
        <c:idx val="3"/>
        <c:delete val="1"/>
      </c:legendEntry>
      <c:legendEntry>
        <c:idx val="4"/>
        <c:delete val="1"/>
      </c:legendEntry>
      <c:legendEntry>
        <c:idx val="5"/>
        <c:delete val="1"/>
      </c:legendEntry>
      <c:legendEntry>
        <c:idx val="6"/>
        <c:delete val="1"/>
      </c:legendEntry>
      <c:legendEntry>
        <c:idx val="7"/>
        <c:delete val="1"/>
      </c:legendEntry>
      <c:legendEntry>
        <c:idx val="8"/>
        <c:delete val="1"/>
      </c:legendEntry>
      <c:legendEntry>
        <c:idx val="9"/>
        <c:delete val="1"/>
      </c:legendEntry>
      <c:legendEntry>
        <c:idx val="10"/>
        <c:delete val="1"/>
      </c:legendEntry>
      <c:layout>
        <c:manualLayout>
          <c:xMode val="edge"/>
          <c:yMode val="edge"/>
          <c:x val="0.79265702007689964"/>
          <c:y val="0.32770972666073639"/>
          <c:w val="0.20427115369650775"/>
          <c:h val="0.22354557919066093"/>
        </c:manualLayout>
      </c:layout>
      <c:overlay val="0"/>
      <c:txPr>
        <a:bodyPr/>
        <a:lstStyle/>
        <a:p>
          <a:pPr>
            <a:defRPr>
              <a:latin typeface="Times New Roman" pitchFamily="18" charset="0"/>
              <a:cs typeface="Times New Roman" pitchFamily="18" charset="0"/>
            </a:defRPr>
          </a:pPr>
          <a:endParaRPr lang="en-US"/>
        </a:p>
      </c:txPr>
    </c:legend>
    <c:plotVisOnly val="1"/>
    <c:dispBlanksAs val="gap"/>
    <c:showDLblsOverMax val="0"/>
  </c:chart>
  <c:spPr>
    <a:solidFill>
      <a:schemeClr val="accent5">
        <a:lumMod val="60000"/>
        <a:lumOff val="40000"/>
      </a:schemeClr>
    </a:solidFill>
    <a:ln>
      <a:solidFill>
        <a:schemeClr val="accent5">
          <a:lumMod val="75000"/>
        </a:schemeClr>
      </a:solid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56CC93-3A79-44DE-A144-1E9A7D365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Paper_Template</Template>
  <TotalTime>28</TotalTime>
  <Pages>10</Pages>
  <Words>3536</Words>
  <Characters>22956</Characters>
  <Application>Microsoft Office Word</Application>
  <DocSecurity>0</DocSecurity>
  <Lines>191</Lines>
  <Paragraphs>52</Paragraphs>
  <ScaleCrop>false</ScaleCrop>
  <HeadingPairs>
    <vt:vector size="2" baseType="variant">
      <vt:variant>
        <vt:lpstr>Title</vt:lpstr>
      </vt:variant>
      <vt:variant>
        <vt:i4>1</vt:i4>
      </vt:variant>
    </vt:vector>
  </HeadingPairs>
  <TitlesOfParts>
    <vt:vector size="1" baseType="lpstr">
      <vt:lpstr>Title</vt:lpstr>
    </vt:vector>
  </TitlesOfParts>
  <Company>Electrochemical Society</Company>
  <LinksUpToDate>false</LinksUpToDate>
  <CharactersWithSpaces>26440</CharactersWithSpaces>
  <SharedDoc>false</SharedDoc>
  <HLinks>
    <vt:vector size="6" baseType="variant">
      <vt:variant>
        <vt:i4>4849673</vt:i4>
      </vt:variant>
      <vt:variant>
        <vt:i4>0</vt:i4>
      </vt:variant>
      <vt:variant>
        <vt:i4>0</vt:i4>
      </vt:variant>
      <vt:variant>
        <vt:i4>5</vt:i4>
      </vt:variant>
      <vt:variant>
        <vt:lpwstr>http://savjetovanjetfbl.org/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User</dc:creator>
  <cp:lastModifiedBy>Tanja</cp:lastModifiedBy>
  <cp:revision>3</cp:revision>
  <cp:lastPrinted>2016-03-25T08:22:00Z</cp:lastPrinted>
  <dcterms:created xsi:type="dcterms:W3CDTF">2016-09-14T11:22:00Z</dcterms:created>
  <dcterms:modified xsi:type="dcterms:W3CDTF">2016-09-23T08:08:00Z</dcterms:modified>
</cp:coreProperties>
</file>