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585" w:rsidRPr="00B74A23" w:rsidRDefault="00E11D9D" w:rsidP="00A12585">
      <w:pPr>
        <w:jc w:val="center"/>
        <w:rPr>
          <w:b/>
        </w:rPr>
      </w:pPr>
      <w:r w:rsidRPr="00E11D9D">
        <w:rPr>
          <w:b/>
          <w:sz w:val="28"/>
          <w:szCs w:val="28"/>
          <w:lang w:val="bs-Latn-BA"/>
        </w:rPr>
        <w:t>ZADOVOLJENJE RDA VRIJEDNOSTI ZA MINERALNE MATERIJE PRI KONZUMIRANJU SVJEŽIH BOROVNICA (</w:t>
      </w:r>
      <w:r w:rsidRPr="00E11D9D">
        <w:rPr>
          <w:b/>
          <w:i/>
          <w:sz w:val="28"/>
          <w:szCs w:val="28"/>
          <w:lang w:val="bs-Latn-BA"/>
        </w:rPr>
        <w:t>Vaccinium myritillus L.</w:t>
      </w:r>
      <w:r w:rsidRPr="00E11D9D">
        <w:rPr>
          <w:b/>
          <w:sz w:val="28"/>
          <w:szCs w:val="28"/>
          <w:lang w:val="bs-Latn-BA"/>
        </w:rPr>
        <w:t>)</w:t>
      </w:r>
    </w:p>
    <w:p w:rsidR="00A12585" w:rsidRDefault="00A12585" w:rsidP="00716081">
      <w:pPr>
        <w:rPr>
          <w:sz w:val="22"/>
          <w:szCs w:val="22"/>
          <w:lang w:val="pt-BR"/>
        </w:rPr>
      </w:pPr>
    </w:p>
    <w:p w:rsidR="00716081" w:rsidRPr="00716081" w:rsidRDefault="00716081" w:rsidP="00716081">
      <w:pPr>
        <w:rPr>
          <w:sz w:val="22"/>
          <w:szCs w:val="22"/>
          <w:lang w:val="pt-BR"/>
        </w:rPr>
      </w:pPr>
    </w:p>
    <w:p w:rsidR="00A12585" w:rsidRPr="00716081" w:rsidRDefault="00A12585" w:rsidP="00A12585">
      <w:pPr>
        <w:jc w:val="center"/>
        <w:rPr>
          <w:lang w:val="pt-BR"/>
        </w:rPr>
      </w:pPr>
    </w:p>
    <w:p w:rsidR="008A571F" w:rsidRPr="008A571F" w:rsidRDefault="008A571F" w:rsidP="008A571F">
      <w:pPr>
        <w:jc w:val="both"/>
        <w:rPr>
          <w:snapToGrid/>
          <w:sz w:val="24"/>
          <w:szCs w:val="24"/>
        </w:rPr>
      </w:pPr>
      <w:r w:rsidRPr="008A571F">
        <w:rPr>
          <w:snapToGrid/>
          <w:sz w:val="24"/>
          <w:szCs w:val="24"/>
        </w:rPr>
        <w:t>Voće u svježem stanju je dobar izvor u ishrani za vitamine, mineralne materije, glukozu, fruktozu i organske kiseline. U ovom radu dat je hemijski sastav svježe borovnice (</w:t>
      </w:r>
      <w:r w:rsidRPr="008A571F">
        <w:rPr>
          <w:i/>
          <w:snapToGrid/>
          <w:sz w:val="24"/>
          <w:szCs w:val="24"/>
        </w:rPr>
        <w:t>Vaccinium myritillus L.</w:t>
      </w:r>
      <w:r w:rsidRPr="008A571F">
        <w:rPr>
          <w:snapToGrid/>
          <w:sz w:val="24"/>
          <w:szCs w:val="24"/>
        </w:rPr>
        <w:t>)  sa posebnim naglaskom na sadržaj mineralnih materija tj. različitih elemenata i njihov unos u organizam putem konzumiranja svježe borovnice. Takođe utvrđeno je da je sadržaj toksičnih elemenata (olova i kadmijuma) u svježoj borovnici ispod zakonom dozvoljene granice za jagodasto i bobičasto voće. Sadržaj pojedinih komponenti hemijskog sastava u svježoj borovnici određen je standardnim AOAC metodama. Sadržaj pojedinih elemenata određen je nakon vlažnog spaljivanja plamenom tehnikom atomske apsorpcione spektrometrije.  Na osnovu sadržaja pojedinih elemenata izvršen je proračun zadovoljenja RDA vrijednosti za mineralne materije pri konzumiranju 150 g svježih borovnica. Proračun je izvršen prema RDA tablicama za mineralne materije u Bosni i Hercegovin i prema RDA tablicama za mineralne materije i rezličite kategorije stanovništva u SAD. Svježa borovnica je prema RDA tablicama za mineralne materije u Bosni i Hercegovini značajan izvor mangana (143,5%), bakara (35%) i hroma (22%) u ishrani.</w:t>
      </w:r>
    </w:p>
    <w:p w:rsidR="00C2020E" w:rsidRPr="007F150F" w:rsidRDefault="00C2020E" w:rsidP="00A12585">
      <w:pPr>
        <w:jc w:val="both"/>
        <w:rPr>
          <w:sz w:val="24"/>
          <w:szCs w:val="24"/>
        </w:rPr>
      </w:pPr>
    </w:p>
    <w:p w:rsidR="00A12585" w:rsidRPr="00ED09E2" w:rsidRDefault="008A571F" w:rsidP="008A571F">
      <w:pPr>
        <w:rPr>
          <w:b/>
          <w:sz w:val="22"/>
          <w:szCs w:val="22"/>
        </w:rPr>
      </w:pPr>
      <w:r w:rsidRPr="008A571F">
        <w:rPr>
          <w:sz w:val="24"/>
          <w:szCs w:val="24"/>
        </w:rPr>
        <w:t>Ključne riječi: borovnica, mineralne materije, RDA vrijednosti</w:t>
      </w:r>
    </w:p>
    <w:p w:rsidR="00A12585" w:rsidRDefault="00A12585">
      <w:pPr>
        <w:jc w:val="center"/>
        <w:rPr>
          <w:b/>
          <w:sz w:val="22"/>
          <w:szCs w:val="22"/>
        </w:rPr>
      </w:pPr>
    </w:p>
    <w:p w:rsidR="00D26BBC" w:rsidRPr="00D26BBC" w:rsidRDefault="00D26BBC" w:rsidP="00D26BBC">
      <w:pPr>
        <w:jc w:val="center"/>
        <w:rPr>
          <w:b/>
          <w:sz w:val="24"/>
          <w:szCs w:val="24"/>
          <w:lang w:val="sr-Cyrl-CS"/>
        </w:rPr>
      </w:pPr>
      <w:r w:rsidRPr="00D26BBC">
        <w:rPr>
          <w:b/>
          <w:sz w:val="24"/>
          <w:szCs w:val="24"/>
          <w:lang w:val="sr-Cyrl-CS"/>
        </w:rPr>
        <w:t>UVOD</w:t>
      </w:r>
    </w:p>
    <w:p w:rsidR="00D26BBC" w:rsidRPr="00D26BBC" w:rsidRDefault="00D26BBC" w:rsidP="00D26BBC">
      <w:pPr>
        <w:jc w:val="center"/>
        <w:rPr>
          <w:b/>
          <w:sz w:val="24"/>
          <w:szCs w:val="24"/>
          <w:lang w:val="sr-Cyrl-CS"/>
        </w:rPr>
      </w:pPr>
    </w:p>
    <w:p w:rsidR="00E46642" w:rsidRDefault="007E4772" w:rsidP="007E4772">
      <w:pPr>
        <w:jc w:val="both"/>
        <w:rPr>
          <w:sz w:val="24"/>
          <w:szCs w:val="24"/>
        </w:rPr>
      </w:pPr>
      <w:r w:rsidRPr="007E4772">
        <w:rPr>
          <w:sz w:val="24"/>
          <w:szCs w:val="24"/>
        </w:rPr>
        <w:t xml:space="preserve">Veliki problem savremenog društva je nepravilna ishrana. Posljedica te nepravilne ishrane je nedostatak mineralnih materija u svakodnevnoj ishrani. Ovaj nedostatak mineralnih materija u ishrani može da dovede do raznih oboljenja. Voće, kao namirnica, može da predstavlja značajan izvor mineralnih materija u ishrani. Mineralne materije imaju različite uloge u normalnom funkcionisanju ljudskog organizma. Značajan dio mase čovjeka, oko 4%, otpada na mineralne materije [1]. Nedostatak mineralnih materija prouzrokuje niz poremećaja u metabolizmu, a takođe i prekomjerni unos može nepovoljno da utiče na normalno funkcionisanje organizma. Optimalna količina pojedinih minerala koja je potrebna da se unese u organizam putem ishrane data je u tzv. RDA </w:t>
      </w:r>
      <w:r w:rsidRPr="007E4772">
        <w:rPr>
          <w:sz w:val="24"/>
          <w:szCs w:val="24"/>
          <w:lang w:val="bs-Latn-BA"/>
        </w:rPr>
        <w:t>(Recommended Dietary Allowances) tablicama. To su preporučene dnevne potrebe za određene elemente čijim se unošenjem u organizam zadovoljava 97-98% potreba skoro svih zdravih pojedinaca određene starosne grupe i pola. Ovaj podatak je namijenjen opštoj zdravoj populaciji i ne uzima u obzir pojedince sa specifičnim nutritivnim potrebama [2]. Vrijednosti za pojedine elemente u ovim tablicama zavise od podneblja i navika u ishrani stanovništva, a takođe i od pola i uzrasta. Mnoge zemlje u svijetu, pa tako i Bosna i Hercegovina imaju svoje tablice [3].</w:t>
      </w:r>
      <w:r w:rsidR="00E46642">
        <w:rPr>
          <w:sz w:val="24"/>
          <w:szCs w:val="24"/>
        </w:rPr>
        <w:t xml:space="preserve"> </w:t>
      </w:r>
    </w:p>
    <w:p w:rsidR="00E46642" w:rsidRDefault="00E46642" w:rsidP="007E4772">
      <w:pPr>
        <w:jc w:val="both"/>
        <w:rPr>
          <w:sz w:val="24"/>
          <w:szCs w:val="24"/>
        </w:rPr>
      </w:pPr>
    </w:p>
    <w:p w:rsidR="00E46642" w:rsidRDefault="007E4772" w:rsidP="007E4772">
      <w:pPr>
        <w:jc w:val="both"/>
        <w:rPr>
          <w:sz w:val="24"/>
          <w:szCs w:val="24"/>
        </w:rPr>
      </w:pPr>
      <w:r w:rsidRPr="007E4772">
        <w:rPr>
          <w:sz w:val="24"/>
          <w:szCs w:val="24"/>
        </w:rPr>
        <w:t>Kalcijum je naj</w:t>
      </w:r>
      <w:r w:rsidRPr="007E4772">
        <w:rPr>
          <w:sz w:val="24"/>
          <w:szCs w:val="24"/>
          <w:lang w:val="bs-Latn-BA"/>
        </w:rPr>
        <w:t xml:space="preserve">zastupljeniji metal u ljudskom organizmu, na njega otpada 2-4% mase tijela[4]. Oko 95% od ukupne količine kalcijuma smješteno je u kostima i zubima, a ostatak se nalazi u tjelesnim tečnostima i u međućelijskom prostoru u jonskom obliku [5]. od ukupne količine kalcijuma koja se unese u organizam resorbuje se oko 30%. Uloga kalcijuma u ljudskom organizmu je višestruka. On učestvuje u formiranju kostiju i zuba, koagulaciji krvi, kontrakciji i relaksaciji mišića, regulisanju osmotskog pritiska, funkcionisanju nervnih ćelija i aktivaciji nekih fermenata [5]. Niži dnevni unos kalcijuma od potrebnog ima za posljedicu smanjenje njegovog sadržaja u krvnoj plazmi, grčenje mišića, rahitis kod djece i osteoporozu kod odraslih. Previsok unos kalcijuma može da smanji resorpciju drugih metala, a takođe i da dovede do oštećenja bubrega i hiperkalcemije [4]. Prema RDA tablicama u Bosni i </w:t>
      </w:r>
      <w:r w:rsidRPr="007E4772">
        <w:rPr>
          <w:sz w:val="24"/>
          <w:szCs w:val="24"/>
          <w:lang w:val="bs-Latn-BA"/>
        </w:rPr>
        <w:lastRenderedPageBreak/>
        <w:t xml:space="preserve">Hercegovini preporučeni dnevni unos za sve kategorije stanovništva je 800 mg [6]. </w:t>
      </w:r>
      <w:r w:rsidRPr="007E4772">
        <w:rPr>
          <w:sz w:val="24"/>
          <w:szCs w:val="24"/>
        </w:rPr>
        <w:t>Preporučeni dnevni unos kalcijuma prema RDA tablicama u SAD-u je 1000 mg za odrasle muškarce, 1000 mg za djecu i 1200 mg za odrasle žene [7].</w:t>
      </w:r>
      <w:r w:rsidR="00E46642">
        <w:rPr>
          <w:sz w:val="24"/>
          <w:szCs w:val="24"/>
        </w:rPr>
        <w:t xml:space="preserve"> </w:t>
      </w:r>
    </w:p>
    <w:p w:rsidR="00E46642" w:rsidRDefault="00E46642" w:rsidP="007E4772">
      <w:pPr>
        <w:jc w:val="both"/>
        <w:rPr>
          <w:sz w:val="24"/>
          <w:szCs w:val="24"/>
        </w:rPr>
      </w:pPr>
    </w:p>
    <w:p w:rsidR="00E46642" w:rsidRDefault="007E4772" w:rsidP="007E4772">
      <w:pPr>
        <w:jc w:val="both"/>
        <w:rPr>
          <w:sz w:val="24"/>
          <w:szCs w:val="24"/>
          <w:lang w:val="bs-Latn-BA"/>
        </w:rPr>
      </w:pPr>
      <w:r w:rsidRPr="007E4772">
        <w:rPr>
          <w:sz w:val="24"/>
          <w:szCs w:val="24"/>
          <w:lang w:val="bs-Latn-BA"/>
        </w:rPr>
        <w:t xml:space="preserve">Natrijum je uglavnom smješten u međućelijskoj tečnosti. Na natrijum otpada oko 0,15% tjelesne mase. Uloga natrijuma u organizmu je da reguliše kiselobaznu ravnotežu i osmotski pritisak, pomaže kod prensa nervnog impulsa i kontrakcije mišića. U organiza natrijum uglavnom dospijeva putem kuhinjske soli. Nedostatak natrijuma u organizmu može da prouzrokuje gubitak apetita, opštu slabost organizma, grčenje mišića i sniženje krvnog pritiska. Dugotrajno prekomjerno unošenje natrijuma u organizam dovodi do povećanja krvnog pritiska. RDA tablice u Bosni i hercegovini nemaju preporučeni dnevni unos za natrijum. </w:t>
      </w:r>
      <w:r w:rsidRPr="007E4772">
        <w:rPr>
          <w:sz w:val="24"/>
          <w:szCs w:val="24"/>
        </w:rPr>
        <w:t>Prema RDA tablicama u SAD-u preporučeni dnevni unos natrijuma za odrasle osobe je 1500 mg i za djecu od 7 do 10 godina 1200 mg [8].</w:t>
      </w:r>
      <w:r w:rsidR="00E46642">
        <w:rPr>
          <w:sz w:val="24"/>
          <w:szCs w:val="24"/>
          <w:lang w:val="bs-Latn-BA"/>
        </w:rPr>
        <w:t xml:space="preserve"> </w:t>
      </w:r>
    </w:p>
    <w:p w:rsidR="00E46642" w:rsidRDefault="00E46642" w:rsidP="007E4772">
      <w:pPr>
        <w:jc w:val="both"/>
        <w:rPr>
          <w:sz w:val="24"/>
          <w:szCs w:val="24"/>
          <w:lang w:val="bs-Latn-BA"/>
        </w:rPr>
      </w:pPr>
    </w:p>
    <w:p w:rsidR="00C91192" w:rsidRDefault="007E4772" w:rsidP="007E4772">
      <w:pPr>
        <w:jc w:val="both"/>
        <w:rPr>
          <w:sz w:val="24"/>
          <w:szCs w:val="24"/>
        </w:rPr>
      </w:pPr>
      <w:r w:rsidRPr="007E4772">
        <w:rPr>
          <w:sz w:val="24"/>
          <w:szCs w:val="24"/>
          <w:lang w:val="bs-Latn-BA"/>
        </w:rPr>
        <w:t xml:space="preserve">Kalijum je element koji se u ljudskom organizmu nalazi uglavnom u ćelijama. Kalijum učestvuje u regulaciji ravnoteže tjelesnih tečnosti, prenosu nervnih impulsa i kontrakciji mišića, utiče na rad srca, a takođe učestvuje i u različitim biohemijskim reakcijama u organizmu </w:t>
      </w:r>
      <w:r w:rsidRPr="007E4772">
        <w:rPr>
          <w:sz w:val="24"/>
          <w:szCs w:val="24"/>
        </w:rPr>
        <w:t>[9].</w:t>
      </w:r>
      <w:r w:rsidRPr="007E4772">
        <w:rPr>
          <w:sz w:val="24"/>
          <w:szCs w:val="24"/>
          <w:lang w:val="bs-Latn-BA"/>
        </w:rPr>
        <w:t xml:space="preserve">Ukoliko se nedovoljno unosi u organizam može doći do srčanih smetnji, mišićne slabosti, mučnine, pospanosti i nervne razdražljivosti </w:t>
      </w:r>
      <w:r w:rsidRPr="007E4772">
        <w:rPr>
          <w:sz w:val="24"/>
          <w:szCs w:val="24"/>
        </w:rPr>
        <w:t>[10].</w:t>
      </w:r>
      <w:r w:rsidR="00E46642">
        <w:rPr>
          <w:sz w:val="24"/>
          <w:szCs w:val="24"/>
          <w:lang w:val="bs-Latn-BA"/>
        </w:rPr>
        <w:t xml:space="preserve"> </w:t>
      </w:r>
      <w:r w:rsidRPr="007E4772">
        <w:rPr>
          <w:sz w:val="24"/>
          <w:szCs w:val="24"/>
          <w:lang w:val="bs-Latn-BA"/>
        </w:rPr>
        <w:t>Prema RDA tablicama u Bosni i Hercegovini za sve kategorije stanovništva prepručeni dnevni unos za kalijum je 2000 mg [6], a prema</w:t>
      </w:r>
      <w:r w:rsidRPr="007E4772">
        <w:rPr>
          <w:sz w:val="24"/>
          <w:szCs w:val="24"/>
        </w:rPr>
        <w:t xml:space="preserve"> RDA tablicama u SAD-u za odrasle osobe je 4700 mg i za djecu 3800 mg  [8].</w:t>
      </w:r>
      <w:r w:rsidR="00E46642">
        <w:rPr>
          <w:sz w:val="24"/>
          <w:szCs w:val="24"/>
        </w:rPr>
        <w:t xml:space="preserve"> </w:t>
      </w:r>
    </w:p>
    <w:p w:rsidR="00C91192" w:rsidRDefault="00C91192" w:rsidP="007E4772">
      <w:pPr>
        <w:jc w:val="both"/>
        <w:rPr>
          <w:sz w:val="24"/>
          <w:szCs w:val="24"/>
        </w:rPr>
      </w:pPr>
    </w:p>
    <w:p w:rsidR="00C91192" w:rsidRDefault="007E4772" w:rsidP="007E4772">
      <w:pPr>
        <w:jc w:val="both"/>
        <w:rPr>
          <w:sz w:val="24"/>
          <w:szCs w:val="24"/>
        </w:rPr>
      </w:pPr>
      <w:r w:rsidRPr="007E4772">
        <w:rPr>
          <w:sz w:val="24"/>
          <w:szCs w:val="24"/>
        </w:rPr>
        <w:t>Preko 60% svog magnezijuma u ljudskom tijelu ulazi u sastav kostiju, oko 27% se nalazi u mišićima, 6-7% nalazi se u ćelijama, a manje od 1% nalazi se u međućelijskom prostoru [11]. Od ukupne količine magnezijuma koja se unese u organizam putem ishrane resorbuje se oko 40-50%. Resorpciju magnezijuma otežavaju masti i proteini. U ljudskom organizmu magnezijum učestvuje u relaksaciji mišića, regulaciji krvnog pritiska i različitim biohemijskim procesima. Kod zdravih odraslih osoba nedostatak magnezijuma je rijedak. Razlog za to može biti to što zdravi bubrezi ograničavaju izlučivanje magnezijuma iz organizma, kada je njegov sadržaj nizak [11]. Nedostatak magnezijuma u organizmu može da ima za posljedicu opštu slabost organizma, smanjenu pokretljivost i može da prouzrokuje probleme sa gutanjem [12]. Preporučeni dnevni unos za magnezijum prema RDA tablicama u Bosni i Hercegovini za sve kategorije stanovništva je 375 mg [6], a prema RDA tablicama u SAD-u za odrasle muške osobe je 420 mg, odrasle ženske osobe 310 mg i za djecu 240 mg  [7].</w:t>
      </w:r>
      <w:r w:rsidR="00E46642">
        <w:rPr>
          <w:sz w:val="24"/>
          <w:szCs w:val="24"/>
        </w:rPr>
        <w:t xml:space="preserve"> </w:t>
      </w:r>
    </w:p>
    <w:p w:rsidR="00C91192" w:rsidRDefault="00C91192" w:rsidP="007E4772">
      <w:pPr>
        <w:jc w:val="both"/>
        <w:rPr>
          <w:sz w:val="24"/>
          <w:szCs w:val="24"/>
        </w:rPr>
      </w:pPr>
    </w:p>
    <w:p w:rsidR="00C91192" w:rsidRDefault="007E4772" w:rsidP="007E4772">
      <w:pPr>
        <w:jc w:val="both"/>
        <w:rPr>
          <w:sz w:val="24"/>
          <w:szCs w:val="24"/>
        </w:rPr>
      </w:pPr>
      <w:r w:rsidRPr="007E4772">
        <w:rPr>
          <w:sz w:val="24"/>
          <w:szCs w:val="24"/>
        </w:rPr>
        <w:t xml:space="preserve">Ukupna količina gvožđa u organizmu odraslog čovjeka iznosi oko 4 g. Gvožđe ima višestruku ulogu u organizmu. Učestvuje u transportu kiseonika od pluća do tkiva. Većina elementarnog gvožđa u ljudskom organizmu nalazi se u hemoglobulinu. Gvožđe je takođe i sastavni dio brojnih fermenata i citohroma a, b, c. [13]. Zbog nedostatka gvožđa u organizmu dolazi do malokrvnosti, smanjenja otpornosti na infekcije, smanjenja radne sposobnosti i problema u prenosu kiseonika od pluća do ćelija. Povećan unos gvožđa u organizam u dužem vremenskom periodu može prouzrokovati hemisidrozu, cirozu jetre, isuficijenciju pankreasa, dijabetes i kardiovaskularne poremećaje. Dnevne potrebe organizma za gvožđem zavise od uzrasta i pola, a uslovljene su fiziološkim stanjima, kao što su trudnoća i laktacija. </w:t>
      </w:r>
      <w:r w:rsidRPr="007E4772">
        <w:rPr>
          <w:sz w:val="24"/>
          <w:szCs w:val="24"/>
          <w:lang w:val="hr-HR"/>
        </w:rPr>
        <w:t xml:space="preserve"> </w:t>
      </w:r>
      <w:r w:rsidRPr="007E4772">
        <w:rPr>
          <w:sz w:val="24"/>
          <w:szCs w:val="24"/>
        </w:rPr>
        <w:t>Preporučeni dnevni unos gvožđa prema RDA tablicama Bosni i Hercegovini za sve kategorije stanovništva je 14 mg [6]. Prema RDA tablicama za gvožđe u SAD-u, preporučeni dnevni unos za odrasle muškarce je 8 mg, za odrasle žene 18 mg i za djecu 10 mg [14].</w:t>
      </w:r>
      <w:r w:rsidR="00E46642">
        <w:rPr>
          <w:sz w:val="24"/>
          <w:szCs w:val="24"/>
        </w:rPr>
        <w:t xml:space="preserve"> </w:t>
      </w:r>
    </w:p>
    <w:p w:rsidR="00C91192" w:rsidRDefault="00C91192" w:rsidP="007E4772">
      <w:pPr>
        <w:jc w:val="both"/>
        <w:rPr>
          <w:sz w:val="24"/>
          <w:szCs w:val="24"/>
        </w:rPr>
      </w:pPr>
    </w:p>
    <w:p w:rsidR="007E4772" w:rsidRPr="00E46642" w:rsidRDefault="007E4772" w:rsidP="007E4772">
      <w:pPr>
        <w:jc w:val="both"/>
        <w:rPr>
          <w:sz w:val="24"/>
          <w:szCs w:val="24"/>
        </w:rPr>
      </w:pPr>
      <w:r w:rsidRPr="007E4772">
        <w:rPr>
          <w:sz w:val="24"/>
          <w:szCs w:val="24"/>
        </w:rPr>
        <w:lastRenderedPageBreak/>
        <w:t xml:space="preserve">U ljudskom tijelu cink se nalazi u količini od 2-2,5 g i to uglavnom u međućeliskom prostoru. Cink ulazi u sastav više od 300 fermenata koji katalizuju procese nastanka energije, stvaranja imunološkog sistema, sinteze proteina, hemoglobulina i vitamina A. Cink takođe učestvuje u metabolizmu ugljenih hidrata i nukleinskih kiselina [15]. Nedostatak cinka u organizmu prouzrokuje kašnjenje u skeletnom razvoju i defekte u mineralizaciji kostiju, gubitak apetita, usporeno zarastanje rana, bolesti kože i očiju i neurološke poremećaje. Cink je relativno netoksičan element, ne kumulira se u organizmu nakon dužeg povećanog unošenja. Rijetki su slučajevi toksičnih efekata koji su rezultat prekomjernog unosa cinka u organizam. Preporučena RDA vrijednost za cink prema tablicama u Bosni i Hercegovini za sve kategorije stanovništva je 10 mg [6]. Preporučeni dnevni unos za cink prema RDA tablicama u SAD-u je 11 mg za odrasle muškarce, 8 mg za žene i 5 mg za djecu [14]. </w:t>
      </w:r>
    </w:p>
    <w:p w:rsidR="00DA6A4E" w:rsidRDefault="00DA6A4E" w:rsidP="007E4772">
      <w:pPr>
        <w:jc w:val="both"/>
        <w:rPr>
          <w:sz w:val="24"/>
          <w:szCs w:val="24"/>
        </w:rPr>
      </w:pPr>
    </w:p>
    <w:p w:rsidR="007E4772" w:rsidRPr="007E4772" w:rsidRDefault="007E4772" w:rsidP="007E4772">
      <w:pPr>
        <w:jc w:val="both"/>
        <w:rPr>
          <w:sz w:val="24"/>
          <w:szCs w:val="24"/>
        </w:rPr>
      </w:pPr>
      <w:r w:rsidRPr="007E4772">
        <w:rPr>
          <w:sz w:val="24"/>
          <w:szCs w:val="24"/>
        </w:rPr>
        <w:t>Bakar je element koji se nalazi u tragovima u ljudskom organizmu. Bakar je značajan za metabolizam gvožđa, sintezu hemoglobulina i stvaranje eritrocita i funkcionisanje nervnog sistema. Takođe učestvuje u izgradnji vezivnog tkiva i ćelijskom disanju [16]. Veće dnevne doze bakra od 10 mg su toksične za čovjeka, ali pošto izazivaju mučninu i povraćanje lako se izbacuju iz organizma. Uslijed deficita bakra javljaju se neurološki poremećaji. Preporučeni dnevni unos za bakar prema RDA tablicama u Bosni i Hercegovini za sve kategorije stanovništva je 1 mg [6], a prema RDA tablicama u SAD-u za odrasle osobe je 0,9 mg i za djecu 0,44 mg  [14].</w:t>
      </w:r>
    </w:p>
    <w:p w:rsidR="00DA6A4E" w:rsidRDefault="00DA6A4E" w:rsidP="007E4772">
      <w:pPr>
        <w:jc w:val="both"/>
        <w:rPr>
          <w:sz w:val="24"/>
          <w:szCs w:val="24"/>
        </w:rPr>
      </w:pPr>
    </w:p>
    <w:p w:rsidR="007E4772" w:rsidRPr="007E4772" w:rsidRDefault="007E4772" w:rsidP="007E4772">
      <w:pPr>
        <w:jc w:val="both"/>
        <w:rPr>
          <w:sz w:val="24"/>
          <w:szCs w:val="24"/>
        </w:rPr>
      </w:pPr>
      <w:r w:rsidRPr="007E4772">
        <w:rPr>
          <w:sz w:val="24"/>
          <w:szCs w:val="24"/>
        </w:rPr>
        <w:t xml:space="preserve">Mangan se u ljudskom tijelu nalazi u količini od 10-15 mg, od čega se polovina nalazi u kostima. U ljudskom organizmu mangan je odgovoran za funkcionisanje brojnih fermenata. Takođe mangan ima ulogu u stvaranju energije u ćelijama, sintezi proteina i holesterola, stvaranja kostiju i sintezi muko polisaharida. </w:t>
      </w:r>
      <w:r w:rsidRPr="007E4772">
        <w:rPr>
          <w:sz w:val="24"/>
          <w:szCs w:val="24"/>
          <w:lang w:val="hr-HR"/>
        </w:rPr>
        <w:t xml:space="preserve">Mangan pomaže sintezu hemoglobina, predstavlja faktor rasta, utiče na metabolizam kalcijuma i fosfora i potpomaže funkciju polnih žlijezda </w:t>
      </w:r>
      <w:r w:rsidRPr="007E4772">
        <w:rPr>
          <w:sz w:val="24"/>
          <w:szCs w:val="24"/>
        </w:rPr>
        <w:t>[16]. Preporučeni dnevni unos mangana prema RDA tablicama u Bosni i Hercegovini za sve kategorije stanovništva je 2 mg [6]. Preporučeni dnevni unos mangana prema RDA tablicama u SAD-u je 2,3 mg za odrasle muškarce, 1,5 mg za djecu i 1,8 mg za odrasle žene [14].</w:t>
      </w:r>
    </w:p>
    <w:p w:rsidR="00DA6A4E" w:rsidRDefault="00DA6A4E" w:rsidP="007E4772">
      <w:pPr>
        <w:jc w:val="both"/>
        <w:rPr>
          <w:sz w:val="24"/>
          <w:szCs w:val="24"/>
        </w:rPr>
      </w:pPr>
    </w:p>
    <w:p w:rsidR="007E4772" w:rsidRPr="007E4772" w:rsidRDefault="007E4772" w:rsidP="007E4772">
      <w:pPr>
        <w:jc w:val="both"/>
        <w:rPr>
          <w:sz w:val="24"/>
          <w:szCs w:val="24"/>
        </w:rPr>
      </w:pPr>
      <w:r w:rsidRPr="007E4772">
        <w:rPr>
          <w:sz w:val="24"/>
          <w:szCs w:val="24"/>
        </w:rPr>
        <w:t>U ljudskom organizmu hrom je neophodan za metabolizam glukoze, lipida i iskorištenje aminokiselina. takođe smatra se da može preventivno djelovati kod dijabetesa i arteroskleroze [17]. Preporučeni dnevni unos hroma prema RDA tablicama Bosni i Hercegovini za sve kategorije stanovništva je 40 μg [6]. Preporučeni dnevni unos hroma prema RDA tablicama u SAD-u je 35 μg za odrasle muškarce, 15 μg za djecu i 25 μg za odrasle žene [14].</w:t>
      </w:r>
    </w:p>
    <w:p w:rsidR="00D26BBC" w:rsidRDefault="00D26BBC" w:rsidP="00D26BBC">
      <w:pPr>
        <w:jc w:val="center"/>
        <w:rPr>
          <w:b/>
          <w:sz w:val="24"/>
          <w:szCs w:val="24"/>
          <w:lang w:val="sr-Latn-BA"/>
        </w:rPr>
      </w:pPr>
    </w:p>
    <w:p w:rsidR="00B61D1A" w:rsidRPr="00B61D1A" w:rsidRDefault="00B61D1A" w:rsidP="00D26BBC">
      <w:pPr>
        <w:jc w:val="center"/>
        <w:rPr>
          <w:b/>
          <w:sz w:val="24"/>
          <w:szCs w:val="24"/>
          <w:lang w:val="sr-Latn-BA"/>
        </w:rPr>
      </w:pPr>
    </w:p>
    <w:p w:rsidR="00D26BBC" w:rsidRPr="00B61D1A" w:rsidRDefault="00B61D1A" w:rsidP="00D26BBC">
      <w:pPr>
        <w:jc w:val="center"/>
        <w:rPr>
          <w:b/>
          <w:sz w:val="24"/>
          <w:szCs w:val="24"/>
          <w:lang w:val="sr-Latn-BA"/>
        </w:rPr>
      </w:pPr>
      <w:r>
        <w:rPr>
          <w:b/>
          <w:sz w:val="24"/>
          <w:szCs w:val="24"/>
          <w:lang w:val="sr-Latn-BA"/>
        </w:rPr>
        <w:t>MATERIJAL I METODE RADA</w:t>
      </w:r>
    </w:p>
    <w:p w:rsidR="00D26BBC" w:rsidRPr="00D26BBC" w:rsidRDefault="00D26BBC" w:rsidP="00D26BBC">
      <w:pPr>
        <w:jc w:val="both"/>
        <w:rPr>
          <w:sz w:val="24"/>
          <w:szCs w:val="24"/>
          <w:lang w:val="sr-Cyrl-CS"/>
        </w:rPr>
      </w:pPr>
    </w:p>
    <w:p w:rsidR="00DA6A4E" w:rsidRPr="00DA6A4E" w:rsidRDefault="00DA6A4E" w:rsidP="00DA6A4E">
      <w:pPr>
        <w:widowControl/>
        <w:jc w:val="both"/>
        <w:rPr>
          <w:snapToGrid/>
          <w:sz w:val="24"/>
          <w:szCs w:val="24"/>
        </w:rPr>
      </w:pPr>
      <w:r w:rsidRPr="00DA6A4E">
        <w:rPr>
          <w:snapToGrid/>
          <w:sz w:val="24"/>
          <w:szCs w:val="24"/>
        </w:rPr>
        <w:t>U ovom radu vršeno je višegodišnje praćenje količine pojedinih komponenti hemijskog sastava šumske borovnice (</w:t>
      </w:r>
      <w:r w:rsidRPr="00DA6A4E">
        <w:rPr>
          <w:i/>
          <w:snapToGrid/>
          <w:sz w:val="24"/>
          <w:szCs w:val="24"/>
        </w:rPr>
        <w:t>Vaccinium myritillus L.)</w:t>
      </w:r>
      <w:r w:rsidRPr="00DA6A4E">
        <w:rPr>
          <w:snapToGrid/>
          <w:sz w:val="24"/>
          <w:szCs w:val="24"/>
        </w:rPr>
        <w:t xml:space="preserve"> sa banjalučke regije. Poseban naglasak je dat na količinu pojedinih elemenata. Na osnovu prosječnih količina pojedinih elemenata izvršen je proračun zadovoljenja RDA vrijednosti za mineralne materije pri konzumiranju svježe šumske borovnice. Proračun je izvršen prema RDA tablicama za mineralne materije u Bosni i Hercegovini i SAD.</w:t>
      </w:r>
    </w:p>
    <w:p w:rsidR="00DA6A4E" w:rsidRDefault="00DA6A4E" w:rsidP="00DA6A4E">
      <w:pPr>
        <w:widowControl/>
        <w:jc w:val="both"/>
        <w:rPr>
          <w:snapToGrid/>
          <w:sz w:val="24"/>
          <w:szCs w:val="24"/>
        </w:rPr>
      </w:pPr>
    </w:p>
    <w:p w:rsidR="00DE196E" w:rsidRDefault="00DA6A4E" w:rsidP="00DE196E">
      <w:pPr>
        <w:widowControl/>
        <w:jc w:val="both"/>
        <w:rPr>
          <w:snapToGrid/>
          <w:sz w:val="24"/>
          <w:szCs w:val="24"/>
          <w:lang w:val="hr-HR"/>
        </w:rPr>
      </w:pPr>
      <w:r w:rsidRPr="00DA6A4E">
        <w:rPr>
          <w:snapToGrid/>
          <w:sz w:val="24"/>
          <w:szCs w:val="24"/>
        </w:rPr>
        <w:t>Šumska borovnica (</w:t>
      </w:r>
      <w:r w:rsidRPr="00DA6A4E">
        <w:rPr>
          <w:i/>
          <w:snapToGrid/>
          <w:sz w:val="24"/>
          <w:szCs w:val="24"/>
        </w:rPr>
        <w:t>Vaccinium myritillus L.)</w:t>
      </w:r>
      <w:r w:rsidRPr="00DA6A4E">
        <w:rPr>
          <w:snapToGrid/>
          <w:sz w:val="24"/>
          <w:szCs w:val="24"/>
        </w:rPr>
        <w:t xml:space="preserve"> je grm visine do 50 cm, raste u blizini bukovih i četinarskih šuma. Plod šumske borovnice su bobice tamno plave boje, prijatnog slatko-nakiselog ukusa. Uzorak za analizu, za svaku godinu, uzet je sa pet različitih lokacija </w:t>
      </w:r>
      <w:r w:rsidRPr="00DA6A4E">
        <w:rPr>
          <w:snapToGrid/>
          <w:sz w:val="24"/>
          <w:szCs w:val="24"/>
        </w:rPr>
        <w:lastRenderedPageBreak/>
        <w:t xml:space="preserve">banjalučke regije. Na svakoj lokaciji ubrano je oko kilogram uzorka u konzumnoj zrelosti. </w:t>
      </w:r>
      <w:r w:rsidRPr="00DA6A4E">
        <w:rPr>
          <w:snapToGrid/>
        </w:rPr>
        <w:t xml:space="preserve">. </w:t>
      </w:r>
      <w:r w:rsidRPr="00DA6A4E">
        <w:rPr>
          <w:snapToGrid/>
          <w:sz w:val="24"/>
          <w:szCs w:val="24"/>
        </w:rPr>
        <w:t xml:space="preserve">Svih pet uzoraka su pomiješani i metodom četvrtanja dobijen je zbirni uzorak težine oko 600g [18]. Poslije uklanjanja otpada, zbirni uzorak je opran i homogenizovan u mlinu "Triple spindle mixer, </w:t>
      </w:r>
      <w:smartTag w:uri="urn:schemas-microsoft-com:office:smarttags" w:element="place">
        <w:smartTag w:uri="urn:schemas-microsoft-com:office:smarttags" w:element="PlaceName">
          <w:r w:rsidRPr="00DA6A4E">
            <w:rPr>
              <w:snapToGrid/>
              <w:sz w:val="24"/>
              <w:szCs w:val="24"/>
            </w:rPr>
            <w:t>Hamilton</w:t>
          </w:r>
        </w:smartTag>
        <w:r w:rsidRPr="00DA6A4E">
          <w:rPr>
            <w:snapToGrid/>
            <w:sz w:val="24"/>
            <w:szCs w:val="24"/>
          </w:rPr>
          <w:t xml:space="preserve"> </w:t>
        </w:r>
        <w:smartTag w:uri="urn:schemas-microsoft-com:office:smarttags" w:element="PlaceType">
          <w:r w:rsidRPr="00DA6A4E">
            <w:rPr>
              <w:snapToGrid/>
              <w:sz w:val="24"/>
              <w:szCs w:val="24"/>
            </w:rPr>
            <w:t>Beach</w:t>
          </w:r>
        </w:smartTag>
      </w:smartTag>
      <w:r w:rsidRPr="00DA6A4E">
        <w:rPr>
          <w:snapToGrid/>
          <w:sz w:val="24"/>
          <w:szCs w:val="24"/>
        </w:rPr>
        <w:t xml:space="preserve">". Iz homogenizovanog zbirnog uzorka je izdvojena potrebna količina uzorka za određenu analizu. Pojedine komponente hemijskog sastava određene su standardnim AOAC metodama [19]. Za svaku komponentu hemijskog sastava rađene su tri paralelne analize. </w:t>
      </w:r>
    </w:p>
    <w:p w:rsidR="00DE196E" w:rsidRDefault="00DE196E" w:rsidP="00DE196E">
      <w:pPr>
        <w:widowControl/>
        <w:jc w:val="both"/>
        <w:rPr>
          <w:snapToGrid/>
          <w:sz w:val="24"/>
          <w:szCs w:val="24"/>
          <w:lang w:val="hr-HR"/>
        </w:rPr>
      </w:pPr>
    </w:p>
    <w:p w:rsidR="00DA6A4E" w:rsidRPr="00DA6A4E" w:rsidRDefault="00DA6A4E" w:rsidP="00DE196E">
      <w:pPr>
        <w:widowControl/>
        <w:jc w:val="both"/>
        <w:rPr>
          <w:snapToGrid/>
          <w:sz w:val="24"/>
          <w:szCs w:val="24"/>
          <w:lang w:val="hr-HR"/>
        </w:rPr>
      </w:pPr>
      <w:r w:rsidRPr="00DA6A4E">
        <w:rPr>
          <w:snapToGrid/>
          <w:sz w:val="24"/>
          <w:szCs w:val="24"/>
          <w:lang w:val="hr-HR"/>
        </w:rPr>
        <w:t xml:space="preserve">Priprema uzorka za određivanje mineralnih materija vršena je vlažnim spaljivanjem u smjesi azotne i perhlorne kiseline </w:t>
      </w:r>
      <w:r w:rsidRPr="00DA6A4E">
        <w:rPr>
          <w:snapToGrid/>
          <w:sz w:val="24"/>
          <w:szCs w:val="24"/>
        </w:rPr>
        <w:t xml:space="preserve">[20]. </w:t>
      </w:r>
      <w:r w:rsidRPr="00DA6A4E">
        <w:rPr>
          <w:snapToGrid/>
          <w:sz w:val="24"/>
          <w:szCs w:val="24"/>
          <w:lang w:val="hr-HR"/>
        </w:rPr>
        <w:t>Takođe su rađene tri paralelne analize za svaki element. Sadržaj pojedinih elemenata u pripremljenim uzorcima određen je metodom atomske apsorpcione spektrometrije na AAS Unicam SP9, prema upustvima proizvođača</w:t>
      </w:r>
      <w:r w:rsidRPr="00DA6A4E">
        <w:rPr>
          <w:snapToGrid/>
          <w:sz w:val="24"/>
          <w:szCs w:val="24"/>
        </w:rPr>
        <w:t>.</w:t>
      </w:r>
    </w:p>
    <w:p w:rsidR="00B61D1A" w:rsidRDefault="00B61D1A" w:rsidP="00D26BBC">
      <w:pPr>
        <w:jc w:val="both"/>
        <w:rPr>
          <w:sz w:val="24"/>
          <w:szCs w:val="24"/>
          <w:lang w:val="sr-Latn-BA"/>
        </w:rPr>
      </w:pPr>
    </w:p>
    <w:p w:rsidR="00B61D1A" w:rsidRDefault="00B61D1A" w:rsidP="00D26BBC">
      <w:pPr>
        <w:jc w:val="both"/>
        <w:rPr>
          <w:sz w:val="24"/>
          <w:szCs w:val="24"/>
          <w:lang w:val="sr-Latn-BA"/>
        </w:rPr>
      </w:pPr>
    </w:p>
    <w:p w:rsidR="00D26BBC" w:rsidRPr="00B61D1A" w:rsidRDefault="00B61D1A" w:rsidP="00B61D1A">
      <w:pPr>
        <w:jc w:val="center"/>
        <w:rPr>
          <w:b/>
          <w:sz w:val="24"/>
          <w:szCs w:val="24"/>
          <w:lang w:val="sr-Latn-BA"/>
        </w:rPr>
      </w:pPr>
      <w:r>
        <w:rPr>
          <w:b/>
          <w:sz w:val="24"/>
          <w:szCs w:val="24"/>
          <w:lang w:val="sr-Latn-BA"/>
        </w:rPr>
        <w:t>REZULTATI I DISKUSIJA</w:t>
      </w:r>
    </w:p>
    <w:p w:rsidR="00D26BBC" w:rsidRPr="00D26BBC" w:rsidRDefault="00D26BBC" w:rsidP="00D26BBC">
      <w:pPr>
        <w:jc w:val="center"/>
        <w:rPr>
          <w:b/>
          <w:sz w:val="24"/>
          <w:szCs w:val="24"/>
          <w:lang w:val="sr-Cyrl-CS"/>
        </w:rPr>
      </w:pPr>
    </w:p>
    <w:p w:rsidR="00DE196E" w:rsidRDefault="00DE196E" w:rsidP="00953E96">
      <w:pPr>
        <w:jc w:val="both"/>
        <w:rPr>
          <w:sz w:val="24"/>
          <w:szCs w:val="24"/>
        </w:rPr>
      </w:pPr>
    </w:p>
    <w:p w:rsidR="00DE196E" w:rsidRPr="00DE196E" w:rsidRDefault="00DE196E" w:rsidP="00DE196E">
      <w:pPr>
        <w:jc w:val="both"/>
        <w:rPr>
          <w:sz w:val="24"/>
          <w:szCs w:val="24"/>
        </w:rPr>
      </w:pPr>
      <w:r w:rsidRPr="00DE196E">
        <w:rPr>
          <w:sz w:val="24"/>
          <w:szCs w:val="24"/>
        </w:rPr>
        <w:t>Sadržaj pojedinih komponenti hemijskog sastava kod šumske borovnice (</w:t>
      </w:r>
      <w:r w:rsidRPr="00DE196E">
        <w:rPr>
          <w:i/>
          <w:sz w:val="24"/>
          <w:szCs w:val="24"/>
        </w:rPr>
        <w:t>Vaccinium myritillus L.)</w:t>
      </w:r>
      <w:r w:rsidRPr="00DE196E">
        <w:rPr>
          <w:sz w:val="24"/>
          <w:szCs w:val="24"/>
        </w:rPr>
        <w:t xml:space="preserve"> u toku četverogodišnjeg ispitivanja kretao se određenom rasponu i kao takav prikazan je u Tabeli 1.</w:t>
      </w:r>
    </w:p>
    <w:p w:rsidR="00DE196E" w:rsidRDefault="00DE196E" w:rsidP="00953E96">
      <w:pPr>
        <w:jc w:val="both"/>
        <w:rPr>
          <w:sz w:val="24"/>
          <w:szCs w:val="24"/>
        </w:rPr>
      </w:pPr>
    </w:p>
    <w:p w:rsidR="00AA16DA" w:rsidRDefault="00DE196E" w:rsidP="00DE196E">
      <w:r>
        <w:t>Tabela 1. Hemijski sastav šumske borovnice (</w:t>
      </w:r>
      <w:r>
        <w:rPr>
          <w:i/>
        </w:rPr>
        <w:t>Vaccinium myritillus L.)</w:t>
      </w:r>
      <w:r>
        <w:t xml:space="preserve"> u g/100g</w:t>
      </w:r>
    </w:p>
    <w:tbl>
      <w:tblPr>
        <w:tblW w:w="0" w:type="auto"/>
        <w:tblBorders>
          <w:top w:val="single" w:sz="12" w:space="0" w:color="008000"/>
          <w:bottom w:val="single" w:sz="12" w:space="0" w:color="008000"/>
        </w:tblBorders>
        <w:tblLook w:val="01E0"/>
      </w:tblPr>
      <w:tblGrid>
        <w:gridCol w:w="1663"/>
        <w:gridCol w:w="1771"/>
        <w:gridCol w:w="1771"/>
        <w:gridCol w:w="1771"/>
        <w:gridCol w:w="1664"/>
      </w:tblGrid>
      <w:tr w:rsidR="00AA16DA" w:rsidRPr="00AA16DA" w:rsidTr="009546C2">
        <w:tc>
          <w:tcPr>
            <w:tcW w:w="1663" w:type="dxa"/>
            <w:tcBorders>
              <w:bottom w:val="single" w:sz="6" w:space="0" w:color="008000"/>
            </w:tcBorders>
            <w:shd w:val="clear" w:color="auto" w:fill="auto"/>
          </w:tcPr>
          <w:p w:rsidR="00AA16DA" w:rsidRPr="00AA16DA" w:rsidRDefault="00AA16DA" w:rsidP="009546C2">
            <w:pPr>
              <w:widowControl/>
              <w:jc w:val="center"/>
              <w:rPr>
                <w:snapToGrid/>
                <w:sz w:val="24"/>
                <w:szCs w:val="24"/>
              </w:rPr>
            </w:pPr>
            <w:smartTag w:uri="urn:schemas-microsoft-com:office:smarttags" w:element="place">
              <w:smartTag w:uri="urn:schemas-microsoft-com:office:smarttags" w:element="City">
                <w:r w:rsidRPr="00AA16DA">
                  <w:rPr>
                    <w:snapToGrid/>
                    <w:sz w:val="24"/>
                    <w:szCs w:val="24"/>
                  </w:rPr>
                  <w:t>Suva</w:t>
                </w:r>
              </w:smartTag>
            </w:smartTag>
            <w:r w:rsidRPr="00AA16DA">
              <w:rPr>
                <w:snapToGrid/>
                <w:sz w:val="24"/>
                <w:szCs w:val="24"/>
              </w:rPr>
              <w:t xml:space="preserve"> materija</w:t>
            </w:r>
          </w:p>
        </w:tc>
        <w:tc>
          <w:tcPr>
            <w:tcW w:w="1771" w:type="dxa"/>
            <w:tcBorders>
              <w:bottom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Invertni šećer</w:t>
            </w:r>
          </w:p>
        </w:tc>
        <w:tc>
          <w:tcPr>
            <w:tcW w:w="1771" w:type="dxa"/>
            <w:tcBorders>
              <w:bottom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Saharoza</w:t>
            </w:r>
          </w:p>
        </w:tc>
        <w:tc>
          <w:tcPr>
            <w:tcW w:w="1771" w:type="dxa"/>
            <w:tcBorders>
              <w:bottom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Sadržaj kiselina (kao limunska)</w:t>
            </w:r>
          </w:p>
        </w:tc>
        <w:tc>
          <w:tcPr>
            <w:tcW w:w="1664" w:type="dxa"/>
            <w:tcBorders>
              <w:bottom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Pepeo</w:t>
            </w:r>
          </w:p>
        </w:tc>
      </w:tr>
      <w:tr w:rsidR="00AA16DA" w:rsidRPr="00AA16DA" w:rsidTr="009546C2">
        <w:tc>
          <w:tcPr>
            <w:tcW w:w="1663" w:type="dxa"/>
            <w:tcBorders>
              <w:top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13,0-17,0</w:t>
            </w:r>
          </w:p>
        </w:tc>
        <w:tc>
          <w:tcPr>
            <w:tcW w:w="1771" w:type="dxa"/>
            <w:tcBorders>
              <w:top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5,5-9,0</w:t>
            </w:r>
          </w:p>
        </w:tc>
        <w:tc>
          <w:tcPr>
            <w:tcW w:w="1771" w:type="dxa"/>
            <w:tcBorders>
              <w:top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0,5-0,9</w:t>
            </w:r>
          </w:p>
        </w:tc>
        <w:tc>
          <w:tcPr>
            <w:tcW w:w="1771" w:type="dxa"/>
            <w:tcBorders>
              <w:top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0,9-1,1</w:t>
            </w:r>
          </w:p>
        </w:tc>
        <w:tc>
          <w:tcPr>
            <w:tcW w:w="1664" w:type="dxa"/>
            <w:tcBorders>
              <w:top w:val="single" w:sz="6" w:space="0" w:color="008000"/>
            </w:tcBorders>
            <w:shd w:val="clear" w:color="auto" w:fill="auto"/>
          </w:tcPr>
          <w:p w:rsidR="00AA16DA" w:rsidRPr="00AA16DA" w:rsidRDefault="00AA16DA" w:rsidP="009546C2">
            <w:pPr>
              <w:widowControl/>
              <w:jc w:val="center"/>
              <w:rPr>
                <w:snapToGrid/>
                <w:sz w:val="24"/>
                <w:szCs w:val="24"/>
              </w:rPr>
            </w:pPr>
            <w:r w:rsidRPr="00AA16DA">
              <w:rPr>
                <w:snapToGrid/>
                <w:sz w:val="24"/>
                <w:szCs w:val="24"/>
              </w:rPr>
              <w:t>0,2-0,3</w:t>
            </w:r>
          </w:p>
        </w:tc>
      </w:tr>
    </w:tbl>
    <w:p w:rsidR="00AA16DA" w:rsidRPr="00FC752D" w:rsidRDefault="00AA16DA" w:rsidP="00DE196E"/>
    <w:p w:rsidR="00A64324" w:rsidRPr="00A64324" w:rsidRDefault="00A64324" w:rsidP="00A64324">
      <w:pPr>
        <w:widowControl/>
        <w:jc w:val="both"/>
        <w:rPr>
          <w:snapToGrid/>
          <w:sz w:val="24"/>
          <w:szCs w:val="24"/>
        </w:rPr>
      </w:pPr>
      <w:r w:rsidRPr="00A64324">
        <w:rPr>
          <w:snapToGrid/>
          <w:sz w:val="24"/>
          <w:szCs w:val="24"/>
        </w:rPr>
        <w:t>Sadržaj pojedinih komponenti hemijskog sastava varirao je od godine do godine, što se vidi po širini intervala. To je i razumljivo jer na hemijski sastav utiču vremenski uslovi u toku vegetacije, a oni su se razlikovali od godine do godine. Sadržaj suve materije je bio nešto veči u odnosu na literaturne podatke za šumsku borovnicu koji iznose od 8-11,5%. [21]. Prema literaturnim podacima sadržaj ukupnih šećera se kretao u intervalu od 2,8-7,9% [21], a u našem slučaju sadržaj invertnog šećera je bio u intervalu 5,5-9,0% i saharoze od 0,5-0,9%. Možemo reći da je sadržaj šećera nešto uvećan u odnosu na literaturne podatke. Sadržaj ukupnih kiselina i pepela je bio u skladu sa literaturnim podacima koji iznose za kiseline 0,76-1,53% i pepeo 0,25% [21].</w:t>
      </w:r>
    </w:p>
    <w:p w:rsidR="00A64324" w:rsidRDefault="00A64324" w:rsidP="00A64324">
      <w:pPr>
        <w:widowControl/>
        <w:jc w:val="both"/>
        <w:rPr>
          <w:snapToGrid/>
          <w:sz w:val="24"/>
          <w:szCs w:val="24"/>
        </w:rPr>
      </w:pPr>
    </w:p>
    <w:p w:rsidR="00A64324" w:rsidRPr="00A64324" w:rsidRDefault="00A64324" w:rsidP="00A64324">
      <w:pPr>
        <w:widowControl/>
        <w:jc w:val="both"/>
        <w:rPr>
          <w:snapToGrid/>
          <w:sz w:val="24"/>
          <w:szCs w:val="24"/>
        </w:rPr>
      </w:pPr>
      <w:r w:rsidRPr="00A64324">
        <w:rPr>
          <w:snapToGrid/>
          <w:sz w:val="24"/>
          <w:szCs w:val="24"/>
        </w:rPr>
        <w:t>Sadržaj pojedinih elemenata je takođe rezultat četverogodišnjih ispitivanja i predstavlja aritmetičku sredinu svih mjerenja za pojedini element u toku četri godine. Vrijednosti tih mjerenja sa standardnom devijacijom su prikazane  u Tabeli 2.</w:t>
      </w:r>
    </w:p>
    <w:p w:rsidR="00A64324" w:rsidRDefault="00A64324" w:rsidP="00953E96">
      <w:pPr>
        <w:jc w:val="both"/>
        <w:rPr>
          <w:sz w:val="24"/>
          <w:szCs w:val="24"/>
        </w:rPr>
      </w:pPr>
    </w:p>
    <w:p w:rsidR="0011503F" w:rsidRPr="005A0711" w:rsidRDefault="0011503F" w:rsidP="0011503F">
      <w:pPr>
        <w:jc w:val="both"/>
      </w:pPr>
      <w:r>
        <w:t>Tabela 2. Sadržaj mineralnih materija (mg/100g) ±standardna devijacija u šumskoj borovnici (</w:t>
      </w:r>
      <w:r>
        <w:rPr>
          <w:i/>
        </w:rPr>
        <w:t>Vaccinium myritillus L.)</w:t>
      </w:r>
    </w:p>
    <w:tbl>
      <w:tblPr>
        <w:tblW w:w="0" w:type="auto"/>
        <w:tblBorders>
          <w:top w:val="single" w:sz="12" w:space="0" w:color="008000"/>
          <w:bottom w:val="single" w:sz="12" w:space="0" w:color="008000"/>
        </w:tblBorders>
        <w:tblLook w:val="01E0"/>
      </w:tblPr>
      <w:tblGrid>
        <w:gridCol w:w="960"/>
        <w:gridCol w:w="960"/>
        <w:gridCol w:w="960"/>
        <w:gridCol w:w="960"/>
        <w:gridCol w:w="960"/>
        <w:gridCol w:w="960"/>
        <w:gridCol w:w="960"/>
        <w:gridCol w:w="960"/>
        <w:gridCol w:w="960"/>
      </w:tblGrid>
      <w:tr w:rsidR="0011503F" w:rsidTr="009546C2">
        <w:tc>
          <w:tcPr>
            <w:tcW w:w="960" w:type="dxa"/>
            <w:tcBorders>
              <w:bottom w:val="single" w:sz="6" w:space="0" w:color="008000"/>
            </w:tcBorders>
            <w:shd w:val="clear" w:color="auto" w:fill="auto"/>
          </w:tcPr>
          <w:p w:rsidR="0011503F" w:rsidRDefault="0011503F" w:rsidP="009546C2">
            <w:pPr>
              <w:jc w:val="center"/>
            </w:pPr>
            <w:r>
              <w:t>Na</w:t>
            </w:r>
          </w:p>
        </w:tc>
        <w:tc>
          <w:tcPr>
            <w:tcW w:w="960" w:type="dxa"/>
            <w:tcBorders>
              <w:bottom w:val="single" w:sz="6" w:space="0" w:color="008000"/>
            </w:tcBorders>
            <w:shd w:val="clear" w:color="auto" w:fill="auto"/>
          </w:tcPr>
          <w:p w:rsidR="0011503F" w:rsidRDefault="0011503F" w:rsidP="009546C2">
            <w:pPr>
              <w:jc w:val="center"/>
            </w:pPr>
            <w:r>
              <w:t>K</w:t>
            </w:r>
          </w:p>
        </w:tc>
        <w:tc>
          <w:tcPr>
            <w:tcW w:w="960" w:type="dxa"/>
            <w:tcBorders>
              <w:bottom w:val="single" w:sz="6" w:space="0" w:color="008000"/>
            </w:tcBorders>
            <w:shd w:val="clear" w:color="auto" w:fill="auto"/>
          </w:tcPr>
          <w:p w:rsidR="0011503F" w:rsidRDefault="0011503F" w:rsidP="009546C2">
            <w:pPr>
              <w:jc w:val="center"/>
            </w:pPr>
            <w:r>
              <w:t>Ca</w:t>
            </w:r>
          </w:p>
        </w:tc>
        <w:tc>
          <w:tcPr>
            <w:tcW w:w="960" w:type="dxa"/>
            <w:tcBorders>
              <w:bottom w:val="single" w:sz="6" w:space="0" w:color="008000"/>
            </w:tcBorders>
            <w:shd w:val="clear" w:color="auto" w:fill="auto"/>
          </w:tcPr>
          <w:p w:rsidR="0011503F" w:rsidRDefault="0011503F" w:rsidP="009546C2">
            <w:pPr>
              <w:jc w:val="center"/>
            </w:pPr>
            <w:r>
              <w:t>Mg</w:t>
            </w:r>
          </w:p>
        </w:tc>
        <w:tc>
          <w:tcPr>
            <w:tcW w:w="960" w:type="dxa"/>
            <w:tcBorders>
              <w:bottom w:val="single" w:sz="6" w:space="0" w:color="008000"/>
            </w:tcBorders>
            <w:shd w:val="clear" w:color="auto" w:fill="auto"/>
          </w:tcPr>
          <w:p w:rsidR="0011503F" w:rsidRDefault="0011503F" w:rsidP="009546C2">
            <w:pPr>
              <w:jc w:val="center"/>
            </w:pPr>
            <w:r>
              <w:t>Fe</w:t>
            </w:r>
          </w:p>
        </w:tc>
        <w:tc>
          <w:tcPr>
            <w:tcW w:w="960" w:type="dxa"/>
            <w:tcBorders>
              <w:bottom w:val="single" w:sz="6" w:space="0" w:color="008000"/>
            </w:tcBorders>
            <w:shd w:val="clear" w:color="auto" w:fill="auto"/>
          </w:tcPr>
          <w:p w:rsidR="0011503F" w:rsidRDefault="0011503F" w:rsidP="009546C2">
            <w:pPr>
              <w:jc w:val="center"/>
            </w:pPr>
            <w:r>
              <w:t>Cu</w:t>
            </w:r>
          </w:p>
        </w:tc>
        <w:tc>
          <w:tcPr>
            <w:tcW w:w="960" w:type="dxa"/>
            <w:tcBorders>
              <w:bottom w:val="single" w:sz="6" w:space="0" w:color="008000"/>
            </w:tcBorders>
            <w:shd w:val="clear" w:color="auto" w:fill="auto"/>
          </w:tcPr>
          <w:p w:rsidR="0011503F" w:rsidRDefault="0011503F" w:rsidP="009546C2">
            <w:pPr>
              <w:jc w:val="center"/>
            </w:pPr>
            <w:r>
              <w:t>Zn</w:t>
            </w:r>
          </w:p>
        </w:tc>
        <w:tc>
          <w:tcPr>
            <w:tcW w:w="960" w:type="dxa"/>
            <w:tcBorders>
              <w:bottom w:val="single" w:sz="6" w:space="0" w:color="008000"/>
            </w:tcBorders>
            <w:shd w:val="clear" w:color="auto" w:fill="auto"/>
          </w:tcPr>
          <w:p w:rsidR="0011503F" w:rsidRDefault="0011503F" w:rsidP="009546C2">
            <w:pPr>
              <w:jc w:val="center"/>
            </w:pPr>
            <w:r>
              <w:t>Mn</w:t>
            </w:r>
          </w:p>
        </w:tc>
        <w:tc>
          <w:tcPr>
            <w:tcW w:w="960" w:type="dxa"/>
            <w:tcBorders>
              <w:bottom w:val="single" w:sz="6" w:space="0" w:color="008000"/>
            </w:tcBorders>
            <w:shd w:val="clear" w:color="auto" w:fill="auto"/>
          </w:tcPr>
          <w:p w:rsidR="0011503F" w:rsidRDefault="0011503F" w:rsidP="009546C2">
            <w:pPr>
              <w:jc w:val="center"/>
            </w:pPr>
            <w:r>
              <w:t>Cr</w:t>
            </w:r>
          </w:p>
          <w:p w:rsidR="0011503F" w:rsidRDefault="0011503F" w:rsidP="009546C2">
            <w:pPr>
              <w:jc w:val="center"/>
            </w:pPr>
            <w:r>
              <w:t>(μg)</w:t>
            </w:r>
          </w:p>
        </w:tc>
      </w:tr>
      <w:tr w:rsidR="0011503F" w:rsidTr="009546C2">
        <w:tc>
          <w:tcPr>
            <w:tcW w:w="960" w:type="dxa"/>
            <w:tcBorders>
              <w:top w:val="single" w:sz="6" w:space="0" w:color="008000"/>
            </w:tcBorders>
            <w:shd w:val="clear" w:color="auto" w:fill="auto"/>
          </w:tcPr>
          <w:p w:rsidR="0011503F" w:rsidRDefault="0011503F" w:rsidP="009546C2">
            <w:pPr>
              <w:jc w:val="center"/>
            </w:pPr>
            <w:r>
              <w:t>0,81</w:t>
            </w:r>
          </w:p>
          <w:p w:rsidR="0011503F" w:rsidRDefault="0011503F" w:rsidP="009546C2">
            <w:pPr>
              <w:jc w:val="center"/>
            </w:pPr>
            <w:r>
              <w:t>(0,017)</w:t>
            </w:r>
          </w:p>
        </w:tc>
        <w:tc>
          <w:tcPr>
            <w:tcW w:w="960" w:type="dxa"/>
            <w:tcBorders>
              <w:top w:val="single" w:sz="6" w:space="0" w:color="008000"/>
            </w:tcBorders>
            <w:shd w:val="clear" w:color="auto" w:fill="auto"/>
          </w:tcPr>
          <w:p w:rsidR="0011503F" w:rsidRDefault="0011503F" w:rsidP="009546C2">
            <w:pPr>
              <w:jc w:val="center"/>
            </w:pPr>
            <w:r>
              <w:t>81,6</w:t>
            </w:r>
          </w:p>
          <w:p w:rsidR="0011503F" w:rsidRDefault="0011503F" w:rsidP="009546C2">
            <w:pPr>
              <w:jc w:val="center"/>
            </w:pPr>
            <w:r>
              <w:t>(1,289)</w:t>
            </w:r>
          </w:p>
        </w:tc>
        <w:tc>
          <w:tcPr>
            <w:tcW w:w="960" w:type="dxa"/>
            <w:tcBorders>
              <w:top w:val="single" w:sz="6" w:space="0" w:color="008000"/>
            </w:tcBorders>
            <w:shd w:val="clear" w:color="auto" w:fill="auto"/>
          </w:tcPr>
          <w:p w:rsidR="0011503F" w:rsidRDefault="0011503F" w:rsidP="009546C2">
            <w:pPr>
              <w:jc w:val="center"/>
            </w:pPr>
            <w:r>
              <w:t>7,3</w:t>
            </w:r>
          </w:p>
          <w:p w:rsidR="0011503F" w:rsidRDefault="0011503F" w:rsidP="009546C2">
            <w:pPr>
              <w:jc w:val="center"/>
            </w:pPr>
            <w:r>
              <w:t>(0,362)</w:t>
            </w:r>
          </w:p>
        </w:tc>
        <w:tc>
          <w:tcPr>
            <w:tcW w:w="960" w:type="dxa"/>
            <w:tcBorders>
              <w:top w:val="single" w:sz="6" w:space="0" w:color="008000"/>
            </w:tcBorders>
            <w:shd w:val="clear" w:color="auto" w:fill="auto"/>
          </w:tcPr>
          <w:p w:rsidR="0011503F" w:rsidRDefault="0011503F" w:rsidP="009546C2">
            <w:pPr>
              <w:jc w:val="center"/>
            </w:pPr>
            <w:r>
              <w:t>9,1</w:t>
            </w:r>
          </w:p>
          <w:p w:rsidR="0011503F" w:rsidRDefault="0011503F" w:rsidP="009546C2">
            <w:pPr>
              <w:jc w:val="center"/>
            </w:pPr>
            <w:r>
              <w:t>0,422)</w:t>
            </w:r>
          </w:p>
        </w:tc>
        <w:tc>
          <w:tcPr>
            <w:tcW w:w="960" w:type="dxa"/>
            <w:tcBorders>
              <w:top w:val="single" w:sz="6" w:space="0" w:color="008000"/>
            </w:tcBorders>
            <w:shd w:val="clear" w:color="auto" w:fill="auto"/>
          </w:tcPr>
          <w:p w:rsidR="0011503F" w:rsidRDefault="0011503F" w:rsidP="009546C2">
            <w:pPr>
              <w:jc w:val="center"/>
            </w:pPr>
            <w:r>
              <w:t>0,33</w:t>
            </w:r>
          </w:p>
          <w:p w:rsidR="0011503F" w:rsidRDefault="0011503F" w:rsidP="009546C2">
            <w:pPr>
              <w:jc w:val="center"/>
            </w:pPr>
            <w:r>
              <w:t>0,008)</w:t>
            </w:r>
          </w:p>
        </w:tc>
        <w:tc>
          <w:tcPr>
            <w:tcW w:w="960" w:type="dxa"/>
            <w:tcBorders>
              <w:top w:val="single" w:sz="6" w:space="0" w:color="008000"/>
            </w:tcBorders>
            <w:shd w:val="clear" w:color="auto" w:fill="auto"/>
          </w:tcPr>
          <w:p w:rsidR="0011503F" w:rsidRDefault="0011503F" w:rsidP="009546C2">
            <w:pPr>
              <w:jc w:val="center"/>
            </w:pPr>
            <w:r>
              <w:t>0,23</w:t>
            </w:r>
          </w:p>
          <w:p w:rsidR="0011503F" w:rsidRDefault="0011503F" w:rsidP="009546C2">
            <w:pPr>
              <w:jc w:val="center"/>
            </w:pPr>
            <w:r>
              <w:t>(0,007)</w:t>
            </w:r>
          </w:p>
        </w:tc>
        <w:tc>
          <w:tcPr>
            <w:tcW w:w="960" w:type="dxa"/>
            <w:tcBorders>
              <w:top w:val="single" w:sz="6" w:space="0" w:color="008000"/>
            </w:tcBorders>
            <w:shd w:val="clear" w:color="auto" w:fill="auto"/>
          </w:tcPr>
          <w:p w:rsidR="0011503F" w:rsidRDefault="0011503F" w:rsidP="009546C2">
            <w:pPr>
              <w:jc w:val="center"/>
            </w:pPr>
            <w:r>
              <w:t>0,24</w:t>
            </w:r>
          </w:p>
          <w:p w:rsidR="0011503F" w:rsidRDefault="0011503F" w:rsidP="009546C2">
            <w:pPr>
              <w:jc w:val="center"/>
            </w:pPr>
            <w:r>
              <w:t>(0,007)</w:t>
            </w:r>
          </w:p>
        </w:tc>
        <w:tc>
          <w:tcPr>
            <w:tcW w:w="960" w:type="dxa"/>
            <w:tcBorders>
              <w:top w:val="single" w:sz="6" w:space="0" w:color="008000"/>
            </w:tcBorders>
            <w:shd w:val="clear" w:color="auto" w:fill="auto"/>
          </w:tcPr>
          <w:p w:rsidR="0011503F" w:rsidRDefault="0011503F" w:rsidP="009546C2">
            <w:pPr>
              <w:jc w:val="center"/>
            </w:pPr>
            <w:r>
              <w:t>1,91</w:t>
            </w:r>
          </w:p>
          <w:p w:rsidR="0011503F" w:rsidRDefault="0011503F" w:rsidP="009546C2">
            <w:pPr>
              <w:jc w:val="center"/>
            </w:pPr>
            <w:r>
              <w:t>(0,064)</w:t>
            </w:r>
          </w:p>
        </w:tc>
        <w:tc>
          <w:tcPr>
            <w:tcW w:w="960" w:type="dxa"/>
            <w:tcBorders>
              <w:top w:val="single" w:sz="6" w:space="0" w:color="008000"/>
            </w:tcBorders>
            <w:shd w:val="clear" w:color="auto" w:fill="auto"/>
          </w:tcPr>
          <w:p w:rsidR="0011503F" w:rsidRDefault="0011503F" w:rsidP="009546C2">
            <w:pPr>
              <w:jc w:val="center"/>
            </w:pPr>
            <w:r>
              <w:t>5,86</w:t>
            </w:r>
          </w:p>
          <w:p w:rsidR="0011503F" w:rsidRDefault="0011503F" w:rsidP="009546C2">
            <w:pPr>
              <w:jc w:val="center"/>
            </w:pPr>
            <w:r>
              <w:t>(0,042)</w:t>
            </w:r>
          </w:p>
        </w:tc>
      </w:tr>
    </w:tbl>
    <w:p w:rsidR="00A64324" w:rsidRDefault="00A64324" w:rsidP="00953E96">
      <w:pPr>
        <w:jc w:val="both"/>
        <w:rPr>
          <w:sz w:val="24"/>
          <w:szCs w:val="24"/>
        </w:rPr>
      </w:pPr>
    </w:p>
    <w:p w:rsidR="00A64324" w:rsidRDefault="00A64324" w:rsidP="00953E96">
      <w:pPr>
        <w:jc w:val="both"/>
        <w:rPr>
          <w:sz w:val="24"/>
          <w:szCs w:val="24"/>
        </w:rPr>
      </w:pPr>
    </w:p>
    <w:p w:rsidR="00EA7E0F" w:rsidRPr="00EA7E0F" w:rsidRDefault="00EA7E0F" w:rsidP="00EA7E0F">
      <w:pPr>
        <w:jc w:val="both"/>
        <w:rPr>
          <w:sz w:val="24"/>
          <w:szCs w:val="24"/>
          <w:lang w:val="bs-Latn-BA"/>
        </w:rPr>
      </w:pPr>
      <w:r w:rsidRPr="00EA7E0F">
        <w:rPr>
          <w:sz w:val="24"/>
          <w:szCs w:val="24"/>
          <w:lang w:val="bs-Latn-BA"/>
        </w:rPr>
        <w:t xml:space="preserve">Sadržaj natrijuma u šumskoj borovnici </w:t>
      </w:r>
      <w:r w:rsidRPr="00EA7E0F">
        <w:rPr>
          <w:sz w:val="24"/>
          <w:szCs w:val="24"/>
        </w:rPr>
        <w:t>(</w:t>
      </w:r>
      <w:r w:rsidRPr="00EA7E0F">
        <w:rPr>
          <w:i/>
          <w:sz w:val="24"/>
          <w:szCs w:val="24"/>
        </w:rPr>
        <w:t xml:space="preserve">Vaccinium myritillus L.) </w:t>
      </w:r>
      <w:r w:rsidRPr="00EA7E0F">
        <w:rPr>
          <w:sz w:val="24"/>
          <w:szCs w:val="24"/>
          <w:lang w:val="bs-Latn-BA"/>
        </w:rPr>
        <w:t xml:space="preserve">je nekoliko puta veći u odnosu na literatirne podatke koji iznose 0,11-0,22 mg </w:t>
      </w:r>
      <w:r w:rsidRPr="00EA7E0F">
        <w:rPr>
          <w:sz w:val="24"/>
          <w:szCs w:val="24"/>
        </w:rPr>
        <w:t xml:space="preserve">[21]. </w:t>
      </w:r>
      <w:r w:rsidRPr="00EA7E0F">
        <w:rPr>
          <w:sz w:val="24"/>
          <w:szCs w:val="24"/>
          <w:lang w:val="bs-Latn-BA"/>
        </w:rPr>
        <w:t xml:space="preserve">Sadržaj kalijuma je nešto iznad literaturnih podataka (56-80 mg), a kalcijuma znatno ispod literaturnih podataka (15-35 mg) </w:t>
      </w:r>
      <w:r w:rsidRPr="00EA7E0F">
        <w:rPr>
          <w:sz w:val="24"/>
          <w:szCs w:val="24"/>
        </w:rPr>
        <w:lastRenderedPageBreak/>
        <w:t>[21].</w:t>
      </w:r>
      <w:r w:rsidRPr="00EA7E0F">
        <w:rPr>
          <w:sz w:val="24"/>
          <w:szCs w:val="24"/>
          <w:lang w:val="bs-Latn-BA"/>
        </w:rPr>
        <w:t xml:space="preserve"> Literaturni podaci za magnezijum su 6-10 mg gvožđe su 0,15-0,60 mg </w:t>
      </w:r>
      <w:r w:rsidRPr="00EA7E0F">
        <w:rPr>
          <w:sz w:val="24"/>
          <w:szCs w:val="24"/>
        </w:rPr>
        <w:t>[21]</w:t>
      </w:r>
      <w:r w:rsidRPr="00EA7E0F">
        <w:rPr>
          <w:sz w:val="24"/>
          <w:szCs w:val="24"/>
          <w:lang w:val="bs-Latn-BA"/>
        </w:rPr>
        <w:t xml:space="preserve">, tako da su naši rezultati u skladu sa literaturnim. Sadržaj cinka je bio nešto iznad literaturnih podataka (0,06-0,12 mg), a sadržaj mangana je u skladu sa literaturnim podacima (1,2-3,9 mg) </w:t>
      </w:r>
      <w:r w:rsidRPr="00EA7E0F">
        <w:rPr>
          <w:sz w:val="24"/>
          <w:szCs w:val="24"/>
        </w:rPr>
        <w:t xml:space="preserve">[21]. </w:t>
      </w:r>
      <w:r w:rsidRPr="00EA7E0F">
        <w:rPr>
          <w:sz w:val="24"/>
          <w:szCs w:val="24"/>
          <w:lang w:val="bs-Latn-BA"/>
        </w:rPr>
        <w:t>U literaturi nismo našli podatke za sadržaj bakra i hroma tako da ih nismo mogli porediti.</w:t>
      </w:r>
    </w:p>
    <w:p w:rsidR="00944620" w:rsidRDefault="00944620" w:rsidP="00EA7E0F">
      <w:pPr>
        <w:jc w:val="both"/>
        <w:rPr>
          <w:sz w:val="24"/>
          <w:szCs w:val="24"/>
          <w:lang w:val="bs-Latn-BA"/>
        </w:rPr>
      </w:pPr>
    </w:p>
    <w:p w:rsidR="00EA7E0F" w:rsidRPr="00944620" w:rsidRDefault="00EA7E0F" w:rsidP="00EA7E0F">
      <w:pPr>
        <w:jc w:val="both"/>
        <w:rPr>
          <w:sz w:val="24"/>
          <w:szCs w:val="24"/>
        </w:rPr>
      </w:pPr>
      <w:r w:rsidRPr="00EA7E0F">
        <w:rPr>
          <w:sz w:val="24"/>
          <w:szCs w:val="24"/>
          <w:lang w:val="bs-Latn-BA"/>
        </w:rPr>
        <w:t xml:space="preserve">Takođe određivan je i sadržaj toksičnih elemenata olova i kadmijuma i u svim uzorcima on je bio ispod granice detekcije, što je ispod pravilnikom dozvoljene granice za ove elemente </w:t>
      </w:r>
      <w:r w:rsidRPr="00EA7E0F">
        <w:rPr>
          <w:sz w:val="24"/>
          <w:szCs w:val="24"/>
        </w:rPr>
        <w:t xml:space="preserve">[22]. </w:t>
      </w:r>
      <w:r w:rsidR="00944620">
        <w:rPr>
          <w:sz w:val="24"/>
          <w:szCs w:val="24"/>
        </w:rPr>
        <w:t xml:space="preserve"> </w:t>
      </w:r>
      <w:r w:rsidRPr="00EA7E0F">
        <w:rPr>
          <w:sz w:val="24"/>
          <w:szCs w:val="24"/>
          <w:lang w:val="bs-Latn-BA"/>
        </w:rPr>
        <w:t>Na slici 1. prikazano je procentno zadovoljenje RDA vrijednosti za mineralne materije prema RDA tablicama u Bosni i Hercegovini pri konzumiranju 150 g svježe šumske borovnice.</w:t>
      </w:r>
    </w:p>
    <w:p w:rsidR="00A64324" w:rsidRDefault="00A64324" w:rsidP="00953E96">
      <w:pPr>
        <w:jc w:val="both"/>
        <w:rPr>
          <w:sz w:val="24"/>
          <w:szCs w:val="24"/>
        </w:rPr>
      </w:pPr>
    </w:p>
    <w:p w:rsidR="00A64324" w:rsidRDefault="00356900" w:rsidP="00944620">
      <w:pPr>
        <w:jc w:val="center"/>
        <w:rPr>
          <w:sz w:val="24"/>
          <w:szCs w:val="24"/>
        </w:rPr>
      </w:pPr>
      <w:r>
        <w:rPr>
          <w:noProof/>
          <w:snapToGrid/>
          <w:lang w:val="bs-Latn-BA" w:eastAsia="bs-Latn-BA"/>
        </w:rPr>
        <w:drawing>
          <wp:inline distT="0" distB="0" distL="0" distR="0">
            <wp:extent cx="4933950" cy="2962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33950" cy="2962275"/>
                    </a:xfrm>
                    <a:prstGeom prst="rect">
                      <a:avLst/>
                    </a:prstGeom>
                    <a:noFill/>
                    <a:ln w="9525">
                      <a:noFill/>
                      <a:miter lim="800000"/>
                      <a:headEnd/>
                      <a:tailEnd/>
                    </a:ln>
                  </pic:spPr>
                </pic:pic>
              </a:graphicData>
            </a:graphic>
          </wp:inline>
        </w:drawing>
      </w:r>
    </w:p>
    <w:p w:rsidR="00944620" w:rsidRDefault="00944620" w:rsidP="00944620">
      <w:pPr>
        <w:jc w:val="both"/>
      </w:pPr>
      <w:r>
        <w:rPr>
          <w:lang w:val="bs-Latn-BA"/>
        </w:rPr>
        <w:t xml:space="preserve">Slika 1. </w:t>
      </w:r>
      <w:r w:rsidRPr="00157BDC">
        <w:rPr>
          <w:lang w:val="bs-Latn-BA"/>
        </w:rPr>
        <w:t>Procentno zadovoljenje RDA vrijednosti za mineralne materije prema RDA tablicama u BiH</w:t>
      </w:r>
      <w:r>
        <w:rPr>
          <w:lang w:val="bs-Latn-BA"/>
        </w:rPr>
        <w:t xml:space="preserve"> pri konzumiranju svježe šumske borovnice </w:t>
      </w:r>
      <w:r>
        <w:t>(</w:t>
      </w:r>
      <w:r>
        <w:rPr>
          <w:i/>
        </w:rPr>
        <w:t>Vaccinium myritillus L.)</w:t>
      </w:r>
    </w:p>
    <w:p w:rsidR="00944620" w:rsidRDefault="00944620" w:rsidP="00953E96">
      <w:pPr>
        <w:jc w:val="both"/>
        <w:rPr>
          <w:sz w:val="24"/>
          <w:szCs w:val="24"/>
        </w:rPr>
      </w:pPr>
    </w:p>
    <w:p w:rsidR="007148FD" w:rsidRPr="007148FD" w:rsidRDefault="007148FD" w:rsidP="007148FD">
      <w:pPr>
        <w:jc w:val="both"/>
        <w:rPr>
          <w:sz w:val="24"/>
          <w:szCs w:val="24"/>
          <w:lang w:val="bs-Latn-BA"/>
        </w:rPr>
      </w:pPr>
      <w:r w:rsidRPr="007148FD">
        <w:rPr>
          <w:sz w:val="24"/>
          <w:szCs w:val="24"/>
          <w:lang w:val="bs-Latn-BA"/>
        </w:rPr>
        <w:t>Pri konzumiranju 150 g svježe šumske borovnice izuzetno dobro zadovoljenje RDA vrijednosti za mineralne materije prema RDA tablicama u Bosni i Hercegovini je za mangan, čak 143,5%. Može se reći da je još dobro za bakar 35% i hrom 22%, za ostale elemente to zadovoljenje je neznatno i ne prelazi 6,1%. Na slici 2. prikazano je procentno zadovoljenje RDA vrijednosti za mineralne materije prema RDA tablicama u SAD za različite kategorije stanovništva pri konzumiranju 150 g svježih šumskih borovnica za odrasle i 100 g za djecu.</w:t>
      </w:r>
    </w:p>
    <w:p w:rsidR="00EA7E0F" w:rsidRDefault="00EA7E0F" w:rsidP="00953E96">
      <w:pPr>
        <w:jc w:val="both"/>
        <w:rPr>
          <w:sz w:val="24"/>
          <w:szCs w:val="24"/>
        </w:rPr>
      </w:pPr>
    </w:p>
    <w:p w:rsidR="007148FD" w:rsidRDefault="00356900" w:rsidP="007148FD">
      <w:pPr>
        <w:jc w:val="center"/>
        <w:rPr>
          <w:sz w:val="24"/>
          <w:szCs w:val="24"/>
        </w:rPr>
      </w:pPr>
      <w:r>
        <w:rPr>
          <w:noProof/>
          <w:snapToGrid/>
          <w:lang w:val="bs-Latn-BA" w:eastAsia="bs-Latn-BA"/>
        </w:rPr>
        <w:lastRenderedPageBreak/>
        <w:drawing>
          <wp:inline distT="0" distB="0" distL="0" distR="0">
            <wp:extent cx="4772025" cy="3076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772025" cy="3076575"/>
                    </a:xfrm>
                    <a:prstGeom prst="rect">
                      <a:avLst/>
                    </a:prstGeom>
                    <a:noFill/>
                    <a:ln w="9525">
                      <a:noFill/>
                      <a:miter lim="800000"/>
                      <a:headEnd/>
                      <a:tailEnd/>
                    </a:ln>
                  </pic:spPr>
                </pic:pic>
              </a:graphicData>
            </a:graphic>
          </wp:inline>
        </w:drawing>
      </w:r>
    </w:p>
    <w:p w:rsidR="007148FD" w:rsidRPr="0063354A" w:rsidRDefault="007148FD" w:rsidP="0063354A">
      <w:pPr>
        <w:jc w:val="both"/>
        <w:rPr>
          <w:lang w:val="bs-Latn-BA"/>
        </w:rPr>
      </w:pPr>
      <w:r w:rsidRPr="0063354A">
        <w:rPr>
          <w:lang w:val="bs-Latn-BA"/>
        </w:rPr>
        <w:t xml:space="preserve">Slika 2. Procentno zadovoljenje RDA vrijednosti za mineralne materije prema RDA </w:t>
      </w:r>
      <w:r w:rsidR="0063354A">
        <w:rPr>
          <w:lang w:val="bs-Latn-BA"/>
        </w:rPr>
        <w:t xml:space="preserve"> </w:t>
      </w:r>
      <w:r w:rsidRPr="0063354A">
        <w:rPr>
          <w:lang w:val="bs-Latn-BA"/>
        </w:rPr>
        <w:t>tablicama u SAD za različite kategorije stanovništva pri konzumiranju svježe šumske</w:t>
      </w:r>
      <w:r w:rsidR="0063354A">
        <w:rPr>
          <w:lang w:val="bs-Latn-BA"/>
        </w:rPr>
        <w:t xml:space="preserve"> </w:t>
      </w:r>
      <w:r w:rsidRPr="0063354A">
        <w:rPr>
          <w:lang w:val="bs-Latn-BA"/>
        </w:rPr>
        <w:t>borovnice</w:t>
      </w:r>
    </w:p>
    <w:p w:rsidR="00EA7E0F" w:rsidRDefault="00EA7E0F" w:rsidP="00953E96">
      <w:pPr>
        <w:jc w:val="both"/>
        <w:rPr>
          <w:sz w:val="24"/>
          <w:szCs w:val="24"/>
        </w:rPr>
      </w:pPr>
    </w:p>
    <w:p w:rsidR="0063354A" w:rsidRPr="00215FCB" w:rsidRDefault="0063354A" w:rsidP="0063354A">
      <w:pPr>
        <w:jc w:val="both"/>
        <w:rPr>
          <w:sz w:val="24"/>
          <w:szCs w:val="24"/>
          <w:lang w:val="bs-Latn-BA"/>
        </w:rPr>
      </w:pPr>
      <w:r w:rsidRPr="00215FCB">
        <w:rPr>
          <w:sz w:val="24"/>
          <w:szCs w:val="24"/>
          <w:lang w:val="bs-Latn-BA"/>
        </w:rPr>
        <w:t>Prema RDA tablicama za mineralne materije u SAD najbolje zadovoljenje RDA vrijednosti pri konzumiranju svježe šumske borovnice je za mangan za sve kategorije stanovništva, ćak 159,4% kod žena, a dobro je još i za bakar i hrom.</w:t>
      </w:r>
    </w:p>
    <w:p w:rsidR="007148FD" w:rsidRDefault="007148FD" w:rsidP="00953E96">
      <w:pPr>
        <w:jc w:val="both"/>
        <w:rPr>
          <w:sz w:val="24"/>
          <w:szCs w:val="24"/>
        </w:rPr>
      </w:pPr>
    </w:p>
    <w:p w:rsidR="009F234E" w:rsidRPr="00953E96" w:rsidRDefault="009F234E" w:rsidP="009F234E">
      <w:pPr>
        <w:jc w:val="center"/>
        <w:rPr>
          <w:b/>
          <w:sz w:val="24"/>
          <w:szCs w:val="24"/>
          <w:lang w:val="sr-Latn-BA"/>
        </w:rPr>
      </w:pPr>
      <w:r w:rsidRPr="00953E96">
        <w:rPr>
          <w:b/>
          <w:sz w:val="24"/>
          <w:szCs w:val="24"/>
          <w:lang w:val="sr-Latn-BA"/>
        </w:rPr>
        <w:t>ZAKLJUČCI</w:t>
      </w:r>
    </w:p>
    <w:p w:rsidR="009F234E" w:rsidRDefault="009F234E" w:rsidP="009F234E">
      <w:pPr>
        <w:jc w:val="both"/>
        <w:rPr>
          <w:sz w:val="24"/>
          <w:szCs w:val="24"/>
          <w:lang w:val="bs-Latn-BA"/>
        </w:rPr>
      </w:pPr>
    </w:p>
    <w:p w:rsidR="00215FCB" w:rsidRPr="009F234E" w:rsidRDefault="00215FCB" w:rsidP="009F234E">
      <w:pPr>
        <w:jc w:val="both"/>
        <w:rPr>
          <w:sz w:val="24"/>
          <w:szCs w:val="24"/>
          <w:lang w:val="bs-Latn-BA"/>
        </w:rPr>
      </w:pPr>
      <w:r w:rsidRPr="009F234E">
        <w:rPr>
          <w:sz w:val="24"/>
          <w:szCs w:val="24"/>
          <w:lang w:val="bs-Latn-BA"/>
        </w:rPr>
        <w:t>Sadržaj suve materije i šećera kod svježe šumske borovnice sa banjalučke regije je nešto veći u odnosu na literaturne podatke, a</w:t>
      </w:r>
      <w:r w:rsidR="009F234E">
        <w:rPr>
          <w:sz w:val="24"/>
          <w:szCs w:val="24"/>
          <w:lang w:val="bs-Latn-BA"/>
        </w:rPr>
        <w:t xml:space="preserve"> sadržaj ukupnih kiselina i pep</w:t>
      </w:r>
      <w:r w:rsidRPr="009F234E">
        <w:rPr>
          <w:sz w:val="24"/>
          <w:szCs w:val="24"/>
          <w:lang w:val="bs-Latn-BA"/>
        </w:rPr>
        <w:t>ela je u skladu sa literaturnim podacima. Što se tiče pojedinih elemenata, sadržaj magnezijuma, gvožđa i mangana kod svježe šumske borovnice je u skladu sa literaturnim podacima. Sadržaj kalijuma je na gornjoj granici intervala koji je dat u literaturi. Sadržaj kalcijuma je znatno manji od literaturnih, a cinka skoro duplo veći od literaturnih. Sadržaj natrijuma je čak četri puta veći od literaturnih. Svježa šumska borovnica predstavlja dobar izvor u ishrani za mangan, bakar i hrom. Za ostale elemente nije dobar izvor u ishrani.</w:t>
      </w:r>
    </w:p>
    <w:p w:rsidR="00953E96" w:rsidRDefault="00953E96" w:rsidP="00953E96">
      <w:pPr>
        <w:spacing w:after="120"/>
        <w:jc w:val="both"/>
        <w:rPr>
          <w:sz w:val="24"/>
          <w:szCs w:val="24"/>
        </w:rPr>
      </w:pPr>
    </w:p>
    <w:p w:rsidR="006828CE" w:rsidRDefault="006828CE" w:rsidP="006828CE">
      <w:pPr>
        <w:jc w:val="center"/>
        <w:rPr>
          <w:b/>
          <w:sz w:val="24"/>
          <w:szCs w:val="24"/>
          <w:lang w:val="sr-Latn-BA"/>
        </w:rPr>
      </w:pPr>
      <w:r>
        <w:rPr>
          <w:b/>
          <w:sz w:val="24"/>
          <w:szCs w:val="24"/>
          <w:lang w:val="sr-Latn-BA"/>
        </w:rPr>
        <w:t>LITERATURA</w:t>
      </w:r>
    </w:p>
    <w:p w:rsidR="001A6B37" w:rsidRDefault="001A6B37" w:rsidP="006828CE">
      <w:pPr>
        <w:jc w:val="center"/>
        <w:rPr>
          <w:b/>
          <w:sz w:val="24"/>
          <w:szCs w:val="24"/>
          <w:lang w:val="sr-Latn-BA"/>
        </w:rPr>
      </w:pPr>
    </w:p>
    <w:p w:rsidR="001A6B37" w:rsidRPr="00D711BC" w:rsidRDefault="001A6B37" w:rsidP="001A6B37">
      <w:pPr>
        <w:tabs>
          <w:tab w:val="num" w:pos="540"/>
        </w:tabs>
        <w:jc w:val="both"/>
        <w:rPr>
          <w:sz w:val="24"/>
          <w:szCs w:val="24"/>
          <w:lang w:val="bs-Latn-BA"/>
        </w:rPr>
      </w:pPr>
      <w:r w:rsidRPr="00D711BC">
        <w:rPr>
          <w:sz w:val="24"/>
          <w:szCs w:val="24"/>
          <w:lang w:val="bs-Latn-BA"/>
        </w:rPr>
        <w:t>[1] Jašić M., Tehnologija voća i povrća, Tehnološki fakultet Tuzla, Tuzla (2007), str. 212.</w:t>
      </w:r>
    </w:p>
    <w:p w:rsidR="001A6B37" w:rsidRPr="00D711BC" w:rsidRDefault="001A6B37" w:rsidP="00D711BC">
      <w:pPr>
        <w:tabs>
          <w:tab w:val="num" w:pos="540"/>
        </w:tabs>
        <w:ind w:left="284" w:hanging="284"/>
        <w:jc w:val="both"/>
        <w:rPr>
          <w:sz w:val="24"/>
          <w:szCs w:val="24"/>
          <w:lang w:val="bs-Latn-BA"/>
        </w:rPr>
      </w:pPr>
      <w:r w:rsidRPr="00D711BC">
        <w:rPr>
          <w:sz w:val="24"/>
          <w:szCs w:val="24"/>
          <w:lang w:val="bs-Latn-BA"/>
        </w:rPr>
        <w:t xml:space="preserve">[2] Šarić B., Iskorišćenje tropa borovnice i maline u formulaciji bezglutenskog keksa sa </w:t>
      </w:r>
      <w:r w:rsidR="00D711BC">
        <w:rPr>
          <w:sz w:val="24"/>
          <w:szCs w:val="24"/>
          <w:lang w:val="bs-Latn-BA"/>
        </w:rPr>
        <w:t xml:space="preserve">  </w:t>
      </w:r>
      <w:r w:rsidRPr="00D711BC">
        <w:rPr>
          <w:sz w:val="24"/>
          <w:szCs w:val="24"/>
          <w:lang w:val="bs-Latn-BA"/>
        </w:rPr>
        <w:t>dodatom</w:t>
      </w:r>
      <w:r w:rsidR="00D711BC">
        <w:rPr>
          <w:sz w:val="24"/>
          <w:szCs w:val="24"/>
          <w:lang w:val="bs-Latn-BA"/>
        </w:rPr>
        <w:t xml:space="preserve"> </w:t>
      </w:r>
      <w:r w:rsidRPr="00D711BC">
        <w:rPr>
          <w:sz w:val="24"/>
          <w:szCs w:val="24"/>
          <w:lang w:val="bs-Latn-BA"/>
        </w:rPr>
        <w:t>vrednošću, doktorska disertacija, tehnološki fakultet Novi Sad, (2016) str.31.</w:t>
      </w:r>
    </w:p>
    <w:p w:rsidR="001A6B37" w:rsidRPr="00D711BC" w:rsidRDefault="001A6B37" w:rsidP="00D711BC">
      <w:pPr>
        <w:tabs>
          <w:tab w:val="num" w:pos="540"/>
        </w:tabs>
        <w:ind w:left="284" w:hanging="284"/>
        <w:jc w:val="both"/>
        <w:rPr>
          <w:sz w:val="24"/>
          <w:szCs w:val="24"/>
          <w:lang w:val="bs-Latn-BA"/>
        </w:rPr>
      </w:pPr>
      <w:r w:rsidRPr="00D711BC">
        <w:rPr>
          <w:sz w:val="24"/>
          <w:szCs w:val="24"/>
          <w:lang w:val="bs-Latn-BA"/>
        </w:rPr>
        <w:t xml:space="preserve">[3] Vasilišin L., Zadovoljenje RDA vrijednosti za mineralne materije voća u ishrani, doktorska disertacija, </w:t>
      </w:r>
      <w:r w:rsidR="00D711BC">
        <w:rPr>
          <w:sz w:val="24"/>
          <w:szCs w:val="24"/>
          <w:lang w:val="bs-Latn-BA"/>
        </w:rPr>
        <w:t xml:space="preserve"> </w:t>
      </w:r>
      <w:r w:rsidRPr="00D711BC">
        <w:rPr>
          <w:sz w:val="24"/>
          <w:szCs w:val="24"/>
          <w:lang w:val="bs-Latn-BA"/>
        </w:rPr>
        <w:t>Tehnološki fakultet Banja Luka, (2014), str.2.</w:t>
      </w:r>
    </w:p>
    <w:p w:rsidR="001A6B37" w:rsidRPr="00D711BC" w:rsidRDefault="001A6B37" w:rsidP="001A6B37">
      <w:pPr>
        <w:tabs>
          <w:tab w:val="num" w:pos="540"/>
        </w:tabs>
        <w:jc w:val="both"/>
        <w:rPr>
          <w:b/>
          <w:bCs/>
          <w:sz w:val="24"/>
          <w:szCs w:val="24"/>
          <w:lang w:val="bs-Latn-BA"/>
        </w:rPr>
      </w:pPr>
      <w:r w:rsidRPr="00D711BC">
        <w:rPr>
          <w:sz w:val="24"/>
          <w:szCs w:val="24"/>
          <w:lang w:val="bs-Latn-BA"/>
        </w:rPr>
        <w:t>[4] Soares M.J., Chang She Ping-Deflos W., Ghanbari M.H.,</w:t>
      </w:r>
      <w:r w:rsidRPr="00D711BC">
        <w:rPr>
          <w:b/>
          <w:bCs/>
          <w:sz w:val="24"/>
          <w:szCs w:val="24"/>
          <w:lang w:val="bs-Latn-BA"/>
        </w:rPr>
        <w:t xml:space="preserve"> </w:t>
      </w:r>
      <w:r w:rsidRPr="00D711BC">
        <w:rPr>
          <w:sz w:val="24"/>
          <w:szCs w:val="24"/>
          <w:lang w:val="bs-Latn-BA"/>
        </w:rPr>
        <w:t xml:space="preserve">Eur. J. of Clin. Nutr. </w:t>
      </w:r>
      <w:r w:rsidRPr="00D711BC">
        <w:rPr>
          <w:bCs/>
          <w:sz w:val="24"/>
          <w:szCs w:val="24"/>
          <w:lang w:val="bs-Latn-BA"/>
        </w:rPr>
        <w:t>65</w:t>
      </w:r>
      <w:r w:rsidRPr="00D711BC">
        <w:rPr>
          <w:b/>
          <w:bCs/>
          <w:sz w:val="24"/>
          <w:szCs w:val="24"/>
          <w:lang w:val="bs-Latn-BA"/>
        </w:rPr>
        <w:t xml:space="preserve"> </w:t>
      </w:r>
      <w:r w:rsidRPr="00D711BC">
        <w:rPr>
          <w:bCs/>
          <w:sz w:val="24"/>
          <w:szCs w:val="24"/>
          <w:lang w:val="bs-Latn-BA"/>
        </w:rPr>
        <w:t>(2011</w:t>
      </w:r>
      <w:r w:rsidRPr="00D711BC">
        <w:rPr>
          <w:b/>
          <w:bCs/>
          <w:sz w:val="24"/>
          <w:szCs w:val="24"/>
          <w:lang w:val="bs-Latn-BA"/>
        </w:rPr>
        <w:t xml:space="preserve">) </w:t>
      </w:r>
    </w:p>
    <w:p w:rsidR="001A6B37" w:rsidRPr="00D711BC" w:rsidRDefault="001A6B37" w:rsidP="001A6B37">
      <w:pPr>
        <w:tabs>
          <w:tab w:val="num" w:pos="540"/>
        </w:tabs>
        <w:jc w:val="both"/>
        <w:rPr>
          <w:sz w:val="24"/>
          <w:szCs w:val="24"/>
          <w:lang w:val="bs-Latn-BA"/>
        </w:rPr>
      </w:pPr>
      <w:r w:rsidRPr="00D711BC">
        <w:rPr>
          <w:b/>
          <w:bCs/>
          <w:sz w:val="24"/>
          <w:szCs w:val="24"/>
          <w:lang w:val="bs-Latn-BA"/>
        </w:rPr>
        <w:t xml:space="preserve">     </w:t>
      </w:r>
      <w:r w:rsidRPr="00D711BC">
        <w:rPr>
          <w:sz w:val="24"/>
          <w:szCs w:val="24"/>
          <w:lang w:val="bs-Latn-BA"/>
        </w:rPr>
        <w:t>994-1004.</w:t>
      </w:r>
    </w:p>
    <w:p w:rsidR="001A6B37" w:rsidRPr="00D711BC" w:rsidRDefault="001A6B37" w:rsidP="000C2641">
      <w:pPr>
        <w:tabs>
          <w:tab w:val="num" w:pos="540"/>
        </w:tabs>
        <w:ind w:left="284" w:hanging="284"/>
        <w:jc w:val="both"/>
        <w:rPr>
          <w:sz w:val="24"/>
          <w:szCs w:val="24"/>
          <w:lang w:val="bs-Latn-BA"/>
        </w:rPr>
      </w:pPr>
      <w:r w:rsidRPr="00D711BC">
        <w:rPr>
          <w:sz w:val="24"/>
          <w:szCs w:val="24"/>
          <w:lang w:val="bs-Latn-BA"/>
        </w:rPr>
        <w:t>[5] Weaver C.M., Heaney R.P., Shils M.,  Olson J.A., Shike M., RossA.C., Calcium In, Modern</w:t>
      </w:r>
      <w:r w:rsidR="00D711BC">
        <w:rPr>
          <w:sz w:val="24"/>
          <w:szCs w:val="24"/>
          <w:lang w:val="bs-Latn-BA"/>
        </w:rPr>
        <w:t xml:space="preserve"> </w:t>
      </w:r>
      <w:r w:rsidRPr="00D711BC">
        <w:rPr>
          <w:sz w:val="24"/>
          <w:szCs w:val="24"/>
          <w:lang w:val="bs-Latn-BA"/>
        </w:rPr>
        <w:t>Nutrition in Health and Disease, 9th ed., Lippincott Williams&amp;Willins, Baltimore, (1999), p.</w:t>
      </w:r>
      <w:r w:rsidR="00D711BC">
        <w:rPr>
          <w:sz w:val="24"/>
          <w:szCs w:val="24"/>
          <w:lang w:val="bs-Latn-BA"/>
        </w:rPr>
        <w:t xml:space="preserve"> </w:t>
      </w:r>
      <w:r w:rsidRPr="00D711BC">
        <w:rPr>
          <w:sz w:val="24"/>
          <w:szCs w:val="24"/>
          <w:lang w:val="bs-Latn-BA"/>
        </w:rPr>
        <w:t>141-155.</w:t>
      </w:r>
    </w:p>
    <w:p w:rsidR="001A6B37" w:rsidRPr="00D711BC" w:rsidRDefault="001A6B37" w:rsidP="001A6B37">
      <w:pPr>
        <w:tabs>
          <w:tab w:val="num" w:pos="540"/>
        </w:tabs>
        <w:jc w:val="both"/>
        <w:rPr>
          <w:sz w:val="24"/>
          <w:szCs w:val="24"/>
          <w:lang w:val="bs-Latn-BA"/>
        </w:rPr>
      </w:pPr>
      <w:r w:rsidRPr="00D711BC">
        <w:rPr>
          <w:sz w:val="24"/>
          <w:szCs w:val="24"/>
          <w:lang w:val="bs-Latn-BA"/>
        </w:rPr>
        <w:t>[6] Službeni Glasnik BiH 78/12,</w:t>
      </w:r>
      <w:r w:rsidRPr="00D711BC">
        <w:rPr>
          <w:b/>
          <w:sz w:val="24"/>
          <w:szCs w:val="24"/>
          <w:lang w:val="bs-Latn-BA"/>
        </w:rPr>
        <w:t xml:space="preserve"> </w:t>
      </w:r>
      <w:r w:rsidRPr="00D711BC">
        <w:rPr>
          <w:sz w:val="24"/>
          <w:szCs w:val="24"/>
          <w:lang w:val="bs-Latn-BA"/>
        </w:rPr>
        <w:t>Pravilnik o označavanju hranjivih vrijednosti hrane, (2012).</w:t>
      </w:r>
    </w:p>
    <w:p w:rsidR="001A6B37" w:rsidRPr="00D711BC" w:rsidRDefault="001A6B37" w:rsidP="001A6B37">
      <w:pPr>
        <w:tabs>
          <w:tab w:val="num" w:pos="540"/>
        </w:tabs>
        <w:jc w:val="both"/>
        <w:rPr>
          <w:sz w:val="24"/>
          <w:szCs w:val="24"/>
          <w:lang w:val="bs-Latn-BA"/>
        </w:rPr>
      </w:pPr>
      <w:r w:rsidRPr="00D711BC">
        <w:rPr>
          <w:sz w:val="24"/>
          <w:szCs w:val="24"/>
          <w:lang w:val="bs-Latn-BA"/>
        </w:rPr>
        <w:t>[7] FNB, Dietary Reference Intakes for Calcium, Phosphorous, Magnesium, Vitamin D and</w:t>
      </w:r>
    </w:p>
    <w:p w:rsidR="001A6B37" w:rsidRPr="00D711BC" w:rsidRDefault="001A6B37" w:rsidP="001A6B37">
      <w:pPr>
        <w:tabs>
          <w:tab w:val="num" w:pos="540"/>
        </w:tabs>
        <w:jc w:val="both"/>
        <w:rPr>
          <w:sz w:val="24"/>
          <w:szCs w:val="24"/>
          <w:lang w:val="bs-Latn-BA"/>
        </w:rPr>
      </w:pPr>
      <w:r w:rsidRPr="00D711BC">
        <w:rPr>
          <w:sz w:val="24"/>
          <w:szCs w:val="24"/>
          <w:lang w:val="bs-Latn-BA"/>
        </w:rPr>
        <w:lastRenderedPageBreak/>
        <w:t xml:space="preserve">     Fluoride, Institute of Medicine, National Academies, Washington, D.C. (1997)</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[8] FNB, </w:t>
      </w:r>
      <w:r w:rsidRPr="00D711BC">
        <w:rPr>
          <w:b/>
          <w:bCs/>
          <w:sz w:val="24"/>
          <w:szCs w:val="24"/>
          <w:lang w:val="bs-Latn-BA"/>
        </w:rPr>
        <w:t xml:space="preserve"> </w:t>
      </w:r>
      <w:r w:rsidRPr="00D711BC">
        <w:rPr>
          <w:sz w:val="24"/>
          <w:szCs w:val="24"/>
          <w:lang w:val="bs-Latn-BA"/>
        </w:rPr>
        <w:t>Dietary Reference Intakes  for Water, Potasium, Sodium, Chloride and Sulfate,</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      Institute of Medicine, National Academies, Washington, D.C., (2005).</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[9] MandićM.L., Kenjarić D, Perl Pirički A., Int. J. of Food and Nutr., </w:t>
      </w:r>
      <w:r w:rsidRPr="00D711BC">
        <w:rPr>
          <w:bCs/>
          <w:sz w:val="24"/>
          <w:szCs w:val="24"/>
          <w:lang w:val="bs-Latn-BA"/>
        </w:rPr>
        <w:t>60</w:t>
      </w:r>
      <w:r w:rsidRPr="00D711BC">
        <w:rPr>
          <w:b/>
          <w:bCs/>
          <w:sz w:val="24"/>
          <w:szCs w:val="24"/>
          <w:lang w:val="bs-Latn-BA"/>
        </w:rPr>
        <w:t xml:space="preserve"> </w:t>
      </w:r>
      <w:r w:rsidRPr="00D711BC">
        <w:rPr>
          <w:sz w:val="24"/>
          <w:szCs w:val="24"/>
          <w:lang w:val="bs-Latn-BA"/>
        </w:rPr>
        <w:t>(S5) (2007) 77-87.</w:t>
      </w:r>
    </w:p>
    <w:p w:rsidR="001A6B37" w:rsidRPr="00D711BC" w:rsidRDefault="001A6B37" w:rsidP="000C2641">
      <w:pPr>
        <w:tabs>
          <w:tab w:val="num" w:pos="540"/>
        </w:tabs>
        <w:ind w:left="426" w:hanging="426"/>
        <w:jc w:val="both"/>
        <w:rPr>
          <w:sz w:val="24"/>
          <w:szCs w:val="24"/>
          <w:lang w:val="bs-Latn-BA"/>
        </w:rPr>
      </w:pPr>
      <w:r w:rsidRPr="00D711BC">
        <w:rPr>
          <w:sz w:val="24"/>
          <w:szCs w:val="24"/>
          <w:lang w:val="bs-Latn-BA"/>
        </w:rPr>
        <w:t>[10] Sheng H-W., Stipanuk M., Biochemical and Physiological Aspekt of Human Nutrition, W.B. Saunders</w:t>
      </w:r>
      <w:r w:rsidR="000C2641">
        <w:rPr>
          <w:sz w:val="24"/>
          <w:szCs w:val="24"/>
          <w:lang w:val="bs-Latn-BA"/>
        </w:rPr>
        <w:t xml:space="preserve"> </w:t>
      </w:r>
      <w:r w:rsidRPr="00D711BC">
        <w:rPr>
          <w:sz w:val="24"/>
          <w:szCs w:val="24"/>
          <w:lang w:val="bs-Latn-BA"/>
        </w:rPr>
        <w:t>Company, Philadelphia, (2000) p223-247.</w:t>
      </w:r>
    </w:p>
    <w:p w:rsidR="001A6B37" w:rsidRPr="00D711BC" w:rsidRDefault="001A6B37" w:rsidP="001A6B37">
      <w:pPr>
        <w:tabs>
          <w:tab w:val="num" w:pos="540"/>
        </w:tabs>
        <w:jc w:val="both"/>
        <w:rPr>
          <w:sz w:val="24"/>
          <w:szCs w:val="24"/>
          <w:lang w:val="bs-Latn-BA"/>
        </w:rPr>
      </w:pPr>
      <w:r w:rsidRPr="00D711BC">
        <w:rPr>
          <w:sz w:val="24"/>
          <w:szCs w:val="24"/>
          <w:lang w:val="bs-Latn-BA"/>
        </w:rPr>
        <w:t>[11] Shils M.E., O'Dell B.L., Sunde R.A., Magnesium. In, Handbook in nutritionally essential</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        minerals, Marcel Dekker Inc., New York (1997) p. 117-152.</w:t>
      </w:r>
    </w:p>
    <w:p w:rsidR="001A6B37" w:rsidRPr="00D711BC" w:rsidRDefault="001A6B37" w:rsidP="001A6B37">
      <w:pPr>
        <w:tabs>
          <w:tab w:val="num" w:pos="540"/>
        </w:tabs>
        <w:rPr>
          <w:sz w:val="24"/>
          <w:szCs w:val="24"/>
          <w:lang w:val="bs-Latn-BA"/>
        </w:rPr>
      </w:pPr>
      <w:r w:rsidRPr="00D711BC">
        <w:rPr>
          <w:sz w:val="24"/>
          <w:szCs w:val="24"/>
          <w:lang w:val="bs-Latn-BA"/>
        </w:rPr>
        <w:t>[12] Grujić R.</w:t>
      </w:r>
      <w:r w:rsidRPr="00D711BC">
        <w:rPr>
          <w:b/>
          <w:bCs/>
          <w:sz w:val="24"/>
          <w:szCs w:val="24"/>
          <w:lang w:val="bs-Latn-BA"/>
        </w:rPr>
        <w:t xml:space="preserve">, </w:t>
      </w:r>
      <w:r w:rsidRPr="00D711BC">
        <w:rPr>
          <w:sz w:val="24"/>
          <w:szCs w:val="24"/>
          <w:lang w:val="bs-Latn-BA"/>
        </w:rPr>
        <w:t xml:space="preserve"> Nauka o ishrani čovjeka, Tehnološki fakultet, Banja Luka, (2000).</w:t>
      </w:r>
    </w:p>
    <w:p w:rsidR="001A6B37" w:rsidRPr="00D711BC" w:rsidRDefault="001A6B37" w:rsidP="001A6B37">
      <w:pPr>
        <w:tabs>
          <w:tab w:val="num" w:pos="540"/>
        </w:tabs>
        <w:jc w:val="both"/>
        <w:rPr>
          <w:sz w:val="24"/>
          <w:szCs w:val="24"/>
          <w:lang w:val="bs-Latn-BA"/>
        </w:rPr>
      </w:pPr>
      <w:r w:rsidRPr="00D711BC">
        <w:rPr>
          <w:sz w:val="24"/>
          <w:szCs w:val="24"/>
          <w:lang w:val="bs-Latn-BA"/>
        </w:rPr>
        <w:t>[13] Yip R., Dallman P.R., Ziegler E.E., FilerL.J., Iron.In, Present Knowledge in Nutrition, 7th.ed., ILSI Press, Washington, D.C. 1996 p. 277-292.</w:t>
      </w:r>
    </w:p>
    <w:p w:rsidR="001A6B37" w:rsidRPr="00D711BC" w:rsidRDefault="001A6B37" w:rsidP="001A6B37">
      <w:pPr>
        <w:tabs>
          <w:tab w:val="num" w:pos="540"/>
        </w:tabs>
        <w:jc w:val="both"/>
        <w:rPr>
          <w:sz w:val="24"/>
          <w:szCs w:val="24"/>
          <w:lang w:val="bs-Latn-BA"/>
        </w:rPr>
      </w:pPr>
      <w:r w:rsidRPr="00D711BC">
        <w:rPr>
          <w:sz w:val="24"/>
          <w:szCs w:val="24"/>
          <w:lang w:val="bs-Latn-BA"/>
        </w:rPr>
        <w:t>[14] FNB, Dietary Reference Intakes for Vitamin A, Vitamin K, Arsenic, Boron, Chromium,</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       Cooper, Iodin, Iron, Manganese, Molybdenum, Nickel, Silicon, Vanadium and Zinc,</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       Institute of Medicine, National Academies, Washington, D.C. (2001).</w:t>
      </w:r>
    </w:p>
    <w:p w:rsidR="001A6B37" w:rsidRPr="00D711BC" w:rsidRDefault="001A6B37" w:rsidP="000C2641">
      <w:pPr>
        <w:tabs>
          <w:tab w:val="num" w:pos="540"/>
        </w:tabs>
        <w:ind w:left="426" w:hanging="426"/>
        <w:jc w:val="both"/>
        <w:rPr>
          <w:sz w:val="24"/>
          <w:szCs w:val="24"/>
          <w:lang w:val="bs-Latn-BA"/>
        </w:rPr>
      </w:pPr>
      <w:r w:rsidRPr="00D711BC">
        <w:rPr>
          <w:sz w:val="24"/>
          <w:szCs w:val="24"/>
          <w:lang w:val="bs-Latn-BA"/>
        </w:rPr>
        <w:t>[15]  McCall K.A., Huang C., Fierke C.A., Funktion and mechanism of zink metalloenzymes, J.</w:t>
      </w:r>
      <w:r w:rsidR="000C2641">
        <w:rPr>
          <w:sz w:val="24"/>
          <w:szCs w:val="24"/>
          <w:lang w:val="bs-Latn-BA"/>
        </w:rPr>
        <w:t xml:space="preserve"> </w:t>
      </w:r>
      <w:r w:rsidRPr="00D711BC">
        <w:rPr>
          <w:sz w:val="24"/>
          <w:szCs w:val="24"/>
          <w:lang w:val="bs-Latn-BA"/>
        </w:rPr>
        <w:t>Nutr., 130(5S Supll.) (2000) 1437-1446</w:t>
      </w:r>
    </w:p>
    <w:p w:rsidR="001A6B37" w:rsidRPr="00D711BC" w:rsidRDefault="001A6B37" w:rsidP="001A6B37">
      <w:pPr>
        <w:tabs>
          <w:tab w:val="num" w:pos="540"/>
        </w:tabs>
        <w:jc w:val="both"/>
        <w:rPr>
          <w:sz w:val="24"/>
          <w:szCs w:val="24"/>
          <w:lang w:val="bs-Latn-BA"/>
        </w:rPr>
      </w:pPr>
      <w:r w:rsidRPr="00D711BC">
        <w:rPr>
          <w:sz w:val="24"/>
          <w:szCs w:val="24"/>
          <w:lang w:val="bs-Latn-BA"/>
        </w:rPr>
        <w:t>[16] Lehninger A., Principles of biochemistry, Worth Publishers,Inc., (1985) p. 294-298.</w:t>
      </w:r>
    </w:p>
    <w:p w:rsidR="001A6B37" w:rsidRPr="00D711BC" w:rsidRDefault="001A6B37" w:rsidP="001A6B37">
      <w:pPr>
        <w:tabs>
          <w:tab w:val="num" w:pos="540"/>
        </w:tabs>
        <w:jc w:val="both"/>
        <w:rPr>
          <w:sz w:val="24"/>
          <w:szCs w:val="24"/>
          <w:lang w:val="bs-Latn-BA"/>
        </w:rPr>
      </w:pPr>
      <w:r w:rsidRPr="00D711BC">
        <w:rPr>
          <w:sz w:val="24"/>
          <w:szCs w:val="24"/>
          <w:lang w:val="bs-Latn-BA"/>
        </w:rPr>
        <w:t>[17] Mertz W.,</w:t>
      </w:r>
      <w:r w:rsidRPr="00D711BC">
        <w:rPr>
          <w:b/>
          <w:bCs/>
          <w:sz w:val="24"/>
          <w:szCs w:val="24"/>
          <w:lang w:val="bs-Latn-BA"/>
        </w:rPr>
        <w:t xml:space="preserve"> </w:t>
      </w:r>
      <w:r w:rsidRPr="00D711BC">
        <w:rPr>
          <w:sz w:val="24"/>
          <w:szCs w:val="24"/>
          <w:lang w:val="bs-Latn-BA"/>
        </w:rPr>
        <w:t xml:space="preserve">Chromium in human nutrition, A review. J. Nutr., </w:t>
      </w:r>
      <w:r w:rsidRPr="00D711BC">
        <w:rPr>
          <w:bCs/>
          <w:sz w:val="24"/>
          <w:szCs w:val="24"/>
          <w:lang w:val="bs-Latn-BA"/>
        </w:rPr>
        <w:t>123</w:t>
      </w:r>
      <w:r w:rsidRPr="00D711BC">
        <w:rPr>
          <w:sz w:val="24"/>
          <w:szCs w:val="24"/>
          <w:lang w:val="bs-Latn-BA"/>
        </w:rPr>
        <w:t xml:space="preserve"> (1993) 626-633</w:t>
      </w:r>
    </w:p>
    <w:p w:rsidR="001A6B37" w:rsidRPr="00D711BC" w:rsidRDefault="001A6B37" w:rsidP="000C2641">
      <w:pPr>
        <w:tabs>
          <w:tab w:val="num" w:pos="540"/>
        </w:tabs>
        <w:ind w:left="426" w:hanging="426"/>
        <w:jc w:val="both"/>
        <w:rPr>
          <w:sz w:val="24"/>
          <w:szCs w:val="24"/>
          <w:lang w:val="bs-Latn-BA"/>
        </w:rPr>
      </w:pPr>
      <w:r w:rsidRPr="00D711BC">
        <w:rPr>
          <w:sz w:val="24"/>
          <w:szCs w:val="24"/>
          <w:lang w:val="bs-Latn-BA"/>
        </w:rPr>
        <w:t>[18] Grujić R., Marjanović N., Popov-Raljić J., Kvalitet i analiza namirnica, Tehnološki fakultet Banja Luka, Banja Luka, (2007) str. 11.</w:t>
      </w:r>
    </w:p>
    <w:p w:rsidR="001A6B37" w:rsidRPr="00D711BC" w:rsidRDefault="001A6B37" w:rsidP="001A6B37">
      <w:pPr>
        <w:tabs>
          <w:tab w:val="num" w:pos="540"/>
        </w:tabs>
        <w:jc w:val="both"/>
        <w:rPr>
          <w:sz w:val="24"/>
          <w:szCs w:val="24"/>
          <w:lang w:val="bs-Latn-BA"/>
        </w:rPr>
      </w:pPr>
      <w:r w:rsidRPr="00D711BC">
        <w:rPr>
          <w:sz w:val="24"/>
          <w:szCs w:val="24"/>
          <w:lang w:val="bs-Latn-BA"/>
        </w:rPr>
        <w:t>[19] AOAC, Official methods of Analisys AOAC International 17</w:t>
      </w:r>
      <w:r w:rsidRPr="00D711BC">
        <w:rPr>
          <w:sz w:val="24"/>
          <w:szCs w:val="24"/>
          <w:vertAlign w:val="superscript"/>
          <w:lang w:val="bs-Latn-BA"/>
        </w:rPr>
        <w:t>th</w:t>
      </w:r>
      <w:r w:rsidRPr="00D711BC">
        <w:rPr>
          <w:sz w:val="24"/>
          <w:szCs w:val="24"/>
          <w:lang w:val="bs-Latn-BA"/>
        </w:rPr>
        <w:t xml:space="preserve"> edition, Gaithersburg, </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       Maryland USA. 2000</w:t>
      </w:r>
    </w:p>
    <w:p w:rsidR="001A6B37" w:rsidRPr="00D711BC" w:rsidRDefault="001A6B37" w:rsidP="001A6B37">
      <w:pPr>
        <w:tabs>
          <w:tab w:val="num" w:pos="540"/>
        </w:tabs>
        <w:jc w:val="both"/>
        <w:rPr>
          <w:sz w:val="24"/>
          <w:szCs w:val="24"/>
          <w:lang w:val="bs-Latn-BA"/>
        </w:rPr>
      </w:pPr>
      <w:r w:rsidRPr="00D711BC">
        <w:rPr>
          <w:sz w:val="24"/>
          <w:szCs w:val="24"/>
          <w:lang w:val="bs-Latn-BA"/>
        </w:rPr>
        <w:t>[20] Trajković J., Baras J., Mirić M., Šiler S., Analize životnih namirnica, Tehnološko-</w:t>
      </w:r>
    </w:p>
    <w:p w:rsidR="001A6B37" w:rsidRPr="00D711BC" w:rsidRDefault="001A6B37" w:rsidP="001A6B37">
      <w:pPr>
        <w:tabs>
          <w:tab w:val="num" w:pos="540"/>
        </w:tabs>
        <w:jc w:val="both"/>
        <w:rPr>
          <w:sz w:val="24"/>
          <w:szCs w:val="24"/>
          <w:lang w:val="bs-Latn-BA"/>
        </w:rPr>
      </w:pPr>
      <w:r w:rsidRPr="00D711BC">
        <w:rPr>
          <w:sz w:val="24"/>
          <w:szCs w:val="24"/>
          <w:lang w:val="bs-Latn-BA"/>
        </w:rPr>
        <w:t xml:space="preserve">       metalurški fakultet, Beograd (1983) str. 37</w:t>
      </w:r>
    </w:p>
    <w:p w:rsidR="001A6B37" w:rsidRPr="007C4DDA" w:rsidRDefault="001A6B37" w:rsidP="007C4DDA">
      <w:pPr>
        <w:tabs>
          <w:tab w:val="num" w:pos="540"/>
        </w:tabs>
        <w:ind w:left="426" w:hanging="426"/>
        <w:jc w:val="both"/>
        <w:rPr>
          <w:sz w:val="24"/>
          <w:szCs w:val="24"/>
        </w:rPr>
      </w:pPr>
      <w:r w:rsidRPr="00D711BC">
        <w:rPr>
          <w:sz w:val="24"/>
          <w:szCs w:val="24"/>
          <w:lang w:val="bs-Latn-BA"/>
        </w:rPr>
        <w:t xml:space="preserve">[21] </w:t>
      </w:r>
      <w:r w:rsidR="007C4DDA">
        <w:rPr>
          <w:sz w:val="24"/>
          <w:szCs w:val="24"/>
        </w:rPr>
        <w:t>Oblak</w:t>
      </w:r>
      <w:r w:rsidRPr="00D711BC">
        <w:rPr>
          <w:sz w:val="24"/>
          <w:szCs w:val="24"/>
        </w:rPr>
        <w:t xml:space="preserve"> </w:t>
      </w:r>
      <w:r w:rsidR="007C4DDA">
        <w:rPr>
          <w:sz w:val="24"/>
          <w:szCs w:val="24"/>
        </w:rPr>
        <w:t>M</w:t>
      </w:r>
      <w:r w:rsidRPr="00D711BC">
        <w:rPr>
          <w:sz w:val="24"/>
          <w:szCs w:val="24"/>
        </w:rPr>
        <w:t xml:space="preserve">., </w:t>
      </w:r>
      <w:r w:rsidR="007C4DDA">
        <w:rPr>
          <w:sz w:val="24"/>
          <w:szCs w:val="24"/>
        </w:rPr>
        <w:t>Petronijević</w:t>
      </w:r>
      <w:r w:rsidRPr="00D711BC">
        <w:rPr>
          <w:sz w:val="24"/>
          <w:szCs w:val="24"/>
        </w:rPr>
        <w:t xml:space="preserve"> </w:t>
      </w:r>
      <w:r w:rsidR="007C4DDA">
        <w:rPr>
          <w:sz w:val="24"/>
          <w:szCs w:val="24"/>
        </w:rPr>
        <w:t>M</w:t>
      </w:r>
      <w:r w:rsidRPr="00D711BC">
        <w:rPr>
          <w:sz w:val="24"/>
          <w:szCs w:val="24"/>
        </w:rPr>
        <w:t xml:space="preserve">., </w:t>
      </w:r>
      <w:r w:rsidR="007C4DDA">
        <w:rPr>
          <w:sz w:val="24"/>
          <w:szCs w:val="24"/>
        </w:rPr>
        <w:t>Krgović</w:t>
      </w:r>
      <w:r w:rsidRPr="00D711BC">
        <w:rPr>
          <w:sz w:val="24"/>
          <w:szCs w:val="24"/>
        </w:rPr>
        <w:t xml:space="preserve"> </w:t>
      </w:r>
      <w:r w:rsidR="007C4DDA">
        <w:rPr>
          <w:sz w:val="24"/>
          <w:szCs w:val="24"/>
        </w:rPr>
        <w:t>LJ</w:t>
      </w:r>
      <w:r w:rsidRPr="00D711BC">
        <w:rPr>
          <w:sz w:val="24"/>
          <w:szCs w:val="24"/>
        </w:rPr>
        <w:t xml:space="preserve">., </w:t>
      </w:r>
      <w:r w:rsidR="007C4DDA">
        <w:rPr>
          <w:sz w:val="24"/>
          <w:szCs w:val="24"/>
        </w:rPr>
        <w:t>Milutinović</w:t>
      </w:r>
      <w:r w:rsidRPr="00D711BC">
        <w:rPr>
          <w:sz w:val="24"/>
          <w:szCs w:val="24"/>
        </w:rPr>
        <w:t xml:space="preserve"> </w:t>
      </w:r>
      <w:r w:rsidR="007C4DDA">
        <w:rPr>
          <w:sz w:val="24"/>
          <w:szCs w:val="24"/>
        </w:rPr>
        <w:t>M</w:t>
      </w:r>
      <w:r w:rsidRPr="00D711BC">
        <w:rPr>
          <w:sz w:val="24"/>
          <w:szCs w:val="24"/>
        </w:rPr>
        <w:t xml:space="preserve">., </w:t>
      </w:r>
      <w:r w:rsidR="007C4DDA">
        <w:rPr>
          <w:sz w:val="24"/>
          <w:szCs w:val="24"/>
        </w:rPr>
        <w:t>Problemi</w:t>
      </w:r>
      <w:r w:rsidRPr="00D711BC">
        <w:rPr>
          <w:sz w:val="24"/>
          <w:szCs w:val="24"/>
        </w:rPr>
        <w:t xml:space="preserve"> </w:t>
      </w:r>
      <w:r w:rsidR="007C4DDA">
        <w:rPr>
          <w:sz w:val="24"/>
          <w:szCs w:val="24"/>
        </w:rPr>
        <w:t>gajenja</w:t>
      </w:r>
      <w:r w:rsidRPr="00D711BC">
        <w:rPr>
          <w:sz w:val="24"/>
          <w:szCs w:val="24"/>
        </w:rPr>
        <w:t xml:space="preserve"> </w:t>
      </w:r>
      <w:r w:rsidR="007C4DDA">
        <w:rPr>
          <w:sz w:val="24"/>
          <w:szCs w:val="24"/>
        </w:rPr>
        <w:t>i</w:t>
      </w:r>
      <w:r w:rsidRPr="00D711BC">
        <w:rPr>
          <w:sz w:val="24"/>
          <w:szCs w:val="24"/>
        </w:rPr>
        <w:t xml:space="preserve"> </w:t>
      </w:r>
      <w:r w:rsidR="007C4DDA">
        <w:rPr>
          <w:sz w:val="24"/>
          <w:szCs w:val="24"/>
        </w:rPr>
        <w:t>sortiment</w:t>
      </w:r>
      <w:r w:rsidRPr="00D711BC">
        <w:rPr>
          <w:sz w:val="24"/>
          <w:szCs w:val="24"/>
        </w:rPr>
        <w:t xml:space="preserve"> </w:t>
      </w:r>
      <w:r w:rsidR="007C4DDA">
        <w:rPr>
          <w:sz w:val="24"/>
          <w:szCs w:val="24"/>
        </w:rPr>
        <w:t>borovnice</w:t>
      </w:r>
      <w:r w:rsidRPr="00D711BC">
        <w:rPr>
          <w:sz w:val="24"/>
          <w:szCs w:val="24"/>
        </w:rPr>
        <w:t xml:space="preserve"> </w:t>
      </w:r>
      <w:r w:rsidR="007C4DDA">
        <w:rPr>
          <w:sz w:val="24"/>
          <w:szCs w:val="24"/>
        </w:rPr>
        <w:t>za</w:t>
      </w:r>
      <w:r w:rsidRPr="00D711BC">
        <w:rPr>
          <w:sz w:val="24"/>
          <w:szCs w:val="24"/>
        </w:rPr>
        <w:t xml:space="preserve"> </w:t>
      </w:r>
      <w:r w:rsidR="007C4DDA">
        <w:rPr>
          <w:sz w:val="24"/>
          <w:szCs w:val="24"/>
        </w:rPr>
        <w:t>Jugoslaviju</w:t>
      </w:r>
      <w:r w:rsidRPr="00D711BC">
        <w:rPr>
          <w:sz w:val="24"/>
          <w:szCs w:val="24"/>
        </w:rPr>
        <w:t xml:space="preserve">. </w:t>
      </w:r>
      <w:r w:rsidR="007C4DDA">
        <w:rPr>
          <w:sz w:val="24"/>
          <w:szCs w:val="24"/>
        </w:rPr>
        <w:t>Jugoslovensko</w:t>
      </w:r>
      <w:r w:rsidRPr="00D711BC">
        <w:rPr>
          <w:sz w:val="24"/>
          <w:szCs w:val="24"/>
        </w:rPr>
        <w:t xml:space="preserve"> </w:t>
      </w:r>
      <w:r w:rsidR="007C4DDA">
        <w:rPr>
          <w:sz w:val="24"/>
          <w:szCs w:val="24"/>
        </w:rPr>
        <w:t>voćarstvo</w:t>
      </w:r>
      <w:r w:rsidRPr="00D711BC">
        <w:rPr>
          <w:sz w:val="24"/>
          <w:szCs w:val="24"/>
        </w:rPr>
        <w:t>, 67-68 (1-2), (1984) 51</w:t>
      </w:r>
      <w:r w:rsidRPr="00D711BC">
        <w:rPr>
          <w:rFonts w:ascii="MS Mincho" w:eastAsia="MS Mincho" w:cs="MS Mincho" w:hint="eastAsia"/>
          <w:sz w:val="24"/>
          <w:szCs w:val="24"/>
        </w:rPr>
        <w:t>‒</w:t>
      </w:r>
      <w:r w:rsidRPr="00D711BC">
        <w:rPr>
          <w:rFonts w:eastAsia="MS Mincho"/>
          <w:sz w:val="24"/>
          <w:szCs w:val="24"/>
        </w:rPr>
        <w:t>58.</w:t>
      </w:r>
    </w:p>
    <w:p w:rsidR="001A6B37" w:rsidRPr="00D711BC" w:rsidRDefault="001A6B37" w:rsidP="007C4DDA">
      <w:pPr>
        <w:tabs>
          <w:tab w:val="num" w:pos="540"/>
        </w:tabs>
        <w:ind w:left="426" w:hanging="426"/>
        <w:jc w:val="both"/>
        <w:rPr>
          <w:sz w:val="24"/>
          <w:szCs w:val="24"/>
        </w:rPr>
      </w:pPr>
      <w:r w:rsidRPr="00D711BC">
        <w:rPr>
          <w:rFonts w:eastAsia="MS Mincho"/>
          <w:sz w:val="24"/>
          <w:szCs w:val="24"/>
        </w:rPr>
        <w:t>[22]</w:t>
      </w:r>
      <w:r w:rsidRPr="00D711BC">
        <w:rPr>
          <w:sz w:val="24"/>
          <w:szCs w:val="24"/>
          <w:lang w:val="bs-Latn-BA"/>
        </w:rPr>
        <w:t xml:space="preserve"> </w:t>
      </w:r>
      <w:r w:rsidRPr="00D711BC">
        <w:rPr>
          <w:sz w:val="24"/>
          <w:szCs w:val="24"/>
        </w:rPr>
        <w:t>Nile, S.H., Park, S.W., Edible berries: Bioactive components and their effect on human health.</w:t>
      </w:r>
      <w:r w:rsidR="007C4DDA">
        <w:rPr>
          <w:sz w:val="24"/>
          <w:szCs w:val="24"/>
        </w:rPr>
        <w:t xml:space="preserve"> </w:t>
      </w:r>
      <w:r w:rsidRPr="00D711BC">
        <w:rPr>
          <w:sz w:val="24"/>
          <w:szCs w:val="24"/>
        </w:rPr>
        <w:t xml:space="preserve">Nutrition, 30(2), (2014), 134-144. </w:t>
      </w:r>
    </w:p>
    <w:p w:rsidR="001A6B37" w:rsidRPr="00D711BC" w:rsidRDefault="001A6B37" w:rsidP="007C4DDA">
      <w:pPr>
        <w:tabs>
          <w:tab w:val="num" w:pos="426"/>
        </w:tabs>
        <w:ind w:left="426" w:hanging="426"/>
        <w:jc w:val="both"/>
        <w:rPr>
          <w:sz w:val="24"/>
          <w:szCs w:val="24"/>
          <w:lang w:val="bs-Latn-BA"/>
        </w:rPr>
      </w:pPr>
      <w:r w:rsidRPr="00D711BC">
        <w:rPr>
          <w:sz w:val="24"/>
          <w:szCs w:val="24"/>
          <w:lang w:val="bs-Latn-BA"/>
        </w:rPr>
        <w:t>[23</w:t>
      </w:r>
      <w:r w:rsidR="00193B4A">
        <w:rPr>
          <w:sz w:val="24"/>
          <w:szCs w:val="24"/>
          <w:lang w:val="bs-Latn-BA"/>
        </w:rPr>
        <w:t xml:space="preserve">] </w:t>
      </w:r>
      <w:r w:rsidRPr="00D711BC">
        <w:rPr>
          <w:sz w:val="24"/>
          <w:szCs w:val="24"/>
          <w:lang w:val="bs-Latn-BA"/>
        </w:rPr>
        <w:t>Službeni Glasnik BiH 37/09,</w:t>
      </w:r>
      <w:r w:rsidRPr="00D711BC">
        <w:rPr>
          <w:b/>
          <w:sz w:val="24"/>
          <w:szCs w:val="24"/>
          <w:lang w:val="bs-Latn-BA"/>
        </w:rPr>
        <w:t xml:space="preserve"> </w:t>
      </w:r>
      <w:r w:rsidRPr="00D711BC">
        <w:rPr>
          <w:sz w:val="24"/>
          <w:szCs w:val="24"/>
          <w:lang w:val="bs-Latn-BA"/>
        </w:rPr>
        <w:t xml:space="preserve">Pravilnik o maksimalno dozvoljenim količinama za </w:t>
      </w:r>
      <w:r w:rsidR="007C4DDA">
        <w:rPr>
          <w:sz w:val="24"/>
          <w:szCs w:val="24"/>
          <w:lang w:val="bs-Latn-BA"/>
        </w:rPr>
        <w:t xml:space="preserve"> </w:t>
      </w:r>
      <w:r w:rsidRPr="00D711BC">
        <w:rPr>
          <w:sz w:val="24"/>
          <w:szCs w:val="24"/>
          <w:lang w:val="bs-Latn-BA"/>
        </w:rPr>
        <w:t>određene kontaminente u hrani, (2009).</w:t>
      </w:r>
    </w:p>
    <w:p w:rsidR="001A6B37" w:rsidRDefault="001A6B37" w:rsidP="001A6B37">
      <w:pPr>
        <w:jc w:val="both"/>
        <w:rPr>
          <w:b/>
          <w:sz w:val="24"/>
          <w:szCs w:val="24"/>
          <w:lang w:val="sr-Latn-BA"/>
        </w:rPr>
      </w:pPr>
    </w:p>
    <w:p w:rsidR="00E571F4" w:rsidRDefault="00E571F4" w:rsidP="00E571F4">
      <w:pPr>
        <w:jc w:val="center"/>
        <w:rPr>
          <w:b/>
          <w:sz w:val="28"/>
          <w:szCs w:val="28"/>
        </w:rPr>
      </w:pPr>
      <w:proofErr w:type="gramStart"/>
      <w:r w:rsidRPr="00577E26">
        <w:rPr>
          <w:b/>
          <w:sz w:val="28"/>
          <w:szCs w:val="28"/>
        </w:rPr>
        <w:t>SATISFACTION</w:t>
      </w:r>
      <w:r>
        <w:rPr>
          <w:b/>
          <w:sz w:val="28"/>
          <w:szCs w:val="28"/>
        </w:rPr>
        <w:t xml:space="preserve"> OF</w:t>
      </w:r>
      <w:r w:rsidRPr="00577E26">
        <w:rPr>
          <w:b/>
          <w:sz w:val="28"/>
          <w:szCs w:val="28"/>
        </w:rPr>
        <w:t xml:space="preserve"> RDA </w:t>
      </w:r>
      <w:r>
        <w:rPr>
          <w:b/>
          <w:sz w:val="28"/>
          <w:szCs w:val="28"/>
        </w:rPr>
        <w:t>VALUES FOR MINERALS BY</w:t>
      </w:r>
      <w:r w:rsidRPr="00577E26">
        <w:rPr>
          <w:b/>
          <w:sz w:val="28"/>
          <w:szCs w:val="28"/>
        </w:rPr>
        <w:t xml:space="preserve"> CONSUMING FRESH BLUEBERRIES</w:t>
      </w:r>
      <w:r>
        <w:rPr>
          <w:b/>
          <w:sz w:val="28"/>
          <w:szCs w:val="28"/>
        </w:rPr>
        <w:t xml:space="preserve"> </w:t>
      </w:r>
      <w:r w:rsidRPr="0005199C">
        <w:rPr>
          <w:b/>
          <w:sz w:val="28"/>
          <w:szCs w:val="28"/>
          <w:lang w:val="bs-Latn-BA"/>
        </w:rPr>
        <w:t>(</w:t>
      </w:r>
      <w:r w:rsidRPr="0005199C">
        <w:rPr>
          <w:b/>
          <w:i/>
          <w:sz w:val="28"/>
          <w:szCs w:val="28"/>
          <w:lang w:val="bs-Latn-BA"/>
        </w:rPr>
        <w:t>Vaccinium myritillus L.</w:t>
      </w:r>
      <w:r w:rsidRPr="0005199C">
        <w:rPr>
          <w:b/>
          <w:sz w:val="28"/>
          <w:szCs w:val="28"/>
          <w:lang w:val="bs-Latn-BA"/>
        </w:rPr>
        <w:t>)</w:t>
      </w:r>
      <w:proofErr w:type="gramEnd"/>
    </w:p>
    <w:p w:rsidR="00E571F4" w:rsidRDefault="00E571F4" w:rsidP="00E571F4">
      <w:pPr>
        <w:rPr>
          <w:sz w:val="24"/>
          <w:szCs w:val="24"/>
        </w:rPr>
      </w:pPr>
    </w:p>
    <w:p w:rsidR="00E571F4" w:rsidRPr="00532254" w:rsidRDefault="00E571F4" w:rsidP="00E571F4">
      <w:pPr>
        <w:rPr>
          <w:sz w:val="24"/>
          <w:szCs w:val="24"/>
        </w:rPr>
      </w:pPr>
    </w:p>
    <w:p w:rsidR="00E571F4" w:rsidRDefault="00E571F4" w:rsidP="00E571F4">
      <w:pPr>
        <w:widowControl/>
        <w:jc w:val="both"/>
        <w:rPr>
          <w:snapToGrid/>
          <w:color w:val="000000"/>
          <w:sz w:val="24"/>
          <w:szCs w:val="24"/>
          <w:lang w:val="en-GB"/>
        </w:rPr>
      </w:pPr>
      <w:r w:rsidRPr="00577B6B">
        <w:rPr>
          <w:snapToGrid/>
          <w:color w:val="000000"/>
          <w:sz w:val="24"/>
          <w:szCs w:val="24"/>
          <w:lang w:val="en-GB"/>
        </w:rPr>
        <w:t xml:space="preserve">Fresh fruit is a good source of dietary vitamins, minerals, glucose, fructose, and organic acids. In this paper, the chemical composition of fresh blueberries (Vaccinium myritillus L.) </w:t>
      </w:r>
      <w:r>
        <w:rPr>
          <w:snapToGrid/>
          <w:color w:val="000000"/>
          <w:sz w:val="24"/>
          <w:szCs w:val="24"/>
          <w:lang w:val="en-GB"/>
        </w:rPr>
        <w:t xml:space="preserve">is presented, </w:t>
      </w:r>
      <w:r w:rsidRPr="00577B6B">
        <w:rPr>
          <w:snapToGrid/>
          <w:color w:val="000000"/>
          <w:sz w:val="24"/>
          <w:szCs w:val="24"/>
          <w:lang w:val="en-GB"/>
        </w:rPr>
        <w:t>with special empha</w:t>
      </w:r>
      <w:r>
        <w:rPr>
          <w:snapToGrid/>
          <w:color w:val="000000"/>
          <w:sz w:val="24"/>
          <w:szCs w:val="24"/>
          <w:lang w:val="en-GB"/>
        </w:rPr>
        <w:t xml:space="preserve">sis on the mineral content ie. </w:t>
      </w:r>
      <w:proofErr w:type="gramStart"/>
      <w:r>
        <w:rPr>
          <w:snapToGrid/>
          <w:color w:val="000000"/>
          <w:sz w:val="24"/>
          <w:szCs w:val="24"/>
          <w:lang w:val="en-GB"/>
        </w:rPr>
        <w:t>d</w:t>
      </w:r>
      <w:r w:rsidRPr="00577B6B">
        <w:rPr>
          <w:snapToGrid/>
          <w:color w:val="000000"/>
          <w:sz w:val="24"/>
          <w:szCs w:val="24"/>
          <w:lang w:val="en-GB"/>
        </w:rPr>
        <w:t>ifferent</w:t>
      </w:r>
      <w:proofErr w:type="gramEnd"/>
      <w:r w:rsidRPr="00577B6B">
        <w:rPr>
          <w:snapToGrid/>
          <w:color w:val="000000"/>
          <w:sz w:val="24"/>
          <w:szCs w:val="24"/>
          <w:lang w:val="en-GB"/>
        </w:rPr>
        <w:t xml:space="preserve"> elements and their entry into the body through the consumption of fresh blueberries. Also it was found that the content of toxic elements (lead and cadmium) in fresh blueberries</w:t>
      </w:r>
      <w:r>
        <w:rPr>
          <w:snapToGrid/>
          <w:color w:val="000000"/>
          <w:sz w:val="24"/>
          <w:szCs w:val="24"/>
          <w:lang w:val="en-GB"/>
        </w:rPr>
        <w:t xml:space="preserve"> was</w:t>
      </w:r>
      <w:r w:rsidRPr="00577B6B">
        <w:rPr>
          <w:snapToGrid/>
          <w:color w:val="000000"/>
          <w:sz w:val="24"/>
          <w:szCs w:val="24"/>
          <w:lang w:val="en-GB"/>
        </w:rPr>
        <w:t xml:space="preserve"> below lega</w:t>
      </w:r>
      <w:r>
        <w:rPr>
          <w:snapToGrid/>
          <w:color w:val="000000"/>
          <w:sz w:val="24"/>
          <w:szCs w:val="24"/>
          <w:lang w:val="en-GB"/>
        </w:rPr>
        <w:t>l limits for berries and berry fruit</w:t>
      </w:r>
      <w:r w:rsidRPr="00577B6B">
        <w:rPr>
          <w:snapToGrid/>
          <w:color w:val="000000"/>
          <w:sz w:val="24"/>
          <w:szCs w:val="24"/>
          <w:lang w:val="en-GB"/>
        </w:rPr>
        <w:t xml:space="preserve">. </w:t>
      </w:r>
      <w:r>
        <w:rPr>
          <w:snapToGrid/>
          <w:color w:val="000000"/>
          <w:sz w:val="24"/>
          <w:szCs w:val="24"/>
          <w:lang w:val="en-GB"/>
        </w:rPr>
        <w:t>C</w:t>
      </w:r>
      <w:r w:rsidRPr="00577B6B">
        <w:rPr>
          <w:snapToGrid/>
          <w:color w:val="000000"/>
          <w:sz w:val="24"/>
          <w:szCs w:val="24"/>
          <w:lang w:val="en-GB"/>
        </w:rPr>
        <w:t>hemical composition of fresh blueberries</w:t>
      </w:r>
      <w:r>
        <w:rPr>
          <w:snapToGrid/>
          <w:color w:val="000000"/>
          <w:sz w:val="24"/>
          <w:szCs w:val="24"/>
          <w:lang w:val="en-GB"/>
        </w:rPr>
        <w:t xml:space="preserve"> was</w:t>
      </w:r>
      <w:r w:rsidRPr="00577B6B">
        <w:rPr>
          <w:snapToGrid/>
          <w:color w:val="000000"/>
          <w:sz w:val="24"/>
          <w:szCs w:val="24"/>
          <w:lang w:val="en-GB"/>
        </w:rPr>
        <w:t xml:space="preserve"> determined by AOAC methods. The content of individual</w:t>
      </w:r>
      <w:r>
        <w:rPr>
          <w:snapToGrid/>
          <w:color w:val="000000"/>
          <w:sz w:val="24"/>
          <w:szCs w:val="24"/>
          <w:lang w:val="en-GB"/>
        </w:rPr>
        <w:t xml:space="preserve"> mineral</w:t>
      </w:r>
      <w:r w:rsidRPr="00577B6B">
        <w:rPr>
          <w:snapToGrid/>
          <w:color w:val="000000"/>
          <w:sz w:val="24"/>
          <w:szCs w:val="24"/>
          <w:lang w:val="en-GB"/>
        </w:rPr>
        <w:t xml:space="preserve"> elements was determined</w:t>
      </w:r>
      <w:r>
        <w:rPr>
          <w:snapToGrid/>
          <w:color w:val="000000"/>
          <w:sz w:val="24"/>
          <w:szCs w:val="24"/>
          <w:lang w:val="en-GB"/>
        </w:rPr>
        <w:t>, after wet digestion of samples, by</w:t>
      </w:r>
      <w:r w:rsidRPr="00577B6B">
        <w:rPr>
          <w:snapToGrid/>
          <w:color w:val="000000"/>
          <w:sz w:val="24"/>
          <w:szCs w:val="24"/>
          <w:lang w:val="en-GB"/>
        </w:rPr>
        <w:t xml:space="preserve"> flame furnace atomic absorption spectrometry. Based on the content of individual</w:t>
      </w:r>
      <w:r>
        <w:rPr>
          <w:snapToGrid/>
          <w:color w:val="000000"/>
          <w:sz w:val="24"/>
          <w:szCs w:val="24"/>
          <w:lang w:val="en-GB"/>
        </w:rPr>
        <w:t xml:space="preserve"> mineral</w:t>
      </w:r>
      <w:r w:rsidRPr="00577B6B">
        <w:rPr>
          <w:snapToGrid/>
          <w:color w:val="000000"/>
          <w:sz w:val="24"/>
          <w:szCs w:val="24"/>
          <w:lang w:val="en-GB"/>
        </w:rPr>
        <w:t xml:space="preserve"> elements</w:t>
      </w:r>
      <w:proofErr w:type="gramStart"/>
      <w:r>
        <w:rPr>
          <w:snapToGrid/>
          <w:color w:val="000000"/>
          <w:sz w:val="24"/>
          <w:szCs w:val="24"/>
          <w:lang w:val="en-GB"/>
        </w:rPr>
        <w:t>,</w:t>
      </w:r>
      <w:r w:rsidRPr="00577B6B">
        <w:rPr>
          <w:snapToGrid/>
          <w:color w:val="000000"/>
          <w:sz w:val="24"/>
          <w:szCs w:val="24"/>
          <w:lang w:val="en-GB"/>
        </w:rPr>
        <w:t xml:space="preserve"> </w:t>
      </w:r>
      <w:r>
        <w:rPr>
          <w:snapToGrid/>
          <w:color w:val="000000"/>
          <w:sz w:val="24"/>
          <w:szCs w:val="24"/>
          <w:lang w:val="en-GB"/>
        </w:rPr>
        <w:t xml:space="preserve"> it</w:t>
      </w:r>
      <w:proofErr w:type="gramEnd"/>
      <w:r>
        <w:rPr>
          <w:snapToGrid/>
          <w:color w:val="000000"/>
          <w:sz w:val="24"/>
          <w:szCs w:val="24"/>
          <w:lang w:val="en-GB"/>
        </w:rPr>
        <w:t xml:space="preserve"> was made calculation of the satisfaction of</w:t>
      </w:r>
      <w:r w:rsidRPr="00577B6B">
        <w:rPr>
          <w:snapToGrid/>
          <w:color w:val="000000"/>
          <w:sz w:val="24"/>
          <w:szCs w:val="24"/>
          <w:lang w:val="en-GB"/>
        </w:rPr>
        <w:t xml:space="preserve"> the RDA values ​​for minerals in the consumption of 150 grams of fresh blueberries. The calculation is performed according to the </w:t>
      </w:r>
      <w:proofErr w:type="gramStart"/>
      <w:r w:rsidRPr="00577B6B">
        <w:rPr>
          <w:snapToGrid/>
          <w:color w:val="000000"/>
          <w:sz w:val="24"/>
          <w:szCs w:val="24"/>
          <w:lang w:val="en-GB"/>
        </w:rPr>
        <w:t>RDA</w:t>
      </w:r>
      <w:r>
        <w:rPr>
          <w:snapToGrid/>
          <w:color w:val="000000"/>
          <w:sz w:val="24"/>
          <w:szCs w:val="24"/>
          <w:lang w:val="en-GB"/>
        </w:rPr>
        <w:t>values  for</w:t>
      </w:r>
      <w:proofErr w:type="gramEnd"/>
      <w:r>
        <w:rPr>
          <w:snapToGrid/>
          <w:color w:val="000000"/>
          <w:sz w:val="24"/>
          <w:szCs w:val="24"/>
          <w:lang w:val="en-GB"/>
        </w:rPr>
        <w:t xml:space="preserve"> the mineral in mineral</w:t>
      </w:r>
      <w:r w:rsidRPr="00577B6B">
        <w:rPr>
          <w:snapToGrid/>
          <w:color w:val="000000"/>
          <w:sz w:val="24"/>
          <w:szCs w:val="24"/>
          <w:lang w:val="en-GB"/>
        </w:rPr>
        <w:t xml:space="preserve"> tables in Bosnia and Herzegovina and to the RDA tables for minerals and into different categories of the population in the United States. Fresh blueberries, according to</w:t>
      </w:r>
      <w:r>
        <w:rPr>
          <w:snapToGrid/>
          <w:color w:val="000000"/>
          <w:sz w:val="24"/>
          <w:szCs w:val="24"/>
          <w:lang w:val="en-GB"/>
        </w:rPr>
        <w:t xml:space="preserve"> the</w:t>
      </w:r>
      <w:r w:rsidRPr="00577B6B">
        <w:rPr>
          <w:snapToGrid/>
          <w:color w:val="000000"/>
          <w:sz w:val="24"/>
          <w:szCs w:val="24"/>
          <w:lang w:val="en-GB"/>
        </w:rPr>
        <w:t xml:space="preserve"> RDA tables for mine</w:t>
      </w:r>
      <w:r>
        <w:rPr>
          <w:snapToGrid/>
          <w:color w:val="000000"/>
          <w:sz w:val="24"/>
          <w:szCs w:val="24"/>
          <w:lang w:val="en-GB"/>
        </w:rPr>
        <w:t>rals in Bosnia and Herzegovina was a</w:t>
      </w:r>
      <w:r w:rsidRPr="00577B6B">
        <w:rPr>
          <w:snapToGrid/>
          <w:color w:val="000000"/>
          <w:sz w:val="24"/>
          <w:szCs w:val="24"/>
          <w:lang w:val="en-GB"/>
        </w:rPr>
        <w:t xml:space="preserve"> significant source of manganese (143</w:t>
      </w:r>
      <w:proofErr w:type="gramStart"/>
      <w:r w:rsidRPr="00577B6B">
        <w:rPr>
          <w:snapToGrid/>
          <w:color w:val="000000"/>
          <w:sz w:val="24"/>
          <w:szCs w:val="24"/>
          <w:lang w:val="en-GB"/>
        </w:rPr>
        <w:t>,5</w:t>
      </w:r>
      <w:proofErr w:type="gramEnd"/>
      <w:r w:rsidRPr="00577B6B">
        <w:rPr>
          <w:snapToGrid/>
          <w:color w:val="000000"/>
          <w:sz w:val="24"/>
          <w:szCs w:val="24"/>
          <w:lang w:val="en-GB"/>
        </w:rPr>
        <w:t>%), copper (35%) and chromium (22%) in the diet.</w:t>
      </w:r>
    </w:p>
    <w:p w:rsidR="00E571F4" w:rsidRDefault="00E571F4" w:rsidP="00E571F4">
      <w:pPr>
        <w:widowControl/>
        <w:jc w:val="both"/>
        <w:rPr>
          <w:sz w:val="24"/>
          <w:szCs w:val="24"/>
        </w:rPr>
      </w:pPr>
    </w:p>
    <w:p w:rsidR="00E571F4" w:rsidRPr="00300EA3" w:rsidRDefault="00E571F4" w:rsidP="00E571F4">
      <w:pPr>
        <w:widowControl/>
        <w:jc w:val="both"/>
        <w:rPr>
          <w:sz w:val="24"/>
          <w:szCs w:val="24"/>
        </w:rPr>
      </w:pPr>
      <w:r w:rsidRPr="003E0952">
        <w:rPr>
          <w:sz w:val="24"/>
          <w:szCs w:val="24"/>
        </w:rPr>
        <w:t>Key words:</w:t>
      </w:r>
      <w:r w:rsidRPr="00353979">
        <w:t xml:space="preserve"> </w:t>
      </w:r>
      <w:r w:rsidRPr="00353979">
        <w:rPr>
          <w:sz w:val="24"/>
          <w:szCs w:val="24"/>
        </w:rPr>
        <w:t>blueberries, minerals, RDA values</w:t>
      </w:r>
    </w:p>
    <w:p w:rsidR="00AE6533" w:rsidRDefault="00AE6533" w:rsidP="006828CE">
      <w:pPr>
        <w:jc w:val="center"/>
        <w:rPr>
          <w:b/>
          <w:sz w:val="24"/>
          <w:szCs w:val="24"/>
          <w:lang w:val="sr-Latn-BA"/>
        </w:rPr>
      </w:pPr>
    </w:p>
    <w:sectPr w:rsidR="00AE6533" w:rsidSect="00C2020E">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C88" w:rsidRDefault="002E5C88" w:rsidP="002338FC">
      <w:r>
        <w:separator/>
      </w:r>
    </w:p>
  </w:endnote>
  <w:endnote w:type="continuationSeparator" w:id="0">
    <w:p w:rsidR="002E5C88" w:rsidRDefault="002E5C88" w:rsidP="002338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60405020304"/>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C88" w:rsidRDefault="002E5C88" w:rsidP="002338FC">
      <w:r>
        <w:separator/>
      </w:r>
    </w:p>
  </w:footnote>
  <w:footnote w:type="continuationSeparator" w:id="0">
    <w:p w:rsidR="002E5C88" w:rsidRDefault="002E5C88"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BE8" w:rsidRPr="00ED09E2" w:rsidRDefault="002E0BE8"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2E0BE8"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8434"/>
  </w:hdrShapeDefaults>
  <w:footnotePr>
    <w:numRestart w:val="eachSect"/>
    <w:footnote w:id="-1"/>
    <w:footnote w:id="0"/>
  </w:footnotePr>
  <w:endnotePr>
    <w:numFmt w:val="decimal"/>
    <w:endnote w:id="-1"/>
    <w:endnote w:id="0"/>
  </w:endnotePr>
  <w:compat/>
  <w:rsids>
    <w:rsidRoot w:val="00325004"/>
    <w:rsid w:val="000248A6"/>
    <w:rsid w:val="000435F6"/>
    <w:rsid w:val="0006271C"/>
    <w:rsid w:val="00077B28"/>
    <w:rsid w:val="00090AEE"/>
    <w:rsid w:val="000A694D"/>
    <w:rsid w:val="000C2641"/>
    <w:rsid w:val="000D1625"/>
    <w:rsid w:val="001137B3"/>
    <w:rsid w:val="0011503F"/>
    <w:rsid w:val="00140B76"/>
    <w:rsid w:val="00155E2A"/>
    <w:rsid w:val="00163092"/>
    <w:rsid w:val="00193B4A"/>
    <w:rsid w:val="001A6B37"/>
    <w:rsid w:val="001C387B"/>
    <w:rsid w:val="001E1E4E"/>
    <w:rsid w:val="00211CB6"/>
    <w:rsid w:val="00215FCB"/>
    <w:rsid w:val="002338FC"/>
    <w:rsid w:val="0027080A"/>
    <w:rsid w:val="0028158C"/>
    <w:rsid w:val="002E0BE8"/>
    <w:rsid w:val="002E5C88"/>
    <w:rsid w:val="00305A84"/>
    <w:rsid w:val="00325004"/>
    <w:rsid w:val="00336813"/>
    <w:rsid w:val="00356900"/>
    <w:rsid w:val="003766E9"/>
    <w:rsid w:val="003920C8"/>
    <w:rsid w:val="003B72C8"/>
    <w:rsid w:val="003F1333"/>
    <w:rsid w:val="00401583"/>
    <w:rsid w:val="00463A00"/>
    <w:rsid w:val="00490446"/>
    <w:rsid w:val="004C00FA"/>
    <w:rsid w:val="004C3ACB"/>
    <w:rsid w:val="004C627A"/>
    <w:rsid w:val="004E7652"/>
    <w:rsid w:val="00523E23"/>
    <w:rsid w:val="00545371"/>
    <w:rsid w:val="005D3448"/>
    <w:rsid w:val="005F7535"/>
    <w:rsid w:val="006216B0"/>
    <w:rsid w:val="00622152"/>
    <w:rsid w:val="0063354A"/>
    <w:rsid w:val="006828CE"/>
    <w:rsid w:val="006E78D0"/>
    <w:rsid w:val="007148FD"/>
    <w:rsid w:val="00716081"/>
    <w:rsid w:val="007C4DDA"/>
    <w:rsid w:val="007E4772"/>
    <w:rsid w:val="007F150F"/>
    <w:rsid w:val="00810EAE"/>
    <w:rsid w:val="00817944"/>
    <w:rsid w:val="00852DAF"/>
    <w:rsid w:val="00867233"/>
    <w:rsid w:val="008A571F"/>
    <w:rsid w:val="008B6638"/>
    <w:rsid w:val="009409BD"/>
    <w:rsid w:val="00944620"/>
    <w:rsid w:val="00953E96"/>
    <w:rsid w:val="009546C2"/>
    <w:rsid w:val="00966613"/>
    <w:rsid w:val="00971A94"/>
    <w:rsid w:val="0097443A"/>
    <w:rsid w:val="009D1F13"/>
    <w:rsid w:val="009F234E"/>
    <w:rsid w:val="00A12585"/>
    <w:rsid w:val="00A144D4"/>
    <w:rsid w:val="00A64324"/>
    <w:rsid w:val="00A77759"/>
    <w:rsid w:val="00AA16DA"/>
    <w:rsid w:val="00AA454F"/>
    <w:rsid w:val="00AC1B67"/>
    <w:rsid w:val="00AD5C7B"/>
    <w:rsid w:val="00AE6533"/>
    <w:rsid w:val="00AF4097"/>
    <w:rsid w:val="00B36B75"/>
    <w:rsid w:val="00B5014F"/>
    <w:rsid w:val="00B61D1A"/>
    <w:rsid w:val="00B74A23"/>
    <w:rsid w:val="00B92BF7"/>
    <w:rsid w:val="00BB3447"/>
    <w:rsid w:val="00C06783"/>
    <w:rsid w:val="00C2020E"/>
    <w:rsid w:val="00C879E5"/>
    <w:rsid w:val="00C91192"/>
    <w:rsid w:val="00CF2F59"/>
    <w:rsid w:val="00D127B0"/>
    <w:rsid w:val="00D26BBC"/>
    <w:rsid w:val="00D4216D"/>
    <w:rsid w:val="00D711BC"/>
    <w:rsid w:val="00DA6A4E"/>
    <w:rsid w:val="00DB66DC"/>
    <w:rsid w:val="00DD0313"/>
    <w:rsid w:val="00DE196E"/>
    <w:rsid w:val="00E0331A"/>
    <w:rsid w:val="00E07990"/>
    <w:rsid w:val="00E11D9D"/>
    <w:rsid w:val="00E46642"/>
    <w:rsid w:val="00E571F4"/>
    <w:rsid w:val="00E839FB"/>
    <w:rsid w:val="00E8620D"/>
    <w:rsid w:val="00E949EC"/>
    <w:rsid w:val="00E95CC0"/>
    <w:rsid w:val="00EA7E0F"/>
    <w:rsid w:val="00EC41D0"/>
    <w:rsid w:val="00ED09E2"/>
    <w:rsid w:val="00ED42E9"/>
    <w:rsid w:val="00EF062E"/>
    <w:rsid w:val="00F07E47"/>
    <w:rsid w:val="00F50206"/>
    <w:rsid w:val="00F63BC1"/>
    <w:rsid w:val="00FB17CF"/>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table" w:styleId="TableSimple1">
    <w:name w:val="Table Simple 1"/>
    <w:basedOn w:val="TableNormal"/>
    <w:rsid w:val="00A64324"/>
    <w:pPr>
      <w:widowControl w:val="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20747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pandza</cp:lastModifiedBy>
  <cp:revision>3</cp:revision>
  <cp:lastPrinted>2016-03-25T09:22:00Z</cp:lastPrinted>
  <dcterms:created xsi:type="dcterms:W3CDTF">2016-10-31T10:06:00Z</dcterms:created>
  <dcterms:modified xsi:type="dcterms:W3CDTF">2016-10-31T10:06:00Z</dcterms:modified>
</cp:coreProperties>
</file>