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DA0" w:rsidRPr="00104399" w:rsidRDefault="00817746" w:rsidP="00146556">
      <w:pPr>
        <w:jc w:val="center"/>
        <w:rPr>
          <w:b/>
          <w:sz w:val="28"/>
          <w:szCs w:val="28"/>
          <w:lang w:val="sr-Latn-BA"/>
        </w:rPr>
      </w:pPr>
      <w:bookmarkStart w:id="0" w:name="_GoBack"/>
      <w:bookmarkEnd w:id="0"/>
      <w:r w:rsidRPr="00104399">
        <w:rPr>
          <w:b/>
          <w:sz w:val="28"/>
          <w:szCs w:val="28"/>
          <w:lang w:val="sr-Latn-BA"/>
        </w:rPr>
        <w:t>OCJENA</w:t>
      </w:r>
      <w:r w:rsidR="00146556" w:rsidRPr="00104399">
        <w:rPr>
          <w:b/>
          <w:sz w:val="28"/>
          <w:szCs w:val="28"/>
          <w:lang w:val="sr-Latn-BA"/>
        </w:rPr>
        <w:t xml:space="preserve"> US</w:t>
      </w:r>
      <w:r w:rsidR="00B10B65" w:rsidRPr="00104399">
        <w:rPr>
          <w:b/>
          <w:sz w:val="28"/>
          <w:szCs w:val="28"/>
          <w:lang w:val="sr-Latn-BA"/>
        </w:rPr>
        <w:t>AGLAŠENOSTI</w:t>
      </w:r>
      <w:r w:rsidR="00146556" w:rsidRPr="00104399">
        <w:rPr>
          <w:b/>
          <w:sz w:val="28"/>
          <w:szCs w:val="28"/>
          <w:lang w:val="sr-Latn-BA"/>
        </w:rPr>
        <w:t xml:space="preserve"> KVALITETA TEČNIH </w:t>
      </w:r>
      <w:r w:rsidR="00B13DA0" w:rsidRPr="00104399">
        <w:rPr>
          <w:b/>
          <w:sz w:val="28"/>
          <w:szCs w:val="28"/>
          <w:lang w:val="sr-Latn-BA"/>
        </w:rPr>
        <w:t xml:space="preserve">NAFTNIH </w:t>
      </w:r>
      <w:r w:rsidR="00146556" w:rsidRPr="00104399">
        <w:rPr>
          <w:b/>
          <w:sz w:val="28"/>
          <w:szCs w:val="28"/>
          <w:lang w:val="sr-Latn-BA"/>
        </w:rPr>
        <w:t xml:space="preserve">GORIVA </w:t>
      </w:r>
      <w:r w:rsidR="00B10B65" w:rsidRPr="00104399">
        <w:rPr>
          <w:b/>
          <w:sz w:val="28"/>
          <w:szCs w:val="28"/>
          <w:lang w:val="sr-Latn-BA"/>
        </w:rPr>
        <w:t>SA V</w:t>
      </w:r>
      <w:r w:rsidR="00B0030B" w:rsidRPr="00104399">
        <w:rPr>
          <w:b/>
          <w:sz w:val="28"/>
          <w:szCs w:val="28"/>
          <w:lang w:val="sr-Latn-BA"/>
        </w:rPr>
        <w:t>A</w:t>
      </w:r>
      <w:r w:rsidR="00B10B65" w:rsidRPr="00104399">
        <w:rPr>
          <w:b/>
          <w:sz w:val="28"/>
          <w:szCs w:val="28"/>
          <w:lang w:val="sr-Latn-BA"/>
        </w:rPr>
        <w:t xml:space="preserve">ŽEĆIM SPECIFIKACIJAMA </w:t>
      </w:r>
      <w:r w:rsidR="00B13DA0" w:rsidRPr="00104399">
        <w:rPr>
          <w:b/>
          <w:sz w:val="28"/>
          <w:szCs w:val="28"/>
          <w:lang w:val="sr-Latn-BA"/>
        </w:rPr>
        <w:t>U BiH</w:t>
      </w:r>
    </w:p>
    <w:p w:rsidR="00B13DA0" w:rsidRPr="0010525A" w:rsidRDefault="00B13DA0" w:rsidP="00B13DA0">
      <w:pPr>
        <w:jc w:val="center"/>
        <w:rPr>
          <w:b/>
          <w:lang w:val="sr-Latn-BA"/>
        </w:rPr>
      </w:pPr>
    </w:p>
    <w:p w:rsidR="00B13DA0" w:rsidRPr="00B0030B" w:rsidRDefault="00B13DA0" w:rsidP="00B13DA0">
      <w:pPr>
        <w:jc w:val="center"/>
        <w:rPr>
          <w:lang w:val="sr-Latn-BA"/>
        </w:rPr>
      </w:pPr>
      <w:r w:rsidRPr="0010525A">
        <w:rPr>
          <w:lang w:val="sr-Latn-BA"/>
        </w:rPr>
        <w:t>Tatjana Botić</w:t>
      </w:r>
      <w:r w:rsidRPr="0010525A">
        <w:rPr>
          <w:vertAlign w:val="superscript"/>
          <w:lang w:val="sr-Latn-BA"/>
        </w:rPr>
        <w:t>1</w:t>
      </w:r>
      <w:r>
        <w:rPr>
          <w:lang w:val="sr-Latn-BA"/>
        </w:rPr>
        <w:t>, Branka Kojić-Dugić</w:t>
      </w:r>
      <w:r>
        <w:rPr>
          <w:vertAlign w:val="superscript"/>
          <w:lang w:val="sr-Latn-BA"/>
        </w:rPr>
        <w:t>2</w:t>
      </w:r>
      <w:r w:rsidR="00E531B7">
        <w:rPr>
          <w:lang w:val="sr-Latn-BA"/>
        </w:rPr>
        <w:t>, Vasilije Hamović</w:t>
      </w:r>
      <w:r w:rsidR="00E531B7">
        <w:rPr>
          <w:vertAlign w:val="superscript"/>
          <w:lang w:val="sr-Latn-BA"/>
        </w:rPr>
        <w:t>3</w:t>
      </w:r>
      <w:r w:rsidR="00B0030B">
        <w:rPr>
          <w:lang w:val="sr-Latn-BA"/>
        </w:rPr>
        <w:t>,</w:t>
      </w:r>
      <w:r w:rsidR="00B0030B" w:rsidRPr="00B0030B">
        <w:rPr>
          <w:lang w:val="sr-Latn-BA"/>
        </w:rPr>
        <w:t xml:space="preserve"> </w:t>
      </w:r>
      <w:r w:rsidR="00B0030B">
        <w:rPr>
          <w:lang w:val="sr-Latn-BA"/>
        </w:rPr>
        <w:t>Pero Dugić</w:t>
      </w:r>
      <w:r w:rsidR="00B0030B">
        <w:rPr>
          <w:vertAlign w:val="superscript"/>
          <w:lang w:val="sr-Latn-BA"/>
        </w:rPr>
        <w:t>1</w:t>
      </w:r>
    </w:p>
    <w:p w:rsidR="00B13DA0" w:rsidRPr="0010525A" w:rsidRDefault="00B13DA0" w:rsidP="00B13DA0">
      <w:pPr>
        <w:jc w:val="center"/>
        <w:rPr>
          <w:lang w:val="sr-Latn-BA"/>
        </w:rPr>
      </w:pPr>
    </w:p>
    <w:p w:rsidR="00B13DA0" w:rsidRPr="0010525A" w:rsidRDefault="00B13DA0" w:rsidP="00B13DA0">
      <w:pPr>
        <w:jc w:val="center"/>
        <w:rPr>
          <w:lang w:val="sr-Latn-BA"/>
        </w:rPr>
      </w:pPr>
      <w:r w:rsidRPr="0010525A">
        <w:rPr>
          <w:vertAlign w:val="superscript"/>
          <w:lang w:val="sr-Latn-BA"/>
        </w:rPr>
        <w:t>1</w:t>
      </w:r>
      <w:r w:rsidRPr="0010525A">
        <w:rPr>
          <w:lang w:val="sr-Latn-BA"/>
        </w:rPr>
        <w:t>Tehnološki fakultet Univerziteta u Banjaluci</w:t>
      </w:r>
      <w:r>
        <w:rPr>
          <w:lang w:val="sr-Latn-BA"/>
        </w:rPr>
        <w:t xml:space="preserve">, </w:t>
      </w:r>
      <w:hyperlink r:id="rId8" w:history="1">
        <w:r w:rsidRPr="00BE7026">
          <w:rPr>
            <w:rStyle w:val="Hyperlink"/>
            <w:lang w:val="sr-Latn-BA"/>
          </w:rPr>
          <w:t>tatjana.botic@unibl.rs</w:t>
        </w:r>
      </w:hyperlink>
      <w:r>
        <w:rPr>
          <w:lang w:val="sr-Latn-BA"/>
        </w:rPr>
        <w:t xml:space="preserve"> </w:t>
      </w:r>
    </w:p>
    <w:p w:rsidR="00B13DA0" w:rsidRDefault="00B13DA0" w:rsidP="00B13DA0">
      <w:pPr>
        <w:jc w:val="center"/>
        <w:rPr>
          <w:lang w:val="sr-Latn-BA"/>
        </w:rPr>
      </w:pPr>
      <w:r w:rsidRPr="0010525A">
        <w:rPr>
          <w:vertAlign w:val="superscript"/>
          <w:lang w:val="sr-Latn-BA"/>
        </w:rPr>
        <w:t xml:space="preserve">2 </w:t>
      </w:r>
      <w:r>
        <w:rPr>
          <w:lang w:val="sr-Latn-BA"/>
        </w:rPr>
        <w:t>Rafinerija ulja Modriča</w:t>
      </w:r>
    </w:p>
    <w:p w:rsidR="00E531B7" w:rsidRPr="00E531B7" w:rsidRDefault="00E531B7" w:rsidP="00B13DA0">
      <w:pPr>
        <w:jc w:val="center"/>
        <w:rPr>
          <w:lang w:val="sr-Latn-BA"/>
        </w:rPr>
      </w:pPr>
      <w:r>
        <w:rPr>
          <w:vertAlign w:val="superscript"/>
          <w:lang w:val="sr-Latn-BA"/>
        </w:rPr>
        <w:t>3</w:t>
      </w:r>
      <w:r>
        <w:rPr>
          <w:lang w:val="sr-Latn-BA"/>
        </w:rPr>
        <w:t>Institut za akreditovanje BiH</w:t>
      </w:r>
    </w:p>
    <w:p w:rsidR="00A12585" w:rsidRPr="00532254" w:rsidRDefault="00A12585" w:rsidP="00A12585">
      <w:pPr>
        <w:jc w:val="center"/>
        <w:rPr>
          <w:lang w:val="pt-BR"/>
        </w:rPr>
      </w:pPr>
    </w:p>
    <w:p w:rsidR="00B13DA0" w:rsidRDefault="00B13DA0" w:rsidP="00B13DA0">
      <w:pPr>
        <w:rPr>
          <w:b/>
          <w:snapToGrid/>
          <w:sz w:val="24"/>
          <w:szCs w:val="24"/>
          <w:lang w:val="sr-Latn-BA"/>
        </w:rPr>
      </w:pPr>
    </w:p>
    <w:p w:rsidR="00B13DA0" w:rsidRPr="00B13DA0" w:rsidRDefault="00B13DA0" w:rsidP="00B13DA0">
      <w:pPr>
        <w:rPr>
          <w:b/>
          <w:snapToGrid/>
          <w:sz w:val="24"/>
          <w:szCs w:val="24"/>
          <w:lang w:val="sr-Latn-BA"/>
        </w:rPr>
      </w:pPr>
      <w:r w:rsidRPr="00B13DA0">
        <w:rPr>
          <w:b/>
          <w:snapToGrid/>
          <w:sz w:val="24"/>
          <w:szCs w:val="24"/>
          <w:lang w:val="sr-Latn-BA"/>
        </w:rPr>
        <w:t xml:space="preserve">Sažetak </w:t>
      </w:r>
    </w:p>
    <w:p w:rsidR="00045137" w:rsidRPr="00B0030B" w:rsidRDefault="00B13DA0" w:rsidP="00B13DA0">
      <w:pPr>
        <w:pStyle w:val="Default"/>
        <w:spacing w:after="120"/>
        <w:jc w:val="both"/>
        <w:rPr>
          <w:color w:val="auto"/>
          <w:lang w:val="sr-Latn-BA"/>
        </w:rPr>
      </w:pPr>
      <w:r w:rsidRPr="00B0030B">
        <w:rPr>
          <w:color w:val="auto"/>
          <w:lang w:val="sr-Latn-BA"/>
        </w:rPr>
        <w:t>Ocjenjivanje us</w:t>
      </w:r>
      <w:r w:rsidR="00B0030B">
        <w:rPr>
          <w:color w:val="auto"/>
          <w:lang w:val="sr-Latn-BA"/>
        </w:rPr>
        <w:t>aglašenosti</w:t>
      </w:r>
      <w:r w:rsidRPr="00B0030B">
        <w:rPr>
          <w:color w:val="auto"/>
          <w:lang w:val="sr-Latn-BA"/>
        </w:rPr>
        <w:t xml:space="preserve"> kvaliteta</w:t>
      </w:r>
      <w:r w:rsidR="00146556" w:rsidRPr="00B0030B">
        <w:rPr>
          <w:color w:val="auto"/>
          <w:lang w:val="sr-Latn-BA"/>
        </w:rPr>
        <w:t xml:space="preserve"> tečnih</w:t>
      </w:r>
      <w:r w:rsidRPr="00B0030B">
        <w:rPr>
          <w:color w:val="auto"/>
          <w:lang w:val="sr-Latn-BA"/>
        </w:rPr>
        <w:t xml:space="preserve"> naftnih </w:t>
      </w:r>
      <w:r w:rsidR="00146556" w:rsidRPr="00B0030B">
        <w:rPr>
          <w:color w:val="auto"/>
          <w:lang w:val="sr-Latn-BA"/>
        </w:rPr>
        <w:t>goriva</w:t>
      </w:r>
      <w:r w:rsidRPr="00B0030B">
        <w:rPr>
          <w:color w:val="auto"/>
          <w:lang w:val="sr-Latn-BA"/>
        </w:rPr>
        <w:t xml:space="preserve"> je postupak utvrđivanja da li </w:t>
      </w:r>
      <w:r w:rsidR="00817746" w:rsidRPr="00B0030B">
        <w:rPr>
          <w:color w:val="auto"/>
          <w:lang w:val="sr-Latn-BA"/>
        </w:rPr>
        <w:t>određeni proizvod iz ove</w:t>
      </w:r>
      <w:r w:rsidRPr="00B0030B">
        <w:rPr>
          <w:color w:val="auto"/>
          <w:lang w:val="sr-Latn-BA"/>
        </w:rPr>
        <w:t xml:space="preserve"> grupa proizvoda ispunjava zahtjeve </w:t>
      </w:r>
      <w:r w:rsidR="0089396C" w:rsidRPr="00B0030B">
        <w:rPr>
          <w:color w:val="auto"/>
          <w:lang w:val="sr-Latn-BA"/>
        </w:rPr>
        <w:t xml:space="preserve">kvaliteta </w:t>
      </w:r>
      <w:r w:rsidR="00B10B65" w:rsidRPr="00B0030B">
        <w:rPr>
          <w:color w:val="auto"/>
          <w:lang w:val="sr-Latn-BA"/>
        </w:rPr>
        <w:t>propisane Odlukom o kvalitetu tečnih naftnih goriva</w:t>
      </w:r>
      <w:r w:rsidR="00D16B41" w:rsidRPr="00B0030B">
        <w:rPr>
          <w:color w:val="auto"/>
          <w:lang w:val="sr-Latn-BA"/>
        </w:rPr>
        <w:t>.</w:t>
      </w:r>
      <w:r w:rsidRPr="00B0030B">
        <w:rPr>
          <w:color w:val="auto"/>
          <w:lang w:val="sr-Latn-BA"/>
        </w:rPr>
        <w:t xml:space="preserve"> Zahtjevi potrošača za tačnim informacijama o pouzdanosti</w:t>
      </w:r>
      <w:r w:rsidR="00023ECE" w:rsidRPr="00B0030B">
        <w:rPr>
          <w:color w:val="auto"/>
          <w:lang w:val="sr-Latn-BA"/>
        </w:rPr>
        <w:t xml:space="preserve"> upotrebe</w:t>
      </w:r>
      <w:r w:rsidRPr="00B0030B">
        <w:rPr>
          <w:color w:val="auto"/>
          <w:lang w:val="sr-Latn-BA"/>
        </w:rPr>
        <w:t xml:space="preserve"> proizvoda</w:t>
      </w:r>
      <w:r w:rsidR="0031761E" w:rsidRPr="00B0030B">
        <w:rPr>
          <w:color w:val="auto"/>
          <w:lang w:val="sr-Latn-BA"/>
        </w:rPr>
        <w:t>, kako u zemljama EU, tako i u BiH,</w:t>
      </w:r>
      <w:r w:rsidRPr="00B0030B">
        <w:rPr>
          <w:color w:val="auto"/>
          <w:lang w:val="sr-Latn-BA"/>
        </w:rPr>
        <w:t xml:space="preserve"> doveli su do </w:t>
      </w:r>
      <w:r w:rsidR="0031761E" w:rsidRPr="00B0030B">
        <w:rPr>
          <w:color w:val="auto"/>
          <w:lang w:val="sr-Latn-BA"/>
        </w:rPr>
        <w:t>uvođenja brojnih propisa koji definišu kvalitet i postupke ocjenjivanja us</w:t>
      </w:r>
      <w:r w:rsidR="00B10B65" w:rsidRPr="00B0030B">
        <w:rPr>
          <w:color w:val="auto"/>
          <w:lang w:val="sr-Latn-BA"/>
        </w:rPr>
        <w:t>aglašenosti</w:t>
      </w:r>
      <w:r w:rsidR="0031761E" w:rsidRPr="00B0030B">
        <w:rPr>
          <w:color w:val="auto"/>
          <w:lang w:val="sr-Latn-BA"/>
        </w:rPr>
        <w:t xml:space="preserve"> kvaliteta. S obzirom da potrošači, u većini slučajeva, nemaju neophodna znanja i druge resurse da samostalno ocijene kvalitet, oni svoje povjerenje ukazuju </w:t>
      </w:r>
      <w:r w:rsidR="00B10B65" w:rsidRPr="00B0030B">
        <w:rPr>
          <w:color w:val="auto"/>
          <w:lang w:val="sr-Latn-BA"/>
        </w:rPr>
        <w:t>kompetentnim tijelima za ocjenjivanje usaglašenost</w:t>
      </w:r>
      <w:r w:rsidR="008C00D7">
        <w:rPr>
          <w:color w:val="auto"/>
          <w:lang w:val="sr-Latn-BA"/>
        </w:rPr>
        <w:t>i</w:t>
      </w:r>
      <w:r w:rsidR="00B10B65" w:rsidRPr="00B0030B">
        <w:rPr>
          <w:color w:val="auto"/>
          <w:lang w:val="sr-Latn-BA"/>
        </w:rPr>
        <w:t xml:space="preserve">. </w:t>
      </w:r>
    </w:p>
    <w:p w:rsidR="00B0030B" w:rsidRPr="00104399" w:rsidRDefault="00B0030B" w:rsidP="00B13DA0">
      <w:pPr>
        <w:pStyle w:val="Default"/>
        <w:spacing w:after="120"/>
        <w:jc w:val="both"/>
        <w:rPr>
          <w:i/>
          <w:color w:val="auto"/>
          <w:lang w:val="sr-Latn-BA"/>
        </w:rPr>
      </w:pPr>
      <w:r w:rsidRPr="00104399">
        <w:rPr>
          <w:color w:val="auto"/>
          <w:lang w:val="sr-Latn-BA"/>
        </w:rPr>
        <w:t xml:space="preserve">Kod ocjene kvaliteta tečnih naftnih goriva, odlukom je definisano da te aktivnosti provodi inspekcijsko tijelo akreditovano prema standardu BAS EN ISO/IEC 17020, </w:t>
      </w:r>
      <w:r w:rsidRPr="00104399">
        <w:rPr>
          <w:i/>
          <w:color w:val="auto"/>
          <w:lang w:val="sr-Latn-BA"/>
        </w:rPr>
        <w:t>Ocjenjivanje usaglašenosti – Zahtjev za rad različitih tipova tijela koja izvode inspekciju</w:t>
      </w:r>
      <w:r w:rsidRPr="00104399">
        <w:rPr>
          <w:color w:val="auto"/>
          <w:lang w:val="sr-Latn-BA"/>
        </w:rPr>
        <w:t xml:space="preserve">, na osnovu rezultata ispitivanja tečnih naftnih goriva u laboratoriji koja je akreditovana prema standardu </w:t>
      </w:r>
      <w:r w:rsidR="0089396C" w:rsidRPr="00104399">
        <w:rPr>
          <w:color w:val="auto"/>
          <w:lang w:val="sr-Latn-BA"/>
        </w:rPr>
        <w:t xml:space="preserve">BAS </w:t>
      </w:r>
      <w:r w:rsidR="00B13DA0" w:rsidRPr="00104399">
        <w:rPr>
          <w:color w:val="auto"/>
          <w:lang w:val="sr-Latn-BA"/>
        </w:rPr>
        <w:t xml:space="preserve">ISO/IEC 17025 – </w:t>
      </w:r>
      <w:r w:rsidR="00B13DA0" w:rsidRPr="00104399">
        <w:rPr>
          <w:i/>
          <w:color w:val="auto"/>
          <w:lang w:val="sr-Latn-BA"/>
        </w:rPr>
        <w:t>Opšti zahtjevi za kompetentnost ispitnih i kalibracionih laboratorija</w:t>
      </w:r>
      <w:r w:rsidRPr="00104399">
        <w:rPr>
          <w:i/>
          <w:color w:val="auto"/>
          <w:lang w:val="sr-Latn-BA"/>
        </w:rPr>
        <w:t>.</w:t>
      </w:r>
    </w:p>
    <w:p w:rsidR="00B0030B" w:rsidRPr="00104399" w:rsidRDefault="00B13DA0" w:rsidP="00B0030B">
      <w:pPr>
        <w:pStyle w:val="Default"/>
        <w:jc w:val="both"/>
        <w:rPr>
          <w:color w:val="auto"/>
          <w:lang w:val="sr-Latn-BA"/>
        </w:rPr>
      </w:pPr>
      <w:r w:rsidRPr="00104399">
        <w:rPr>
          <w:color w:val="auto"/>
          <w:lang w:val="sr-Latn-BA"/>
        </w:rPr>
        <w:t>U radu je o</w:t>
      </w:r>
      <w:r w:rsidR="000E537B" w:rsidRPr="00104399">
        <w:rPr>
          <w:color w:val="auto"/>
          <w:lang w:val="sr-Latn-BA"/>
        </w:rPr>
        <w:t xml:space="preserve">pisan značaj </w:t>
      </w:r>
      <w:r w:rsidR="00E531B7" w:rsidRPr="00104399">
        <w:rPr>
          <w:color w:val="auto"/>
          <w:lang w:val="sr-Latn-BA"/>
        </w:rPr>
        <w:t xml:space="preserve">i prednosti </w:t>
      </w:r>
      <w:r w:rsidR="000E537B" w:rsidRPr="00104399">
        <w:rPr>
          <w:color w:val="auto"/>
          <w:lang w:val="sr-Latn-BA"/>
        </w:rPr>
        <w:t>akred</w:t>
      </w:r>
      <w:r w:rsidR="00E531B7" w:rsidRPr="00104399">
        <w:rPr>
          <w:color w:val="auto"/>
          <w:lang w:val="sr-Latn-BA"/>
        </w:rPr>
        <w:t xml:space="preserve">itacije i standardizacije uopšte, kao i iskustva u donošenju i primjeni </w:t>
      </w:r>
      <w:r w:rsidR="000E537B" w:rsidRPr="00104399">
        <w:rPr>
          <w:color w:val="auto"/>
          <w:lang w:val="sr-Latn-BA"/>
        </w:rPr>
        <w:t>standard</w:t>
      </w:r>
      <w:r w:rsidR="00E531B7" w:rsidRPr="00104399">
        <w:rPr>
          <w:color w:val="auto"/>
          <w:lang w:val="sr-Latn-BA"/>
        </w:rPr>
        <w:t>a kvaliteta proizvoda i metoda</w:t>
      </w:r>
      <w:r w:rsidR="000E537B" w:rsidRPr="00104399">
        <w:rPr>
          <w:color w:val="auto"/>
          <w:lang w:val="sr-Latn-BA"/>
        </w:rPr>
        <w:t xml:space="preserve"> ispitivanja u oblasti tečnih naftnih goriv</w:t>
      </w:r>
      <w:r w:rsidR="00B0030B" w:rsidRPr="00104399">
        <w:rPr>
          <w:color w:val="auto"/>
          <w:lang w:val="sr-Latn-BA"/>
        </w:rPr>
        <w:t>a.</w:t>
      </w:r>
      <w:r w:rsidR="00104399" w:rsidRPr="00104399">
        <w:rPr>
          <w:color w:val="auto"/>
          <w:lang w:val="sr-Latn-BA"/>
        </w:rPr>
        <w:t xml:space="preserve"> </w:t>
      </w:r>
    </w:p>
    <w:p w:rsidR="00104399" w:rsidRPr="00104399" w:rsidRDefault="00104399" w:rsidP="00B0030B">
      <w:pPr>
        <w:pStyle w:val="Default"/>
        <w:jc w:val="both"/>
        <w:rPr>
          <w:color w:val="auto"/>
          <w:lang w:val="sr-Latn-BA"/>
        </w:rPr>
      </w:pPr>
    </w:p>
    <w:p w:rsidR="00B13DA0" w:rsidRPr="00104399" w:rsidRDefault="00B13DA0" w:rsidP="00B0030B">
      <w:pPr>
        <w:pStyle w:val="Default"/>
        <w:jc w:val="both"/>
        <w:rPr>
          <w:color w:val="auto"/>
          <w:lang w:val="sr-Latn-BA"/>
        </w:rPr>
      </w:pPr>
      <w:r w:rsidRPr="00104399">
        <w:rPr>
          <w:color w:val="auto"/>
          <w:lang w:val="sr-Latn-BA"/>
        </w:rPr>
        <w:t xml:space="preserve">Ključne riječi: proces akreditacije, kontrola ispitivanja, standardi kvaliteta, </w:t>
      </w:r>
    </w:p>
    <w:p w:rsidR="00B13DA0" w:rsidRPr="00104399" w:rsidRDefault="00B13DA0" w:rsidP="00B13DA0">
      <w:pPr>
        <w:pStyle w:val="Default"/>
        <w:jc w:val="both"/>
        <w:rPr>
          <w:b/>
          <w:color w:val="auto"/>
          <w:lang w:val="sr-Latn-BA"/>
        </w:rPr>
      </w:pPr>
    </w:p>
    <w:p w:rsidR="00216C5E" w:rsidRPr="00104399" w:rsidRDefault="00216C5E" w:rsidP="00532254">
      <w:pPr>
        <w:jc w:val="center"/>
        <w:rPr>
          <w:i/>
          <w:lang w:val="pt-BR"/>
        </w:rPr>
      </w:pPr>
    </w:p>
    <w:p w:rsidR="00ED09E2" w:rsidRPr="00ED09E2" w:rsidRDefault="00ED09E2">
      <w:pPr>
        <w:jc w:val="center"/>
        <w:rPr>
          <w:b/>
          <w:sz w:val="22"/>
          <w:szCs w:val="22"/>
        </w:rPr>
      </w:pPr>
    </w:p>
    <w:p w:rsidR="003F1333" w:rsidRPr="00B74A23" w:rsidRDefault="00581028">
      <w:pPr>
        <w:jc w:val="center"/>
        <w:rPr>
          <w:b/>
          <w:sz w:val="28"/>
          <w:szCs w:val="28"/>
        </w:rPr>
      </w:pPr>
      <w:r>
        <w:rPr>
          <w:b/>
          <w:sz w:val="28"/>
          <w:szCs w:val="28"/>
        </w:rPr>
        <w:t>CONFORMITY ASSESSMENT OF LIQUID PETROLIUM FUELS QUALITY WITH CURRENT SPECIFICATIONS IN BOSNIA AND HERZEGOVINA</w:t>
      </w:r>
    </w:p>
    <w:p w:rsidR="003F1333" w:rsidRPr="00B74A23" w:rsidRDefault="003F1333">
      <w:pPr>
        <w:jc w:val="center"/>
        <w:rPr>
          <w:b/>
        </w:rPr>
      </w:pPr>
    </w:p>
    <w:p w:rsidR="00B13DA0" w:rsidRPr="00104399" w:rsidRDefault="00B13DA0" w:rsidP="00B13DA0">
      <w:pPr>
        <w:jc w:val="center"/>
        <w:rPr>
          <w:lang w:val="sr-Latn-BA"/>
        </w:rPr>
      </w:pPr>
      <w:r w:rsidRPr="0010525A">
        <w:rPr>
          <w:lang w:val="sr-Latn-BA"/>
        </w:rPr>
        <w:t>Tatjana Botić</w:t>
      </w:r>
      <w:r w:rsidRPr="0010525A">
        <w:rPr>
          <w:vertAlign w:val="superscript"/>
          <w:lang w:val="sr-Latn-BA"/>
        </w:rPr>
        <w:t>1</w:t>
      </w:r>
      <w:r>
        <w:rPr>
          <w:lang w:val="sr-Latn-BA"/>
        </w:rPr>
        <w:t>, Branka Kojić-Dugić</w:t>
      </w:r>
      <w:r>
        <w:rPr>
          <w:vertAlign w:val="superscript"/>
          <w:lang w:val="sr-Latn-BA"/>
        </w:rPr>
        <w:t>2</w:t>
      </w:r>
      <w:r w:rsidR="00E531B7">
        <w:rPr>
          <w:lang w:val="sr-Latn-BA"/>
        </w:rPr>
        <w:t>, Vasilije Hamović</w:t>
      </w:r>
      <w:r w:rsidR="00E531B7">
        <w:rPr>
          <w:vertAlign w:val="superscript"/>
          <w:lang w:val="sr-Latn-BA"/>
        </w:rPr>
        <w:t>3</w:t>
      </w:r>
      <w:r w:rsidR="00104399">
        <w:rPr>
          <w:lang w:val="sr-Latn-BA"/>
        </w:rPr>
        <w:t>,</w:t>
      </w:r>
      <w:r w:rsidR="00104399" w:rsidRPr="00104399">
        <w:rPr>
          <w:lang w:val="sr-Latn-BA"/>
        </w:rPr>
        <w:t xml:space="preserve"> </w:t>
      </w:r>
      <w:r w:rsidR="00104399">
        <w:rPr>
          <w:lang w:val="sr-Latn-BA"/>
        </w:rPr>
        <w:t>Pero Dugić</w:t>
      </w:r>
      <w:r w:rsidR="00104399">
        <w:rPr>
          <w:vertAlign w:val="superscript"/>
          <w:lang w:val="sr-Latn-BA"/>
        </w:rPr>
        <w:t>1</w:t>
      </w:r>
    </w:p>
    <w:p w:rsidR="00B13DA0" w:rsidRPr="0010525A" w:rsidRDefault="00B13DA0" w:rsidP="00B13DA0">
      <w:pPr>
        <w:jc w:val="center"/>
        <w:rPr>
          <w:lang w:val="sr-Latn-BA"/>
        </w:rPr>
      </w:pPr>
    </w:p>
    <w:p w:rsidR="00B13DA0" w:rsidRPr="00B13DA0" w:rsidRDefault="00B13DA0" w:rsidP="00B13DA0">
      <w:pPr>
        <w:jc w:val="center"/>
      </w:pPr>
      <w:r w:rsidRPr="00B13DA0">
        <w:rPr>
          <w:vertAlign w:val="superscript"/>
        </w:rPr>
        <w:t>1</w:t>
      </w:r>
      <w:r w:rsidRPr="00B13DA0">
        <w:t xml:space="preserve">Faculty of Technology University of Banjaluka, </w:t>
      </w:r>
      <w:hyperlink r:id="rId9" w:history="1">
        <w:r w:rsidRPr="00B13DA0">
          <w:rPr>
            <w:rStyle w:val="Hyperlink"/>
          </w:rPr>
          <w:t>tatjana.botic@unibl.rs</w:t>
        </w:r>
      </w:hyperlink>
      <w:r w:rsidRPr="00B13DA0">
        <w:t xml:space="preserve"> </w:t>
      </w:r>
    </w:p>
    <w:p w:rsidR="002B39EE" w:rsidRDefault="00B13DA0" w:rsidP="002B39EE">
      <w:pPr>
        <w:jc w:val="center"/>
      </w:pPr>
      <w:r w:rsidRPr="00B13DA0">
        <w:rPr>
          <w:vertAlign w:val="superscript"/>
        </w:rPr>
        <w:t xml:space="preserve">2 </w:t>
      </w:r>
      <w:r w:rsidRPr="00B13DA0">
        <w:t>Oil Refinery Modriča</w:t>
      </w:r>
    </w:p>
    <w:p w:rsidR="00E531B7" w:rsidRPr="002B39EE" w:rsidRDefault="00E531B7" w:rsidP="002B39EE">
      <w:pPr>
        <w:jc w:val="center"/>
      </w:pPr>
      <w:r w:rsidRPr="002B39EE">
        <w:rPr>
          <w:vertAlign w:val="superscript"/>
        </w:rPr>
        <w:t>3</w:t>
      </w:r>
      <w:r w:rsidRPr="002B39EE">
        <w:t xml:space="preserve"> </w:t>
      </w:r>
      <w:hyperlink r:id="rId10" w:history="1">
        <w:r w:rsidRPr="002B39EE">
          <w:rPr>
            <w:rStyle w:val="Hyperlink"/>
            <w:color w:val="auto"/>
            <w:u w:val="none"/>
          </w:rPr>
          <w:t>Institute for accreditation of B&amp;H</w:t>
        </w:r>
      </w:hyperlink>
    </w:p>
    <w:p w:rsidR="00216C5E" w:rsidRDefault="00216C5E" w:rsidP="00532254">
      <w:pPr>
        <w:rPr>
          <w:sz w:val="24"/>
          <w:szCs w:val="24"/>
        </w:rPr>
      </w:pPr>
    </w:p>
    <w:p w:rsidR="003F1333" w:rsidRPr="00B13DA0" w:rsidRDefault="00B13DA0" w:rsidP="00B5014F">
      <w:pPr>
        <w:pStyle w:val="References"/>
        <w:ind w:left="0" w:firstLine="0"/>
        <w:rPr>
          <w:rFonts w:ascii="Times New Roman" w:hAnsi="Times New Roman"/>
          <w:b/>
          <w:sz w:val="24"/>
          <w:szCs w:val="24"/>
          <w:lang w:val="en-US"/>
        </w:rPr>
      </w:pPr>
      <w:r w:rsidRPr="00B13DA0">
        <w:rPr>
          <w:rFonts w:ascii="Times New Roman" w:hAnsi="Times New Roman"/>
          <w:b/>
          <w:sz w:val="24"/>
          <w:szCs w:val="24"/>
          <w:lang w:val="en-US"/>
        </w:rPr>
        <w:t>A</w:t>
      </w:r>
      <w:r w:rsidR="003F1333" w:rsidRPr="00B13DA0">
        <w:rPr>
          <w:rFonts w:ascii="Times New Roman" w:hAnsi="Times New Roman"/>
          <w:b/>
          <w:sz w:val="24"/>
          <w:szCs w:val="24"/>
          <w:lang w:val="en-US"/>
        </w:rPr>
        <w:t>bstract</w:t>
      </w:r>
    </w:p>
    <w:p w:rsidR="003E0952" w:rsidRPr="008C00D7" w:rsidRDefault="00581028" w:rsidP="008C00D7">
      <w:pPr>
        <w:jc w:val="both"/>
        <w:rPr>
          <w:sz w:val="24"/>
          <w:szCs w:val="24"/>
        </w:rPr>
      </w:pPr>
      <w:r w:rsidRPr="008C00D7">
        <w:rPr>
          <w:sz w:val="24"/>
          <w:szCs w:val="24"/>
        </w:rPr>
        <w:t>Conform</w:t>
      </w:r>
      <w:r w:rsidR="00543256">
        <w:rPr>
          <w:sz w:val="24"/>
          <w:szCs w:val="24"/>
        </w:rPr>
        <w:t>ity assessment of liquid petrole</w:t>
      </w:r>
      <w:r w:rsidRPr="008C00D7">
        <w:rPr>
          <w:sz w:val="24"/>
          <w:szCs w:val="24"/>
        </w:rPr>
        <w:t>um fuels quality is a method of determination whether certain product from this group of products fulfills quality demands stipulated by the Decision on quality of liquid petroleum fuels. Customers demands for accurate informations o</w:t>
      </w:r>
      <w:r w:rsidR="00BF32DA" w:rsidRPr="008C00D7">
        <w:rPr>
          <w:sz w:val="24"/>
          <w:szCs w:val="24"/>
        </w:rPr>
        <w:t>n</w:t>
      </w:r>
      <w:r w:rsidRPr="008C00D7">
        <w:rPr>
          <w:sz w:val="24"/>
          <w:szCs w:val="24"/>
        </w:rPr>
        <w:t xml:space="preserve"> reliability </w:t>
      </w:r>
      <w:r w:rsidR="00BF32DA" w:rsidRPr="008C00D7">
        <w:rPr>
          <w:sz w:val="24"/>
          <w:szCs w:val="24"/>
        </w:rPr>
        <w:t>of products, both in EU countries and in Bosnia, led to the introduction of numerous regulations that define quality and means of conformity assessment. Considering the fact that consumers, in most cases, don’t have adequate knowledge and other resources to independently assess the quality, they give their confidence to competent conformity assessment bodies.</w:t>
      </w:r>
    </w:p>
    <w:p w:rsidR="00593075" w:rsidRPr="008C00D7" w:rsidRDefault="00BF32DA" w:rsidP="00593075">
      <w:pPr>
        <w:spacing w:after="240"/>
        <w:jc w:val="both"/>
        <w:rPr>
          <w:sz w:val="24"/>
          <w:szCs w:val="24"/>
        </w:rPr>
      </w:pPr>
      <w:r w:rsidRPr="008C00D7">
        <w:rPr>
          <w:sz w:val="24"/>
          <w:szCs w:val="24"/>
        </w:rPr>
        <w:t xml:space="preserve">In evaluating the quality of liquid petroleum fuels, the decision also specifies that these activities must be carried out by accredited inspection body according to standard </w:t>
      </w:r>
      <w:r w:rsidRPr="008C00D7">
        <w:rPr>
          <w:sz w:val="24"/>
          <w:szCs w:val="24"/>
          <w:lang w:val="sr-Latn-BA"/>
        </w:rPr>
        <w:t xml:space="preserve">BAS EN </w:t>
      </w:r>
      <w:r w:rsidRPr="008C00D7">
        <w:rPr>
          <w:sz w:val="24"/>
          <w:szCs w:val="24"/>
          <w:lang w:val="sr-Latn-BA"/>
        </w:rPr>
        <w:lastRenderedPageBreak/>
        <w:t xml:space="preserve">ISO/IEC 17020, </w:t>
      </w:r>
      <w:r w:rsidRPr="008C00D7">
        <w:rPr>
          <w:i/>
          <w:sz w:val="24"/>
          <w:szCs w:val="24"/>
          <w:lang w:val="sr-Latn-BA"/>
        </w:rPr>
        <w:t>Conformity assessment</w:t>
      </w:r>
      <w:r w:rsidR="00622A0E" w:rsidRPr="008C00D7">
        <w:rPr>
          <w:i/>
          <w:sz w:val="24"/>
          <w:szCs w:val="24"/>
          <w:lang w:val="sr-Latn-BA"/>
        </w:rPr>
        <w:t xml:space="preserve"> </w:t>
      </w:r>
      <w:r w:rsidR="00622A0E" w:rsidRPr="008C00D7">
        <w:rPr>
          <w:i/>
          <w:sz w:val="24"/>
          <w:szCs w:val="24"/>
        </w:rPr>
        <w:t>- Requirements for the operation of various types of bodies performing inspection</w:t>
      </w:r>
      <w:r w:rsidR="008C00D7" w:rsidRPr="008C00D7">
        <w:rPr>
          <w:sz w:val="24"/>
          <w:szCs w:val="24"/>
        </w:rPr>
        <w:t>,</w:t>
      </w:r>
      <w:r w:rsidR="00622A0E" w:rsidRPr="008C00D7">
        <w:rPr>
          <w:sz w:val="24"/>
          <w:szCs w:val="24"/>
        </w:rPr>
        <w:t xml:space="preserve"> </w:t>
      </w:r>
      <w:r w:rsidR="008C00D7" w:rsidRPr="008C00D7">
        <w:rPr>
          <w:sz w:val="24"/>
          <w:szCs w:val="24"/>
        </w:rPr>
        <w:t>based on liquid petroleum fuels test results in laboratory that is a</w:t>
      </w:r>
      <w:r w:rsidR="008C00D7">
        <w:rPr>
          <w:sz w:val="24"/>
          <w:szCs w:val="24"/>
        </w:rPr>
        <w:t>c</w:t>
      </w:r>
      <w:r w:rsidR="008C00D7" w:rsidRPr="008C00D7">
        <w:rPr>
          <w:sz w:val="24"/>
          <w:szCs w:val="24"/>
        </w:rPr>
        <w:t xml:space="preserve">credited according to standard BAS ISO/IEC 17025 - </w:t>
      </w:r>
      <w:r w:rsidR="008C00D7" w:rsidRPr="008C00D7">
        <w:rPr>
          <w:i/>
          <w:sz w:val="24"/>
          <w:szCs w:val="24"/>
        </w:rPr>
        <w:t>General requirements for the competence of testing and calibration laboratories</w:t>
      </w:r>
      <w:r w:rsidR="008C00D7" w:rsidRPr="008C00D7">
        <w:rPr>
          <w:sz w:val="24"/>
          <w:szCs w:val="24"/>
        </w:rPr>
        <w:t>.</w:t>
      </w:r>
    </w:p>
    <w:p w:rsidR="008C00D7" w:rsidRPr="008C00D7" w:rsidRDefault="008C00D7" w:rsidP="00593075">
      <w:pPr>
        <w:spacing w:after="240"/>
        <w:jc w:val="both"/>
        <w:rPr>
          <w:sz w:val="24"/>
          <w:szCs w:val="24"/>
        </w:rPr>
      </w:pPr>
      <w:r w:rsidRPr="008C00D7">
        <w:rPr>
          <w:sz w:val="24"/>
          <w:szCs w:val="24"/>
        </w:rPr>
        <w:t xml:space="preserve">The paper describes the importance and benefits of accreditation and standardization in general, as well as experience in the adoption and application of quality standards of products and </w:t>
      </w:r>
      <w:r>
        <w:rPr>
          <w:sz w:val="24"/>
          <w:szCs w:val="24"/>
        </w:rPr>
        <w:t xml:space="preserve">testing </w:t>
      </w:r>
      <w:r w:rsidRPr="008C00D7">
        <w:rPr>
          <w:sz w:val="24"/>
          <w:szCs w:val="24"/>
        </w:rPr>
        <w:t>methods in the areas of liquid</w:t>
      </w:r>
      <w:r>
        <w:rPr>
          <w:sz w:val="24"/>
          <w:szCs w:val="24"/>
        </w:rPr>
        <w:t xml:space="preserve"> petroleum</w:t>
      </w:r>
      <w:r w:rsidRPr="008C00D7">
        <w:rPr>
          <w:sz w:val="24"/>
          <w:szCs w:val="24"/>
        </w:rPr>
        <w:t xml:space="preserve"> fuels.</w:t>
      </w:r>
    </w:p>
    <w:p w:rsidR="00B13DA0" w:rsidRPr="00B13DA0" w:rsidRDefault="00B13DA0" w:rsidP="00B13DA0">
      <w:pPr>
        <w:pStyle w:val="Default"/>
        <w:jc w:val="both"/>
        <w:rPr>
          <w:color w:val="auto"/>
          <w:spacing w:val="1"/>
          <w:shd w:val="clear" w:color="auto" w:fill="FFFFFF"/>
        </w:rPr>
      </w:pPr>
      <w:r w:rsidRPr="00B13DA0">
        <w:rPr>
          <w:color w:val="auto"/>
        </w:rPr>
        <w:t>Keywords: accreditation</w:t>
      </w:r>
      <w:r w:rsidR="008C00D7" w:rsidRPr="008C00D7">
        <w:rPr>
          <w:color w:val="auto"/>
        </w:rPr>
        <w:t xml:space="preserve"> </w:t>
      </w:r>
      <w:r w:rsidR="008C00D7" w:rsidRPr="00B13DA0">
        <w:rPr>
          <w:color w:val="auto"/>
        </w:rPr>
        <w:t>process</w:t>
      </w:r>
      <w:r w:rsidRPr="00B13DA0">
        <w:rPr>
          <w:color w:val="auto"/>
        </w:rPr>
        <w:t>,</w:t>
      </w:r>
      <w:r w:rsidR="008C00D7">
        <w:rPr>
          <w:color w:val="auto"/>
        </w:rPr>
        <w:t xml:space="preserve"> testing control</w:t>
      </w:r>
      <w:r w:rsidRPr="00B13DA0">
        <w:rPr>
          <w:color w:val="auto"/>
        </w:rPr>
        <w:t>,</w:t>
      </w:r>
      <w:r>
        <w:rPr>
          <w:color w:val="auto"/>
        </w:rPr>
        <w:t xml:space="preserve"> </w:t>
      </w:r>
      <w:r w:rsidRPr="00B13DA0">
        <w:rPr>
          <w:color w:val="auto"/>
        </w:rPr>
        <w:t>level of quality, ISO/IEC 17025</w:t>
      </w:r>
    </w:p>
    <w:p w:rsidR="003E0952" w:rsidRPr="00B13DA0" w:rsidRDefault="003E0952">
      <w:pPr>
        <w:jc w:val="both"/>
        <w:rPr>
          <w:sz w:val="24"/>
          <w:szCs w:val="24"/>
        </w:rPr>
      </w:pPr>
    </w:p>
    <w:p w:rsidR="00ED42E9" w:rsidRPr="00B13DA0" w:rsidRDefault="00ED42E9">
      <w:pPr>
        <w:jc w:val="both"/>
        <w:rPr>
          <w:i/>
        </w:rPr>
      </w:pPr>
    </w:p>
    <w:p w:rsidR="00ED42E9" w:rsidRPr="00155E2A" w:rsidRDefault="00ED42E9">
      <w:pPr>
        <w:jc w:val="both"/>
        <w:rPr>
          <w:i/>
        </w:rPr>
      </w:pPr>
    </w:p>
    <w:p w:rsidR="00ED09E2" w:rsidRPr="00ED09E2" w:rsidRDefault="00ED09E2" w:rsidP="008C7815">
      <w:pPr>
        <w:rPr>
          <w:b/>
          <w:sz w:val="22"/>
          <w:szCs w:val="22"/>
        </w:rPr>
      </w:pPr>
    </w:p>
    <w:sectPr w:rsidR="00ED09E2" w:rsidRPr="00ED09E2" w:rsidSect="00D90377">
      <w:headerReference w:type="default" r:id="rId11"/>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64E2" w:rsidRDefault="00C764E2" w:rsidP="002338FC">
      <w:r>
        <w:separator/>
      </w:r>
    </w:p>
  </w:endnote>
  <w:endnote w:type="continuationSeparator" w:id="0">
    <w:p w:rsidR="00C764E2" w:rsidRDefault="00C764E2"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64E2" w:rsidRDefault="00C764E2" w:rsidP="002338FC">
      <w:r>
        <w:separator/>
      </w:r>
    </w:p>
  </w:footnote>
  <w:footnote w:type="continuationSeparator" w:id="0">
    <w:p w:rsidR="00C764E2" w:rsidRDefault="00C764E2"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23ECE"/>
    <w:rsid w:val="000424BE"/>
    <w:rsid w:val="00045137"/>
    <w:rsid w:val="000A694D"/>
    <w:rsid w:val="000C7C07"/>
    <w:rsid w:val="000E537B"/>
    <w:rsid w:val="000F0C95"/>
    <w:rsid w:val="00104399"/>
    <w:rsid w:val="001137B3"/>
    <w:rsid w:val="00140B76"/>
    <w:rsid w:val="00146556"/>
    <w:rsid w:val="00155E2A"/>
    <w:rsid w:val="00163092"/>
    <w:rsid w:val="00170084"/>
    <w:rsid w:val="001D2C9E"/>
    <w:rsid w:val="001E0B0E"/>
    <w:rsid w:val="001E1E4E"/>
    <w:rsid w:val="001F03E5"/>
    <w:rsid w:val="00211CB6"/>
    <w:rsid w:val="00216C5E"/>
    <w:rsid w:val="002338FC"/>
    <w:rsid w:val="002411E3"/>
    <w:rsid w:val="0027080A"/>
    <w:rsid w:val="0028158C"/>
    <w:rsid w:val="002B39EE"/>
    <w:rsid w:val="002B571C"/>
    <w:rsid w:val="00305A84"/>
    <w:rsid w:val="003119D2"/>
    <w:rsid w:val="0031761E"/>
    <w:rsid w:val="00325004"/>
    <w:rsid w:val="00326687"/>
    <w:rsid w:val="00336813"/>
    <w:rsid w:val="003766E9"/>
    <w:rsid w:val="003920C8"/>
    <w:rsid w:val="003B021D"/>
    <w:rsid w:val="003B72C8"/>
    <w:rsid w:val="003E0952"/>
    <w:rsid w:val="003F1333"/>
    <w:rsid w:val="00424816"/>
    <w:rsid w:val="00463A00"/>
    <w:rsid w:val="00490446"/>
    <w:rsid w:val="004C00FA"/>
    <w:rsid w:val="004D5E92"/>
    <w:rsid w:val="004E7652"/>
    <w:rsid w:val="00532254"/>
    <w:rsid w:val="00543256"/>
    <w:rsid w:val="00545371"/>
    <w:rsid w:val="00581017"/>
    <w:rsid w:val="00581028"/>
    <w:rsid w:val="00593075"/>
    <w:rsid w:val="005C2F81"/>
    <w:rsid w:val="005D3448"/>
    <w:rsid w:val="005F7535"/>
    <w:rsid w:val="00622152"/>
    <w:rsid w:val="00622A0E"/>
    <w:rsid w:val="006E78D0"/>
    <w:rsid w:val="00730728"/>
    <w:rsid w:val="007C3058"/>
    <w:rsid w:val="00810EAE"/>
    <w:rsid w:val="00817746"/>
    <w:rsid w:val="00817944"/>
    <w:rsid w:val="00850252"/>
    <w:rsid w:val="00852DAF"/>
    <w:rsid w:val="0089396C"/>
    <w:rsid w:val="008C00D7"/>
    <w:rsid w:val="008C7815"/>
    <w:rsid w:val="008F113C"/>
    <w:rsid w:val="00905C74"/>
    <w:rsid w:val="0092433A"/>
    <w:rsid w:val="00937999"/>
    <w:rsid w:val="00966613"/>
    <w:rsid w:val="00971A94"/>
    <w:rsid w:val="0097443A"/>
    <w:rsid w:val="009D1F13"/>
    <w:rsid w:val="00A12585"/>
    <w:rsid w:val="00A325FB"/>
    <w:rsid w:val="00A407C9"/>
    <w:rsid w:val="00A77759"/>
    <w:rsid w:val="00AC1B67"/>
    <w:rsid w:val="00AF106D"/>
    <w:rsid w:val="00B0030B"/>
    <w:rsid w:val="00B10B65"/>
    <w:rsid w:val="00B13DA0"/>
    <w:rsid w:val="00B36B75"/>
    <w:rsid w:val="00B5014F"/>
    <w:rsid w:val="00B74A23"/>
    <w:rsid w:val="00BB3447"/>
    <w:rsid w:val="00BF32DA"/>
    <w:rsid w:val="00C764E2"/>
    <w:rsid w:val="00C879E5"/>
    <w:rsid w:val="00CF4B58"/>
    <w:rsid w:val="00D10469"/>
    <w:rsid w:val="00D16B41"/>
    <w:rsid w:val="00D90377"/>
    <w:rsid w:val="00DB66DC"/>
    <w:rsid w:val="00DC2FD9"/>
    <w:rsid w:val="00DC79BA"/>
    <w:rsid w:val="00DD0313"/>
    <w:rsid w:val="00E0331A"/>
    <w:rsid w:val="00E07990"/>
    <w:rsid w:val="00E43269"/>
    <w:rsid w:val="00E531B7"/>
    <w:rsid w:val="00E839FB"/>
    <w:rsid w:val="00E949EC"/>
    <w:rsid w:val="00E95CC0"/>
    <w:rsid w:val="00EC1C83"/>
    <w:rsid w:val="00EC41D0"/>
    <w:rsid w:val="00ED09E2"/>
    <w:rsid w:val="00ED42E9"/>
    <w:rsid w:val="00EF062E"/>
    <w:rsid w:val="00EF2BB4"/>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9C8F99-A2D3-47AD-A06D-13578245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paragraph" w:styleId="Heading1">
    <w:name w:val="heading 1"/>
    <w:basedOn w:val="Normal"/>
    <w:link w:val="Heading1Char"/>
    <w:uiPriority w:val="9"/>
    <w:qFormat/>
    <w:rsid w:val="00E531B7"/>
    <w:pPr>
      <w:widowControl/>
      <w:spacing w:before="100" w:beforeAutospacing="1" w:after="100" w:afterAutospacing="1"/>
      <w:outlineLvl w:val="0"/>
    </w:pPr>
    <w:rPr>
      <w:b/>
      <w:bCs/>
      <w:snapToGrid/>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rPr>
      <w:lang w:val="x-none" w:eastAsia="x-none"/>
    </w:rPr>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paragraph" w:customStyle="1" w:styleId="Default">
    <w:name w:val="Default"/>
    <w:rsid w:val="00B13DA0"/>
    <w:pPr>
      <w:autoSpaceDE w:val="0"/>
      <w:autoSpaceDN w:val="0"/>
      <w:adjustRightInd w:val="0"/>
    </w:pPr>
    <w:rPr>
      <w:rFonts w:eastAsia="Calibri"/>
      <w:color w:val="000000"/>
      <w:sz w:val="24"/>
      <w:szCs w:val="24"/>
    </w:rPr>
  </w:style>
  <w:style w:type="paragraph" w:styleId="NormalWeb">
    <w:name w:val="Normal (Web)"/>
    <w:basedOn w:val="Normal"/>
    <w:uiPriority w:val="99"/>
    <w:unhideWhenUsed/>
    <w:rsid w:val="00EF2BB4"/>
    <w:pPr>
      <w:widowControl/>
      <w:spacing w:before="100" w:beforeAutospacing="1" w:after="100" w:afterAutospacing="1"/>
    </w:pPr>
    <w:rPr>
      <w:snapToGrid/>
      <w:sz w:val="24"/>
      <w:szCs w:val="24"/>
      <w:lang w:val="bs-Latn-BA" w:eastAsia="bs-Latn-BA"/>
    </w:rPr>
  </w:style>
  <w:style w:type="character" w:customStyle="1" w:styleId="Heading1Char">
    <w:name w:val="Heading 1 Char"/>
    <w:link w:val="Heading1"/>
    <w:uiPriority w:val="9"/>
    <w:rsid w:val="00E531B7"/>
    <w:rPr>
      <w:b/>
      <w:bCs/>
      <w:kern w:val="36"/>
      <w:sz w:val="48"/>
      <w:szCs w:val="48"/>
    </w:rPr>
  </w:style>
  <w:style w:type="character" w:customStyle="1" w:styleId="apple-converted-space">
    <w:name w:val="apple-converted-space"/>
    <w:basedOn w:val="DefaultParagraphFont"/>
    <w:rsid w:val="00581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5840952">
      <w:bodyDiv w:val="1"/>
      <w:marLeft w:val="0"/>
      <w:marRight w:val="0"/>
      <w:marTop w:val="0"/>
      <w:marBottom w:val="0"/>
      <w:divBdr>
        <w:top w:val="none" w:sz="0" w:space="0" w:color="auto"/>
        <w:left w:val="none" w:sz="0" w:space="0" w:color="auto"/>
        <w:bottom w:val="none" w:sz="0" w:space="0" w:color="auto"/>
        <w:right w:val="none" w:sz="0" w:space="0" w:color="auto"/>
      </w:divBdr>
    </w:div>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66685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tatjana.botic@unibl.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ata.gov.ba/Default.aspx" TargetMode="External"/><Relationship Id="rId4" Type="http://schemas.openxmlformats.org/officeDocument/2006/relationships/settings" Target="settings.xml"/><Relationship Id="rId9" Type="http://schemas.openxmlformats.org/officeDocument/2006/relationships/hyperlink" Target="mailto:tatjana.botic@unibl.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F98A6-EFAB-4988-82DD-50E60A703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3602</CharactersWithSpaces>
  <SharedDoc>false</SharedDoc>
  <HLinks>
    <vt:vector size="18" baseType="variant">
      <vt:variant>
        <vt:i4>2162745</vt:i4>
      </vt:variant>
      <vt:variant>
        <vt:i4>6</vt:i4>
      </vt:variant>
      <vt:variant>
        <vt:i4>0</vt:i4>
      </vt:variant>
      <vt:variant>
        <vt:i4>5</vt:i4>
      </vt:variant>
      <vt:variant>
        <vt:lpwstr>http://www.bata.gov.ba/Default.aspx</vt:lpwstr>
      </vt:variant>
      <vt:variant>
        <vt:lpwstr/>
      </vt:variant>
      <vt:variant>
        <vt:i4>1376357</vt:i4>
      </vt:variant>
      <vt:variant>
        <vt:i4>3</vt:i4>
      </vt:variant>
      <vt:variant>
        <vt:i4>0</vt:i4>
      </vt:variant>
      <vt:variant>
        <vt:i4>5</vt:i4>
      </vt:variant>
      <vt:variant>
        <vt:lpwstr>mailto:tatjana.botic@unibl.rs</vt:lpwstr>
      </vt:variant>
      <vt:variant>
        <vt:lpwstr/>
      </vt:variant>
      <vt:variant>
        <vt:i4>1376357</vt:i4>
      </vt:variant>
      <vt:variant>
        <vt:i4>0</vt:i4>
      </vt:variant>
      <vt:variant>
        <vt:i4>0</vt:i4>
      </vt:variant>
      <vt:variant>
        <vt:i4>5</vt:i4>
      </vt:variant>
      <vt:variant>
        <vt:lpwstr>mailto:tatjana.botic@unibl.rs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2016-06-29T08:42:00Z</cp:lastPrinted>
  <dcterms:created xsi:type="dcterms:W3CDTF">2016-10-05T13:16:00Z</dcterms:created>
  <dcterms:modified xsi:type="dcterms:W3CDTF">2016-10-05T13:16:00Z</dcterms:modified>
</cp:coreProperties>
</file>