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822" w:rsidRDefault="00B62CB9">
      <w:pPr>
        <w:pStyle w:val="Standard"/>
        <w:jc w:val="center"/>
      </w:pPr>
      <w:r>
        <w:rPr>
          <w:b/>
          <w:sz w:val="28"/>
          <w:szCs w:val="28"/>
          <w:lang w:eastAsia="en-GB"/>
        </w:rPr>
        <w:t>INVENTAR EMISIJA GASOVA STAKLENE BAŠTE IZ ENERGETIKE I INDUSTIJE REPUBLIKE SRPSKE</w:t>
      </w:r>
    </w:p>
    <w:p w:rsidR="00DD7822" w:rsidRDefault="00DD7822">
      <w:pPr>
        <w:pStyle w:val="Standard"/>
        <w:jc w:val="center"/>
        <w:rPr>
          <w:b/>
        </w:rPr>
      </w:pPr>
    </w:p>
    <w:p w:rsidR="00DD7822" w:rsidRDefault="008B1784">
      <w:pPr>
        <w:pStyle w:val="Standard"/>
        <w:jc w:val="center"/>
      </w:pPr>
      <w:r>
        <w:t>*</w:t>
      </w:r>
      <w:r w:rsidR="00B62CB9">
        <w:t>Saša Papuga</w:t>
      </w:r>
      <w:r w:rsidR="00B62CB9">
        <w:rPr>
          <w:vertAlign w:val="superscript"/>
        </w:rPr>
        <w:t>1</w:t>
      </w:r>
      <w:r w:rsidR="00B62CB9">
        <w:t>, Ranka Radić</w:t>
      </w:r>
      <w:r w:rsidR="00B62CB9">
        <w:rPr>
          <w:vertAlign w:val="superscript"/>
        </w:rPr>
        <w:t>2</w:t>
      </w:r>
      <w:r>
        <w:t xml:space="preserve">, </w:t>
      </w:r>
      <w:r w:rsidR="00B62CB9">
        <w:t>Igor Musić</w:t>
      </w:r>
      <w:r w:rsidR="00B62CB9">
        <w:rPr>
          <w:vertAlign w:val="superscript"/>
        </w:rPr>
        <w:t>2</w:t>
      </w:r>
    </w:p>
    <w:p w:rsidR="00DD7822" w:rsidRDefault="00DD7822">
      <w:pPr>
        <w:pStyle w:val="Standard"/>
        <w:jc w:val="center"/>
        <w:rPr>
          <w:vertAlign w:val="superscript"/>
        </w:rPr>
      </w:pPr>
    </w:p>
    <w:p w:rsidR="00DD7822" w:rsidRDefault="00B62CB9">
      <w:pPr>
        <w:pStyle w:val="Standard"/>
        <w:jc w:val="center"/>
      </w:pPr>
      <w:r>
        <w:rPr>
          <w:vertAlign w:val="superscript"/>
        </w:rPr>
        <w:t>1</w:t>
      </w:r>
      <w:r>
        <w:t>Univerzitet u Banjoj Luci, Tehnološki fakultet,</w:t>
      </w:r>
      <w:r w:rsidR="008B1784" w:rsidRPr="008B1784">
        <w:rPr>
          <w:lang w:val="sr-Latn-BA"/>
        </w:rPr>
        <w:t xml:space="preserve"> </w:t>
      </w:r>
      <w:r w:rsidR="008B1784">
        <w:rPr>
          <w:lang w:val="sr-Latn-BA"/>
        </w:rPr>
        <w:t>sasapapuga</w:t>
      </w:r>
      <w:r w:rsidR="008B1784" w:rsidRPr="00575401">
        <w:rPr>
          <w:lang w:val="sr-Latn-BA"/>
        </w:rPr>
        <w:t>@gmail.com</w:t>
      </w:r>
    </w:p>
    <w:p w:rsidR="00DD7822" w:rsidRDefault="00B62CB9">
      <w:pPr>
        <w:pStyle w:val="Standard"/>
        <w:jc w:val="center"/>
      </w:pPr>
      <w:r>
        <w:rPr>
          <w:vertAlign w:val="superscript"/>
        </w:rPr>
        <w:t>2</w:t>
      </w:r>
      <w:r>
        <w:t xml:space="preserve"> Republički hidrom</w:t>
      </w:r>
      <w:r w:rsidR="008B1784">
        <w:t xml:space="preserve">eteorološki zavod, Banja Luka, </w:t>
      </w:r>
      <w:r>
        <w:t>r.radic@rhmzrs.com</w:t>
      </w:r>
    </w:p>
    <w:p w:rsidR="00DD7822" w:rsidRDefault="00DD7822">
      <w:pPr>
        <w:pStyle w:val="Standard"/>
        <w:rPr>
          <w:sz w:val="24"/>
          <w:szCs w:val="24"/>
        </w:rPr>
      </w:pPr>
    </w:p>
    <w:p w:rsidR="00DD7822" w:rsidRDefault="00DD7822">
      <w:pPr>
        <w:pStyle w:val="Standard"/>
        <w:rPr>
          <w:sz w:val="24"/>
          <w:szCs w:val="24"/>
        </w:rPr>
      </w:pPr>
    </w:p>
    <w:p w:rsidR="00DD7822" w:rsidRDefault="00B62CB9">
      <w:pPr>
        <w:pStyle w:val="Standard"/>
        <w:jc w:val="both"/>
      </w:pPr>
      <w:proofErr w:type="gramStart"/>
      <w:r>
        <w:rPr>
          <w:sz w:val="24"/>
          <w:szCs w:val="24"/>
        </w:rPr>
        <w:t>Okvirna konvencija Ujedinjenih nacija o klimatskim promjenama (UNFCCC) je usvojena 1992.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 sa ciljem stabilizacije koncentraciju gasova staklene bašte (GHG) u atmosferi do nivoa koji bi spriječio opasno antropogeno uplitanje u klimatski sistem. </w:t>
      </w:r>
      <w:proofErr w:type="gramStart"/>
      <w:r>
        <w:rPr>
          <w:sz w:val="24"/>
          <w:szCs w:val="24"/>
        </w:rPr>
        <w:t>Bosna i Hercegovina, je pristupila i ratifikovala UNFCCC 2000.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Shodno preuzetim obavezama prema UNFCCC, 2009.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 usvojen je Prvi nacionalni izvještaj i 2011.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 Drugi nacionalni Izvještaj Bosne i Hercegovine u skladu sa UNFCCC, u kojima su dati Inventari GHG za period 1990 – 2001. </w:t>
      </w:r>
      <w:proofErr w:type="gramStart"/>
      <w:r>
        <w:rPr>
          <w:sz w:val="24"/>
          <w:szCs w:val="24"/>
        </w:rPr>
        <w:t>godina</w:t>
      </w:r>
      <w:proofErr w:type="gramEnd"/>
      <w:r>
        <w:rPr>
          <w:sz w:val="24"/>
          <w:szCs w:val="24"/>
        </w:rPr>
        <w:t xml:space="preserve">. U ovom radu je po prvi put predstavljen i analiziran Inventar gasova staklene bašte za Republiku Srpsku u periodu 2002-2014. </w:t>
      </w:r>
      <w:proofErr w:type="gramStart"/>
      <w:r>
        <w:rPr>
          <w:sz w:val="24"/>
          <w:szCs w:val="24"/>
        </w:rPr>
        <w:t>godina</w:t>
      </w:r>
      <w:proofErr w:type="gramEnd"/>
      <w:r>
        <w:rPr>
          <w:sz w:val="24"/>
          <w:szCs w:val="24"/>
        </w:rPr>
        <w:t xml:space="preserve">, a koji obuhvata emisije iz energetike i industrijskih procesa. Inventar je izrađen u skladu sa Smjernicama za države koje nisu članice Aneksa </w:t>
      </w:r>
      <w:proofErr w:type="gramStart"/>
      <w:r>
        <w:rPr>
          <w:sz w:val="24"/>
          <w:szCs w:val="24"/>
        </w:rPr>
        <w:t>I  UNFCCC</w:t>
      </w:r>
      <w:proofErr w:type="gramEnd"/>
      <w:r>
        <w:rPr>
          <w:sz w:val="24"/>
          <w:szCs w:val="24"/>
        </w:rPr>
        <w:t xml:space="preserve">, Odluka 3/ CP.5 i Odluka 2/CP.17. </w:t>
      </w:r>
      <w:proofErr w:type="gramStart"/>
      <w:r>
        <w:rPr>
          <w:sz w:val="24"/>
          <w:szCs w:val="24"/>
        </w:rPr>
        <w:t>Za potrebe proračuna emisije u ovom radu korištena je metodologija Međuvladinog tijela za klimatske promjene (IPCC) propisana Konvencijom i zvanični podaci Republičkog zavoda za statistiku Republike Srpske.</w:t>
      </w:r>
      <w:proofErr w:type="gramEnd"/>
      <w:r>
        <w:rPr>
          <w:sz w:val="24"/>
          <w:szCs w:val="24"/>
        </w:rPr>
        <w:t xml:space="preserve"> Analize Inventara ukazuju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postojanje stalnog uzlaznog trenda pomenutih emisija, a što je posljedica povećane energetske proizvodnje te rasta industrijske proizvodnje.</w:t>
      </w:r>
    </w:p>
    <w:p w:rsidR="00DD7822" w:rsidRDefault="00DD7822">
      <w:pPr>
        <w:pStyle w:val="Standard"/>
        <w:jc w:val="both"/>
        <w:rPr>
          <w:sz w:val="24"/>
          <w:szCs w:val="24"/>
        </w:rPr>
      </w:pPr>
    </w:p>
    <w:p w:rsidR="00DD7822" w:rsidRDefault="00B62CB9">
      <w:pPr>
        <w:pStyle w:val="Standard"/>
        <w:widowControl/>
        <w:jc w:val="both"/>
      </w:pPr>
      <w:r>
        <w:rPr>
          <w:sz w:val="24"/>
          <w:szCs w:val="24"/>
        </w:rPr>
        <w:t>Ključne riječi: UNFCCC, gasovi staklene bašte, energetika, industrija.</w:t>
      </w:r>
    </w:p>
    <w:p w:rsidR="00DD7822" w:rsidRDefault="00DD7822">
      <w:pPr>
        <w:pStyle w:val="Standard"/>
        <w:jc w:val="center"/>
        <w:rPr>
          <w:b/>
          <w:sz w:val="22"/>
          <w:szCs w:val="22"/>
        </w:rPr>
      </w:pPr>
    </w:p>
    <w:p w:rsidR="00DD7822" w:rsidRDefault="00DD7822">
      <w:pPr>
        <w:pStyle w:val="Standard"/>
        <w:jc w:val="center"/>
        <w:rPr>
          <w:b/>
          <w:sz w:val="22"/>
          <w:szCs w:val="22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  <w:bookmarkStart w:id="0" w:name="_GoBack"/>
      <w:bookmarkEnd w:id="0"/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B62CB9">
      <w:pPr>
        <w:pStyle w:val="Standard"/>
        <w:jc w:val="center"/>
      </w:pPr>
      <w:r>
        <w:rPr>
          <w:b/>
          <w:sz w:val="24"/>
          <w:szCs w:val="24"/>
        </w:rPr>
        <w:lastRenderedPageBreak/>
        <w:t>UVOD</w:t>
      </w: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B62CB9">
      <w:pPr>
        <w:pStyle w:val="Standard"/>
        <w:jc w:val="both"/>
      </w:pPr>
      <w:proofErr w:type="gramStart"/>
      <w:r>
        <w:rPr>
          <w:sz w:val="24"/>
          <w:szCs w:val="24"/>
        </w:rPr>
        <w:t>Okvirna konvencija Ujedinjenih nacija o klimatskim promjenama (UNFCCC) je usvojena 9.05.1992.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 na Konferenciji o životnoj sredini i održivom razvoju Ujedinjenih nacija u Rio de Žaneiro-u kao odgovor međunarodne zajednice na globalni fenomen klimatskih promjena, uzrokovan povećanom koncentracijom gasova staklene bašte GHG u atmosferi. Ukupni cilj UNFCCC-a je da stabilizuje koncentraciju gasova staklene </w:t>
      </w:r>
      <w:proofErr w:type="gramStart"/>
      <w:r>
        <w:rPr>
          <w:sz w:val="24"/>
          <w:szCs w:val="24"/>
        </w:rPr>
        <w:t>bašte  u</w:t>
      </w:r>
      <w:proofErr w:type="gramEnd"/>
      <w:r>
        <w:rPr>
          <w:sz w:val="24"/>
          <w:szCs w:val="24"/>
        </w:rPr>
        <w:t xml:space="preserve"> atmosferi do nivoa koji bi spriječio opasno antropogeno uplitanje u klimatski sistem. Do </w:t>
      </w:r>
      <w:proofErr w:type="gramStart"/>
      <w:r>
        <w:rPr>
          <w:sz w:val="24"/>
          <w:szCs w:val="24"/>
        </w:rPr>
        <w:t>danas</w:t>
      </w:r>
      <w:proofErr w:type="gramEnd"/>
      <w:r>
        <w:rPr>
          <w:sz w:val="24"/>
          <w:szCs w:val="24"/>
        </w:rPr>
        <w:t>, 196 zemalja su postale članice Konvencije. Bosna i Hercegovina je postala članica Okvirne konvencije Ujedinjenih nacija za klimatske promjene (UNFCCC</w:t>
      </w:r>
      <w:proofErr w:type="gramStart"/>
      <w:r>
        <w:rPr>
          <w:sz w:val="24"/>
          <w:szCs w:val="24"/>
        </w:rPr>
        <w:t>)  6.12.2000</w:t>
      </w:r>
      <w:proofErr w:type="gram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>.</w:t>
      </w:r>
    </w:p>
    <w:p w:rsidR="00DD7822" w:rsidRDefault="00B62CB9">
      <w:pPr>
        <w:pStyle w:val="Standard"/>
        <w:jc w:val="both"/>
      </w:pPr>
      <w:proofErr w:type="gramStart"/>
      <w:r>
        <w:rPr>
          <w:sz w:val="24"/>
          <w:szCs w:val="24"/>
        </w:rPr>
        <w:t xml:space="preserve">Treća Konferencija strana (CoP) u okviru Okvirne konvencije Ujedinjenih nacija za klimatske promjene </w:t>
      </w:r>
      <w:r w:rsidR="00CB0E68">
        <w:rPr>
          <w:sz w:val="24"/>
          <w:szCs w:val="24"/>
        </w:rPr>
        <w:t>–</w:t>
      </w:r>
      <w:r>
        <w:rPr>
          <w:sz w:val="24"/>
          <w:szCs w:val="24"/>
        </w:rPr>
        <w:t xml:space="preserve"> UNFCCC</w:t>
      </w:r>
      <w:r w:rsidR="00CB0E68">
        <w:rPr>
          <w:sz w:val="24"/>
          <w:szCs w:val="24"/>
        </w:rPr>
        <w:t>, odr</w:t>
      </w:r>
      <w:r w:rsidR="00CB0E68">
        <w:rPr>
          <w:sz w:val="24"/>
          <w:szCs w:val="24"/>
          <w:lang w:val="sr-Latn-BA"/>
        </w:rPr>
        <w:t>žana u Kjotu 1997.godine,</w:t>
      </w:r>
      <w:r>
        <w:rPr>
          <w:sz w:val="24"/>
          <w:szCs w:val="24"/>
        </w:rPr>
        <w:t xml:space="preserve"> usvojila</w:t>
      </w:r>
      <w:r w:rsidR="00CB0E68">
        <w:rPr>
          <w:sz w:val="24"/>
          <w:szCs w:val="24"/>
        </w:rPr>
        <w:t xml:space="preserve"> je</w:t>
      </w:r>
      <w:r>
        <w:rPr>
          <w:sz w:val="24"/>
          <w:szCs w:val="24"/>
        </w:rPr>
        <w:t xml:space="preserve"> </w:t>
      </w:r>
      <w:r w:rsidR="00CB0E68">
        <w:rPr>
          <w:sz w:val="24"/>
          <w:szCs w:val="24"/>
        </w:rPr>
        <w:t>tzv.</w:t>
      </w:r>
      <w:proofErr w:type="gramEnd"/>
      <w:r w:rsidR="00CB0E6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Kjoto protokol (KP), kojim se industrijske zemlje i ekonomije u tranziciji, koje su uključene u Aneks 1 Konvencije, obavezuju da smanje ukupnu emisiju direktnih gasova staklene bašte za najmanje 5 posto u odnosu na stanje </w:t>
      </w:r>
      <w:proofErr w:type="gramStart"/>
      <w:r>
        <w:rPr>
          <w:sz w:val="24"/>
          <w:szCs w:val="24"/>
        </w:rPr>
        <w:t>iz  1990</w:t>
      </w:r>
      <w:proofErr w:type="gramEnd"/>
      <w:r>
        <w:rPr>
          <w:sz w:val="24"/>
          <w:szCs w:val="24"/>
        </w:rPr>
        <w:t xml:space="preserve">-te godine tokom  petogodišnjeg perioda od 2008 do 2012.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 (prvo obavezujuće razdoblje). </w:t>
      </w:r>
      <w:proofErr w:type="gramStart"/>
      <w:r>
        <w:rPr>
          <w:sz w:val="24"/>
          <w:szCs w:val="24"/>
        </w:rPr>
        <w:t>BiH je ratifikovala Kjoto protokol 16.04.2007.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 i stupio je na snagu 15.07.2007.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. Kao članica koja nije u Aneksu 1 Konvencije, BiH </w:t>
      </w:r>
      <w:proofErr w:type="gramStart"/>
      <w:r>
        <w:rPr>
          <w:sz w:val="24"/>
          <w:szCs w:val="24"/>
        </w:rPr>
        <w:t>nema</w:t>
      </w:r>
      <w:proofErr w:type="gramEnd"/>
      <w:r>
        <w:rPr>
          <w:sz w:val="24"/>
          <w:szCs w:val="24"/>
        </w:rPr>
        <w:t xml:space="preserve"> obaveza da smanji emisiju gasova staklene bašte u okviru Protokola, ali se kao i ostale tzv. </w:t>
      </w:r>
      <w:proofErr w:type="gramStart"/>
      <w:r>
        <w:rPr>
          <w:sz w:val="24"/>
          <w:szCs w:val="24"/>
        </w:rPr>
        <w:t>non</w:t>
      </w:r>
      <w:proofErr w:type="gramEnd"/>
      <w:r>
        <w:rPr>
          <w:sz w:val="24"/>
          <w:szCs w:val="24"/>
        </w:rPr>
        <w:t>- Aneks 1 zemlje ohrabruju da to urade uz finansijsku podršku od razvijenih zemalja.</w:t>
      </w:r>
    </w:p>
    <w:p w:rsidR="00DD7822" w:rsidRDefault="00B62CB9">
      <w:pPr>
        <w:pStyle w:val="Standard"/>
        <w:jc w:val="both"/>
      </w:pPr>
      <w:proofErr w:type="gramStart"/>
      <w:r>
        <w:rPr>
          <w:sz w:val="24"/>
          <w:szCs w:val="24"/>
        </w:rPr>
        <w:t>Nakon ratifikovanja Konvencije UNFCCC BiH je učinila niz nastojanja da uspostavi odgovarajuće političke, institucionalne i pravne okvire kako bi ispunila obaveze iz Konvencije.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BiH je 2010.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 podnijela Sekretarijatu Konvencije Prvi nacionalni izvještaj u skladu s Okvirnom konvencijom UN-a o klimatskim promjenama</w:t>
      </w:r>
      <w:r w:rsidR="00973373">
        <w:rPr>
          <w:sz w:val="24"/>
          <w:szCs w:val="24"/>
        </w:rPr>
        <w:t xml:space="preserve"> [1]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U oktobru 2013.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usvojen</w:t>
      </w:r>
      <w:proofErr w:type="gramEnd"/>
      <w:r>
        <w:rPr>
          <w:sz w:val="24"/>
          <w:szCs w:val="24"/>
        </w:rPr>
        <w:t xml:space="preserve"> je Drugi nacionalni izvještaj prema UNFCCC i proslijeđen Sekretarijatu konvencije kao i Strategija prilagođavanja na klimatske promjene i niskokarbonskog razvoja za BiH </w:t>
      </w:r>
      <w:r w:rsidR="00E1618A">
        <w:rPr>
          <w:sz w:val="24"/>
          <w:szCs w:val="24"/>
        </w:rPr>
        <w:t>[2]</w:t>
      </w:r>
      <w:r>
        <w:rPr>
          <w:sz w:val="24"/>
          <w:szCs w:val="24"/>
        </w:rPr>
        <w:t xml:space="preserve">. Takođe je urađen Prvi dvogodišnji izvještaja o inventaru gasova </w:t>
      </w:r>
      <w:proofErr w:type="gramStart"/>
      <w:r>
        <w:rPr>
          <w:sz w:val="24"/>
          <w:szCs w:val="24"/>
        </w:rPr>
        <w:t>sa</w:t>
      </w:r>
      <w:proofErr w:type="gramEnd"/>
      <w:r>
        <w:rPr>
          <w:sz w:val="24"/>
          <w:szCs w:val="24"/>
        </w:rPr>
        <w:t xml:space="preserve"> efektom staklene bašte (tzv. </w:t>
      </w:r>
      <w:proofErr w:type="gramStart"/>
      <w:r>
        <w:rPr>
          <w:sz w:val="24"/>
          <w:szCs w:val="24"/>
        </w:rPr>
        <w:t>FBUR) u 2014.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godini</w:t>
      </w:r>
      <w:proofErr w:type="gramEnd"/>
      <w:r>
        <w:rPr>
          <w:sz w:val="24"/>
          <w:szCs w:val="24"/>
        </w:rPr>
        <w:t xml:space="preserve"> </w:t>
      </w:r>
      <w:r w:rsidR="000E1149">
        <w:rPr>
          <w:sz w:val="24"/>
          <w:szCs w:val="24"/>
        </w:rPr>
        <w:t>[3]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BiH je takođe nedavno predala tzv.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INDC (Intended Nationally Determined Contribution)</w:t>
      </w:r>
      <w:r w:rsidR="00D566DF">
        <w:rPr>
          <w:sz w:val="24"/>
          <w:szCs w:val="24"/>
        </w:rPr>
        <w:t xml:space="preserve"> [4]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Uspostavljen je mehanizam za odobravanje i slanje mjera za </w:t>
      </w:r>
      <w:r w:rsidR="00E6426D">
        <w:rPr>
          <w:sz w:val="24"/>
          <w:szCs w:val="24"/>
        </w:rPr>
        <w:t>ublažavanje klimatskih podataka,</w:t>
      </w:r>
      <w:r>
        <w:rPr>
          <w:sz w:val="24"/>
          <w:szCs w:val="24"/>
        </w:rPr>
        <w:t xml:space="preserve"> (NAMA, Nationally Appropriate Mitigation Actions) prema UNFCCC registru, a u toku je uspostavljanje mehanizma za mjerenje, verifikaciju i izvještavanje (MRV) NAMA projekata</w:t>
      </w:r>
      <w:r w:rsidR="00E6426D">
        <w:rPr>
          <w:sz w:val="24"/>
          <w:szCs w:val="24"/>
        </w:rPr>
        <w:t xml:space="preserve"> [5]</w:t>
      </w:r>
      <w:r>
        <w:rPr>
          <w:sz w:val="24"/>
          <w:szCs w:val="24"/>
        </w:rPr>
        <w:t>.</w:t>
      </w:r>
      <w:proofErr w:type="gramEnd"/>
    </w:p>
    <w:p w:rsidR="00DD7822" w:rsidRDefault="00B62CB9">
      <w:pPr>
        <w:pStyle w:val="Standard"/>
        <w:jc w:val="both"/>
      </w:pPr>
      <w:r>
        <w:rPr>
          <w:sz w:val="24"/>
          <w:szCs w:val="24"/>
        </w:rPr>
        <w:t xml:space="preserve">U Republici Srpskoj obaveza izrade inventara gasova </w:t>
      </w:r>
      <w:proofErr w:type="gramStart"/>
      <w:r>
        <w:rPr>
          <w:sz w:val="24"/>
          <w:szCs w:val="24"/>
        </w:rPr>
        <w:t>sa</w:t>
      </w:r>
      <w:proofErr w:type="gramEnd"/>
      <w:r>
        <w:rPr>
          <w:sz w:val="24"/>
          <w:szCs w:val="24"/>
        </w:rPr>
        <w:t xml:space="preserve"> efektom staklene bašte definisana je Zakonom o zaštiti vazduha</w:t>
      </w:r>
      <w:r w:rsidR="00E6426D">
        <w:rPr>
          <w:sz w:val="24"/>
          <w:szCs w:val="24"/>
        </w:rPr>
        <w:t xml:space="preserve"> [6].</w:t>
      </w:r>
      <w:r>
        <w:rPr>
          <w:sz w:val="24"/>
          <w:szCs w:val="24"/>
        </w:rPr>
        <w:t xml:space="preserve"> Trenutno ne postoji podzakonska regulativa kojom se detaljnije uređuje metodologija i postupci </w:t>
      </w:r>
      <w:proofErr w:type="gramStart"/>
      <w:r>
        <w:rPr>
          <w:sz w:val="24"/>
          <w:szCs w:val="24"/>
        </w:rPr>
        <w:t>vođenja  inventara</w:t>
      </w:r>
      <w:proofErr w:type="gramEnd"/>
      <w:r>
        <w:rPr>
          <w:sz w:val="24"/>
          <w:szCs w:val="24"/>
        </w:rPr>
        <w:t xml:space="preserve"> niti način prikupljanja podataka.</w:t>
      </w: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B62CB9">
      <w:pPr>
        <w:pStyle w:val="Standard"/>
        <w:jc w:val="center"/>
      </w:pPr>
      <w:r>
        <w:rPr>
          <w:b/>
          <w:sz w:val="24"/>
          <w:szCs w:val="24"/>
        </w:rPr>
        <w:t>MATERIJAL I METODE RADA</w:t>
      </w:r>
    </w:p>
    <w:p w:rsidR="00DD7822" w:rsidRDefault="00DD7822">
      <w:pPr>
        <w:pStyle w:val="Standard"/>
        <w:jc w:val="both"/>
        <w:rPr>
          <w:sz w:val="24"/>
          <w:szCs w:val="24"/>
        </w:rPr>
      </w:pPr>
    </w:p>
    <w:p w:rsidR="00DD7822" w:rsidRDefault="00B62CB9">
      <w:pPr>
        <w:pStyle w:val="Standard"/>
        <w:jc w:val="both"/>
      </w:pPr>
      <w:r>
        <w:rPr>
          <w:sz w:val="24"/>
          <w:szCs w:val="24"/>
        </w:rPr>
        <w:t xml:space="preserve">Inventar gasova </w:t>
      </w:r>
      <w:proofErr w:type="gramStart"/>
      <w:r>
        <w:rPr>
          <w:sz w:val="24"/>
          <w:szCs w:val="24"/>
        </w:rPr>
        <w:t>sa</w:t>
      </w:r>
      <w:proofErr w:type="gramEnd"/>
      <w:r>
        <w:rPr>
          <w:sz w:val="24"/>
          <w:szCs w:val="24"/>
        </w:rPr>
        <w:t xml:space="preserve"> efektom staklene bašte (GHG) za Republiku Srpsku u ovom r</w:t>
      </w:r>
      <w:r w:rsidR="00156C02">
        <w:rPr>
          <w:sz w:val="24"/>
          <w:szCs w:val="24"/>
        </w:rPr>
        <w:t>adu obuhvata period od 2002-2014</w:t>
      </w:r>
      <w:r>
        <w:rPr>
          <w:sz w:val="24"/>
          <w:szCs w:val="24"/>
        </w:rPr>
        <w:t xml:space="preserve">.godine. Izrađen je u skladu sa Smjernicama o izvještavanju </w:t>
      </w:r>
      <w:proofErr w:type="gramStart"/>
      <w:r>
        <w:rPr>
          <w:sz w:val="24"/>
          <w:szCs w:val="24"/>
        </w:rPr>
        <w:t>prema  UNFCCC</w:t>
      </w:r>
      <w:proofErr w:type="gramEnd"/>
      <w:r>
        <w:rPr>
          <w:sz w:val="24"/>
          <w:szCs w:val="24"/>
        </w:rPr>
        <w:t xml:space="preserve"> za države koj</w:t>
      </w:r>
      <w:r w:rsidR="00C062E8">
        <w:rPr>
          <w:sz w:val="24"/>
          <w:szCs w:val="24"/>
        </w:rPr>
        <w:t>e nisu članice Aneksa I , Odluke 3/</w:t>
      </w:r>
      <w:r>
        <w:rPr>
          <w:sz w:val="24"/>
          <w:szCs w:val="24"/>
        </w:rPr>
        <w:t xml:space="preserve">CP.5 </w:t>
      </w:r>
      <w:r w:rsidR="0050114E">
        <w:rPr>
          <w:sz w:val="24"/>
          <w:szCs w:val="24"/>
        </w:rPr>
        <w:t>[7]</w:t>
      </w:r>
      <w:r>
        <w:rPr>
          <w:sz w:val="24"/>
          <w:szCs w:val="24"/>
        </w:rPr>
        <w:t xml:space="preserve"> i 2/CP.17 </w:t>
      </w:r>
      <w:r w:rsidR="0050114E">
        <w:rPr>
          <w:sz w:val="24"/>
          <w:szCs w:val="24"/>
        </w:rPr>
        <w:t>[</w:t>
      </w:r>
      <w:r w:rsidR="00C062E8">
        <w:rPr>
          <w:sz w:val="24"/>
          <w:szCs w:val="24"/>
        </w:rPr>
        <w:t>8</w:t>
      </w:r>
      <w:r w:rsidR="0050114E">
        <w:rPr>
          <w:sz w:val="24"/>
          <w:szCs w:val="24"/>
        </w:rPr>
        <w:t>]</w:t>
      </w:r>
      <w:r w:rsidR="00C062E8">
        <w:rPr>
          <w:sz w:val="24"/>
          <w:szCs w:val="24"/>
        </w:rPr>
        <w:t xml:space="preserve">. </w:t>
      </w:r>
      <w:r>
        <w:rPr>
          <w:sz w:val="24"/>
          <w:szCs w:val="24"/>
        </w:rPr>
        <w:t>Za potrebe pro</w:t>
      </w:r>
      <w:r w:rsidR="00C062E8">
        <w:rPr>
          <w:sz w:val="24"/>
          <w:szCs w:val="24"/>
        </w:rPr>
        <w:t>računa emisije u ovom radu</w:t>
      </w:r>
      <w:r>
        <w:rPr>
          <w:sz w:val="24"/>
          <w:szCs w:val="24"/>
        </w:rPr>
        <w:t xml:space="preserve"> korištena je metodologija Međuvladinog tijela za klimatske promjene (IPCC) propisana Konvencijom,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osnovu referentnog priru</w:t>
      </w:r>
      <w:r w:rsidR="00C062E8">
        <w:rPr>
          <w:sz w:val="24"/>
          <w:szCs w:val="24"/>
        </w:rPr>
        <w:t>čnika Revidirane smjernice IPCC</w:t>
      </w:r>
      <w:r>
        <w:rPr>
          <w:sz w:val="24"/>
          <w:szCs w:val="24"/>
        </w:rPr>
        <w:t xml:space="preserve">-a za nacionalne inventare emisija gasova sa efektom staklene bašte iz 1996. </w:t>
      </w:r>
      <w:proofErr w:type="gramStart"/>
      <w:r>
        <w:rPr>
          <w:sz w:val="24"/>
          <w:szCs w:val="24"/>
        </w:rPr>
        <w:t>godine</w:t>
      </w:r>
      <w:proofErr w:type="gramEnd"/>
      <w:r>
        <w:rPr>
          <w:sz w:val="24"/>
          <w:szCs w:val="24"/>
        </w:rPr>
        <w:t xml:space="preserve"> (Revised IPCC Guidelines for National GHG Inventories) </w:t>
      </w:r>
      <w:r w:rsidR="00C062E8">
        <w:rPr>
          <w:sz w:val="24"/>
          <w:szCs w:val="24"/>
        </w:rPr>
        <w:t>[9].</w:t>
      </w:r>
    </w:p>
    <w:p w:rsidR="00745E39" w:rsidRDefault="00B62CB9">
      <w:pPr>
        <w:pStyle w:val="Standard"/>
        <w:jc w:val="both"/>
      </w:pPr>
      <w:proofErr w:type="gramStart"/>
      <w:r>
        <w:rPr>
          <w:sz w:val="24"/>
          <w:szCs w:val="24"/>
        </w:rPr>
        <w:t>Za formiranje baze podataka korišten je softver IPCC (The Non-Annex I Inventory Software), koji je izradio UNFCCC Sekretarijat za zemlje koje nisu članice Aneksa 1 UNFCCC-a.</w:t>
      </w:r>
      <w:proofErr w:type="gramEnd"/>
      <w:r>
        <w:rPr>
          <w:sz w:val="24"/>
          <w:szCs w:val="24"/>
        </w:rPr>
        <w:t xml:space="preserve"> Provjera proračuna unutar metodologije jeste i proračun emisije CO</w:t>
      </w:r>
      <w:r w:rsidRPr="007759EE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uslijed sagorijevanja goriva,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dva različita načina: prvi, detaljniji način tzv. </w:t>
      </w:r>
      <w:proofErr w:type="gramStart"/>
      <w:r>
        <w:rPr>
          <w:sz w:val="24"/>
          <w:szCs w:val="24"/>
        </w:rPr>
        <w:t>sektorski</w:t>
      </w:r>
      <w:proofErr w:type="gramEnd"/>
      <w:r>
        <w:rPr>
          <w:sz w:val="24"/>
          <w:szCs w:val="24"/>
        </w:rPr>
        <w:t xml:space="preserve"> pristup </w:t>
      </w:r>
      <w:r>
        <w:rPr>
          <w:sz w:val="24"/>
          <w:szCs w:val="24"/>
        </w:rPr>
        <w:lastRenderedPageBreak/>
        <w:t xml:space="preserve">(Sectoral Approach) i drugi, jednostavniji tzv. </w:t>
      </w:r>
      <w:proofErr w:type="gramStart"/>
      <w:r>
        <w:rPr>
          <w:sz w:val="24"/>
          <w:szCs w:val="24"/>
        </w:rPr>
        <w:t>referentni</w:t>
      </w:r>
      <w:proofErr w:type="gramEnd"/>
      <w:r>
        <w:rPr>
          <w:sz w:val="24"/>
          <w:szCs w:val="24"/>
        </w:rPr>
        <w:t xml:space="preserve"> način (Reference Approach). Za proračun je korištena najjednostavnija Tier 1 metoda i default emisioni faktori</w:t>
      </w:r>
      <w:r w:rsidR="00EA4338">
        <w:rPr>
          <w:sz w:val="24"/>
          <w:szCs w:val="24"/>
        </w:rPr>
        <w:t xml:space="preserve"> (EF)</w:t>
      </w:r>
      <w:r>
        <w:rPr>
          <w:sz w:val="24"/>
          <w:szCs w:val="24"/>
        </w:rPr>
        <w:t xml:space="preserve">, osim za ugljeve za koje su izračunati </w:t>
      </w:r>
      <w:r w:rsidR="00EA4338">
        <w:rPr>
          <w:sz w:val="24"/>
          <w:szCs w:val="24"/>
        </w:rPr>
        <w:t>EF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</w:t>
      </w:r>
      <w:r w:rsidR="00EA4338">
        <w:rPr>
          <w:sz w:val="24"/>
          <w:szCs w:val="24"/>
        </w:rPr>
        <w:t>bazi</w:t>
      </w:r>
      <w:r>
        <w:rPr>
          <w:sz w:val="24"/>
          <w:szCs w:val="24"/>
        </w:rPr>
        <w:t xml:space="preserve"> </w:t>
      </w:r>
      <w:r w:rsidR="00EA4338">
        <w:rPr>
          <w:sz w:val="24"/>
          <w:szCs w:val="24"/>
        </w:rPr>
        <w:t>vrijednosti toplotnih moći domaćih goriva</w:t>
      </w:r>
      <w:r>
        <w:rPr>
          <w:sz w:val="24"/>
          <w:szCs w:val="24"/>
        </w:rPr>
        <w:t>.</w:t>
      </w:r>
    </w:p>
    <w:p w:rsidR="00E8382C" w:rsidRPr="00745E39" w:rsidRDefault="00B62CB9">
      <w:pPr>
        <w:pStyle w:val="Standard"/>
        <w:jc w:val="both"/>
      </w:pPr>
      <w:proofErr w:type="gramStart"/>
      <w:r>
        <w:rPr>
          <w:sz w:val="24"/>
          <w:szCs w:val="24"/>
        </w:rPr>
        <w:t>Opšta metodologija korištena u proračunu em</w:t>
      </w:r>
      <w:r w:rsidR="00EA4338">
        <w:rPr>
          <w:sz w:val="24"/>
          <w:szCs w:val="24"/>
          <w:lang w:val="sr-Latn-BA"/>
        </w:rPr>
        <w:t>i</w:t>
      </w:r>
      <w:r>
        <w:rPr>
          <w:sz w:val="24"/>
          <w:szCs w:val="24"/>
        </w:rPr>
        <w:t xml:space="preserve">sija iz energetike podrazumjeva proizvod utrošene količine goriva za proizvodnju energije i odgovarajućeg </w:t>
      </w:r>
      <w:r w:rsidR="00EA4338">
        <w:rPr>
          <w:sz w:val="24"/>
          <w:szCs w:val="24"/>
        </w:rPr>
        <w:t>EF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Proračun emisija bazira se na podacima o potrošnji goriva koji su detaljno iskazani u godišnjoj energetskoj bilansi što </w:t>
      </w:r>
      <w:proofErr w:type="gramStart"/>
      <w:r>
        <w:rPr>
          <w:sz w:val="24"/>
          <w:szCs w:val="24"/>
        </w:rPr>
        <w:t>omogućava  detaljan</w:t>
      </w:r>
      <w:proofErr w:type="gramEnd"/>
      <w:r>
        <w:rPr>
          <w:sz w:val="24"/>
          <w:szCs w:val="24"/>
        </w:rPr>
        <w:t xml:space="preserve"> proračun po podsektorima prem</w:t>
      </w:r>
      <w:r w:rsidR="00EF67C3">
        <w:rPr>
          <w:sz w:val="24"/>
          <w:szCs w:val="24"/>
        </w:rPr>
        <w:t xml:space="preserve">a propisanoj IPCC metodologiji, </w:t>
      </w:r>
      <w:r w:rsidR="00745E39">
        <w:rPr>
          <w:sz w:val="24"/>
          <w:szCs w:val="24"/>
        </w:rPr>
        <w:t>sektorski pristup</w:t>
      </w:r>
      <w:r>
        <w:rPr>
          <w:sz w:val="24"/>
          <w:szCs w:val="24"/>
        </w:rPr>
        <w:t>. Takođe je provedena i jednostavnija varijanta proračuna</w:t>
      </w:r>
      <w:r w:rsidR="00EF67C3">
        <w:rPr>
          <w:sz w:val="24"/>
          <w:szCs w:val="24"/>
        </w:rPr>
        <w:t xml:space="preserve">, referntni pristup, </w:t>
      </w:r>
      <w:r>
        <w:rPr>
          <w:sz w:val="24"/>
          <w:szCs w:val="24"/>
        </w:rPr>
        <w:t xml:space="preserve">koja uzima u obzir samo ukupnu bilansu goriva, bez podsektorske analize. Relativno odstupanje emisija izračunatih sektorskim i referentnim pristupom </w:t>
      </w:r>
      <w:r w:rsidR="00745E39">
        <w:rPr>
          <w:sz w:val="24"/>
          <w:szCs w:val="24"/>
        </w:rPr>
        <w:t>je oko 2</w:t>
      </w:r>
      <w:proofErr w:type="gramStart"/>
      <w:r w:rsidR="00745E39">
        <w:rPr>
          <w:sz w:val="24"/>
          <w:szCs w:val="24"/>
        </w:rPr>
        <w:t>,</w:t>
      </w:r>
      <w:r>
        <w:rPr>
          <w:sz w:val="24"/>
          <w:szCs w:val="24"/>
        </w:rPr>
        <w:t>05</w:t>
      </w:r>
      <w:proofErr w:type="gramEnd"/>
      <w:r>
        <w:rPr>
          <w:sz w:val="24"/>
          <w:szCs w:val="24"/>
        </w:rPr>
        <w:t xml:space="preserve">%. </w:t>
      </w:r>
    </w:p>
    <w:p w:rsidR="00E702E7" w:rsidRDefault="00E702E7">
      <w:pPr>
        <w:pStyle w:val="Standard"/>
        <w:jc w:val="both"/>
        <w:rPr>
          <w:sz w:val="24"/>
          <w:szCs w:val="24"/>
        </w:rPr>
      </w:pPr>
    </w:p>
    <w:p w:rsidR="00E702E7" w:rsidRPr="004F12FC" w:rsidRDefault="00E702E7" w:rsidP="004F12FC">
      <w:pPr>
        <w:pStyle w:val="Standard"/>
        <w:jc w:val="center"/>
        <w:rPr>
          <w:szCs w:val="24"/>
        </w:rPr>
      </w:pPr>
      <w:proofErr w:type="gramStart"/>
      <w:r w:rsidRPr="004F12FC">
        <w:rPr>
          <w:szCs w:val="24"/>
        </w:rPr>
        <w:t>Tabela 1.</w:t>
      </w:r>
      <w:proofErr w:type="gramEnd"/>
      <w:r w:rsidRPr="004F12FC">
        <w:rPr>
          <w:szCs w:val="24"/>
        </w:rPr>
        <w:t xml:space="preserve"> Default emisioni faktori</w:t>
      </w:r>
      <w:r w:rsidR="00EA4338">
        <w:rPr>
          <w:szCs w:val="24"/>
        </w:rPr>
        <w:t xml:space="preserve"> (</w:t>
      </w:r>
      <w:r w:rsidRPr="004F12FC">
        <w:rPr>
          <w:szCs w:val="24"/>
        </w:rPr>
        <w:t>EF</w:t>
      </w:r>
      <w:r w:rsidR="00EA4338">
        <w:rPr>
          <w:szCs w:val="24"/>
        </w:rPr>
        <w:t>)</w:t>
      </w:r>
      <w:r w:rsidRPr="004F12FC">
        <w:rPr>
          <w:szCs w:val="24"/>
        </w:rPr>
        <w:t xml:space="preserve"> za energetiku prema IPCC 1996</w:t>
      </w:r>
    </w:p>
    <w:tbl>
      <w:tblPr>
        <w:tblW w:w="8629" w:type="dxa"/>
        <w:tblInd w:w="93" w:type="dxa"/>
        <w:tblLook w:val="04A0" w:firstRow="1" w:lastRow="0" w:firstColumn="1" w:lastColumn="0" w:noHBand="0" w:noVBand="1"/>
      </w:tblPr>
      <w:tblGrid>
        <w:gridCol w:w="2175"/>
        <w:gridCol w:w="1505"/>
        <w:gridCol w:w="1300"/>
        <w:gridCol w:w="672"/>
        <w:gridCol w:w="672"/>
        <w:gridCol w:w="672"/>
        <w:gridCol w:w="672"/>
        <w:gridCol w:w="961"/>
      </w:tblGrid>
      <w:tr w:rsidR="00E702E7" w:rsidRPr="004F12FC" w:rsidTr="004F12FC">
        <w:trPr>
          <w:trHeight w:val="360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EF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CO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CH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O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CO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NMVOC</w:t>
            </w:r>
          </w:p>
        </w:tc>
      </w:tr>
      <w:tr w:rsidR="00E702E7" w:rsidRPr="004F12FC" w:rsidTr="004F12FC">
        <w:trPr>
          <w:trHeight w:val="300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lignit/mrki ugalj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kg/TJ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kg/TJ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kg/TJ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kg/TJ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kg/TJ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kg/TJ</w:t>
            </w:r>
          </w:p>
        </w:tc>
      </w:tr>
      <w:tr w:rsidR="00E702E7" w:rsidRPr="004F12FC" w:rsidTr="004F12FC">
        <w:trPr>
          <w:trHeight w:val="300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Energetska postrojenja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99266/94230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</w:tr>
      <w:tr w:rsidR="00E702E7" w:rsidRPr="004F12FC" w:rsidTr="004F12FC">
        <w:trPr>
          <w:trHeight w:val="300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Proizvodne industrije i građevinarstvo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99266/94230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</w:tr>
      <w:tr w:rsidR="00E702E7" w:rsidRPr="004F12FC" w:rsidTr="004F12FC">
        <w:trPr>
          <w:trHeight w:val="300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Javni objekti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99266/94230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</w:t>
            </w:r>
          </w:p>
        </w:tc>
      </w:tr>
      <w:tr w:rsidR="00E702E7" w:rsidRPr="004F12FC" w:rsidTr="004F12FC">
        <w:trPr>
          <w:trHeight w:val="300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Domaćinstva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99266/94230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2000</w:t>
            </w:r>
          </w:p>
        </w:tc>
      </w:tr>
      <w:tr w:rsidR="00E702E7" w:rsidRPr="004F12FC" w:rsidTr="004F12FC">
        <w:trPr>
          <w:trHeight w:val="300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Poljoprivreda,šumarsvo,ribarstvo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99266/94230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2000</w:t>
            </w:r>
          </w:p>
        </w:tc>
      </w:tr>
      <w:tr w:rsidR="00E702E7" w:rsidRPr="004F12FC" w:rsidTr="004F12FC">
        <w:trPr>
          <w:trHeight w:val="300"/>
        </w:trPr>
        <w:tc>
          <w:tcPr>
            <w:tcW w:w="21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Saobraćaj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dizel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72339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0.6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800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8000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1500</w:t>
            </w:r>
          </w:p>
        </w:tc>
      </w:tr>
      <w:tr w:rsidR="00E702E7" w:rsidRPr="004F12FC" w:rsidTr="004F12FC">
        <w:trPr>
          <w:trHeight w:val="300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benzin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73320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0.6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</w:t>
            </w:r>
          </w:p>
        </w:tc>
      </w:tr>
      <w:tr w:rsidR="00E702E7" w:rsidRPr="004F12FC" w:rsidTr="004F12FC">
        <w:trPr>
          <w:trHeight w:val="300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LPG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62493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0.1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</w:tr>
    </w:tbl>
    <w:p w:rsidR="007D05FE" w:rsidRPr="004F12FC" w:rsidRDefault="007D05FE">
      <w:pPr>
        <w:pStyle w:val="Standard"/>
        <w:jc w:val="both"/>
        <w:rPr>
          <w:sz w:val="24"/>
          <w:szCs w:val="24"/>
        </w:rPr>
      </w:pPr>
    </w:p>
    <w:p w:rsidR="00DD7822" w:rsidRDefault="00B62CB9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Primjenjena metodologija korištena u proračunu em</w:t>
      </w:r>
      <w:r w:rsidR="007759EE">
        <w:rPr>
          <w:sz w:val="24"/>
          <w:szCs w:val="24"/>
        </w:rPr>
        <w:t>i</w:t>
      </w:r>
      <w:r>
        <w:rPr>
          <w:sz w:val="24"/>
          <w:szCs w:val="24"/>
        </w:rPr>
        <w:t xml:space="preserve">sija iz industrijskih procesa, preporučena </w:t>
      </w:r>
      <w:proofErr w:type="gramStart"/>
      <w:r>
        <w:rPr>
          <w:sz w:val="24"/>
          <w:szCs w:val="24"/>
        </w:rPr>
        <w:t>od</w:t>
      </w:r>
      <w:proofErr w:type="gramEnd"/>
      <w:r>
        <w:rPr>
          <w:sz w:val="24"/>
          <w:szCs w:val="24"/>
        </w:rPr>
        <w:t xml:space="preserve"> strane UNFCCC Konvencije (IPCC metodologija), predstavlja proizvod godišnje proizvedene ili potrošene količine materijala i odgovarajućih </w:t>
      </w:r>
      <w:r w:rsidR="00745E39">
        <w:rPr>
          <w:sz w:val="24"/>
          <w:szCs w:val="24"/>
        </w:rPr>
        <w:t>EF</w:t>
      </w:r>
      <w:r>
        <w:rPr>
          <w:sz w:val="24"/>
          <w:szCs w:val="24"/>
        </w:rPr>
        <w:t xml:space="preserve"> po jedinici te proizvodnje ili potrošnje. Kao izvor podataka korišteni su različiti izvještaji i publikacije Republičkog zavoda za statistiku RS</w:t>
      </w:r>
      <w:r w:rsidR="00080CB4">
        <w:rPr>
          <w:sz w:val="24"/>
          <w:szCs w:val="24"/>
        </w:rPr>
        <w:t xml:space="preserve"> [10]</w:t>
      </w:r>
      <w:r>
        <w:rPr>
          <w:sz w:val="24"/>
          <w:szCs w:val="24"/>
        </w:rPr>
        <w:t xml:space="preserve">, upitnici koji su poslati direktno u industriju i različite institucije koje posjeduju specifične podatke iz </w:t>
      </w:r>
      <w:proofErr w:type="gramStart"/>
      <w:r>
        <w:rPr>
          <w:sz w:val="24"/>
          <w:szCs w:val="24"/>
        </w:rPr>
        <w:t>određenih  oblasti</w:t>
      </w:r>
      <w:proofErr w:type="gramEnd"/>
      <w:r>
        <w:rPr>
          <w:sz w:val="24"/>
          <w:szCs w:val="24"/>
        </w:rPr>
        <w:t>, baza podataka R</w:t>
      </w:r>
      <w:r w:rsidR="009631EE">
        <w:rPr>
          <w:sz w:val="24"/>
          <w:szCs w:val="24"/>
        </w:rPr>
        <w:t>epubličkog hidrometeorološkog zavoda,</w:t>
      </w:r>
      <w:r>
        <w:rPr>
          <w:sz w:val="24"/>
          <w:szCs w:val="24"/>
        </w:rPr>
        <w:t xml:space="preserve"> različiti stručne i naučne publikacije te </w:t>
      </w:r>
      <w:r w:rsidR="00630BA3">
        <w:rPr>
          <w:sz w:val="24"/>
          <w:szCs w:val="24"/>
        </w:rPr>
        <w:t>ekspertske</w:t>
      </w:r>
      <w:r w:rsidR="00630BA3" w:rsidRPr="00630BA3">
        <w:rPr>
          <w:color w:val="FFFFFF" w:themeColor="background1"/>
          <w:sz w:val="24"/>
          <w:szCs w:val="24"/>
        </w:rPr>
        <w:t>_</w:t>
      </w:r>
      <w:r>
        <w:rPr>
          <w:sz w:val="24"/>
          <w:szCs w:val="24"/>
        </w:rPr>
        <w:t>procjene k</w:t>
      </w:r>
      <w:r w:rsidR="00AB3426">
        <w:rPr>
          <w:sz w:val="24"/>
          <w:szCs w:val="24"/>
        </w:rPr>
        <w:t xml:space="preserve">ao i međunarodne publikacije </w:t>
      </w:r>
      <w:r>
        <w:rPr>
          <w:sz w:val="24"/>
          <w:szCs w:val="24"/>
        </w:rPr>
        <w:t>FAO</w:t>
      </w:r>
      <w:r w:rsidR="00AB3426">
        <w:rPr>
          <w:sz w:val="24"/>
          <w:szCs w:val="24"/>
        </w:rPr>
        <w:t xml:space="preserve"> [</w:t>
      </w:r>
      <w:r w:rsidR="00080CB4">
        <w:rPr>
          <w:sz w:val="24"/>
          <w:szCs w:val="24"/>
        </w:rPr>
        <w:t>11</w:t>
      </w:r>
      <w:r w:rsidR="00AB3426">
        <w:rPr>
          <w:sz w:val="24"/>
          <w:szCs w:val="24"/>
        </w:rPr>
        <w:t>]</w:t>
      </w:r>
      <w:r>
        <w:rPr>
          <w:sz w:val="24"/>
          <w:szCs w:val="24"/>
        </w:rPr>
        <w:t>,</w:t>
      </w:r>
      <w:r w:rsidR="00AB3426">
        <w:rPr>
          <w:sz w:val="24"/>
          <w:szCs w:val="24"/>
        </w:rPr>
        <w:t xml:space="preserve"> </w:t>
      </w:r>
      <w:r>
        <w:rPr>
          <w:sz w:val="24"/>
          <w:szCs w:val="24"/>
        </w:rPr>
        <w:t>EIA</w:t>
      </w:r>
      <w:r w:rsidR="00AB3426">
        <w:rPr>
          <w:sz w:val="24"/>
          <w:szCs w:val="24"/>
        </w:rPr>
        <w:t xml:space="preserve"> [</w:t>
      </w:r>
      <w:r w:rsidR="00080CB4">
        <w:rPr>
          <w:sz w:val="24"/>
          <w:szCs w:val="24"/>
        </w:rPr>
        <w:t>12</w:t>
      </w:r>
      <w:r w:rsidR="00AB3426">
        <w:rPr>
          <w:sz w:val="24"/>
          <w:szCs w:val="24"/>
        </w:rPr>
        <w:t>]</w:t>
      </w:r>
      <w:r>
        <w:rPr>
          <w:sz w:val="24"/>
          <w:szCs w:val="24"/>
        </w:rPr>
        <w:t>,</w:t>
      </w:r>
      <w:r w:rsidR="00AB3426">
        <w:rPr>
          <w:sz w:val="24"/>
          <w:szCs w:val="24"/>
        </w:rPr>
        <w:t xml:space="preserve"> </w:t>
      </w:r>
      <w:r>
        <w:rPr>
          <w:sz w:val="24"/>
          <w:szCs w:val="24"/>
        </w:rPr>
        <w:t>EUROSTAT</w:t>
      </w:r>
      <w:r w:rsidR="00AB3426">
        <w:rPr>
          <w:sz w:val="24"/>
          <w:szCs w:val="24"/>
        </w:rPr>
        <w:t xml:space="preserve"> [</w:t>
      </w:r>
      <w:r w:rsidR="00080CB4">
        <w:rPr>
          <w:sz w:val="24"/>
          <w:szCs w:val="24"/>
        </w:rPr>
        <w:t>13</w:t>
      </w:r>
      <w:r w:rsidR="00AB3426">
        <w:rPr>
          <w:sz w:val="24"/>
          <w:szCs w:val="24"/>
        </w:rPr>
        <w:t>]</w:t>
      </w:r>
      <w:r w:rsidR="00AB3426" w:rsidRPr="00AB3426">
        <w:rPr>
          <w:sz w:val="24"/>
          <w:szCs w:val="24"/>
        </w:rPr>
        <w:t>.</w:t>
      </w:r>
      <w:r w:rsidR="00AB3426">
        <w:rPr>
          <w:sz w:val="24"/>
          <w:szCs w:val="24"/>
        </w:rPr>
        <w:t xml:space="preserve"> </w:t>
      </w:r>
    </w:p>
    <w:p w:rsidR="009D1C3A" w:rsidRDefault="009D1C3A">
      <w:pPr>
        <w:pStyle w:val="Standard"/>
        <w:jc w:val="both"/>
        <w:rPr>
          <w:sz w:val="24"/>
          <w:szCs w:val="24"/>
        </w:rPr>
      </w:pPr>
    </w:p>
    <w:p w:rsidR="00E702E7" w:rsidRPr="00745E39" w:rsidRDefault="007D05FE" w:rsidP="00745E39">
      <w:pPr>
        <w:pStyle w:val="Standard"/>
        <w:jc w:val="center"/>
        <w:rPr>
          <w:szCs w:val="24"/>
        </w:rPr>
      </w:pPr>
      <w:proofErr w:type="gramStart"/>
      <w:r w:rsidRPr="004F12FC">
        <w:rPr>
          <w:szCs w:val="24"/>
        </w:rPr>
        <w:t xml:space="preserve">Tabela </w:t>
      </w:r>
      <w:r w:rsidR="00E702E7" w:rsidRPr="004F12FC">
        <w:rPr>
          <w:szCs w:val="24"/>
        </w:rPr>
        <w:t>2</w:t>
      </w:r>
      <w:r w:rsidRPr="004F12FC">
        <w:rPr>
          <w:szCs w:val="24"/>
        </w:rPr>
        <w:t>.</w:t>
      </w:r>
      <w:proofErr w:type="gramEnd"/>
      <w:r w:rsidRPr="004F12FC">
        <w:rPr>
          <w:szCs w:val="24"/>
        </w:rPr>
        <w:t xml:space="preserve"> Default emisioni faktori EF za industriju prema IPCC 1996</w:t>
      </w:r>
    </w:p>
    <w:tbl>
      <w:tblPr>
        <w:tblpPr w:leftFromText="180" w:rightFromText="180" w:vertAnchor="text" w:horzAnchor="margin" w:tblpXSpec="center" w:tblpY="3"/>
        <w:tblW w:w="7400" w:type="dxa"/>
        <w:tblLook w:val="04A0" w:firstRow="1" w:lastRow="0" w:firstColumn="1" w:lastColumn="0" w:noHBand="0" w:noVBand="1"/>
      </w:tblPr>
      <w:tblGrid>
        <w:gridCol w:w="1384"/>
        <w:gridCol w:w="520"/>
        <w:gridCol w:w="566"/>
        <w:gridCol w:w="520"/>
        <w:gridCol w:w="520"/>
        <w:gridCol w:w="520"/>
        <w:gridCol w:w="520"/>
        <w:gridCol w:w="960"/>
        <w:gridCol w:w="960"/>
        <w:gridCol w:w="960"/>
      </w:tblGrid>
      <w:tr w:rsidR="00E702E7" w:rsidRPr="004F12FC" w:rsidTr="00E702E7">
        <w:trPr>
          <w:trHeight w:val="10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EF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Proiz. kreča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Asfaltna baza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Proiz. HDPE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Proiz. boja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Proiz. ljepila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Proiz. pol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i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uretana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Toplo valjani čelik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Proiz. bit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u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mena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Proiz. polistirena</w:t>
            </w:r>
          </w:p>
        </w:tc>
      </w:tr>
      <w:tr w:rsidR="00E702E7" w:rsidRPr="004F12FC" w:rsidTr="00E702E7">
        <w:trPr>
          <w:trHeight w:val="36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CO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 xml:space="preserve"> kg/t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E702E7" w:rsidRPr="004F12FC" w:rsidTr="00E702E7">
        <w:trPr>
          <w:trHeight w:val="30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NMVOC kg/t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0.02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6.4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0.007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0.544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4F12FC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4F12F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5.4</w:t>
            </w:r>
          </w:p>
        </w:tc>
      </w:tr>
    </w:tbl>
    <w:p w:rsidR="00E702E7" w:rsidRDefault="00E702E7">
      <w:pPr>
        <w:pStyle w:val="Standard"/>
        <w:jc w:val="both"/>
        <w:rPr>
          <w:sz w:val="24"/>
          <w:szCs w:val="24"/>
        </w:rPr>
      </w:pPr>
    </w:p>
    <w:p w:rsidR="00E702E7" w:rsidRDefault="00E702E7">
      <w:pPr>
        <w:pStyle w:val="Standard"/>
        <w:jc w:val="both"/>
        <w:rPr>
          <w:sz w:val="24"/>
          <w:szCs w:val="24"/>
        </w:rPr>
      </w:pPr>
    </w:p>
    <w:p w:rsidR="00E702E7" w:rsidRDefault="00E702E7">
      <w:pPr>
        <w:pStyle w:val="Standard"/>
        <w:jc w:val="both"/>
        <w:rPr>
          <w:sz w:val="24"/>
          <w:szCs w:val="24"/>
        </w:rPr>
      </w:pPr>
    </w:p>
    <w:p w:rsidR="00E702E7" w:rsidRDefault="00E702E7">
      <w:pPr>
        <w:pStyle w:val="Standard"/>
        <w:jc w:val="both"/>
        <w:rPr>
          <w:sz w:val="24"/>
          <w:szCs w:val="24"/>
        </w:rPr>
      </w:pPr>
    </w:p>
    <w:p w:rsidR="00E702E7" w:rsidRDefault="00E702E7">
      <w:pPr>
        <w:pStyle w:val="Standard"/>
        <w:jc w:val="both"/>
        <w:rPr>
          <w:sz w:val="24"/>
          <w:szCs w:val="24"/>
        </w:rPr>
      </w:pPr>
    </w:p>
    <w:p w:rsidR="00E702E7" w:rsidRDefault="00E702E7">
      <w:pPr>
        <w:pStyle w:val="Standard"/>
        <w:jc w:val="both"/>
        <w:rPr>
          <w:sz w:val="24"/>
          <w:szCs w:val="24"/>
        </w:rPr>
      </w:pPr>
    </w:p>
    <w:p w:rsidR="00E702E7" w:rsidRDefault="00E702E7">
      <w:pPr>
        <w:pStyle w:val="Standard"/>
        <w:jc w:val="both"/>
        <w:rPr>
          <w:sz w:val="24"/>
          <w:szCs w:val="24"/>
        </w:rPr>
      </w:pPr>
    </w:p>
    <w:p w:rsidR="00E702E7" w:rsidRPr="00CB0E68" w:rsidRDefault="00E702E7" w:rsidP="00CB0E68">
      <w:pPr>
        <w:pStyle w:val="Standard"/>
        <w:jc w:val="center"/>
        <w:rPr>
          <w:szCs w:val="24"/>
        </w:rPr>
      </w:pPr>
      <w:proofErr w:type="gramStart"/>
      <w:r w:rsidRPr="00CB0E68">
        <w:rPr>
          <w:szCs w:val="24"/>
        </w:rPr>
        <w:t>Tabela 3.</w:t>
      </w:r>
      <w:proofErr w:type="gramEnd"/>
      <w:r w:rsidRPr="00CB0E68">
        <w:rPr>
          <w:szCs w:val="24"/>
        </w:rPr>
        <w:t xml:space="preserve"> Default emisioni faktori EF za industriju prema IPCC 1996</w:t>
      </w:r>
    </w:p>
    <w:tbl>
      <w:tblPr>
        <w:tblW w:w="7200" w:type="dxa"/>
        <w:jc w:val="center"/>
        <w:tblInd w:w="93" w:type="dxa"/>
        <w:tblLook w:val="04A0" w:firstRow="1" w:lastRow="0" w:firstColumn="1" w:lastColumn="0" w:noHBand="0" w:noVBand="1"/>
      </w:tblPr>
      <w:tblGrid>
        <w:gridCol w:w="12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E702E7" w:rsidRPr="00E702E7" w:rsidTr="00E702E7">
        <w:trPr>
          <w:trHeight w:val="1080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EF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žestokih pića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piva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vina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mesa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šećera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keksova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hljeba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stočne hrane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Proiz. kafe</w:t>
            </w:r>
          </w:p>
        </w:tc>
      </w:tr>
      <w:tr w:rsidR="00E702E7" w:rsidRPr="00E702E7" w:rsidTr="00E702E7">
        <w:trPr>
          <w:trHeight w:val="360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</w:rPr>
              <w:t>CO</w:t>
            </w:r>
            <w:r w:rsidRPr="00E702E7">
              <w:rPr>
                <w:rFonts w:eastAsia="Times New Roman" w:cs="Times New Roman"/>
                <w:color w:val="000000"/>
                <w:kern w:val="0"/>
                <w:vertAlign w:val="subscript"/>
              </w:rPr>
              <w:t>2</w:t>
            </w:r>
            <w:r w:rsidRPr="00E702E7">
              <w:rPr>
                <w:rFonts w:eastAsia="Times New Roman" w:cs="Times New Roman"/>
                <w:color w:val="000000"/>
                <w:kern w:val="0"/>
              </w:rPr>
              <w:t xml:space="preserve"> kg/t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</w:tr>
      <w:tr w:rsidR="00E702E7" w:rsidRPr="00E702E7" w:rsidTr="00E702E7">
        <w:trPr>
          <w:trHeight w:val="300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Times New Roman"/>
                <w:color w:val="000000"/>
                <w:kern w:val="0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</w:rPr>
              <w:t>NMVOC kg/t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0.035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0.08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0.3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2E7" w:rsidRPr="00E702E7" w:rsidRDefault="00E702E7" w:rsidP="00E702E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</w:pPr>
            <w:r w:rsidRPr="00E702E7">
              <w:rPr>
                <w:rFonts w:eastAsia="Times New Roman" w:cs="Times New Roman"/>
                <w:color w:val="000000"/>
                <w:kern w:val="0"/>
                <w:sz w:val="18"/>
                <w:szCs w:val="18"/>
              </w:rPr>
              <w:t>0.55</w:t>
            </w:r>
          </w:p>
        </w:tc>
      </w:tr>
    </w:tbl>
    <w:p w:rsidR="00745E39" w:rsidRDefault="00745E39">
      <w:pPr>
        <w:pStyle w:val="Standard"/>
        <w:jc w:val="center"/>
        <w:rPr>
          <w:b/>
          <w:sz w:val="24"/>
          <w:szCs w:val="24"/>
        </w:rPr>
      </w:pPr>
    </w:p>
    <w:p w:rsidR="00745E39" w:rsidRDefault="00745E39">
      <w:pPr>
        <w:pStyle w:val="Standard"/>
        <w:jc w:val="center"/>
        <w:rPr>
          <w:b/>
          <w:sz w:val="24"/>
          <w:szCs w:val="24"/>
        </w:rPr>
      </w:pPr>
    </w:p>
    <w:p w:rsidR="00DD7822" w:rsidRDefault="00B62CB9">
      <w:pPr>
        <w:pStyle w:val="Standard"/>
        <w:jc w:val="center"/>
      </w:pPr>
      <w:r>
        <w:rPr>
          <w:b/>
          <w:sz w:val="24"/>
          <w:szCs w:val="24"/>
        </w:rPr>
        <w:t>REZULTATI I DISKUSIJA</w:t>
      </w: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Default="00B62CB9" w:rsidP="008F50B2">
      <w:pPr>
        <w:pStyle w:val="Standard"/>
        <w:jc w:val="center"/>
      </w:pPr>
      <w:r>
        <w:rPr>
          <w:b/>
          <w:sz w:val="24"/>
          <w:szCs w:val="24"/>
        </w:rPr>
        <w:t>Energetika</w:t>
      </w:r>
    </w:p>
    <w:p w:rsidR="00DD7822" w:rsidRDefault="00DD7822">
      <w:pPr>
        <w:pStyle w:val="Standard"/>
        <w:jc w:val="both"/>
        <w:rPr>
          <w:sz w:val="24"/>
          <w:szCs w:val="24"/>
        </w:rPr>
      </w:pPr>
    </w:p>
    <w:p w:rsidR="00DD7822" w:rsidRDefault="00B62CB9">
      <w:pPr>
        <w:pStyle w:val="Standard"/>
        <w:jc w:val="both"/>
      </w:pPr>
      <w:r>
        <w:rPr>
          <w:sz w:val="24"/>
          <w:szCs w:val="24"/>
        </w:rPr>
        <w:t>Najznačajniji izvor CO</w:t>
      </w:r>
      <w:r w:rsidRPr="006748CE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je  svakako</w:t>
      </w:r>
      <w:proofErr w:type="gramEnd"/>
      <w:r>
        <w:rPr>
          <w:sz w:val="24"/>
          <w:szCs w:val="24"/>
        </w:rPr>
        <w:t xml:space="preserve"> energetski sektor koji pridonosi preko 70% ukupnoj emisiji CO</w:t>
      </w:r>
      <w:r w:rsidRPr="006748CE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 </w:t>
      </w:r>
      <w:r w:rsidR="00CA359B">
        <w:rPr>
          <w:sz w:val="24"/>
          <w:szCs w:val="24"/>
        </w:rPr>
        <w:t xml:space="preserve">[14]. </w:t>
      </w:r>
      <w:r>
        <w:rPr>
          <w:sz w:val="24"/>
          <w:szCs w:val="24"/>
        </w:rPr>
        <w:t>Ovaj sektor pokriva sve aktivnosti koje uključuju potrošnju fosilnih goriva (sagorijevanje goriva i neenergetsko korištenje goriva)</w:t>
      </w:r>
      <w:r w:rsidR="009631EE">
        <w:rPr>
          <w:sz w:val="24"/>
          <w:szCs w:val="24"/>
        </w:rPr>
        <w:t xml:space="preserve"> </w:t>
      </w:r>
      <w:proofErr w:type="gramStart"/>
      <w:r w:rsidR="009631EE">
        <w:rPr>
          <w:sz w:val="24"/>
          <w:szCs w:val="24"/>
        </w:rPr>
        <w:t>te</w:t>
      </w:r>
      <w:proofErr w:type="gramEnd"/>
      <w:r w:rsidR="009631EE">
        <w:rPr>
          <w:sz w:val="24"/>
          <w:szCs w:val="24"/>
        </w:rPr>
        <w:t xml:space="preserve"> fugitivnu emisiju iz goriva.</w:t>
      </w:r>
    </w:p>
    <w:p w:rsidR="00A833D2" w:rsidRDefault="00E702E7">
      <w:pPr>
        <w:pStyle w:val="Standard"/>
        <w:jc w:val="both"/>
        <w:rPr>
          <w:sz w:val="24"/>
          <w:szCs w:val="24"/>
          <w:shd w:val="clear" w:color="auto" w:fill="FFFF00"/>
          <w:lang w:val="en-GB"/>
        </w:rPr>
      </w:pPr>
      <w:proofErr w:type="gramStart"/>
      <w:r>
        <w:rPr>
          <w:sz w:val="24"/>
          <w:szCs w:val="24"/>
          <w:lang w:val="en-GB"/>
        </w:rPr>
        <w:t>U T</w:t>
      </w:r>
      <w:r w:rsidR="00B62CB9">
        <w:rPr>
          <w:sz w:val="24"/>
          <w:szCs w:val="24"/>
          <w:lang w:val="en-GB"/>
        </w:rPr>
        <w:t xml:space="preserve">abeli </w:t>
      </w:r>
      <w:r>
        <w:rPr>
          <w:sz w:val="24"/>
          <w:szCs w:val="24"/>
          <w:lang w:val="en-GB"/>
        </w:rPr>
        <w:t xml:space="preserve">4 </w:t>
      </w:r>
      <w:r w:rsidR="00B62CB9">
        <w:rPr>
          <w:sz w:val="24"/>
          <w:szCs w:val="24"/>
          <w:lang w:val="en-GB"/>
        </w:rPr>
        <w:t>pre</w:t>
      </w:r>
      <w:r w:rsidR="00F12DA5">
        <w:rPr>
          <w:sz w:val="24"/>
          <w:szCs w:val="24"/>
          <w:lang w:val="en-GB"/>
        </w:rPr>
        <w:t>d</w:t>
      </w:r>
      <w:r w:rsidR="00B62CB9">
        <w:rPr>
          <w:sz w:val="24"/>
          <w:szCs w:val="24"/>
          <w:lang w:val="en-GB"/>
        </w:rPr>
        <w:t>stavljene su emisije GHG iz sektora energetike.</w:t>
      </w:r>
      <w:proofErr w:type="gramEnd"/>
      <w:r w:rsidR="00B62CB9">
        <w:rPr>
          <w:sz w:val="24"/>
          <w:szCs w:val="24"/>
          <w:lang w:val="en-GB"/>
        </w:rPr>
        <w:t xml:space="preserve"> Može se uočiti da postoji stalan porast emisija u ovom sektoru u analiziranom period</w:t>
      </w:r>
      <w:r>
        <w:rPr>
          <w:sz w:val="24"/>
          <w:szCs w:val="24"/>
          <w:lang w:val="en-GB"/>
        </w:rPr>
        <w:t>u</w:t>
      </w:r>
      <w:r w:rsidR="00B62CB9">
        <w:rPr>
          <w:sz w:val="24"/>
          <w:szCs w:val="24"/>
          <w:lang w:val="en-GB"/>
        </w:rPr>
        <w:t xml:space="preserve">, </w:t>
      </w:r>
      <w:proofErr w:type="gramStart"/>
      <w:r w:rsidR="00B62CB9">
        <w:rPr>
          <w:sz w:val="24"/>
          <w:szCs w:val="24"/>
          <w:lang w:val="en-GB"/>
        </w:rPr>
        <w:t>sa</w:t>
      </w:r>
      <w:proofErr w:type="gramEnd"/>
      <w:r w:rsidR="00B62CB9">
        <w:rPr>
          <w:sz w:val="24"/>
          <w:szCs w:val="24"/>
          <w:lang w:val="en-GB"/>
        </w:rPr>
        <w:t xml:space="preserve"> niskim varijacijama u 2007. </w:t>
      </w:r>
      <w:proofErr w:type="gramStart"/>
      <w:r w:rsidR="00F37061">
        <w:rPr>
          <w:sz w:val="24"/>
          <w:szCs w:val="24"/>
          <w:lang w:val="en-GB"/>
        </w:rPr>
        <w:t>i</w:t>
      </w:r>
      <w:proofErr w:type="gramEnd"/>
      <w:r w:rsidR="00F37061">
        <w:rPr>
          <w:sz w:val="24"/>
          <w:szCs w:val="24"/>
          <w:lang w:val="en-GB"/>
        </w:rPr>
        <w:t xml:space="preserve"> </w:t>
      </w:r>
      <w:r w:rsidR="005B64E0">
        <w:rPr>
          <w:sz w:val="24"/>
          <w:szCs w:val="24"/>
          <w:lang w:val="en-GB"/>
        </w:rPr>
        <w:t>2012.</w:t>
      </w:r>
      <w:r w:rsidR="00B62CB9">
        <w:rPr>
          <w:sz w:val="24"/>
          <w:szCs w:val="24"/>
          <w:lang w:val="en-GB"/>
        </w:rPr>
        <w:t>godini.</w:t>
      </w:r>
      <w:r w:rsidR="00042A5C">
        <w:rPr>
          <w:sz w:val="24"/>
          <w:szCs w:val="24"/>
          <w:lang w:val="en-GB"/>
        </w:rPr>
        <w:t xml:space="preserve">Ovaj stalni porast emisija GHG iz energetike može se objasniti povećanjem proizvodnje energije iz fosilnih goriva, posebno uglja </w:t>
      </w:r>
      <w:r w:rsidR="004F12FC">
        <w:rPr>
          <w:sz w:val="24"/>
          <w:szCs w:val="24"/>
          <w:lang w:val="en-GB"/>
        </w:rPr>
        <w:t>i</w:t>
      </w:r>
      <w:r w:rsidR="00042A5C">
        <w:rPr>
          <w:sz w:val="24"/>
          <w:szCs w:val="24"/>
          <w:lang w:val="en-GB"/>
        </w:rPr>
        <w:t xml:space="preserve"> mazuta, a zbog stalnog povećanja energetskih potreba kako u industrijskom sektoru, saobraćaju te stambenom sektoru. </w:t>
      </w:r>
      <w:proofErr w:type="gramStart"/>
      <w:r w:rsidR="00042A5C">
        <w:rPr>
          <w:sz w:val="24"/>
          <w:szCs w:val="24"/>
          <w:lang w:val="en-GB"/>
        </w:rPr>
        <w:t>Takođe je primijetan trend povećanja izvoza električne energije (preko 30% neto domaće proizvodnje).</w:t>
      </w:r>
      <w:proofErr w:type="gramEnd"/>
      <w:r w:rsidR="00042A5C">
        <w:rPr>
          <w:sz w:val="24"/>
          <w:szCs w:val="24"/>
          <w:lang w:val="en-GB"/>
        </w:rPr>
        <w:t xml:space="preserve"> </w:t>
      </w:r>
      <w:r w:rsidR="00042A5C">
        <w:rPr>
          <w:sz w:val="24"/>
          <w:szCs w:val="24"/>
        </w:rPr>
        <w:t>[15]</w:t>
      </w:r>
      <w:r w:rsidR="006500BE">
        <w:rPr>
          <w:sz w:val="24"/>
          <w:szCs w:val="24"/>
        </w:rPr>
        <w:t xml:space="preserve"> </w:t>
      </w:r>
      <w:r w:rsidR="00253FD1">
        <w:rPr>
          <w:sz w:val="24"/>
          <w:szCs w:val="24"/>
          <w:shd w:val="clear" w:color="auto" w:fill="FFFF00"/>
          <w:lang w:val="en-GB"/>
        </w:rPr>
        <w:t xml:space="preserve"> </w:t>
      </w:r>
    </w:p>
    <w:p w:rsidR="00DD7822" w:rsidRDefault="00DD7822">
      <w:pPr>
        <w:pStyle w:val="Standard"/>
        <w:jc w:val="both"/>
      </w:pPr>
    </w:p>
    <w:p w:rsidR="00DD7822" w:rsidRPr="008F50B2" w:rsidRDefault="00B62CB9" w:rsidP="008F50B2">
      <w:pPr>
        <w:pStyle w:val="Standard"/>
        <w:jc w:val="center"/>
        <w:rPr>
          <w:szCs w:val="24"/>
        </w:rPr>
      </w:pPr>
      <w:proofErr w:type="gramStart"/>
      <w:r w:rsidRPr="008F50B2">
        <w:rPr>
          <w:szCs w:val="24"/>
        </w:rPr>
        <w:t xml:space="preserve">Tabela </w:t>
      </w:r>
      <w:r w:rsidR="00E702E7" w:rsidRPr="008F50B2">
        <w:rPr>
          <w:szCs w:val="24"/>
        </w:rPr>
        <w:t>4</w:t>
      </w:r>
      <w:r w:rsidR="002433AC" w:rsidRPr="008F50B2">
        <w:rPr>
          <w:szCs w:val="24"/>
        </w:rPr>
        <w:t>.</w:t>
      </w:r>
      <w:proofErr w:type="gramEnd"/>
      <w:r w:rsidRPr="008F50B2">
        <w:rPr>
          <w:szCs w:val="24"/>
        </w:rPr>
        <w:t xml:space="preserve"> Emisije GHG iz sekto</w:t>
      </w:r>
      <w:r w:rsidR="009631EE" w:rsidRPr="008F50B2">
        <w:rPr>
          <w:szCs w:val="24"/>
        </w:rPr>
        <w:t>ra energetike za period 2002-</w:t>
      </w:r>
      <w:proofErr w:type="gramStart"/>
      <w:r w:rsidR="009631EE" w:rsidRPr="008F50B2">
        <w:rPr>
          <w:szCs w:val="24"/>
        </w:rPr>
        <w:t>2014</w:t>
      </w:r>
      <w:r w:rsidRPr="008F50B2">
        <w:rPr>
          <w:szCs w:val="24"/>
        </w:rPr>
        <w:t>.godina</w:t>
      </w:r>
      <w:r w:rsidR="00AB28FA" w:rsidRPr="008F50B2">
        <w:rPr>
          <w:szCs w:val="24"/>
        </w:rPr>
        <w:t xml:space="preserve"> </w:t>
      </w:r>
      <w:r w:rsidRPr="008F50B2">
        <w:rPr>
          <w:szCs w:val="24"/>
        </w:rPr>
        <w:t xml:space="preserve"> izražene</w:t>
      </w:r>
      <w:proofErr w:type="gramEnd"/>
      <w:r w:rsidRPr="008F50B2">
        <w:rPr>
          <w:szCs w:val="24"/>
        </w:rPr>
        <w:t xml:space="preserve"> u Gg CO</w:t>
      </w:r>
      <w:r w:rsidRPr="008F50B2">
        <w:rPr>
          <w:szCs w:val="24"/>
          <w:vertAlign w:val="subscript"/>
        </w:rPr>
        <w:t>2</w:t>
      </w:r>
      <w:r w:rsidRPr="008F50B2">
        <w:rPr>
          <w:szCs w:val="24"/>
        </w:rPr>
        <w:t>-eq</w:t>
      </w:r>
    </w:p>
    <w:tbl>
      <w:tblPr>
        <w:tblW w:w="94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9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D57B87" w:rsidRPr="008F50B2" w:rsidTr="00D57B87">
        <w:trPr>
          <w:trHeight w:val="315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 </w:t>
            </w:r>
            <w:r w:rsidR="005B64E0"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Energetski podsektori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2002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2003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2004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2005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2006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2007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2008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2009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2010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2011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2012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2013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2014</w:t>
            </w:r>
          </w:p>
        </w:tc>
      </w:tr>
      <w:tr w:rsidR="00D57B87" w:rsidRPr="008F50B2" w:rsidTr="009631EE">
        <w:trPr>
          <w:trHeight w:val="375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B64E0" w:rsidRPr="008F50B2" w:rsidRDefault="00D57B87" w:rsidP="005B64E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Е</w:t>
            </w:r>
            <w:r w:rsidR="005B64E0"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energetika</w:t>
            </w:r>
          </w:p>
          <w:p w:rsidR="00D57B87" w:rsidRPr="008F50B2" w:rsidRDefault="00D57B87" w:rsidP="005B64E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CO</w:t>
            </w: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bscript"/>
                <w:lang w:val="sr-Cyrl-CS"/>
              </w:rPr>
              <w:t>2</w:t>
            </w: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-eq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3321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3912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4135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4332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4816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4217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4753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5099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5448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6338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5788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6067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6063</w:t>
            </w:r>
          </w:p>
        </w:tc>
      </w:tr>
      <w:tr w:rsidR="00D57B87" w:rsidRPr="008F50B2" w:rsidTr="009631EE">
        <w:trPr>
          <w:trHeight w:val="315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5B64E0" w:rsidP="005B64E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Energetska</w:t>
            </w:r>
            <w:r w:rsidR="00D57B87"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 xml:space="preserve"> </w:t>
            </w: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postrojenja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2605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2973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2885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3015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3649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3043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3577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4043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4148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4620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4207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4327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4027</w:t>
            </w:r>
          </w:p>
        </w:tc>
      </w:tr>
      <w:tr w:rsidR="00D57B87" w:rsidRPr="008F50B2" w:rsidTr="009631EE">
        <w:trPr>
          <w:trHeight w:val="491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5B64E0" w:rsidRPr="008F50B2" w:rsidRDefault="005B64E0" w:rsidP="005B64E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Proizvodne</w:t>
            </w:r>
          </w:p>
          <w:p w:rsidR="00D57B87" w:rsidRPr="008F50B2" w:rsidRDefault="005B64E0" w:rsidP="005B64E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industrije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28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82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322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403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325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246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206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128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275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449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344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413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GB"/>
              </w:rPr>
              <w:t>463</w:t>
            </w:r>
          </w:p>
        </w:tc>
      </w:tr>
      <w:tr w:rsidR="00D57B87" w:rsidRPr="008F50B2" w:rsidTr="009631EE">
        <w:trPr>
          <w:trHeight w:val="315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5B64E0" w:rsidP="00D57B8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Saobraćaj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572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699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747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729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745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705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729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799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758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855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1052</w:t>
            </w:r>
          </w:p>
        </w:tc>
      </w:tr>
      <w:tr w:rsidR="00D57B87" w:rsidRPr="008F50B2" w:rsidTr="009631EE">
        <w:trPr>
          <w:trHeight w:val="315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5B64E0" w:rsidP="00D57B8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Ostali sektori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Cyrl-CS"/>
              </w:rPr>
              <w:t>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383C22" w:rsidP="00D57B8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="00D57B87"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NA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130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131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358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374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370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418</w:t>
            </w:r>
          </w:p>
        </w:tc>
      </w:tr>
      <w:tr w:rsidR="00D57B87" w:rsidRPr="008F50B2" w:rsidTr="009631EE">
        <w:trPr>
          <w:trHeight w:val="315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57B87" w:rsidRPr="008F50B2" w:rsidRDefault="005B64E0" w:rsidP="00D57B87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Fugitivne em</w:t>
            </w:r>
            <w:r w:rsidR="002D6A0C"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i</w:t>
            </w: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r-Latn-BA"/>
              </w:rPr>
              <w:t>sije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7B87" w:rsidRPr="008F50B2" w:rsidRDefault="00D57B87" w:rsidP="00D57B87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8F50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103</w:t>
            </w:r>
          </w:p>
        </w:tc>
      </w:tr>
    </w:tbl>
    <w:p w:rsidR="00D57B87" w:rsidRDefault="00D57B87">
      <w:pPr>
        <w:pStyle w:val="Standard"/>
        <w:rPr>
          <w:rFonts w:ascii="Calibri" w:hAnsi="Calibri"/>
          <w:sz w:val="22"/>
        </w:rPr>
      </w:pPr>
    </w:p>
    <w:p w:rsidR="00B96540" w:rsidRDefault="00B96540">
      <w:pPr>
        <w:pStyle w:val="Standard"/>
        <w:rPr>
          <w:rFonts w:ascii="Calibri" w:hAnsi="Calibri"/>
          <w:sz w:val="22"/>
        </w:rPr>
      </w:pPr>
    </w:p>
    <w:p w:rsidR="00F37061" w:rsidRPr="00DB1ABE" w:rsidRDefault="00B96540" w:rsidP="009631EE">
      <w:pPr>
        <w:pStyle w:val="Standard"/>
        <w:jc w:val="both"/>
        <w:rPr>
          <w:sz w:val="24"/>
          <w:szCs w:val="24"/>
        </w:rPr>
      </w:pPr>
      <w:r w:rsidRPr="00DB1ABE">
        <w:rPr>
          <w:sz w:val="24"/>
          <w:szCs w:val="24"/>
        </w:rPr>
        <w:t xml:space="preserve">Više </w:t>
      </w:r>
      <w:proofErr w:type="gramStart"/>
      <w:r w:rsidRPr="00DB1ABE">
        <w:rPr>
          <w:sz w:val="24"/>
          <w:szCs w:val="24"/>
        </w:rPr>
        <w:t xml:space="preserve">od </w:t>
      </w:r>
      <w:r w:rsidR="002433AC" w:rsidRPr="00DB1ABE">
        <w:rPr>
          <w:sz w:val="24"/>
          <w:szCs w:val="24"/>
        </w:rPr>
        <w:t xml:space="preserve"> 50</w:t>
      </w:r>
      <w:proofErr w:type="gramEnd"/>
      <w:r w:rsidR="002433AC" w:rsidRPr="00DB1ABE">
        <w:rPr>
          <w:sz w:val="24"/>
          <w:szCs w:val="24"/>
        </w:rPr>
        <w:t>%  elektr</w:t>
      </w:r>
      <w:r w:rsidRPr="00DB1ABE">
        <w:rPr>
          <w:sz w:val="24"/>
          <w:szCs w:val="24"/>
        </w:rPr>
        <w:t>ične nergije u Republici S</w:t>
      </w:r>
      <w:r w:rsidR="002433AC" w:rsidRPr="00DB1ABE">
        <w:rPr>
          <w:sz w:val="24"/>
          <w:szCs w:val="24"/>
        </w:rPr>
        <w:t xml:space="preserve">rpskoj poizvede se u termoelektranama koje kao energent koriste isključivo ugalj. U </w:t>
      </w:r>
      <w:proofErr w:type="gramStart"/>
      <w:r w:rsidR="002433AC" w:rsidRPr="00DB1ABE">
        <w:rPr>
          <w:sz w:val="24"/>
          <w:szCs w:val="24"/>
        </w:rPr>
        <w:t xml:space="preserve">tabeli </w:t>
      </w:r>
      <w:r w:rsidRPr="00DB1ABE">
        <w:rPr>
          <w:sz w:val="24"/>
          <w:szCs w:val="24"/>
        </w:rPr>
        <w:t xml:space="preserve"> </w:t>
      </w:r>
      <w:r w:rsidR="002433AC" w:rsidRPr="00DB1ABE">
        <w:rPr>
          <w:sz w:val="24"/>
          <w:szCs w:val="24"/>
        </w:rPr>
        <w:t>5</w:t>
      </w:r>
      <w:proofErr w:type="gramEnd"/>
      <w:r w:rsidR="002433AC" w:rsidRPr="00DB1ABE">
        <w:rPr>
          <w:sz w:val="24"/>
          <w:szCs w:val="24"/>
        </w:rPr>
        <w:t xml:space="preserve"> prikazana je proizvodnja električne energije </w:t>
      </w:r>
      <w:r w:rsidRPr="00DB1ABE">
        <w:rPr>
          <w:sz w:val="24"/>
          <w:szCs w:val="24"/>
        </w:rPr>
        <w:t>u Republici Srpskoj.</w:t>
      </w:r>
    </w:p>
    <w:p w:rsidR="00B96540" w:rsidRDefault="00B96540">
      <w:pPr>
        <w:pStyle w:val="Standard"/>
        <w:rPr>
          <w:rFonts w:ascii="Calibri" w:hAnsi="Calibri"/>
          <w:sz w:val="22"/>
        </w:rPr>
      </w:pPr>
    </w:p>
    <w:p w:rsidR="00F37061" w:rsidRPr="008F50B2" w:rsidRDefault="00F37061" w:rsidP="008F50B2">
      <w:pPr>
        <w:pStyle w:val="Standard"/>
        <w:jc w:val="center"/>
        <w:rPr>
          <w:szCs w:val="24"/>
        </w:rPr>
      </w:pPr>
      <w:proofErr w:type="gramStart"/>
      <w:r w:rsidRPr="008F50B2">
        <w:rPr>
          <w:szCs w:val="24"/>
        </w:rPr>
        <w:t>Tabela 5.</w:t>
      </w:r>
      <w:proofErr w:type="gramEnd"/>
      <w:r w:rsidRPr="008F50B2">
        <w:rPr>
          <w:szCs w:val="24"/>
        </w:rPr>
        <w:t xml:space="preserve"> Proizvodnja električne energije u Republici Srpskoj, GWh</w:t>
      </w:r>
    </w:p>
    <w:tbl>
      <w:tblPr>
        <w:tblStyle w:val="TableGrid8"/>
        <w:tblW w:w="0" w:type="auto"/>
        <w:jc w:val="center"/>
        <w:tblLook w:val="04A0" w:firstRow="1" w:lastRow="0" w:firstColumn="1" w:lastColumn="0" w:noHBand="0" w:noVBand="1"/>
      </w:tblPr>
      <w:tblGrid>
        <w:gridCol w:w="2070"/>
        <w:gridCol w:w="1077"/>
        <w:gridCol w:w="1077"/>
        <w:gridCol w:w="1077"/>
        <w:gridCol w:w="1077"/>
        <w:gridCol w:w="1077"/>
      </w:tblGrid>
      <w:tr w:rsidR="00F37061" w:rsidRPr="008F50B2" w:rsidTr="00F37061">
        <w:trPr>
          <w:trHeight w:val="259"/>
          <w:jc w:val="center"/>
        </w:trPr>
        <w:tc>
          <w:tcPr>
            <w:tcW w:w="2070" w:type="dxa"/>
            <w:shd w:val="clear" w:color="auto" w:fill="D9D9D9" w:themeFill="background1" w:themeFillShade="D9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292526"/>
                <w:szCs w:val="24"/>
                <w:lang w:val="sr-Cyrl-CS"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292526"/>
                <w:szCs w:val="24"/>
                <w:lang w:val="sr-Cyrl-CS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Cyrl-CS"/>
              </w:rPr>
              <w:t>2010</w:t>
            </w:r>
          </w:p>
        </w:tc>
        <w:tc>
          <w:tcPr>
            <w:tcW w:w="1077" w:type="dxa"/>
            <w:shd w:val="clear" w:color="auto" w:fill="D9D9D9" w:themeFill="background1" w:themeFillShade="D9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292526"/>
                <w:szCs w:val="24"/>
                <w:lang w:val="sr-Cyrl-CS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Cyrl-CS"/>
              </w:rPr>
              <w:t>2011</w:t>
            </w:r>
          </w:p>
        </w:tc>
        <w:tc>
          <w:tcPr>
            <w:tcW w:w="1077" w:type="dxa"/>
            <w:shd w:val="clear" w:color="auto" w:fill="D9D9D9" w:themeFill="background1" w:themeFillShade="D9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292526"/>
                <w:szCs w:val="24"/>
                <w:lang w:val="sr-Cyrl-CS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Cyrl-CS"/>
              </w:rPr>
              <w:t>2012</w:t>
            </w:r>
          </w:p>
        </w:tc>
        <w:tc>
          <w:tcPr>
            <w:tcW w:w="1077" w:type="dxa"/>
            <w:shd w:val="clear" w:color="auto" w:fill="D9D9D9" w:themeFill="background1" w:themeFillShade="D9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292526"/>
                <w:szCs w:val="24"/>
                <w:lang w:val="sr-Cyrl-CS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Cyrl-CS"/>
              </w:rPr>
              <w:t>2013</w:t>
            </w:r>
          </w:p>
        </w:tc>
        <w:tc>
          <w:tcPr>
            <w:tcW w:w="1077" w:type="dxa"/>
            <w:shd w:val="clear" w:color="auto" w:fill="D9D9D9" w:themeFill="background1" w:themeFillShade="D9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292526"/>
                <w:szCs w:val="24"/>
                <w:lang w:val="sr-Cyrl-CS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Cyrl-CS"/>
              </w:rPr>
              <w:t>2014</w:t>
            </w:r>
          </w:p>
        </w:tc>
      </w:tr>
      <w:tr w:rsidR="00F37061" w:rsidRPr="008F50B2" w:rsidTr="00E837A5">
        <w:trPr>
          <w:jc w:val="center"/>
        </w:trPr>
        <w:tc>
          <w:tcPr>
            <w:tcW w:w="2070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292526"/>
                <w:szCs w:val="24"/>
                <w:lang w:val="sr-Latn-BA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Latn-BA"/>
              </w:rPr>
              <w:t>Ukupno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6430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5573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5396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6693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6014</w:t>
            </w:r>
          </w:p>
        </w:tc>
      </w:tr>
      <w:tr w:rsidR="00F37061" w:rsidRPr="008F50B2" w:rsidTr="00E837A5">
        <w:trPr>
          <w:jc w:val="center"/>
        </w:trPr>
        <w:tc>
          <w:tcPr>
            <w:tcW w:w="2070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292526"/>
                <w:szCs w:val="24"/>
                <w:lang w:val="sr-Latn-BA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Latn-BA"/>
              </w:rPr>
              <w:t>Termolektrane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3091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3717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3510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3657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3381</w:t>
            </w:r>
          </w:p>
        </w:tc>
      </w:tr>
      <w:tr w:rsidR="00F37061" w:rsidRPr="008F50B2" w:rsidTr="00E837A5">
        <w:trPr>
          <w:jc w:val="center"/>
        </w:trPr>
        <w:tc>
          <w:tcPr>
            <w:tcW w:w="2070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292526"/>
                <w:szCs w:val="24"/>
                <w:lang w:val="sr-Cyrl-CS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Latn-BA"/>
              </w:rPr>
              <w:t>Hidroelektrane</w:t>
            </w:r>
            <w:r w:rsidRPr="008F50B2">
              <w:rPr>
                <w:rFonts w:ascii="Times New Roman" w:hAnsi="Times New Roman"/>
                <w:color w:val="292526"/>
                <w:szCs w:val="24"/>
                <w:lang w:val="sr-Cyrl-CS"/>
              </w:rPr>
              <w:t xml:space="preserve"> 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3330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1856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1886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3014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2621</w:t>
            </w:r>
          </w:p>
        </w:tc>
      </w:tr>
      <w:tr w:rsidR="00F37061" w:rsidRPr="008F50B2" w:rsidTr="00E837A5">
        <w:trPr>
          <w:jc w:val="center"/>
        </w:trPr>
        <w:tc>
          <w:tcPr>
            <w:tcW w:w="2070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292526"/>
                <w:szCs w:val="24"/>
                <w:lang w:val="sr-Latn-BA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  <w:lang w:val="sr-Latn-BA"/>
              </w:rPr>
              <w:t>Ostalo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9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-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-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22</w:t>
            </w:r>
          </w:p>
        </w:tc>
        <w:tc>
          <w:tcPr>
            <w:tcW w:w="1077" w:type="dxa"/>
          </w:tcPr>
          <w:p w:rsidR="00F37061" w:rsidRPr="008F50B2" w:rsidRDefault="00F37061" w:rsidP="00E837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292526"/>
                <w:szCs w:val="24"/>
              </w:rPr>
            </w:pPr>
            <w:r w:rsidRPr="008F50B2">
              <w:rPr>
                <w:rFonts w:ascii="Times New Roman" w:hAnsi="Times New Roman"/>
                <w:color w:val="292526"/>
                <w:szCs w:val="24"/>
              </w:rPr>
              <w:t>12</w:t>
            </w:r>
          </w:p>
        </w:tc>
      </w:tr>
    </w:tbl>
    <w:p w:rsidR="00F37061" w:rsidRDefault="00F37061">
      <w:pPr>
        <w:pStyle w:val="Standard"/>
        <w:rPr>
          <w:rFonts w:ascii="Calibri" w:hAnsi="Calibri"/>
          <w:sz w:val="22"/>
        </w:rPr>
      </w:pPr>
    </w:p>
    <w:p w:rsidR="00DB1ABE" w:rsidRPr="00DB1ABE" w:rsidRDefault="009631EE" w:rsidP="00DB1ABE">
      <w:pPr>
        <w:pStyle w:val="Standard"/>
        <w:jc w:val="both"/>
        <w:rPr>
          <w:sz w:val="24"/>
          <w:szCs w:val="24"/>
        </w:rPr>
      </w:pPr>
      <w:r w:rsidRPr="00DB1ABE">
        <w:rPr>
          <w:sz w:val="24"/>
          <w:szCs w:val="24"/>
        </w:rPr>
        <w:t>Povećanje proizvodnje električne energije</w:t>
      </w:r>
      <w:r w:rsidR="00C73D7B" w:rsidRPr="00DB1ABE">
        <w:rPr>
          <w:sz w:val="24"/>
          <w:szCs w:val="24"/>
        </w:rPr>
        <w:t xml:space="preserve"> u </w:t>
      </w:r>
      <w:proofErr w:type="gramStart"/>
      <w:r w:rsidR="00C73D7B" w:rsidRPr="00DB1ABE">
        <w:rPr>
          <w:sz w:val="24"/>
          <w:szCs w:val="24"/>
        </w:rPr>
        <w:t>termoelektranama</w:t>
      </w:r>
      <w:r w:rsidRPr="00DB1ABE">
        <w:rPr>
          <w:sz w:val="24"/>
          <w:szCs w:val="24"/>
        </w:rPr>
        <w:t xml:space="preserve"> </w:t>
      </w:r>
      <w:r w:rsidR="00B96540" w:rsidRPr="00DB1ABE">
        <w:rPr>
          <w:sz w:val="24"/>
          <w:szCs w:val="24"/>
        </w:rPr>
        <w:t xml:space="preserve"> značajno</w:t>
      </w:r>
      <w:proofErr w:type="gramEnd"/>
      <w:r w:rsidR="00B96540" w:rsidRPr="00DB1ABE">
        <w:rPr>
          <w:sz w:val="24"/>
          <w:szCs w:val="24"/>
        </w:rPr>
        <w:t xml:space="preserve"> utiče</w:t>
      </w:r>
      <w:r w:rsidR="00155B71" w:rsidRPr="00DB1ABE">
        <w:rPr>
          <w:sz w:val="24"/>
          <w:szCs w:val="24"/>
        </w:rPr>
        <w:t xml:space="preserve"> n</w:t>
      </w:r>
      <w:r w:rsidR="00041E57" w:rsidRPr="00DB1ABE">
        <w:rPr>
          <w:sz w:val="24"/>
          <w:szCs w:val="24"/>
        </w:rPr>
        <w:t>a emisije u sektoru energetike i čine preko 60% ukupnih emisija u energetskom sektoru ( u 2014. godini 58.2% )</w:t>
      </w:r>
      <w:r w:rsidR="00DB1ABE" w:rsidRPr="00DB1ABE">
        <w:rPr>
          <w:sz w:val="24"/>
          <w:szCs w:val="24"/>
        </w:rPr>
        <w:t>.</w:t>
      </w:r>
    </w:p>
    <w:p w:rsidR="009631EE" w:rsidRPr="00DB1ABE" w:rsidRDefault="00155B71" w:rsidP="00DB1ABE">
      <w:pPr>
        <w:pStyle w:val="Standard"/>
        <w:jc w:val="both"/>
        <w:rPr>
          <w:sz w:val="24"/>
          <w:szCs w:val="24"/>
        </w:rPr>
      </w:pPr>
      <w:r w:rsidRPr="00DB1ABE">
        <w:rPr>
          <w:sz w:val="24"/>
          <w:szCs w:val="24"/>
        </w:rPr>
        <w:t>Na slici 1 prikazane su emisije CO</w:t>
      </w:r>
      <w:r w:rsidRPr="00DB1ABE">
        <w:rPr>
          <w:sz w:val="24"/>
          <w:szCs w:val="24"/>
          <w:vertAlign w:val="subscript"/>
        </w:rPr>
        <w:t>2</w:t>
      </w:r>
      <w:r w:rsidRPr="00DB1ABE">
        <w:rPr>
          <w:sz w:val="24"/>
          <w:szCs w:val="24"/>
        </w:rPr>
        <w:t>—</w:t>
      </w:r>
      <w:proofErr w:type="gramStart"/>
      <w:r w:rsidRPr="00DB1ABE">
        <w:rPr>
          <w:sz w:val="24"/>
          <w:szCs w:val="24"/>
        </w:rPr>
        <w:t>eq  u</w:t>
      </w:r>
      <w:proofErr w:type="gramEnd"/>
      <w:r w:rsidRPr="00DB1ABE">
        <w:rPr>
          <w:sz w:val="24"/>
          <w:szCs w:val="24"/>
        </w:rPr>
        <w:t xml:space="preserve"> termoelektranama Republike Srpske. </w:t>
      </w:r>
    </w:p>
    <w:p w:rsidR="00DD7822" w:rsidRDefault="00B96540" w:rsidP="00155B71">
      <w:pPr>
        <w:pStyle w:val="Standard"/>
        <w:rPr>
          <w:rFonts w:eastAsia="Calibri"/>
          <w:sz w:val="24"/>
          <w:szCs w:val="24"/>
        </w:rPr>
      </w:pPr>
      <w:r>
        <w:rPr>
          <w:rFonts w:ascii="Calibri" w:hAnsi="Calibri"/>
          <w:sz w:val="22"/>
        </w:rPr>
        <w:t xml:space="preserve"> </w:t>
      </w:r>
    </w:p>
    <w:p w:rsidR="00DD7822" w:rsidRDefault="00F12DA5" w:rsidP="00F12DA5">
      <w:pPr>
        <w:pStyle w:val="Standard"/>
        <w:widowControl/>
        <w:tabs>
          <w:tab w:val="left" w:pos="0"/>
        </w:tabs>
        <w:spacing w:line="276" w:lineRule="auto"/>
        <w:jc w:val="center"/>
      </w:pPr>
      <w:r w:rsidRPr="00F12DA5">
        <w:rPr>
          <w:noProof/>
        </w:rPr>
        <w:lastRenderedPageBreak/>
        <w:drawing>
          <wp:inline distT="0" distB="0" distL="0" distR="0">
            <wp:extent cx="4048125" cy="2419350"/>
            <wp:effectExtent l="0" t="0" r="0" b="0"/>
            <wp:docPr id="46" name="Chart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D7822" w:rsidRPr="002B14C7" w:rsidRDefault="00B62CB9" w:rsidP="002B14C7">
      <w:pPr>
        <w:pStyle w:val="Standard"/>
        <w:widowControl/>
        <w:tabs>
          <w:tab w:val="left" w:pos="0"/>
        </w:tabs>
        <w:spacing w:line="276" w:lineRule="auto"/>
        <w:jc w:val="center"/>
        <w:rPr>
          <w:sz w:val="16"/>
        </w:rPr>
      </w:pPr>
      <w:proofErr w:type="gramStart"/>
      <w:r w:rsidRPr="002B14C7">
        <w:rPr>
          <w:rFonts w:eastAsia="Calibri"/>
          <w:szCs w:val="24"/>
        </w:rPr>
        <w:t>Slika 1</w:t>
      </w:r>
      <w:r w:rsidR="00F12DA5" w:rsidRPr="002B14C7">
        <w:rPr>
          <w:rFonts w:eastAsia="Calibri"/>
          <w:szCs w:val="24"/>
        </w:rPr>
        <w:t>.</w:t>
      </w:r>
      <w:proofErr w:type="gramEnd"/>
      <w:r w:rsidRPr="002B14C7">
        <w:rPr>
          <w:rFonts w:eastAsia="Calibri"/>
          <w:szCs w:val="24"/>
        </w:rPr>
        <w:t xml:space="preserve"> </w:t>
      </w:r>
      <w:r w:rsidR="00F12DA5" w:rsidRPr="002B14C7">
        <w:rPr>
          <w:rFonts w:eastAsia="Calibri"/>
          <w:szCs w:val="24"/>
        </w:rPr>
        <w:t>Emisije CO</w:t>
      </w:r>
      <w:r w:rsidR="00F12DA5" w:rsidRPr="002B14C7">
        <w:rPr>
          <w:rFonts w:eastAsia="Calibri"/>
          <w:szCs w:val="24"/>
          <w:vertAlign w:val="subscript"/>
        </w:rPr>
        <w:t>2</w:t>
      </w:r>
      <w:r w:rsidR="00F12DA5" w:rsidRPr="002B14C7">
        <w:rPr>
          <w:rFonts w:eastAsia="Calibri"/>
          <w:szCs w:val="24"/>
        </w:rPr>
        <w:t xml:space="preserve"> u termoelektranama R</w:t>
      </w:r>
      <w:r w:rsidRPr="002B14C7">
        <w:rPr>
          <w:rFonts w:eastAsia="Calibri"/>
          <w:szCs w:val="24"/>
        </w:rPr>
        <w:t>epublike Sroske</w:t>
      </w:r>
    </w:p>
    <w:p w:rsidR="00DD7822" w:rsidRDefault="00DD7822">
      <w:pPr>
        <w:pStyle w:val="Standard"/>
        <w:widowControl/>
        <w:tabs>
          <w:tab w:val="left" w:pos="0"/>
        </w:tabs>
        <w:spacing w:line="276" w:lineRule="auto"/>
        <w:rPr>
          <w:rFonts w:eastAsia="Calibri"/>
          <w:sz w:val="24"/>
          <w:szCs w:val="24"/>
        </w:rPr>
      </w:pPr>
    </w:p>
    <w:p w:rsidR="00155B71" w:rsidRDefault="00155B71" w:rsidP="00833C71">
      <w:pPr>
        <w:pStyle w:val="Standard"/>
        <w:widowControl/>
        <w:tabs>
          <w:tab w:val="left" w:pos="0"/>
        </w:tabs>
        <w:spacing w:line="276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Značajan doprinos emisijama </w:t>
      </w:r>
      <w:r w:rsidR="00041E57">
        <w:rPr>
          <w:rFonts w:eastAsia="Calibri"/>
          <w:sz w:val="24"/>
          <w:szCs w:val="24"/>
        </w:rPr>
        <w:t xml:space="preserve">u energetskom sektoru daje saobraćaj </w:t>
      </w:r>
      <w:r w:rsidR="00833C71">
        <w:rPr>
          <w:rFonts w:eastAsia="Calibri"/>
          <w:sz w:val="24"/>
          <w:szCs w:val="24"/>
        </w:rPr>
        <w:t xml:space="preserve">u Republici Srpskoj koji predstavlja oko 15% ukupnih emisija u energetskom sektoru (u toku 2014. godine taj procenat se povećao </w:t>
      </w:r>
      <w:proofErr w:type="gramStart"/>
      <w:r w:rsidR="00833C71">
        <w:rPr>
          <w:rFonts w:eastAsia="Calibri"/>
          <w:sz w:val="24"/>
          <w:szCs w:val="24"/>
        </w:rPr>
        <w:t>na</w:t>
      </w:r>
      <w:proofErr w:type="gramEnd"/>
      <w:r w:rsidR="00833C71">
        <w:rPr>
          <w:rFonts w:eastAsia="Calibri"/>
          <w:sz w:val="24"/>
          <w:szCs w:val="24"/>
        </w:rPr>
        <w:t xml:space="preserve"> 17.35%).  </w:t>
      </w:r>
      <w:r w:rsidR="00041E57">
        <w:rPr>
          <w:rFonts w:eastAsia="Calibri"/>
          <w:sz w:val="24"/>
          <w:szCs w:val="24"/>
        </w:rPr>
        <w:t xml:space="preserve">Povećanje brojnog stanja vozila, posebno </w:t>
      </w:r>
      <w:r w:rsidR="00833C71">
        <w:rPr>
          <w:rFonts w:eastAsia="Calibri"/>
          <w:sz w:val="24"/>
          <w:szCs w:val="24"/>
        </w:rPr>
        <w:t xml:space="preserve">putničkih, uticalo je na povećanje potrošnje </w:t>
      </w:r>
      <w:proofErr w:type="gramStart"/>
      <w:r w:rsidR="00833C71">
        <w:rPr>
          <w:rFonts w:eastAsia="Calibri"/>
          <w:sz w:val="24"/>
          <w:szCs w:val="24"/>
        </w:rPr>
        <w:t>goriva ,</w:t>
      </w:r>
      <w:proofErr w:type="gramEnd"/>
      <w:r w:rsidR="00833C71">
        <w:rPr>
          <w:rFonts w:eastAsia="Calibri"/>
          <w:sz w:val="24"/>
          <w:szCs w:val="24"/>
        </w:rPr>
        <w:t xml:space="preserve"> posebno dizela, što povećava  emisije iz ovog sektora.</w:t>
      </w:r>
      <w:r w:rsidR="00041E57">
        <w:rPr>
          <w:rFonts w:eastAsia="Calibri"/>
          <w:sz w:val="24"/>
          <w:szCs w:val="24"/>
        </w:rPr>
        <w:t xml:space="preserve"> </w:t>
      </w:r>
    </w:p>
    <w:p w:rsidR="002B14C7" w:rsidRDefault="002B14C7" w:rsidP="00833C71">
      <w:pPr>
        <w:pStyle w:val="Standard"/>
        <w:widowControl/>
        <w:tabs>
          <w:tab w:val="left" w:pos="0"/>
        </w:tabs>
        <w:spacing w:line="276" w:lineRule="auto"/>
        <w:jc w:val="both"/>
        <w:rPr>
          <w:rFonts w:eastAsia="Calibri"/>
          <w:sz w:val="24"/>
          <w:szCs w:val="24"/>
        </w:rPr>
      </w:pPr>
    </w:p>
    <w:p w:rsidR="00833C71" w:rsidRDefault="00833C71" w:rsidP="00833C71">
      <w:pPr>
        <w:pStyle w:val="Standard"/>
        <w:widowControl/>
        <w:tabs>
          <w:tab w:val="left" w:pos="0"/>
        </w:tabs>
        <w:spacing w:line="276" w:lineRule="auto"/>
        <w:jc w:val="center"/>
        <w:rPr>
          <w:rFonts w:eastAsia="Calibri"/>
          <w:sz w:val="24"/>
          <w:szCs w:val="24"/>
        </w:rPr>
      </w:pPr>
      <w:r w:rsidRPr="00833C71">
        <w:rPr>
          <w:rFonts w:eastAsia="Calibri"/>
          <w:noProof/>
          <w:sz w:val="24"/>
          <w:szCs w:val="24"/>
        </w:rPr>
        <w:drawing>
          <wp:inline distT="0" distB="0" distL="0" distR="0">
            <wp:extent cx="4248150" cy="2257425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33C71" w:rsidRPr="002B14C7" w:rsidRDefault="00833C71" w:rsidP="002B14C7">
      <w:pPr>
        <w:pStyle w:val="Standard"/>
        <w:widowControl/>
        <w:tabs>
          <w:tab w:val="left" w:pos="0"/>
        </w:tabs>
        <w:spacing w:line="276" w:lineRule="auto"/>
        <w:jc w:val="center"/>
        <w:rPr>
          <w:sz w:val="16"/>
        </w:rPr>
      </w:pPr>
      <w:proofErr w:type="gramStart"/>
      <w:r w:rsidRPr="002B14C7">
        <w:rPr>
          <w:rFonts w:eastAsia="Calibri"/>
          <w:szCs w:val="24"/>
        </w:rPr>
        <w:t xml:space="preserve">Slika </w:t>
      </w:r>
      <w:r w:rsidR="00DB1ABE" w:rsidRPr="002B14C7">
        <w:rPr>
          <w:rFonts w:eastAsia="Calibri"/>
          <w:szCs w:val="24"/>
        </w:rPr>
        <w:t>2</w:t>
      </w:r>
      <w:r w:rsidRPr="002B14C7">
        <w:rPr>
          <w:rFonts w:eastAsia="Calibri"/>
          <w:szCs w:val="24"/>
        </w:rPr>
        <w:t>.</w:t>
      </w:r>
      <w:proofErr w:type="gramEnd"/>
      <w:r w:rsidRPr="002B14C7">
        <w:rPr>
          <w:rFonts w:eastAsia="Calibri"/>
          <w:szCs w:val="24"/>
        </w:rPr>
        <w:t xml:space="preserve"> Emisije CO</w:t>
      </w:r>
      <w:r w:rsidRPr="002B14C7">
        <w:rPr>
          <w:rFonts w:eastAsia="Calibri"/>
          <w:szCs w:val="24"/>
          <w:vertAlign w:val="subscript"/>
        </w:rPr>
        <w:t>2</w:t>
      </w:r>
      <w:r w:rsidRPr="002B14C7">
        <w:rPr>
          <w:rFonts w:eastAsia="Calibri"/>
          <w:szCs w:val="24"/>
        </w:rPr>
        <w:t xml:space="preserve"> iz saobraćaja u Republici Srpskoj</w:t>
      </w:r>
    </w:p>
    <w:p w:rsidR="00833C71" w:rsidRDefault="00833C71" w:rsidP="00833C71">
      <w:pPr>
        <w:pStyle w:val="Standard"/>
        <w:widowControl/>
        <w:tabs>
          <w:tab w:val="left" w:pos="0"/>
        </w:tabs>
        <w:spacing w:line="276" w:lineRule="auto"/>
        <w:jc w:val="both"/>
        <w:rPr>
          <w:rFonts w:eastAsia="Calibri"/>
          <w:sz w:val="24"/>
          <w:szCs w:val="24"/>
        </w:rPr>
      </w:pPr>
    </w:p>
    <w:p w:rsidR="002B14C7" w:rsidRDefault="002B14C7" w:rsidP="00833C71">
      <w:pPr>
        <w:pStyle w:val="Standard"/>
        <w:widowControl/>
        <w:tabs>
          <w:tab w:val="left" w:pos="0"/>
        </w:tabs>
        <w:spacing w:line="276" w:lineRule="auto"/>
        <w:jc w:val="both"/>
        <w:rPr>
          <w:rFonts w:eastAsia="Calibri"/>
          <w:sz w:val="24"/>
          <w:szCs w:val="24"/>
        </w:rPr>
      </w:pPr>
    </w:p>
    <w:p w:rsidR="00DD7822" w:rsidRDefault="00B62CB9" w:rsidP="002B14C7">
      <w:pPr>
        <w:pStyle w:val="Standard"/>
        <w:widowControl/>
        <w:tabs>
          <w:tab w:val="left" w:pos="0"/>
        </w:tabs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Industrijski procesi</w:t>
      </w:r>
    </w:p>
    <w:p w:rsidR="002B14C7" w:rsidRDefault="002B14C7" w:rsidP="002B14C7">
      <w:pPr>
        <w:pStyle w:val="Standard"/>
        <w:widowControl/>
        <w:tabs>
          <w:tab w:val="left" w:pos="0"/>
        </w:tabs>
        <w:spacing w:line="276" w:lineRule="auto"/>
        <w:jc w:val="center"/>
      </w:pPr>
    </w:p>
    <w:p w:rsidR="00DD7822" w:rsidRPr="007A78EC" w:rsidRDefault="00B62CB9">
      <w:pPr>
        <w:pStyle w:val="Standard"/>
        <w:widowControl/>
        <w:jc w:val="both"/>
      </w:pPr>
      <w:r>
        <w:rPr>
          <w:sz w:val="24"/>
          <w:szCs w:val="24"/>
          <w:lang w:val="en-GB"/>
        </w:rPr>
        <w:t xml:space="preserve">Gasovi </w:t>
      </w:r>
      <w:proofErr w:type="gramStart"/>
      <w:r>
        <w:rPr>
          <w:sz w:val="24"/>
          <w:szCs w:val="24"/>
          <w:lang w:val="en-GB"/>
        </w:rPr>
        <w:t>sa</w:t>
      </w:r>
      <w:proofErr w:type="gramEnd"/>
      <w:r>
        <w:rPr>
          <w:sz w:val="24"/>
          <w:szCs w:val="24"/>
          <w:lang w:val="en-GB"/>
        </w:rPr>
        <w:t xml:space="preserve"> efektom staklene bašte nastaju kao nus proizvod u različitim industrijskim procesima u kojima se ulazna sirovina fizički ili hemijski tran</w:t>
      </w:r>
      <w:r w:rsidR="008A10A7">
        <w:rPr>
          <w:sz w:val="24"/>
          <w:szCs w:val="24"/>
          <w:lang w:val="en-GB"/>
        </w:rPr>
        <w:t>sformiše u finalni proizvod. Ove</w:t>
      </w:r>
      <w:r>
        <w:rPr>
          <w:sz w:val="24"/>
          <w:szCs w:val="24"/>
          <w:lang w:val="en-GB"/>
        </w:rPr>
        <w:t xml:space="preserve"> emisije nisu </w:t>
      </w:r>
      <w:proofErr w:type="gramStart"/>
      <w:r>
        <w:rPr>
          <w:sz w:val="24"/>
          <w:szCs w:val="24"/>
          <w:lang w:val="en-GB"/>
        </w:rPr>
        <w:t>rezultat  sagorijevanja</w:t>
      </w:r>
      <w:proofErr w:type="gramEnd"/>
      <w:r>
        <w:rPr>
          <w:sz w:val="24"/>
          <w:szCs w:val="24"/>
          <w:lang w:val="en-GB"/>
        </w:rPr>
        <w:t xml:space="preserve"> goriva za proizvodnju toplote u industriji nego se odnose isključivo na emisije iz neenergetskih aktivnosti.  Za vrijeme ovih aktivnosti dolazi do emisije </w:t>
      </w:r>
      <w:proofErr w:type="gramStart"/>
      <w:r>
        <w:rPr>
          <w:sz w:val="24"/>
          <w:szCs w:val="24"/>
          <w:lang w:val="en-GB"/>
        </w:rPr>
        <w:t>različitih  gasova</w:t>
      </w:r>
      <w:proofErr w:type="gramEnd"/>
      <w:r>
        <w:rPr>
          <w:sz w:val="24"/>
          <w:szCs w:val="24"/>
          <w:lang w:val="en-GB"/>
        </w:rPr>
        <w:t xml:space="preserve"> kao što su: CO</w:t>
      </w:r>
      <w:r>
        <w:rPr>
          <w:sz w:val="24"/>
          <w:szCs w:val="24"/>
          <w:vertAlign w:val="subscript"/>
          <w:lang w:val="en-GB"/>
        </w:rPr>
        <w:t>2</w:t>
      </w:r>
      <w:r>
        <w:rPr>
          <w:sz w:val="24"/>
          <w:szCs w:val="24"/>
          <w:lang w:val="en-GB"/>
        </w:rPr>
        <w:t>,CH</w:t>
      </w:r>
      <w:r>
        <w:rPr>
          <w:sz w:val="24"/>
          <w:szCs w:val="24"/>
          <w:vertAlign w:val="subscript"/>
          <w:lang w:val="en-GB"/>
        </w:rPr>
        <w:t>4</w:t>
      </w:r>
      <w:r>
        <w:rPr>
          <w:sz w:val="24"/>
          <w:szCs w:val="24"/>
          <w:lang w:val="en-GB"/>
        </w:rPr>
        <w:t>, N</w:t>
      </w:r>
      <w:r>
        <w:rPr>
          <w:sz w:val="24"/>
          <w:szCs w:val="24"/>
          <w:vertAlign w:val="subscript"/>
          <w:lang w:val="en-GB"/>
        </w:rPr>
        <w:t>2</w:t>
      </w:r>
      <w:r>
        <w:rPr>
          <w:sz w:val="24"/>
          <w:szCs w:val="24"/>
          <w:lang w:val="en-GB"/>
        </w:rPr>
        <w:t>O, HFCs, PFCs, SF</w:t>
      </w:r>
      <w:r>
        <w:rPr>
          <w:sz w:val="24"/>
          <w:szCs w:val="24"/>
          <w:vertAlign w:val="subscript"/>
          <w:lang w:val="en-GB"/>
        </w:rPr>
        <w:t>6</w:t>
      </w:r>
      <w:r>
        <w:rPr>
          <w:sz w:val="24"/>
          <w:szCs w:val="24"/>
          <w:lang w:val="en-GB"/>
        </w:rPr>
        <w:t>, a koji doprinose ukupnim emisijama GHG.</w:t>
      </w:r>
      <w:r w:rsidR="007A78EC">
        <w:rPr>
          <w:sz w:val="24"/>
          <w:szCs w:val="24"/>
          <w:lang w:val="en-GB"/>
        </w:rPr>
        <w:t xml:space="preserve"> Industrijski procesi daju mali doprinos ukupnim emsijama </w:t>
      </w:r>
      <w:proofErr w:type="gramStart"/>
      <w:r w:rsidR="007A78EC">
        <w:rPr>
          <w:sz w:val="24"/>
          <w:szCs w:val="24"/>
          <w:lang w:val="en-GB"/>
        </w:rPr>
        <w:t>u  Republici</w:t>
      </w:r>
      <w:proofErr w:type="gramEnd"/>
      <w:r w:rsidR="007A78EC">
        <w:rPr>
          <w:sz w:val="24"/>
          <w:szCs w:val="24"/>
          <w:lang w:val="en-GB"/>
        </w:rPr>
        <w:t xml:space="preserve"> Srpskoj, oko 1-2</w:t>
      </w:r>
      <w:r w:rsidR="002A64F6">
        <w:rPr>
          <w:sz w:val="24"/>
          <w:szCs w:val="24"/>
          <w:lang w:val="en-GB"/>
        </w:rPr>
        <w:t xml:space="preserve">% </w:t>
      </w:r>
      <w:r w:rsidR="007A78EC">
        <w:rPr>
          <w:sz w:val="24"/>
          <w:szCs w:val="24"/>
          <w:lang w:val="en-GB"/>
        </w:rPr>
        <w:t xml:space="preserve"> Gg CO</w:t>
      </w:r>
      <w:r w:rsidR="007A78EC" w:rsidRPr="007A78EC">
        <w:rPr>
          <w:sz w:val="24"/>
          <w:szCs w:val="24"/>
          <w:vertAlign w:val="subscript"/>
          <w:lang w:val="en-GB"/>
        </w:rPr>
        <w:t>2</w:t>
      </w:r>
      <w:r w:rsidR="007A78EC">
        <w:rPr>
          <w:sz w:val="24"/>
          <w:szCs w:val="24"/>
          <w:lang w:val="en-GB"/>
        </w:rPr>
        <w:t>-eq.</w:t>
      </w:r>
    </w:p>
    <w:p w:rsidR="00DD7822" w:rsidRDefault="00B62CB9">
      <w:pPr>
        <w:pStyle w:val="Standard"/>
        <w:jc w:val="both"/>
      </w:pPr>
      <w:r>
        <w:rPr>
          <w:sz w:val="24"/>
          <w:szCs w:val="24"/>
          <w:lang w:val="en-GB"/>
        </w:rPr>
        <w:t xml:space="preserve">Analizirajući podatke o različitim industrijskim procesima u Republici Srpkoj konstatovano je da samo sljedeći industrijski </w:t>
      </w:r>
      <w:r>
        <w:rPr>
          <w:sz w:val="24"/>
          <w:szCs w:val="24"/>
        </w:rPr>
        <w:t>procesi značajno doprinose emisiji CO</w:t>
      </w:r>
      <w:r w:rsidRPr="008A10A7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:</w:t>
      </w:r>
      <w:r w:rsidR="00383C22">
        <w:rPr>
          <w:sz w:val="24"/>
          <w:szCs w:val="24"/>
        </w:rPr>
        <w:t xml:space="preserve"> proizvodnja kreča</w:t>
      </w:r>
      <w:r>
        <w:rPr>
          <w:sz w:val="24"/>
          <w:szCs w:val="24"/>
        </w:rPr>
        <w:t>, proizvodnja bitumena za proizvodnju vruće asfaltne mase</w:t>
      </w:r>
      <w:proofErr w:type="gramStart"/>
      <w:r>
        <w:rPr>
          <w:sz w:val="24"/>
          <w:szCs w:val="24"/>
        </w:rPr>
        <w:t>,  korištenje</w:t>
      </w:r>
      <w:proofErr w:type="gramEnd"/>
      <w:r>
        <w:rPr>
          <w:sz w:val="24"/>
          <w:szCs w:val="24"/>
        </w:rPr>
        <w:t xml:space="preserve"> krečnjaka u razl</w:t>
      </w:r>
      <w:r w:rsidR="00383C22">
        <w:rPr>
          <w:sz w:val="24"/>
          <w:szCs w:val="24"/>
        </w:rPr>
        <w:t>i</w:t>
      </w:r>
      <w:r>
        <w:rPr>
          <w:sz w:val="24"/>
          <w:szCs w:val="24"/>
        </w:rPr>
        <w:t xml:space="preserve">čitim </w:t>
      </w:r>
      <w:r>
        <w:rPr>
          <w:sz w:val="24"/>
          <w:szCs w:val="24"/>
        </w:rPr>
        <w:lastRenderedPageBreak/>
        <w:t>industrijskim procesima, te prehrambena industrija gdje su najveće em</w:t>
      </w:r>
      <w:r w:rsidR="002D6A0C">
        <w:rPr>
          <w:sz w:val="24"/>
          <w:szCs w:val="24"/>
        </w:rPr>
        <w:t>i</w:t>
      </w:r>
      <w:r>
        <w:rPr>
          <w:sz w:val="24"/>
          <w:szCs w:val="24"/>
        </w:rPr>
        <w:t xml:space="preserve">sije </w:t>
      </w:r>
      <w:r w:rsidR="00383C22">
        <w:rPr>
          <w:sz w:val="24"/>
          <w:szCs w:val="24"/>
        </w:rPr>
        <w:t>nemetanskih isparljivih organskih jedinjenja (</w:t>
      </w:r>
      <w:r>
        <w:rPr>
          <w:sz w:val="24"/>
          <w:szCs w:val="24"/>
        </w:rPr>
        <w:t>NMVOC</w:t>
      </w:r>
      <w:r w:rsidR="00383C22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Shodno tome samo su emisije iz ovih procesa korišten</w:t>
      </w:r>
      <w:r w:rsidR="002D6A0C">
        <w:rPr>
          <w:sz w:val="24"/>
          <w:szCs w:val="24"/>
        </w:rPr>
        <w:t>e</w:t>
      </w:r>
      <w:r>
        <w:rPr>
          <w:sz w:val="24"/>
          <w:szCs w:val="24"/>
        </w:rPr>
        <w:t xml:space="preserve"> za izradi Inventara emisija iz industrije.</w:t>
      </w:r>
      <w:proofErr w:type="gramEnd"/>
    </w:p>
    <w:p w:rsidR="00DD7822" w:rsidRDefault="00B62CB9">
      <w:pPr>
        <w:pStyle w:val="Standard"/>
        <w:jc w:val="both"/>
      </w:pPr>
      <w:r>
        <w:rPr>
          <w:sz w:val="24"/>
          <w:szCs w:val="24"/>
        </w:rPr>
        <w:t>Međusobnim poređenjem emisija iz navedenih industrijskih</w:t>
      </w:r>
      <w:r w:rsidR="002D6A0C">
        <w:rPr>
          <w:sz w:val="24"/>
          <w:szCs w:val="24"/>
        </w:rPr>
        <w:t xml:space="preserve"> procesa</w:t>
      </w:r>
      <w:r>
        <w:rPr>
          <w:sz w:val="24"/>
          <w:szCs w:val="24"/>
        </w:rPr>
        <w:t xml:space="preserve"> može se uočiti da </w:t>
      </w:r>
      <w:r w:rsidR="0042015E">
        <w:rPr>
          <w:sz w:val="24"/>
          <w:szCs w:val="24"/>
        </w:rPr>
        <w:t>najveći dio</w:t>
      </w:r>
      <w:r w:rsidR="008A10A7">
        <w:rPr>
          <w:sz w:val="24"/>
          <w:szCs w:val="24"/>
        </w:rPr>
        <w:t xml:space="preserve"> emisija GHG potiče iz indu</w:t>
      </w:r>
      <w:r>
        <w:rPr>
          <w:sz w:val="24"/>
          <w:szCs w:val="24"/>
        </w:rPr>
        <w:t xml:space="preserve">strije kreča, kao posljedica direktne emisije </w:t>
      </w:r>
      <w:proofErr w:type="gramStart"/>
      <w:r>
        <w:rPr>
          <w:sz w:val="24"/>
          <w:szCs w:val="24"/>
        </w:rPr>
        <w:t>CO</w:t>
      </w:r>
      <w:r w:rsidRPr="008A10A7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koja se može predstaviti osnovnom hemijskom rekcijom pri proizvodnji kreča</w:t>
      </w:r>
      <w:r w:rsidR="008A10A7">
        <w:rPr>
          <w:sz w:val="24"/>
          <w:szCs w:val="24"/>
        </w:rPr>
        <w:t>:</w:t>
      </w:r>
    </w:p>
    <w:p w:rsidR="00DD7822" w:rsidRDefault="00DD7822">
      <w:pPr>
        <w:pStyle w:val="Standard"/>
        <w:jc w:val="both"/>
        <w:rPr>
          <w:sz w:val="24"/>
          <w:szCs w:val="24"/>
        </w:rPr>
      </w:pPr>
    </w:p>
    <w:p w:rsidR="00DD7822" w:rsidRPr="00434E23" w:rsidRDefault="00434E23" w:rsidP="00434E23">
      <w:pPr>
        <w:pStyle w:val="Standard"/>
        <w:jc w:val="both"/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CaC</m:t>
        </m:r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→CaO+C</m:t>
        </m:r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="008A10A7" w:rsidRPr="00434E23">
        <w:rPr>
          <w:color w:val="FFFFFF" w:themeColor="background1"/>
          <w:sz w:val="24"/>
          <w:szCs w:val="24"/>
        </w:rPr>
        <w:t>____________________</w:t>
      </w:r>
      <w:r>
        <w:rPr>
          <w:color w:val="FFFFFF" w:themeColor="background1"/>
          <w:sz w:val="24"/>
          <w:szCs w:val="24"/>
        </w:rPr>
        <w:tab/>
      </w:r>
      <w:r>
        <w:rPr>
          <w:color w:val="FFFFFF" w:themeColor="background1"/>
          <w:sz w:val="24"/>
          <w:szCs w:val="24"/>
        </w:rPr>
        <w:tab/>
      </w:r>
      <w:r>
        <w:rPr>
          <w:color w:val="FFFFFF" w:themeColor="background1"/>
          <w:sz w:val="24"/>
          <w:szCs w:val="24"/>
        </w:rPr>
        <w:tab/>
      </w:r>
      <w:r>
        <w:rPr>
          <w:color w:val="FFFFFF" w:themeColor="background1"/>
          <w:sz w:val="24"/>
          <w:szCs w:val="24"/>
        </w:rPr>
        <w:tab/>
      </w:r>
      <w:r>
        <w:rPr>
          <w:color w:val="FFFFFF" w:themeColor="background1"/>
          <w:sz w:val="24"/>
          <w:szCs w:val="24"/>
        </w:rPr>
        <w:tab/>
      </w:r>
      <w:r>
        <w:rPr>
          <w:color w:val="FFFFFF" w:themeColor="background1"/>
          <w:sz w:val="24"/>
          <w:szCs w:val="24"/>
        </w:rPr>
        <w:tab/>
      </w:r>
      <w:r w:rsidR="008A10A7" w:rsidRPr="00434E23">
        <w:rPr>
          <w:sz w:val="24"/>
          <w:szCs w:val="24"/>
        </w:rPr>
        <w:t>(1)</w:t>
      </w:r>
    </w:p>
    <w:p w:rsidR="00630BA3" w:rsidRDefault="00630BA3">
      <w:pPr>
        <w:pStyle w:val="Standard"/>
        <w:jc w:val="both"/>
        <w:rPr>
          <w:sz w:val="24"/>
          <w:szCs w:val="24"/>
        </w:rPr>
      </w:pPr>
    </w:p>
    <w:p w:rsidR="007A78EC" w:rsidRPr="007A78EC" w:rsidRDefault="00B62CB9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Emisija GHG iz industrije kreča u 2014 je izno</w:t>
      </w:r>
      <w:r w:rsidRPr="000F3657">
        <w:rPr>
          <w:sz w:val="24"/>
          <w:szCs w:val="24"/>
        </w:rPr>
        <w:t>si</w:t>
      </w:r>
      <w:r w:rsidR="008A10A7" w:rsidRPr="000F3657">
        <w:rPr>
          <w:sz w:val="24"/>
          <w:szCs w:val="24"/>
        </w:rPr>
        <w:t>la 94</w:t>
      </w:r>
      <w:proofErr w:type="gramStart"/>
      <w:r w:rsidR="008A10A7" w:rsidRPr="000F3657">
        <w:rPr>
          <w:sz w:val="24"/>
          <w:szCs w:val="24"/>
        </w:rPr>
        <w:t>,60</w:t>
      </w:r>
      <w:proofErr w:type="gramEnd"/>
      <w:r w:rsidR="008A10A7" w:rsidRPr="000F3657">
        <w:rPr>
          <w:sz w:val="24"/>
          <w:szCs w:val="24"/>
        </w:rPr>
        <w:t xml:space="preserve"> Gg CO</w:t>
      </w:r>
      <w:r w:rsidR="008A10A7" w:rsidRPr="000F3657">
        <w:rPr>
          <w:sz w:val="24"/>
          <w:szCs w:val="24"/>
          <w:vertAlign w:val="subscript"/>
        </w:rPr>
        <w:t>2</w:t>
      </w:r>
      <w:r w:rsidR="006436A6">
        <w:rPr>
          <w:sz w:val="24"/>
          <w:szCs w:val="24"/>
        </w:rPr>
        <w:t xml:space="preserve">. </w:t>
      </w:r>
      <w:r w:rsidR="0042015E">
        <w:rPr>
          <w:sz w:val="24"/>
          <w:szCs w:val="24"/>
        </w:rPr>
        <w:t xml:space="preserve">Industrija </w:t>
      </w:r>
      <w:r w:rsidR="00E837A5">
        <w:rPr>
          <w:sz w:val="24"/>
          <w:szCs w:val="24"/>
        </w:rPr>
        <w:t>kreča</w:t>
      </w:r>
      <w:r w:rsidR="0042015E">
        <w:rPr>
          <w:sz w:val="24"/>
          <w:szCs w:val="24"/>
        </w:rPr>
        <w:t xml:space="preserve"> u Republici Srpkoj</w:t>
      </w:r>
      <w:r w:rsidR="00E837A5">
        <w:rPr>
          <w:sz w:val="24"/>
          <w:szCs w:val="24"/>
        </w:rPr>
        <w:t xml:space="preserve"> započela je </w:t>
      </w:r>
      <w:proofErr w:type="gramStart"/>
      <w:r w:rsidR="00E837A5">
        <w:rPr>
          <w:sz w:val="24"/>
          <w:szCs w:val="24"/>
        </w:rPr>
        <w:t>sa</w:t>
      </w:r>
      <w:proofErr w:type="gramEnd"/>
      <w:r w:rsidR="00E837A5">
        <w:rPr>
          <w:sz w:val="24"/>
          <w:szCs w:val="24"/>
        </w:rPr>
        <w:t xml:space="preserve"> radom tek 2009. </w:t>
      </w:r>
      <w:proofErr w:type="gramStart"/>
      <w:r w:rsidR="00E837A5">
        <w:rPr>
          <w:sz w:val="24"/>
          <w:szCs w:val="24"/>
        </w:rPr>
        <w:t>godine</w:t>
      </w:r>
      <w:proofErr w:type="gramEnd"/>
      <w:r w:rsidR="00E837A5">
        <w:rPr>
          <w:sz w:val="24"/>
          <w:szCs w:val="24"/>
        </w:rPr>
        <w:t xml:space="preserve"> od kada su</w:t>
      </w:r>
      <w:r w:rsidR="00383C22">
        <w:rPr>
          <w:sz w:val="24"/>
          <w:szCs w:val="24"/>
        </w:rPr>
        <w:t xml:space="preserve"> </w:t>
      </w:r>
      <w:r w:rsidR="00E837A5">
        <w:rPr>
          <w:sz w:val="24"/>
          <w:szCs w:val="24"/>
        </w:rPr>
        <w:t>i  evidentirane njene emisije</w:t>
      </w:r>
      <w:r w:rsidR="00383C22">
        <w:rPr>
          <w:sz w:val="24"/>
          <w:szCs w:val="24"/>
        </w:rPr>
        <w:t>.</w:t>
      </w:r>
      <w:r w:rsidR="00E837A5">
        <w:rPr>
          <w:sz w:val="24"/>
          <w:szCs w:val="24"/>
        </w:rPr>
        <w:t xml:space="preserve"> </w:t>
      </w:r>
      <w:r w:rsidR="00383C22">
        <w:rPr>
          <w:sz w:val="24"/>
          <w:szCs w:val="24"/>
        </w:rPr>
        <w:t>Ukupne emisije do 2009.godine</w:t>
      </w:r>
      <w:r w:rsidR="006436A6">
        <w:rPr>
          <w:sz w:val="24"/>
          <w:szCs w:val="24"/>
        </w:rPr>
        <w:t xml:space="preserve">, tj. </w:t>
      </w:r>
      <w:proofErr w:type="gramStart"/>
      <w:r w:rsidR="006436A6">
        <w:rPr>
          <w:sz w:val="24"/>
          <w:szCs w:val="24"/>
        </w:rPr>
        <w:t>prije</w:t>
      </w:r>
      <w:proofErr w:type="gramEnd"/>
      <w:r w:rsidR="006436A6">
        <w:rPr>
          <w:sz w:val="24"/>
          <w:szCs w:val="24"/>
        </w:rPr>
        <w:t xml:space="preserve"> početka rada industrije kreča,</w:t>
      </w:r>
      <w:r w:rsidR="00383C22">
        <w:rPr>
          <w:sz w:val="24"/>
          <w:szCs w:val="24"/>
        </w:rPr>
        <w:t xml:space="preserve"> su </w:t>
      </w:r>
      <w:r w:rsidR="0042015E">
        <w:rPr>
          <w:sz w:val="24"/>
          <w:szCs w:val="24"/>
        </w:rPr>
        <w:t>toliko niske da se prema primjenj</w:t>
      </w:r>
      <w:r w:rsidR="00612520">
        <w:rPr>
          <w:sz w:val="24"/>
          <w:szCs w:val="24"/>
        </w:rPr>
        <w:t xml:space="preserve">enoj metodologiji ne registruju, te su na slici 3 i tabeli 6 predstavljeni samo vrijednosti za period 2009-2014. </w:t>
      </w:r>
      <w:proofErr w:type="gramStart"/>
      <w:r w:rsidR="00612520">
        <w:rPr>
          <w:sz w:val="24"/>
          <w:szCs w:val="24"/>
        </w:rPr>
        <w:t>godina</w:t>
      </w:r>
      <w:proofErr w:type="gramEnd"/>
      <w:r w:rsidR="00612520">
        <w:rPr>
          <w:sz w:val="24"/>
          <w:szCs w:val="24"/>
        </w:rPr>
        <w:t>.</w:t>
      </w:r>
    </w:p>
    <w:p w:rsidR="007A78EC" w:rsidRDefault="007A78EC">
      <w:pPr>
        <w:pStyle w:val="Standard"/>
        <w:jc w:val="both"/>
        <w:rPr>
          <w:sz w:val="24"/>
          <w:szCs w:val="24"/>
        </w:rPr>
      </w:pPr>
    </w:p>
    <w:p w:rsidR="00DD7822" w:rsidRDefault="007A78EC" w:rsidP="007A78EC">
      <w:pPr>
        <w:pStyle w:val="Standard"/>
        <w:jc w:val="center"/>
        <w:rPr>
          <w:sz w:val="24"/>
          <w:szCs w:val="24"/>
        </w:rPr>
      </w:pPr>
      <w:r w:rsidRPr="007A78EC">
        <w:rPr>
          <w:noProof/>
          <w:sz w:val="24"/>
          <w:szCs w:val="24"/>
        </w:rPr>
        <w:drawing>
          <wp:inline distT="0" distB="0" distL="0" distR="0">
            <wp:extent cx="4248000" cy="2228850"/>
            <wp:effectExtent l="0" t="0" r="635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B1ABE" w:rsidRDefault="00DB1ABE" w:rsidP="007A78EC">
      <w:pPr>
        <w:pStyle w:val="Standard"/>
        <w:jc w:val="center"/>
        <w:rPr>
          <w:sz w:val="24"/>
          <w:szCs w:val="24"/>
        </w:rPr>
      </w:pPr>
    </w:p>
    <w:p w:rsidR="00DB1ABE" w:rsidRPr="002B14C7" w:rsidRDefault="00DB1ABE" w:rsidP="002B14C7">
      <w:pPr>
        <w:pStyle w:val="Standard"/>
        <w:widowControl/>
        <w:tabs>
          <w:tab w:val="left" w:pos="0"/>
        </w:tabs>
        <w:spacing w:line="276" w:lineRule="auto"/>
        <w:jc w:val="center"/>
        <w:rPr>
          <w:rFonts w:eastAsia="Calibri"/>
          <w:szCs w:val="24"/>
        </w:rPr>
      </w:pPr>
      <w:proofErr w:type="gramStart"/>
      <w:r w:rsidRPr="002B14C7">
        <w:rPr>
          <w:rFonts w:eastAsia="Calibri"/>
          <w:szCs w:val="24"/>
        </w:rPr>
        <w:t>Slika 3.</w:t>
      </w:r>
      <w:proofErr w:type="gramEnd"/>
      <w:r w:rsidRPr="002B14C7">
        <w:rPr>
          <w:rFonts w:eastAsia="Calibri"/>
          <w:szCs w:val="24"/>
        </w:rPr>
        <w:t xml:space="preserve"> Emisije CO</w:t>
      </w:r>
      <w:r w:rsidRPr="002B14C7">
        <w:rPr>
          <w:rFonts w:eastAsia="Calibri"/>
          <w:szCs w:val="24"/>
          <w:vertAlign w:val="subscript"/>
        </w:rPr>
        <w:t>2</w:t>
      </w:r>
      <w:r w:rsidRPr="002B14C7">
        <w:rPr>
          <w:rFonts w:eastAsia="Calibri"/>
          <w:szCs w:val="24"/>
        </w:rPr>
        <w:t xml:space="preserve"> iz </w:t>
      </w:r>
      <w:r w:rsidR="00EF5CFE" w:rsidRPr="002B14C7">
        <w:rPr>
          <w:rFonts w:eastAsia="Calibri"/>
          <w:szCs w:val="24"/>
        </w:rPr>
        <w:t>industrijskih procesa</w:t>
      </w:r>
      <w:r w:rsidRPr="002B14C7">
        <w:rPr>
          <w:rFonts w:eastAsia="Calibri"/>
          <w:szCs w:val="24"/>
        </w:rPr>
        <w:t xml:space="preserve"> u Republici Srpskoj</w:t>
      </w:r>
    </w:p>
    <w:p w:rsidR="00EF5CFE" w:rsidRDefault="00EF5CFE" w:rsidP="00DB1ABE">
      <w:pPr>
        <w:pStyle w:val="Standard"/>
        <w:widowControl/>
        <w:tabs>
          <w:tab w:val="left" w:pos="0"/>
        </w:tabs>
        <w:spacing w:line="276" w:lineRule="auto"/>
        <w:rPr>
          <w:rFonts w:eastAsia="Calibri"/>
          <w:sz w:val="24"/>
          <w:szCs w:val="24"/>
        </w:rPr>
      </w:pPr>
    </w:p>
    <w:p w:rsidR="00EF5CFE" w:rsidRPr="00EF5CFE" w:rsidRDefault="00EF5CFE" w:rsidP="00E50FAA">
      <w:pPr>
        <w:pStyle w:val="Standard"/>
        <w:widowControl/>
        <w:tabs>
          <w:tab w:val="left" w:pos="0"/>
        </w:tabs>
        <w:spacing w:line="276" w:lineRule="auto"/>
        <w:jc w:val="both"/>
        <w:rPr>
          <w:sz w:val="24"/>
          <w:szCs w:val="24"/>
        </w:rPr>
      </w:pPr>
      <w:proofErr w:type="gramStart"/>
      <w:r w:rsidRPr="00EF5CFE">
        <w:rPr>
          <w:sz w:val="24"/>
          <w:szCs w:val="24"/>
        </w:rPr>
        <w:t>Sa</w:t>
      </w:r>
      <w:proofErr w:type="gramEnd"/>
      <w:r w:rsidRPr="00EF5CFE">
        <w:rPr>
          <w:sz w:val="24"/>
          <w:szCs w:val="24"/>
        </w:rPr>
        <w:t xml:space="preserve"> slike se može </w:t>
      </w:r>
      <w:r>
        <w:rPr>
          <w:sz w:val="24"/>
          <w:szCs w:val="24"/>
        </w:rPr>
        <w:t xml:space="preserve">uočiti trend </w:t>
      </w:r>
      <w:r w:rsidR="00E50FAA">
        <w:rPr>
          <w:sz w:val="24"/>
          <w:szCs w:val="24"/>
        </w:rPr>
        <w:t>rasta emisija u periodu 2009-2011.</w:t>
      </w:r>
      <w:r w:rsidR="00383C22">
        <w:rPr>
          <w:sz w:val="24"/>
          <w:szCs w:val="24"/>
        </w:rPr>
        <w:t xml:space="preserve"> </w:t>
      </w:r>
      <w:proofErr w:type="gramStart"/>
      <w:r w:rsidR="00E50FAA">
        <w:rPr>
          <w:sz w:val="24"/>
          <w:szCs w:val="24"/>
        </w:rPr>
        <w:t>godin</w:t>
      </w:r>
      <w:r w:rsidR="00383C22">
        <w:rPr>
          <w:sz w:val="24"/>
          <w:szCs w:val="24"/>
        </w:rPr>
        <w:t>a</w:t>
      </w:r>
      <w:proofErr w:type="gramEnd"/>
      <w:r w:rsidR="00E50FAA">
        <w:rPr>
          <w:sz w:val="24"/>
          <w:szCs w:val="24"/>
        </w:rPr>
        <w:t xml:space="preserve"> kao posljedica povećanja industrijske proizvodnje u Republici Srpskoj dok u daljem periodu dolazi do pada emisija GHG kao rezultata svjetske ekonomske krize.</w:t>
      </w:r>
    </w:p>
    <w:p w:rsidR="00E50FAA" w:rsidRDefault="00E50FAA">
      <w:pPr>
        <w:pStyle w:val="Standard"/>
        <w:widowControl/>
        <w:tabs>
          <w:tab w:val="left" w:pos="2921"/>
        </w:tabs>
        <w:jc w:val="both"/>
        <w:rPr>
          <w:rFonts w:eastAsia="Calibri"/>
          <w:sz w:val="24"/>
          <w:szCs w:val="24"/>
        </w:rPr>
      </w:pPr>
    </w:p>
    <w:p w:rsidR="00E50FAA" w:rsidRDefault="00B62CB9">
      <w:pPr>
        <w:pStyle w:val="Standard"/>
        <w:widowControl/>
        <w:tabs>
          <w:tab w:val="left" w:pos="2921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U porođenju </w:t>
      </w:r>
      <w:proofErr w:type="gramStart"/>
      <w:r>
        <w:rPr>
          <w:rFonts w:eastAsia="Calibri"/>
          <w:sz w:val="24"/>
          <w:szCs w:val="24"/>
        </w:rPr>
        <w:t>sa</w:t>
      </w:r>
      <w:proofErr w:type="gramEnd"/>
      <w:r>
        <w:rPr>
          <w:rFonts w:eastAsia="Calibri"/>
          <w:sz w:val="24"/>
          <w:szCs w:val="24"/>
        </w:rPr>
        <w:t xml:space="preserve"> emisijama iz sektora energetike može se reći da industrijski procesi produkuju daleko manju emisiju GHG (tabela </w:t>
      </w:r>
      <w:r w:rsidR="00E50FAA">
        <w:rPr>
          <w:rFonts w:eastAsia="Calibri"/>
          <w:sz w:val="24"/>
          <w:szCs w:val="24"/>
        </w:rPr>
        <w:t>6).</w:t>
      </w:r>
      <w:r>
        <w:rPr>
          <w:rFonts w:eastAsia="Calibri"/>
          <w:sz w:val="24"/>
          <w:szCs w:val="24"/>
        </w:rPr>
        <w:t xml:space="preserve"> </w:t>
      </w:r>
    </w:p>
    <w:p w:rsidR="002A64F6" w:rsidRDefault="002A64F6">
      <w:pPr>
        <w:pStyle w:val="Standard"/>
        <w:widowControl/>
        <w:tabs>
          <w:tab w:val="left" w:pos="2921"/>
        </w:tabs>
        <w:jc w:val="both"/>
        <w:rPr>
          <w:rFonts w:eastAsia="Calibri"/>
          <w:sz w:val="24"/>
          <w:szCs w:val="24"/>
        </w:rPr>
      </w:pPr>
    </w:p>
    <w:p w:rsidR="00E50FAA" w:rsidRPr="002B14C7" w:rsidRDefault="00E50FAA" w:rsidP="00434E23">
      <w:pPr>
        <w:pStyle w:val="Standard"/>
        <w:jc w:val="center"/>
        <w:rPr>
          <w:szCs w:val="24"/>
        </w:rPr>
      </w:pPr>
      <w:proofErr w:type="gramStart"/>
      <w:r w:rsidRPr="002B14C7">
        <w:rPr>
          <w:szCs w:val="24"/>
        </w:rPr>
        <w:t>Tabela 6.</w:t>
      </w:r>
      <w:proofErr w:type="gramEnd"/>
      <w:r w:rsidRPr="002B14C7">
        <w:rPr>
          <w:szCs w:val="24"/>
        </w:rPr>
        <w:t xml:space="preserve"> Sumarni prikaz ukupnih emisija GHG i emisija iz sektora industrije i energetike za</w:t>
      </w:r>
    </w:p>
    <w:p w:rsidR="00E50FAA" w:rsidRPr="002B14C7" w:rsidRDefault="00E50FAA" w:rsidP="00434E23">
      <w:pPr>
        <w:pStyle w:val="Standard"/>
        <w:jc w:val="center"/>
        <w:rPr>
          <w:szCs w:val="24"/>
        </w:rPr>
      </w:pPr>
      <w:proofErr w:type="gramStart"/>
      <w:r w:rsidRPr="002B14C7">
        <w:rPr>
          <w:szCs w:val="24"/>
        </w:rPr>
        <w:t>period</w:t>
      </w:r>
      <w:proofErr w:type="gramEnd"/>
      <w:r w:rsidRPr="002B14C7">
        <w:rPr>
          <w:szCs w:val="24"/>
        </w:rPr>
        <w:t xml:space="preserve"> 2002-2014.godina u Republici Srspkoj, izražene u Gg CO</w:t>
      </w:r>
      <w:r w:rsidRPr="002B14C7">
        <w:rPr>
          <w:szCs w:val="24"/>
          <w:vertAlign w:val="subscript"/>
        </w:rPr>
        <w:t>2</w:t>
      </w:r>
      <w:r w:rsidRPr="002B14C7">
        <w:rPr>
          <w:szCs w:val="24"/>
        </w:rPr>
        <w:t>-eq</w:t>
      </w:r>
    </w:p>
    <w:tbl>
      <w:tblPr>
        <w:tblW w:w="9357" w:type="dxa"/>
        <w:tblInd w:w="103" w:type="dxa"/>
        <w:tblLook w:val="04A0" w:firstRow="1" w:lastRow="0" w:firstColumn="1" w:lastColumn="0" w:noHBand="0" w:noVBand="1"/>
      </w:tblPr>
      <w:tblGrid>
        <w:gridCol w:w="1349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</w:tblGrid>
      <w:tr w:rsidR="00E50FAA" w:rsidRPr="00E50FAA" w:rsidTr="00E50FAA">
        <w:trPr>
          <w:trHeight w:val="288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2007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2009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2014</w:t>
            </w:r>
          </w:p>
        </w:tc>
      </w:tr>
      <w:tr w:rsidR="00E50FAA" w:rsidRPr="00E50FAA" w:rsidTr="00E50FAA">
        <w:trPr>
          <w:trHeight w:val="288"/>
        </w:trPr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Ukupne emisije CO</w:t>
            </w: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-eq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3738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4329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5940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6199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6848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6071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6581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7009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7369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8281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7611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7867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7738</w:t>
            </w:r>
          </w:p>
        </w:tc>
      </w:tr>
      <w:tr w:rsidR="00E50FAA" w:rsidRPr="00E50FAA" w:rsidTr="00E50FAA">
        <w:trPr>
          <w:trHeight w:val="288"/>
        </w:trPr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Energetika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3321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3912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4135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4332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4816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4217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4753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5099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5448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6338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5788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6067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6063</w:t>
            </w:r>
          </w:p>
        </w:tc>
      </w:tr>
      <w:tr w:rsidR="00E50FAA" w:rsidRPr="00E50FAA" w:rsidTr="00E50FAA">
        <w:trPr>
          <w:trHeight w:val="288"/>
        </w:trPr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Industrijski</w:t>
            </w: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procesi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138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AA" w:rsidRPr="00E50FAA" w:rsidRDefault="00E50FAA" w:rsidP="00E50FAA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</w:pPr>
            <w:r w:rsidRPr="00E50F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</w:rPr>
              <w:t>95</w:t>
            </w:r>
          </w:p>
        </w:tc>
      </w:tr>
    </w:tbl>
    <w:p w:rsidR="00DD7822" w:rsidRPr="00E50FAA" w:rsidRDefault="00DD7822">
      <w:pPr>
        <w:pStyle w:val="Standard"/>
        <w:jc w:val="both"/>
        <w:rPr>
          <w:lang w:eastAsia="hr-HR"/>
        </w:rPr>
      </w:pPr>
    </w:p>
    <w:p w:rsidR="00E50FAA" w:rsidRDefault="00E50FAA" w:rsidP="00E50FAA">
      <w:pPr>
        <w:pStyle w:val="Standard"/>
        <w:widowControl/>
        <w:tabs>
          <w:tab w:val="left" w:pos="2921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Takođe, poređenjem sa emisijama iz drugih sektora</w:t>
      </w:r>
      <w:r w:rsidR="002A64F6">
        <w:rPr>
          <w:rFonts w:eastAsia="Calibri"/>
          <w:sz w:val="24"/>
          <w:szCs w:val="24"/>
        </w:rPr>
        <w:t xml:space="preserve"> </w:t>
      </w:r>
      <w:r w:rsidR="00612520">
        <w:rPr>
          <w:sz w:val="24"/>
          <w:szCs w:val="24"/>
        </w:rPr>
        <w:t>(tabele 2 i 3)</w:t>
      </w:r>
      <w:r w:rsidR="002A64F6">
        <w:rPr>
          <w:sz w:val="24"/>
          <w:szCs w:val="24"/>
        </w:rPr>
        <w:t xml:space="preserve"> </w:t>
      </w:r>
      <w:proofErr w:type="gramStart"/>
      <w:r>
        <w:rPr>
          <w:rFonts w:eastAsia="Calibri"/>
          <w:sz w:val="24"/>
          <w:szCs w:val="24"/>
        </w:rPr>
        <w:t>doprinos  ukupnim</w:t>
      </w:r>
      <w:proofErr w:type="gramEnd"/>
      <w:r>
        <w:rPr>
          <w:rFonts w:eastAsia="Calibri"/>
          <w:sz w:val="24"/>
          <w:szCs w:val="24"/>
        </w:rPr>
        <w:t xml:space="preserve"> emisijama iz industrije je daleko manji.</w:t>
      </w:r>
    </w:p>
    <w:p w:rsidR="00DD7822" w:rsidRDefault="00DD7822">
      <w:pPr>
        <w:pStyle w:val="Standard"/>
      </w:pPr>
    </w:p>
    <w:p w:rsidR="00DD7822" w:rsidRDefault="00C746ED" w:rsidP="00C746ED">
      <w:pPr>
        <w:pStyle w:val="Standard"/>
        <w:jc w:val="center"/>
      </w:pPr>
      <w:r w:rsidRPr="00C746ED">
        <w:rPr>
          <w:noProof/>
        </w:rPr>
        <w:lastRenderedPageBreak/>
        <w:drawing>
          <wp:inline distT="0" distB="0" distL="0" distR="0">
            <wp:extent cx="4248000" cy="2228850"/>
            <wp:effectExtent l="0" t="0" r="635" b="0"/>
            <wp:docPr id="4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D7822" w:rsidRDefault="00DD7822">
      <w:pPr>
        <w:pStyle w:val="Standard"/>
      </w:pPr>
    </w:p>
    <w:p w:rsidR="00C746ED" w:rsidRPr="002B14C7" w:rsidRDefault="00C746ED" w:rsidP="002B14C7">
      <w:pPr>
        <w:pStyle w:val="Standard"/>
        <w:widowControl/>
        <w:tabs>
          <w:tab w:val="left" w:pos="0"/>
        </w:tabs>
        <w:spacing w:line="276" w:lineRule="auto"/>
        <w:jc w:val="center"/>
        <w:rPr>
          <w:rFonts w:eastAsia="Calibri"/>
          <w:szCs w:val="24"/>
        </w:rPr>
      </w:pPr>
      <w:proofErr w:type="gramStart"/>
      <w:r w:rsidRPr="002B14C7">
        <w:rPr>
          <w:rFonts w:eastAsia="Calibri"/>
          <w:szCs w:val="24"/>
        </w:rPr>
        <w:t>Slika 4.</w:t>
      </w:r>
      <w:proofErr w:type="gramEnd"/>
      <w:r w:rsidRPr="002B14C7">
        <w:rPr>
          <w:rFonts w:eastAsia="Calibri"/>
          <w:szCs w:val="24"/>
        </w:rPr>
        <w:t xml:space="preserve"> Ukupne emisije CO</w:t>
      </w:r>
      <w:r w:rsidRPr="002B14C7">
        <w:rPr>
          <w:rFonts w:eastAsia="Calibri"/>
          <w:szCs w:val="24"/>
          <w:vertAlign w:val="subscript"/>
        </w:rPr>
        <w:t>2</w:t>
      </w:r>
      <w:r w:rsidR="00383C22">
        <w:rPr>
          <w:rFonts w:eastAsia="Calibri"/>
          <w:szCs w:val="24"/>
        </w:rPr>
        <w:t>-</w:t>
      </w:r>
      <w:r w:rsidRPr="00383C22">
        <w:rPr>
          <w:rFonts w:eastAsia="Calibri"/>
          <w:szCs w:val="24"/>
        </w:rPr>
        <w:t xml:space="preserve">eq </w:t>
      </w:r>
      <w:r w:rsidRPr="002B14C7">
        <w:rPr>
          <w:rFonts w:eastAsia="Calibri"/>
          <w:szCs w:val="24"/>
        </w:rPr>
        <w:t>u Republici Srpskoj</w:t>
      </w:r>
    </w:p>
    <w:p w:rsidR="00DD7822" w:rsidRDefault="00DD7822">
      <w:pPr>
        <w:pStyle w:val="Standard"/>
        <w:jc w:val="both"/>
        <w:rPr>
          <w:sz w:val="22"/>
          <w:szCs w:val="22"/>
          <w:lang w:eastAsia="hr-HR"/>
        </w:rPr>
      </w:pPr>
    </w:p>
    <w:p w:rsidR="00DD7822" w:rsidRDefault="00DD7822">
      <w:pPr>
        <w:pStyle w:val="Standard"/>
        <w:jc w:val="both"/>
        <w:rPr>
          <w:sz w:val="22"/>
          <w:szCs w:val="22"/>
          <w:lang w:eastAsia="hr-HR"/>
        </w:rPr>
      </w:pPr>
    </w:p>
    <w:p w:rsidR="00DD7822" w:rsidRDefault="00B62CB9">
      <w:pPr>
        <w:pStyle w:val="Standard"/>
        <w:jc w:val="center"/>
      </w:pPr>
      <w:r>
        <w:rPr>
          <w:b/>
          <w:sz w:val="24"/>
          <w:szCs w:val="24"/>
        </w:rPr>
        <w:t>ZAKLJUČCI</w:t>
      </w:r>
    </w:p>
    <w:p w:rsidR="00DD7822" w:rsidRDefault="00DD7822">
      <w:pPr>
        <w:pStyle w:val="Standard"/>
        <w:jc w:val="both"/>
        <w:rPr>
          <w:sz w:val="24"/>
          <w:szCs w:val="24"/>
        </w:rPr>
      </w:pPr>
    </w:p>
    <w:p w:rsidR="00DD7822" w:rsidRDefault="00C173C8">
      <w:pPr>
        <w:pStyle w:val="Standard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ovom radu je prvi put predstavljen i analiziran Inventar gasova sa efektom staklene </w:t>
      </w:r>
      <w:proofErr w:type="gramStart"/>
      <w:r>
        <w:rPr>
          <w:sz w:val="24"/>
          <w:szCs w:val="24"/>
        </w:rPr>
        <w:t>bašte  za</w:t>
      </w:r>
      <w:proofErr w:type="gramEnd"/>
      <w:r>
        <w:rPr>
          <w:sz w:val="24"/>
          <w:szCs w:val="24"/>
        </w:rPr>
        <w:t xml:space="preserve"> period 2002-2014. </w:t>
      </w:r>
      <w:proofErr w:type="gramStart"/>
      <w:r>
        <w:rPr>
          <w:sz w:val="24"/>
          <w:szCs w:val="24"/>
        </w:rPr>
        <w:t>godina</w:t>
      </w:r>
      <w:proofErr w:type="gramEnd"/>
      <w:r>
        <w:rPr>
          <w:sz w:val="24"/>
          <w:szCs w:val="24"/>
        </w:rPr>
        <w:t xml:space="preserve"> iz sektora energetike i industrijskih procesa u Republici Srpskoj.</w:t>
      </w:r>
    </w:p>
    <w:p w:rsidR="00CB3C8A" w:rsidRDefault="00C173C8">
      <w:pPr>
        <w:pStyle w:val="Standard"/>
        <w:spacing w:after="1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Analizom rezultata dobijenih proračunima emisija GHG gasova prema IPCC metodologiji evidentan je trend porasta emisija u posmatranom periodu.</w:t>
      </w:r>
      <w:proofErr w:type="gramEnd"/>
      <w:r>
        <w:rPr>
          <w:sz w:val="24"/>
          <w:szCs w:val="24"/>
        </w:rPr>
        <w:t xml:space="preserve"> Razlog je povećanje proizvodnje energi</w:t>
      </w:r>
      <w:r w:rsidR="00CB3C8A">
        <w:rPr>
          <w:sz w:val="24"/>
          <w:szCs w:val="24"/>
        </w:rPr>
        <w:t>je zbog povećanja</w:t>
      </w:r>
      <w:r>
        <w:rPr>
          <w:sz w:val="24"/>
          <w:szCs w:val="24"/>
        </w:rPr>
        <w:t xml:space="preserve"> energetskih potreba posebno u indu</w:t>
      </w:r>
      <w:r w:rsidR="00CB3C8A">
        <w:rPr>
          <w:sz w:val="24"/>
          <w:szCs w:val="24"/>
        </w:rPr>
        <w:t>s</w:t>
      </w:r>
      <w:r>
        <w:rPr>
          <w:sz w:val="24"/>
          <w:szCs w:val="24"/>
        </w:rPr>
        <w:t>trijskom sektoru</w:t>
      </w:r>
      <w:r w:rsidR="00CB3C8A">
        <w:rPr>
          <w:sz w:val="24"/>
          <w:szCs w:val="24"/>
        </w:rPr>
        <w:t xml:space="preserve">, stambenom sektoru </w:t>
      </w:r>
      <w:proofErr w:type="gramStart"/>
      <w:r w:rsidR="00CB3C8A">
        <w:rPr>
          <w:sz w:val="24"/>
          <w:szCs w:val="24"/>
        </w:rPr>
        <w:t>te</w:t>
      </w:r>
      <w:proofErr w:type="gramEnd"/>
      <w:r w:rsidR="00CB3C8A">
        <w:rPr>
          <w:sz w:val="24"/>
          <w:szCs w:val="24"/>
        </w:rPr>
        <w:t xml:space="preserve"> saobraćaju.</w:t>
      </w:r>
    </w:p>
    <w:p w:rsidR="00C173C8" w:rsidRDefault="00C173C8">
      <w:pPr>
        <w:pStyle w:val="Standard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Najveći doprinos ukupnim emisijama potiče iz sektora energetike i kreće se </w:t>
      </w:r>
      <w:proofErr w:type="gramStart"/>
      <w:r>
        <w:rPr>
          <w:sz w:val="24"/>
          <w:szCs w:val="24"/>
        </w:rPr>
        <w:t>od</w:t>
      </w:r>
      <w:proofErr w:type="gramEnd"/>
      <w:r>
        <w:rPr>
          <w:sz w:val="24"/>
          <w:szCs w:val="24"/>
        </w:rPr>
        <w:t xml:space="preserve"> 69-89% ukupnih emisija za posmatrani period.</w:t>
      </w:r>
    </w:p>
    <w:p w:rsidR="00C173C8" w:rsidRDefault="00C173C8">
      <w:pPr>
        <w:pStyle w:val="Standard"/>
        <w:spacing w:after="1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Najznačajniji izvor emisija u sektoru energetike su termoelektrane Ugljevik i Gacko čije emisije čine 58-74% emisija energetskog sektora.</w:t>
      </w:r>
      <w:proofErr w:type="gramEnd"/>
    </w:p>
    <w:p w:rsidR="00C173C8" w:rsidRDefault="00C173C8">
      <w:pPr>
        <w:pStyle w:val="Standard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Značajan doprinos emisijama energetskog sektora čini sve intenzivniji saobraćaj </w:t>
      </w:r>
      <w:proofErr w:type="gramStart"/>
      <w:r>
        <w:rPr>
          <w:sz w:val="24"/>
          <w:szCs w:val="24"/>
        </w:rPr>
        <w:t>sa</w:t>
      </w:r>
      <w:proofErr w:type="gramEnd"/>
      <w:r>
        <w:rPr>
          <w:sz w:val="24"/>
          <w:szCs w:val="24"/>
        </w:rPr>
        <w:t xml:space="preserve"> učešćem od 13-18% ukupnih emisija.</w:t>
      </w:r>
    </w:p>
    <w:p w:rsidR="00CB3C8A" w:rsidRPr="00CB3C8A" w:rsidRDefault="00CB3C8A">
      <w:pPr>
        <w:pStyle w:val="Standard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Industrijski procesi produkuju manju emisiju u odnosu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sektor energetike. Njihov doprinos ukupnim emisijama kreće se u intervalu </w:t>
      </w:r>
      <w:proofErr w:type="gramStart"/>
      <w:r>
        <w:rPr>
          <w:sz w:val="24"/>
          <w:szCs w:val="24"/>
        </w:rPr>
        <w:t>od</w:t>
      </w:r>
      <w:proofErr w:type="gramEnd"/>
      <w:r>
        <w:rPr>
          <w:sz w:val="24"/>
          <w:szCs w:val="24"/>
        </w:rPr>
        <w:t xml:space="preserve"> 1-2% ukupnih emisija. Emisije CO</w:t>
      </w:r>
      <w:r w:rsidRPr="00CB3C8A"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u ovom sektoru potiču </w:t>
      </w:r>
      <w:proofErr w:type="gramStart"/>
      <w:r>
        <w:rPr>
          <w:sz w:val="24"/>
          <w:szCs w:val="24"/>
        </w:rPr>
        <w:t>od</w:t>
      </w:r>
      <w:proofErr w:type="gramEnd"/>
      <w:r>
        <w:rPr>
          <w:sz w:val="24"/>
          <w:szCs w:val="24"/>
        </w:rPr>
        <w:t xml:space="preserve"> proizvodnje kreča, te su jedini i najveći izvor ovih emisija.</w:t>
      </w:r>
    </w:p>
    <w:p w:rsidR="00CB3C8A" w:rsidRDefault="00CB3C8A">
      <w:pPr>
        <w:pStyle w:val="Standard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Analizom izloženih podataka i njihovim poređenjem </w:t>
      </w:r>
      <w:proofErr w:type="gramStart"/>
      <w:r>
        <w:rPr>
          <w:sz w:val="24"/>
          <w:szCs w:val="24"/>
        </w:rPr>
        <w:t>sa</w:t>
      </w:r>
      <w:proofErr w:type="gramEnd"/>
      <w:r>
        <w:rPr>
          <w:sz w:val="24"/>
          <w:szCs w:val="24"/>
        </w:rPr>
        <w:t xml:space="preserve"> emisijama zemalja iz okruženja i zemalja EU može se reći da su emisije GHG u Republici Srpskoj daleko manje u odnosu na druge države. </w:t>
      </w:r>
    </w:p>
    <w:p w:rsidR="00CB3C8A" w:rsidRDefault="00383C22">
      <w:pPr>
        <w:pStyle w:val="Standard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Bez obzira na znatno manje </w:t>
      </w:r>
      <w:r w:rsidR="00CB3C8A">
        <w:rPr>
          <w:sz w:val="24"/>
          <w:szCs w:val="24"/>
        </w:rPr>
        <w:t xml:space="preserve">ukupne </w:t>
      </w:r>
      <w:proofErr w:type="gramStart"/>
      <w:r w:rsidR="00CB3C8A">
        <w:rPr>
          <w:sz w:val="24"/>
          <w:szCs w:val="24"/>
        </w:rPr>
        <w:t xml:space="preserve">emisije </w:t>
      </w:r>
      <w:r w:rsidR="00907623">
        <w:rPr>
          <w:sz w:val="24"/>
          <w:szCs w:val="24"/>
        </w:rPr>
        <w:t>,</w:t>
      </w:r>
      <w:proofErr w:type="gramEnd"/>
      <w:r w:rsidR="00907623">
        <w:rPr>
          <w:sz w:val="24"/>
          <w:szCs w:val="24"/>
        </w:rPr>
        <w:t xml:space="preserve"> Republika Srpska ima obaveze</w:t>
      </w:r>
      <w:r w:rsidR="00CB3C8A">
        <w:rPr>
          <w:sz w:val="24"/>
          <w:szCs w:val="24"/>
        </w:rPr>
        <w:t xml:space="preserve"> </w:t>
      </w:r>
      <w:r w:rsidR="00907623">
        <w:rPr>
          <w:sz w:val="24"/>
          <w:szCs w:val="24"/>
        </w:rPr>
        <w:t>smanjenja emisija kako prema domaćoj regulativi tako i prema međunarodnim obavezama koje je ratifikovala.  Potpisivanjem Okvirne konvencije o klimatskim promjenama i pristupanjem Energetskoj zajednici Bosna i Hercegovina i Republika Srpska je kroz strateške dokumente kao što su Nacionalne komunikacije i Nacionalni plan za smanjenje emisija iz velikih postrojenja te Strategiju razvoja energetike</w:t>
      </w:r>
      <w:r w:rsidR="0009050B">
        <w:rPr>
          <w:sz w:val="24"/>
          <w:szCs w:val="24"/>
        </w:rPr>
        <w:t xml:space="preserve"> Republike </w:t>
      </w:r>
      <w:proofErr w:type="gramStart"/>
      <w:r w:rsidR="0009050B">
        <w:rPr>
          <w:sz w:val="24"/>
          <w:szCs w:val="24"/>
        </w:rPr>
        <w:t xml:space="preserve">Srpske </w:t>
      </w:r>
      <w:r w:rsidR="00907623">
        <w:rPr>
          <w:sz w:val="24"/>
          <w:szCs w:val="24"/>
        </w:rPr>
        <w:t xml:space="preserve"> do</w:t>
      </w:r>
      <w:proofErr w:type="gramEnd"/>
      <w:r w:rsidR="00907623">
        <w:rPr>
          <w:sz w:val="24"/>
          <w:szCs w:val="24"/>
        </w:rPr>
        <w:t xml:space="preserve"> 2030. </w:t>
      </w:r>
      <w:proofErr w:type="gramStart"/>
      <w:r w:rsidR="0009050B">
        <w:rPr>
          <w:sz w:val="24"/>
          <w:szCs w:val="24"/>
        </w:rPr>
        <w:t>g</w:t>
      </w:r>
      <w:r w:rsidR="00907623">
        <w:rPr>
          <w:sz w:val="24"/>
          <w:szCs w:val="24"/>
        </w:rPr>
        <w:t>odine</w:t>
      </w:r>
      <w:proofErr w:type="gramEnd"/>
      <w:r w:rsidR="00907623">
        <w:rPr>
          <w:sz w:val="24"/>
          <w:szCs w:val="24"/>
        </w:rPr>
        <w:t xml:space="preserve"> definisala niz mjera i aktivnosti koje će doprinijeti povećanju energetske efikasnosti, proizvodnji energije iz obnovljivih izvora </w:t>
      </w:r>
      <w:r w:rsidR="00042A5C">
        <w:rPr>
          <w:sz w:val="24"/>
          <w:szCs w:val="24"/>
        </w:rPr>
        <w:t xml:space="preserve"> uz očuvanje životne sredine što će direktno doprinijeti smanjenju emisija štetnih gasova .</w:t>
      </w:r>
    </w:p>
    <w:p w:rsidR="00CB3C8A" w:rsidRDefault="00CB3C8A">
      <w:pPr>
        <w:pStyle w:val="Standard"/>
        <w:spacing w:after="120"/>
        <w:jc w:val="both"/>
        <w:rPr>
          <w:sz w:val="24"/>
          <w:szCs w:val="24"/>
        </w:rPr>
      </w:pPr>
    </w:p>
    <w:p w:rsidR="002B14C7" w:rsidRDefault="002B14C7">
      <w:pPr>
        <w:pStyle w:val="Standard"/>
        <w:spacing w:after="120"/>
        <w:jc w:val="both"/>
        <w:rPr>
          <w:sz w:val="24"/>
          <w:szCs w:val="24"/>
        </w:rPr>
      </w:pPr>
    </w:p>
    <w:p w:rsidR="00DD7822" w:rsidRDefault="00B62CB9" w:rsidP="00F3685C">
      <w:pPr>
        <w:pStyle w:val="Standard"/>
        <w:jc w:val="center"/>
      </w:pPr>
      <w:r>
        <w:rPr>
          <w:b/>
          <w:sz w:val="24"/>
          <w:szCs w:val="24"/>
        </w:rPr>
        <w:t>LITERATURA</w:t>
      </w:r>
    </w:p>
    <w:p w:rsidR="00DD7822" w:rsidRDefault="00DD7822">
      <w:pPr>
        <w:pStyle w:val="Standard"/>
        <w:jc w:val="center"/>
        <w:rPr>
          <w:b/>
          <w:sz w:val="24"/>
          <w:szCs w:val="24"/>
        </w:rPr>
      </w:pPr>
    </w:p>
    <w:p w:rsidR="00DD7822" w:rsidRPr="00F86BFF" w:rsidRDefault="00F3685C" w:rsidP="000E1149">
      <w:pPr>
        <w:ind w:left="357" w:hanging="357"/>
        <w:rPr>
          <w:rFonts w:ascii="Times New Roman" w:hAnsi="Times New Roman" w:cs="Times New Roman"/>
          <w:sz w:val="24"/>
          <w:szCs w:val="24"/>
        </w:rPr>
      </w:pPr>
      <w:r w:rsidRPr="00F86BFF">
        <w:rPr>
          <w:rFonts w:ascii="Times New Roman" w:hAnsi="Times New Roman" w:cs="Times New Roman"/>
          <w:sz w:val="24"/>
          <w:szCs w:val="24"/>
        </w:rPr>
        <w:t>1.</w:t>
      </w:r>
      <w:r w:rsidR="000E1149" w:rsidRPr="00F86BFF">
        <w:rPr>
          <w:rFonts w:ascii="Times New Roman" w:hAnsi="Times New Roman" w:cs="Times New Roman"/>
          <w:color w:val="FFFFFF" w:themeColor="background1"/>
          <w:sz w:val="24"/>
          <w:szCs w:val="24"/>
        </w:rPr>
        <w:t>_</w:t>
      </w:r>
      <w:r w:rsidR="00B62CB9" w:rsidRPr="00F86BFF">
        <w:rPr>
          <w:rFonts w:ascii="Times New Roman" w:hAnsi="Times New Roman" w:cs="Times New Roman"/>
          <w:sz w:val="24"/>
          <w:szCs w:val="24"/>
        </w:rPr>
        <w:t>INC – Prvi nacionalni izvještaj Bosne i Hercegovine u skladu sa UN</w:t>
      </w:r>
      <w:r w:rsidRPr="00F86BFF">
        <w:rPr>
          <w:rFonts w:ascii="Times New Roman" w:hAnsi="Times New Roman" w:cs="Times New Roman"/>
          <w:sz w:val="24"/>
          <w:szCs w:val="24"/>
        </w:rPr>
        <w:t xml:space="preserve">FCCC, UNDP, Banja </w:t>
      </w:r>
      <w:r w:rsidR="000E1149" w:rsidRPr="00F86BF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86BFF">
        <w:rPr>
          <w:rFonts w:ascii="Times New Roman" w:hAnsi="Times New Roman" w:cs="Times New Roman"/>
          <w:sz w:val="24"/>
          <w:szCs w:val="24"/>
        </w:rPr>
        <w:t>Luka (2009) p</w:t>
      </w:r>
      <w:r w:rsidR="00B62CB9" w:rsidRPr="00F86BFF">
        <w:rPr>
          <w:rFonts w:ascii="Times New Roman" w:hAnsi="Times New Roman" w:cs="Times New Roman"/>
          <w:sz w:val="24"/>
          <w:szCs w:val="24"/>
        </w:rPr>
        <w:t>p</w:t>
      </w:r>
      <w:r w:rsidRPr="00F86BFF">
        <w:rPr>
          <w:rFonts w:ascii="Times New Roman" w:hAnsi="Times New Roman" w:cs="Times New Roman"/>
          <w:sz w:val="24"/>
          <w:szCs w:val="24"/>
        </w:rPr>
        <w:t>.</w:t>
      </w:r>
      <w:r w:rsidR="00B62CB9" w:rsidRPr="00F86BFF">
        <w:rPr>
          <w:rFonts w:ascii="Times New Roman" w:hAnsi="Times New Roman" w:cs="Times New Roman"/>
          <w:sz w:val="24"/>
          <w:szCs w:val="24"/>
        </w:rPr>
        <w:t xml:space="preserve"> 42-55.</w:t>
      </w:r>
    </w:p>
    <w:p w:rsidR="00DD7822" w:rsidRPr="00F86BFF" w:rsidRDefault="00E1618A">
      <w:pPr>
        <w:pStyle w:val="Standard"/>
        <w:spacing w:after="120"/>
        <w:ind w:left="357" w:hanging="357"/>
        <w:jc w:val="both"/>
        <w:rPr>
          <w:rFonts w:eastAsia="Calibri"/>
          <w:sz w:val="24"/>
          <w:szCs w:val="24"/>
        </w:rPr>
      </w:pPr>
      <w:r w:rsidRPr="00F86BFF">
        <w:rPr>
          <w:rFonts w:eastAsia="Calibri"/>
          <w:sz w:val="24"/>
          <w:szCs w:val="24"/>
        </w:rPr>
        <w:t>2.</w:t>
      </w:r>
      <w:r w:rsidR="000E1149" w:rsidRPr="00F86BFF">
        <w:rPr>
          <w:rFonts w:eastAsia="Calibri"/>
          <w:color w:val="FFFFFF" w:themeColor="background1"/>
          <w:sz w:val="24"/>
          <w:szCs w:val="24"/>
        </w:rPr>
        <w:t>_</w:t>
      </w:r>
      <w:r w:rsidR="00D566DF" w:rsidRPr="00F86BFF">
        <w:rPr>
          <w:rFonts w:eastAsia="Calibri"/>
          <w:sz w:val="24"/>
          <w:szCs w:val="24"/>
        </w:rPr>
        <w:t>S</w:t>
      </w:r>
      <w:r w:rsidR="00B62CB9" w:rsidRPr="00F86BFF">
        <w:rPr>
          <w:rFonts w:eastAsia="Calibri"/>
          <w:sz w:val="24"/>
          <w:szCs w:val="24"/>
        </w:rPr>
        <w:t xml:space="preserve">NC – Drugi nacionalni izvještaj Bosne i Hercegovine u skladu sa UNFCCC, UNDP, Banja Luka </w:t>
      </w:r>
      <w:r w:rsidRPr="00F86BFF">
        <w:rPr>
          <w:rFonts w:eastAsia="Calibri"/>
          <w:sz w:val="24"/>
          <w:szCs w:val="24"/>
        </w:rPr>
        <w:t>(2013)</w:t>
      </w:r>
      <w:r w:rsidR="003042B9" w:rsidRPr="00F86BFF">
        <w:rPr>
          <w:rFonts w:eastAsia="Calibri"/>
          <w:sz w:val="24"/>
          <w:szCs w:val="24"/>
        </w:rPr>
        <w:t>.</w:t>
      </w:r>
    </w:p>
    <w:p w:rsidR="00DD7822" w:rsidRPr="00F86BFF" w:rsidRDefault="000E1149" w:rsidP="00F3685C">
      <w:pPr>
        <w:pStyle w:val="Standard"/>
        <w:spacing w:after="120"/>
        <w:ind w:left="357" w:hanging="357"/>
        <w:jc w:val="both"/>
        <w:rPr>
          <w:rFonts w:eastAsia="Calibri"/>
          <w:sz w:val="24"/>
          <w:szCs w:val="24"/>
        </w:rPr>
      </w:pPr>
      <w:r w:rsidRPr="00F86BFF">
        <w:rPr>
          <w:rFonts w:eastAsia="Calibri"/>
          <w:sz w:val="24"/>
          <w:szCs w:val="24"/>
        </w:rPr>
        <w:t>3.</w:t>
      </w:r>
      <w:r w:rsidRPr="00F86BFF">
        <w:rPr>
          <w:rFonts w:eastAsia="Calibri"/>
          <w:color w:val="FFFFFF" w:themeColor="background1"/>
          <w:sz w:val="24"/>
          <w:szCs w:val="24"/>
        </w:rPr>
        <w:t>_</w:t>
      </w:r>
      <w:r w:rsidRPr="00F86BFF">
        <w:rPr>
          <w:rFonts w:eastAsia="Calibri"/>
          <w:sz w:val="24"/>
          <w:szCs w:val="24"/>
        </w:rPr>
        <w:t>Prvi d</w:t>
      </w:r>
      <w:r w:rsidR="00B62CB9" w:rsidRPr="00F86BFF">
        <w:rPr>
          <w:rFonts w:eastAsia="Calibri"/>
          <w:sz w:val="24"/>
          <w:szCs w:val="24"/>
        </w:rPr>
        <w:t>vogodišnji izvještaj Bosne i Hercegovine o emisiji gasova staklene bašte u skladu sa Okvirnom konvencijom UN o promjeni klime</w:t>
      </w:r>
      <w:r w:rsidRPr="00F86BFF">
        <w:rPr>
          <w:rFonts w:eastAsia="Calibri"/>
          <w:sz w:val="24"/>
          <w:szCs w:val="24"/>
        </w:rPr>
        <w:t>, UNDP, Banja Luka (2014)</w:t>
      </w:r>
      <w:r w:rsidR="003042B9" w:rsidRPr="00F86BFF">
        <w:rPr>
          <w:rFonts w:eastAsia="Calibri"/>
          <w:sz w:val="24"/>
          <w:szCs w:val="24"/>
        </w:rPr>
        <w:t>.</w:t>
      </w:r>
    </w:p>
    <w:p w:rsidR="00D566DF" w:rsidRPr="00F86BFF" w:rsidRDefault="00D566DF" w:rsidP="00F3685C">
      <w:pPr>
        <w:pStyle w:val="Standard"/>
        <w:spacing w:after="120"/>
        <w:ind w:left="357" w:hanging="357"/>
        <w:jc w:val="both"/>
        <w:rPr>
          <w:rFonts w:eastAsia="Calibri"/>
          <w:sz w:val="24"/>
          <w:szCs w:val="24"/>
        </w:rPr>
      </w:pPr>
      <w:r w:rsidRPr="00F86BFF">
        <w:rPr>
          <w:rFonts w:eastAsia="Calibri"/>
          <w:sz w:val="24"/>
          <w:szCs w:val="24"/>
        </w:rPr>
        <w:t>4.</w:t>
      </w:r>
      <w:r w:rsidRPr="00F86BFF">
        <w:rPr>
          <w:rFonts w:eastAsia="Calibri"/>
          <w:color w:val="FFFFFF" w:themeColor="background1"/>
          <w:sz w:val="24"/>
          <w:szCs w:val="24"/>
        </w:rPr>
        <w:t>_</w:t>
      </w:r>
      <w:r w:rsidRPr="00F86BFF">
        <w:rPr>
          <w:rFonts w:eastAsia="Calibri"/>
          <w:sz w:val="24"/>
          <w:szCs w:val="24"/>
        </w:rPr>
        <w:t>United Nations Framework Convention on Climate Change: Bosnia and Herzegovina Submits its Climate Action Plan Ahead of 2015 Paris Agreement (Online). Dostupno na: http://newsroom.unfccc.int/unfccc-newsroom/bosnia-and-herzegovina-submits-its-climate-action-plan-ahead-of-2015-paris-agreement/ (25.7.2016.)</w:t>
      </w:r>
    </w:p>
    <w:p w:rsidR="00E6426D" w:rsidRPr="00F86BFF" w:rsidRDefault="00E6426D" w:rsidP="00F3685C">
      <w:pPr>
        <w:pStyle w:val="Standard"/>
        <w:spacing w:after="120"/>
        <w:ind w:left="357" w:hanging="357"/>
        <w:jc w:val="both"/>
        <w:rPr>
          <w:rFonts w:eastAsia="Calibri"/>
          <w:sz w:val="24"/>
          <w:szCs w:val="24"/>
        </w:rPr>
      </w:pPr>
      <w:r w:rsidRPr="00F86BFF">
        <w:rPr>
          <w:rFonts w:eastAsia="Calibri"/>
          <w:sz w:val="24"/>
          <w:szCs w:val="24"/>
        </w:rPr>
        <w:t>5.</w:t>
      </w:r>
      <w:r w:rsidRPr="00F86BFF">
        <w:rPr>
          <w:rFonts w:eastAsia="Calibri"/>
          <w:color w:val="FFFFFF" w:themeColor="background1"/>
          <w:sz w:val="24"/>
          <w:szCs w:val="24"/>
        </w:rPr>
        <w:t>_</w:t>
      </w:r>
      <w:r w:rsidRPr="00F86BFF">
        <w:rPr>
          <w:rFonts w:eastAsia="Calibri"/>
          <w:sz w:val="24"/>
          <w:szCs w:val="24"/>
        </w:rPr>
        <w:t xml:space="preserve"> United Nations Framework Convention on Climate Change: NAMAs (Online). Dostupno na: http://www.unfccc.ba/en/site/pages/namas.php (25.7.2016.)</w:t>
      </w:r>
    </w:p>
    <w:p w:rsidR="00DD7822" w:rsidRPr="00F86BFF" w:rsidRDefault="00E6426D" w:rsidP="00F3685C">
      <w:pPr>
        <w:pStyle w:val="Standard"/>
        <w:spacing w:after="120"/>
        <w:ind w:left="357" w:hanging="357"/>
        <w:jc w:val="both"/>
        <w:rPr>
          <w:rFonts w:eastAsia="Calibri"/>
          <w:sz w:val="24"/>
          <w:szCs w:val="24"/>
        </w:rPr>
      </w:pPr>
      <w:r w:rsidRPr="00F86BFF">
        <w:rPr>
          <w:rFonts w:eastAsia="Calibri"/>
          <w:sz w:val="24"/>
          <w:szCs w:val="24"/>
        </w:rPr>
        <w:t>6.</w:t>
      </w:r>
      <w:r w:rsidRPr="00F86BFF">
        <w:rPr>
          <w:rFonts w:eastAsia="Calibri"/>
          <w:color w:val="FFFFFF" w:themeColor="background1"/>
          <w:sz w:val="24"/>
          <w:szCs w:val="24"/>
        </w:rPr>
        <w:t>_</w:t>
      </w:r>
      <w:r w:rsidRPr="00F86BFF">
        <w:rPr>
          <w:rFonts w:eastAsia="Calibri"/>
          <w:sz w:val="24"/>
          <w:szCs w:val="24"/>
        </w:rPr>
        <w:t xml:space="preserve"> </w:t>
      </w:r>
      <w:r w:rsidR="003042B9" w:rsidRPr="00F86BFF">
        <w:rPr>
          <w:rFonts w:eastAsia="Calibri"/>
          <w:sz w:val="24"/>
          <w:szCs w:val="24"/>
        </w:rPr>
        <w:t xml:space="preserve">Zakon o zaštiti vazduha (Službeni glasnik Republike Srpske, br. 124/11). </w:t>
      </w:r>
    </w:p>
    <w:p w:rsidR="00DD7822" w:rsidRPr="00F86BFF" w:rsidRDefault="0050114E">
      <w:pPr>
        <w:pStyle w:val="Standard"/>
        <w:spacing w:after="120"/>
        <w:ind w:left="357" w:hanging="357"/>
        <w:jc w:val="both"/>
        <w:rPr>
          <w:rFonts w:eastAsia="Calibri"/>
          <w:sz w:val="24"/>
          <w:szCs w:val="24"/>
        </w:rPr>
      </w:pPr>
      <w:r w:rsidRPr="00F86BFF">
        <w:rPr>
          <w:rFonts w:eastAsia="Calibri"/>
          <w:sz w:val="24"/>
          <w:szCs w:val="24"/>
        </w:rPr>
        <w:t>7.</w:t>
      </w:r>
      <w:r w:rsidRPr="00F86BFF">
        <w:rPr>
          <w:rFonts w:eastAsia="Calibri"/>
          <w:color w:val="FFFFFF" w:themeColor="background1"/>
          <w:sz w:val="24"/>
          <w:szCs w:val="24"/>
        </w:rPr>
        <w:t>_</w:t>
      </w:r>
      <w:r w:rsidR="00B62CB9" w:rsidRPr="00F86BFF">
        <w:rPr>
          <w:rFonts w:eastAsia="Calibri"/>
          <w:sz w:val="24"/>
          <w:szCs w:val="24"/>
        </w:rPr>
        <w:t>UNFCCC - Report of the Conference</w:t>
      </w:r>
      <w:r w:rsidR="00774761" w:rsidRPr="00F86BFF">
        <w:rPr>
          <w:rFonts w:eastAsia="Calibri"/>
          <w:sz w:val="24"/>
          <w:szCs w:val="24"/>
        </w:rPr>
        <w:t xml:space="preserve"> of the Parties on its fifth session, held at Bon from 25 October to 5</w:t>
      </w:r>
      <w:r w:rsidR="00B62CB9" w:rsidRPr="00F86BFF">
        <w:rPr>
          <w:rFonts w:eastAsia="Calibri"/>
          <w:sz w:val="24"/>
          <w:szCs w:val="24"/>
        </w:rPr>
        <w:t xml:space="preserve"> </w:t>
      </w:r>
      <w:r w:rsidR="00774761" w:rsidRPr="00F86BFF">
        <w:rPr>
          <w:rFonts w:eastAsia="Calibri"/>
          <w:sz w:val="24"/>
          <w:szCs w:val="24"/>
        </w:rPr>
        <w:t>November 1999.</w:t>
      </w:r>
    </w:p>
    <w:p w:rsidR="00774761" w:rsidRPr="00F86BFF" w:rsidRDefault="00774761" w:rsidP="00774761">
      <w:pPr>
        <w:pStyle w:val="Standard"/>
        <w:spacing w:after="120"/>
        <w:ind w:left="357" w:hanging="357"/>
        <w:jc w:val="both"/>
        <w:rPr>
          <w:rFonts w:eastAsia="Calibri"/>
          <w:sz w:val="24"/>
          <w:szCs w:val="24"/>
        </w:rPr>
      </w:pPr>
      <w:r w:rsidRPr="00F86BFF">
        <w:rPr>
          <w:rFonts w:eastAsia="Calibri"/>
          <w:sz w:val="24"/>
          <w:szCs w:val="24"/>
        </w:rPr>
        <w:t>8.</w:t>
      </w:r>
      <w:r w:rsidRPr="00F86BFF">
        <w:rPr>
          <w:rFonts w:eastAsia="Calibri"/>
          <w:color w:val="FFFFFF" w:themeColor="background1"/>
          <w:sz w:val="24"/>
          <w:szCs w:val="24"/>
        </w:rPr>
        <w:t>_</w:t>
      </w:r>
      <w:r w:rsidRPr="00F86BFF">
        <w:rPr>
          <w:rFonts w:eastAsia="Calibri"/>
          <w:sz w:val="24"/>
          <w:szCs w:val="24"/>
        </w:rPr>
        <w:t>UNFCCC - Report of the Conference of the Parties on its seventeenth session, held in Durban from 28 November to 11 December 2011.</w:t>
      </w:r>
    </w:p>
    <w:p w:rsidR="00AB3426" w:rsidRPr="00F86BFF" w:rsidRDefault="00762254" w:rsidP="00AB3426">
      <w:pPr>
        <w:pStyle w:val="Standard"/>
        <w:spacing w:after="120"/>
        <w:ind w:left="357" w:hanging="357"/>
        <w:jc w:val="both"/>
        <w:rPr>
          <w:rFonts w:eastAsia="Calibri"/>
          <w:sz w:val="24"/>
          <w:szCs w:val="24"/>
        </w:rPr>
      </w:pPr>
      <w:r w:rsidRPr="00F86BFF">
        <w:rPr>
          <w:rFonts w:eastAsia="Calibri"/>
          <w:sz w:val="24"/>
          <w:szCs w:val="24"/>
        </w:rPr>
        <w:t>9.</w:t>
      </w:r>
      <w:r w:rsidRPr="00F86BFF">
        <w:rPr>
          <w:rFonts w:eastAsia="Calibri"/>
          <w:color w:val="FFFFFF" w:themeColor="background1"/>
          <w:sz w:val="24"/>
          <w:szCs w:val="24"/>
        </w:rPr>
        <w:t>_</w:t>
      </w:r>
      <w:r w:rsidR="0062374C" w:rsidRPr="00F86BFF">
        <w:t xml:space="preserve"> </w:t>
      </w:r>
      <w:r w:rsidR="0062374C" w:rsidRPr="00F86BFF">
        <w:rPr>
          <w:sz w:val="24"/>
          <w:szCs w:val="24"/>
        </w:rPr>
        <w:t xml:space="preserve">IPCC - </w:t>
      </w:r>
      <w:r w:rsidR="0062374C" w:rsidRPr="00F86BFF">
        <w:rPr>
          <w:rFonts w:eastAsia="Calibri"/>
          <w:sz w:val="24"/>
          <w:szCs w:val="24"/>
        </w:rPr>
        <w:t>Revised 1996 IPCC Guidelines for National Greenhouse Gas Inventories</w:t>
      </w:r>
      <w:r w:rsidR="006B26C6" w:rsidRPr="00F86BFF">
        <w:rPr>
          <w:rFonts w:eastAsia="Calibri"/>
          <w:sz w:val="24"/>
          <w:szCs w:val="24"/>
        </w:rPr>
        <w:t>, 1996 Sep 11-13; Mexico City, Mexico.</w:t>
      </w:r>
    </w:p>
    <w:p w:rsidR="00AA461B" w:rsidRPr="00F86BFF" w:rsidRDefault="00AB3426" w:rsidP="00AA461B">
      <w:pPr>
        <w:pStyle w:val="Default"/>
        <w:jc w:val="both"/>
        <w:rPr>
          <w:rFonts w:ascii="Times New Roman" w:hAnsi="Times New Roman" w:cs="Times New Roman"/>
        </w:rPr>
      </w:pPr>
      <w:r w:rsidRPr="00F86BFF">
        <w:rPr>
          <w:rFonts w:ascii="Times New Roman" w:hAnsi="Times New Roman" w:cs="Times New Roman"/>
        </w:rPr>
        <w:t>10.</w:t>
      </w:r>
      <w:r w:rsidR="00B36B29" w:rsidRPr="00F86BFF">
        <w:rPr>
          <w:rFonts w:ascii="Times New Roman" w:hAnsi="Times New Roman" w:cs="Times New Roman"/>
          <w:color w:val="FFFFFF" w:themeColor="background1"/>
        </w:rPr>
        <w:t xml:space="preserve"> </w:t>
      </w:r>
      <w:r w:rsidR="00080CB4" w:rsidRPr="00F86BFF">
        <w:rPr>
          <w:rFonts w:ascii="Times New Roman" w:eastAsia="PalatinoLinotype-Roman" w:hAnsi="Times New Roman" w:cs="Times New Roman"/>
        </w:rPr>
        <w:t xml:space="preserve">RZRS: Statistička baza podataka. Dostupno na: www.rzs.rs.ba </w:t>
      </w:r>
      <w:r w:rsidR="00080CB4" w:rsidRPr="00F86BFF">
        <w:rPr>
          <w:rFonts w:ascii="Times New Roman" w:hAnsi="Times New Roman" w:cs="Times New Roman"/>
        </w:rPr>
        <w:t>(25.7.2016.)</w:t>
      </w:r>
    </w:p>
    <w:p w:rsidR="00080CB4" w:rsidRPr="00F86BFF" w:rsidRDefault="00080CB4" w:rsidP="00080CB4">
      <w:pPr>
        <w:pStyle w:val="Default"/>
        <w:jc w:val="both"/>
        <w:rPr>
          <w:rFonts w:ascii="Times New Roman" w:hAnsi="Times New Roman" w:cs="Times New Roman"/>
        </w:rPr>
      </w:pPr>
    </w:p>
    <w:p w:rsidR="00080CB4" w:rsidRPr="00F86BFF" w:rsidRDefault="00AB3426" w:rsidP="00080CB4">
      <w:pPr>
        <w:pStyle w:val="Default"/>
        <w:jc w:val="both"/>
        <w:rPr>
          <w:rFonts w:ascii="Times New Roman" w:hAnsi="Times New Roman" w:cs="Times New Roman"/>
        </w:rPr>
      </w:pPr>
      <w:r w:rsidRPr="00F86BFF">
        <w:rPr>
          <w:rFonts w:ascii="Times New Roman" w:hAnsi="Times New Roman" w:cs="Times New Roman"/>
        </w:rPr>
        <w:t>11.</w:t>
      </w:r>
      <w:r w:rsidR="00B36B29" w:rsidRPr="00F86BFF">
        <w:rPr>
          <w:rFonts w:ascii="Times New Roman" w:hAnsi="Times New Roman" w:cs="Times New Roman"/>
          <w:color w:val="FFFFFF" w:themeColor="background1"/>
        </w:rPr>
        <w:t xml:space="preserve"> </w:t>
      </w:r>
      <w:r w:rsidR="00080CB4" w:rsidRPr="00F86BFF">
        <w:rPr>
          <w:rFonts w:ascii="Times New Roman" w:eastAsia="PalatinoLinotype-Roman" w:hAnsi="Times New Roman" w:cs="Times New Roman"/>
        </w:rPr>
        <w:t xml:space="preserve">FAOSTAT: Statistical Database. Dostupno na: </w:t>
      </w:r>
      <w:hyperlink r:id="rId13" w:history="1">
        <w:r w:rsidR="00080CB4" w:rsidRPr="00F86BFF">
          <w:rPr>
            <w:rFonts w:ascii="Times New Roman" w:eastAsia="PalatinoLinotype-Roman" w:hAnsi="Times New Roman" w:cs="Times New Roman"/>
          </w:rPr>
          <w:t>http://www.fao.org</w:t>
        </w:r>
      </w:hyperlink>
      <w:r w:rsidR="00080CB4" w:rsidRPr="00F86BFF">
        <w:rPr>
          <w:rFonts w:ascii="Times New Roman" w:hAnsi="Times New Roman" w:cs="Times New Roman"/>
        </w:rPr>
        <w:t xml:space="preserve"> (25.7.2016.)</w:t>
      </w:r>
    </w:p>
    <w:p w:rsidR="00080CB4" w:rsidRPr="00F86BFF" w:rsidRDefault="00080CB4" w:rsidP="00080CB4">
      <w:pPr>
        <w:pStyle w:val="Default"/>
        <w:jc w:val="both"/>
        <w:rPr>
          <w:rFonts w:ascii="Times New Roman" w:hAnsi="Times New Roman" w:cs="Times New Roman"/>
        </w:rPr>
      </w:pPr>
    </w:p>
    <w:p w:rsidR="00080CB4" w:rsidRPr="00F86BFF" w:rsidRDefault="00AB3426" w:rsidP="00080CB4">
      <w:pPr>
        <w:pStyle w:val="Default"/>
        <w:jc w:val="both"/>
        <w:rPr>
          <w:rFonts w:ascii="Times New Roman" w:hAnsi="Times New Roman" w:cs="Times New Roman"/>
        </w:rPr>
      </w:pPr>
      <w:r w:rsidRPr="00F86BFF">
        <w:rPr>
          <w:rFonts w:ascii="Times New Roman" w:hAnsi="Times New Roman" w:cs="Times New Roman"/>
        </w:rPr>
        <w:t>12.</w:t>
      </w:r>
      <w:r w:rsidR="00B36B29" w:rsidRPr="00F86BFF">
        <w:rPr>
          <w:rFonts w:ascii="Times New Roman" w:hAnsi="Times New Roman" w:cs="Times New Roman"/>
          <w:color w:val="FFFFFF" w:themeColor="background1"/>
        </w:rPr>
        <w:t xml:space="preserve"> </w:t>
      </w:r>
      <w:r w:rsidR="00080CB4" w:rsidRPr="00F86BFF">
        <w:rPr>
          <w:rFonts w:ascii="Times New Roman" w:hAnsi="Times New Roman" w:cs="Times New Roman"/>
        </w:rPr>
        <w:t>EIA: Database. Dostupno na: www.eia.gov (25.7.2016.)</w:t>
      </w:r>
    </w:p>
    <w:p w:rsidR="00080CB4" w:rsidRPr="00F86BFF" w:rsidRDefault="00080CB4" w:rsidP="00080CB4">
      <w:pPr>
        <w:pStyle w:val="Default"/>
        <w:jc w:val="both"/>
        <w:rPr>
          <w:rFonts w:ascii="Times New Roman" w:hAnsi="Times New Roman" w:cs="Times New Roman"/>
        </w:rPr>
      </w:pPr>
    </w:p>
    <w:p w:rsidR="00080CB4" w:rsidRPr="00F86BFF" w:rsidRDefault="00080CB4" w:rsidP="00080CB4">
      <w:pPr>
        <w:pStyle w:val="Default"/>
        <w:jc w:val="both"/>
        <w:rPr>
          <w:rFonts w:ascii="Times New Roman" w:hAnsi="Times New Roman" w:cs="Times New Roman"/>
        </w:rPr>
      </w:pPr>
      <w:r w:rsidRPr="00F86BFF">
        <w:rPr>
          <w:rFonts w:ascii="Times New Roman" w:hAnsi="Times New Roman" w:cs="Times New Roman"/>
        </w:rPr>
        <w:t>13.</w:t>
      </w:r>
      <w:r w:rsidRPr="00F86BFF">
        <w:rPr>
          <w:rFonts w:ascii="Times New Roman" w:hAnsi="Times New Roman" w:cs="Times New Roman"/>
          <w:color w:val="FFFFFF" w:themeColor="background1"/>
        </w:rPr>
        <w:t xml:space="preserve"> </w:t>
      </w:r>
      <w:r w:rsidRPr="00F86BFF">
        <w:rPr>
          <w:rFonts w:ascii="Times New Roman" w:hAnsi="Times New Roman" w:cs="Times New Roman"/>
        </w:rPr>
        <w:t xml:space="preserve">EUROSTAT: Statistical Database. Dostupno </w:t>
      </w:r>
      <w:proofErr w:type="gramStart"/>
      <w:r w:rsidRPr="00F86BFF">
        <w:rPr>
          <w:rFonts w:ascii="Times New Roman" w:hAnsi="Times New Roman" w:cs="Times New Roman"/>
        </w:rPr>
        <w:t>na</w:t>
      </w:r>
      <w:proofErr w:type="gramEnd"/>
      <w:r w:rsidRPr="00F86BFF">
        <w:rPr>
          <w:rFonts w:ascii="Times New Roman" w:hAnsi="Times New Roman" w:cs="Times New Roman"/>
        </w:rPr>
        <w:t>: ec.europa.eu/eurostat (25.7.2016.)</w:t>
      </w:r>
    </w:p>
    <w:p w:rsidR="00C746ED" w:rsidRPr="00F86BFF" w:rsidRDefault="00C746ED" w:rsidP="00080CB4">
      <w:pPr>
        <w:pStyle w:val="Default"/>
        <w:jc w:val="both"/>
        <w:rPr>
          <w:rFonts w:ascii="Times New Roman" w:hAnsi="Times New Roman" w:cs="Times New Roman"/>
          <w:lang w:val="sr-Cyrl-CS"/>
        </w:rPr>
      </w:pPr>
    </w:p>
    <w:p w:rsidR="00542A59" w:rsidRPr="00F86BFF" w:rsidRDefault="00542A59" w:rsidP="00080CB4">
      <w:pPr>
        <w:pStyle w:val="Default"/>
        <w:jc w:val="both"/>
        <w:rPr>
          <w:rFonts w:ascii="Times New Roman" w:hAnsi="Times New Roman" w:cs="Times New Roman"/>
          <w:lang w:val="sr-Latn-BA"/>
        </w:rPr>
      </w:pPr>
      <w:r w:rsidRPr="00F86BFF">
        <w:rPr>
          <w:rFonts w:ascii="Times New Roman" w:hAnsi="Times New Roman" w:cs="Times New Roman"/>
          <w:lang w:val="sr-Cyrl-CS"/>
        </w:rPr>
        <w:t xml:space="preserve">14. </w:t>
      </w:r>
      <w:r w:rsidRPr="00F86BFF">
        <w:rPr>
          <w:rFonts w:ascii="Times New Roman" w:hAnsi="Times New Roman" w:cs="Times New Roman"/>
          <w:lang w:val="sr-Latn-BA"/>
        </w:rPr>
        <w:t>Studija energetskog sektora u BiH, Modul 13</w:t>
      </w:r>
      <w:r w:rsidR="00C746ED" w:rsidRPr="00F86BFF">
        <w:rPr>
          <w:rFonts w:ascii="Times New Roman" w:hAnsi="Times New Roman" w:cs="Times New Roman"/>
          <w:lang w:val="sr-Latn-BA"/>
        </w:rPr>
        <w:t>,</w:t>
      </w:r>
      <w:r w:rsidRPr="00F86BFF">
        <w:rPr>
          <w:rFonts w:ascii="Times New Roman" w:hAnsi="Times New Roman" w:cs="Times New Roman"/>
          <w:lang w:val="sr-Latn-BA"/>
        </w:rPr>
        <w:t xml:space="preserve"> </w:t>
      </w:r>
      <w:r w:rsidR="00C746ED" w:rsidRPr="00F86BFF">
        <w:rPr>
          <w:rFonts w:ascii="Times New Roman" w:hAnsi="Times New Roman" w:cs="Times New Roman"/>
          <w:lang w:val="sr-Latn-BA"/>
        </w:rPr>
        <w:t>Okoliš</w:t>
      </w:r>
      <w:r w:rsidRPr="00F86BFF">
        <w:rPr>
          <w:rFonts w:ascii="Times New Roman" w:hAnsi="Times New Roman" w:cs="Times New Roman"/>
          <w:lang w:val="sr-Latn-BA"/>
        </w:rPr>
        <w:t>,</w:t>
      </w:r>
      <w:r w:rsidR="00C746ED" w:rsidRPr="00F86BFF">
        <w:rPr>
          <w:rFonts w:ascii="Times New Roman" w:hAnsi="Times New Roman" w:cs="Times New Roman"/>
          <w:lang w:val="sr-Latn-BA"/>
        </w:rPr>
        <w:t xml:space="preserve"> </w:t>
      </w:r>
      <w:r w:rsidRPr="00F86BFF">
        <w:rPr>
          <w:rFonts w:ascii="Times New Roman" w:hAnsi="Times New Roman" w:cs="Times New Roman"/>
          <w:lang w:val="sr-Latn-BA"/>
        </w:rPr>
        <w:t>2008</w:t>
      </w:r>
      <w:r w:rsidR="00C746ED" w:rsidRPr="00F86BFF">
        <w:rPr>
          <w:rFonts w:ascii="Times New Roman" w:hAnsi="Times New Roman" w:cs="Times New Roman"/>
          <w:lang w:val="sr-Latn-BA"/>
        </w:rPr>
        <w:t>.</w:t>
      </w:r>
    </w:p>
    <w:p w:rsidR="00C746ED" w:rsidRPr="00F86BFF" w:rsidRDefault="00C746ED" w:rsidP="00080CB4">
      <w:pPr>
        <w:pStyle w:val="Default"/>
        <w:jc w:val="both"/>
        <w:rPr>
          <w:rFonts w:ascii="Times New Roman" w:hAnsi="Times New Roman" w:cs="Times New Roman"/>
          <w:lang w:val="sr-Latn-BA"/>
        </w:rPr>
      </w:pPr>
    </w:p>
    <w:p w:rsidR="00C746ED" w:rsidRPr="00F86BFF" w:rsidRDefault="00C746ED" w:rsidP="00C746ED">
      <w:pPr>
        <w:pStyle w:val="Default"/>
        <w:jc w:val="both"/>
        <w:rPr>
          <w:rFonts w:ascii="Times New Roman" w:hAnsi="Times New Roman" w:cs="Times New Roman"/>
        </w:rPr>
      </w:pPr>
      <w:r w:rsidRPr="00F86BFF">
        <w:rPr>
          <w:rFonts w:ascii="Times New Roman" w:hAnsi="Times New Roman" w:cs="Times New Roman"/>
        </w:rPr>
        <w:t xml:space="preserve">15. Bilans električne energije, Godišnje soapštenje, 2014. Statistika eneregetike, Republički           </w:t>
      </w:r>
    </w:p>
    <w:p w:rsidR="00C746ED" w:rsidRPr="00F86BFF" w:rsidRDefault="00C746ED" w:rsidP="00C746ED">
      <w:pPr>
        <w:pStyle w:val="Default"/>
        <w:jc w:val="both"/>
        <w:rPr>
          <w:rFonts w:ascii="Times New Roman" w:hAnsi="Times New Roman" w:cs="Times New Roman"/>
        </w:rPr>
      </w:pPr>
      <w:r w:rsidRPr="00F86BFF">
        <w:rPr>
          <w:rFonts w:ascii="Times New Roman" w:hAnsi="Times New Roman" w:cs="Times New Roman"/>
        </w:rPr>
        <w:t xml:space="preserve">       </w:t>
      </w:r>
      <w:proofErr w:type="gramStart"/>
      <w:r w:rsidRPr="00F86BFF">
        <w:rPr>
          <w:rFonts w:ascii="Times New Roman" w:hAnsi="Times New Roman" w:cs="Times New Roman"/>
        </w:rPr>
        <w:t>zavod</w:t>
      </w:r>
      <w:proofErr w:type="gramEnd"/>
      <w:r w:rsidRPr="00F86BFF">
        <w:rPr>
          <w:rFonts w:ascii="Times New Roman" w:hAnsi="Times New Roman" w:cs="Times New Roman"/>
        </w:rPr>
        <w:t xml:space="preserve"> za statistiku Republike Srpske</w:t>
      </w:r>
    </w:p>
    <w:p w:rsidR="00DD7822" w:rsidRDefault="00DD7822">
      <w:pPr>
        <w:pStyle w:val="Default"/>
        <w:jc w:val="both"/>
        <w:rPr>
          <w:rFonts w:ascii="Times New Roman" w:hAnsi="Times New Roman" w:cs="Times New Roman"/>
        </w:rPr>
      </w:pPr>
    </w:p>
    <w:p w:rsidR="00DD7822" w:rsidRDefault="00DD7822">
      <w:pPr>
        <w:pStyle w:val="Standard"/>
        <w:spacing w:before="280" w:after="280"/>
        <w:jc w:val="both"/>
        <w:rPr>
          <w:sz w:val="24"/>
          <w:szCs w:val="24"/>
        </w:rPr>
      </w:pPr>
    </w:p>
    <w:p w:rsidR="00DD7822" w:rsidRDefault="00DD7822">
      <w:pPr>
        <w:pStyle w:val="Standard"/>
      </w:pPr>
    </w:p>
    <w:sectPr w:rsidR="00DD7822" w:rsidSect="00DD7822">
      <w:headerReference w:type="default" r:id="rId14"/>
      <w:endnotePr>
        <w:numFmt w:val="decimal"/>
      </w:endnotePr>
      <w:pgSz w:w="11906" w:h="16838"/>
      <w:pgMar w:top="1440" w:right="1440" w:bottom="1440" w:left="1440" w:header="28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B97" w:rsidRDefault="00077B97" w:rsidP="00DD7822">
      <w:pPr>
        <w:spacing w:after="0" w:line="240" w:lineRule="auto"/>
      </w:pPr>
      <w:r>
        <w:separator/>
      </w:r>
    </w:p>
  </w:endnote>
  <w:endnote w:type="continuationSeparator" w:id="0">
    <w:p w:rsidR="00077B97" w:rsidRDefault="00077B97" w:rsidP="00DD7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AR PL SungtiL GB">
    <w:charset w:val="00"/>
    <w:family w:val="auto"/>
    <w:pitch w:val="variable"/>
  </w:font>
  <w:font w:name="FreeSans">
    <w:charset w:val="00"/>
    <w:family w:val="swiss"/>
    <w:pitch w:val="default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B97" w:rsidRDefault="00077B97" w:rsidP="00DD7822">
      <w:pPr>
        <w:spacing w:after="0" w:line="240" w:lineRule="auto"/>
      </w:pPr>
      <w:r w:rsidRPr="00DD7822">
        <w:rPr>
          <w:color w:val="000000"/>
        </w:rPr>
        <w:separator/>
      </w:r>
    </w:p>
  </w:footnote>
  <w:footnote w:type="continuationSeparator" w:id="0">
    <w:p w:rsidR="00077B97" w:rsidRDefault="00077B97" w:rsidP="00DD7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8FA" w:rsidRDefault="00AB28FA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</w:pPr>
    <w:r>
      <w:rPr>
        <w:b/>
        <w:sz w:val="18"/>
        <w:szCs w:val="18"/>
      </w:rPr>
      <w:t>XI SAVJETOVANJE HEMIČARA, TEHNOLOGA I EKOLOGA REPUBLIKE SRPSKE</w:t>
    </w:r>
  </w:p>
  <w:p w:rsidR="00AB28FA" w:rsidRDefault="00AB28FA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</w:pPr>
    <w:r>
      <w:rPr>
        <w:b/>
        <w:color w:val="FF0000"/>
        <w:sz w:val="18"/>
        <w:szCs w:val="18"/>
      </w:rPr>
      <w:t xml:space="preserve">XI Conference </w:t>
    </w:r>
    <w:proofErr w:type="gramStart"/>
    <w:r>
      <w:rPr>
        <w:b/>
        <w:color w:val="FF0000"/>
        <w:sz w:val="18"/>
        <w:szCs w:val="18"/>
      </w:rPr>
      <w:t>of  Chemists</w:t>
    </w:r>
    <w:proofErr w:type="gramEnd"/>
    <w:r>
      <w:rPr>
        <w:b/>
        <w:color w:val="FF0000"/>
        <w:sz w:val="18"/>
        <w:szCs w:val="18"/>
      </w:rPr>
      <w:t>, Technologists and Environmentalists of Republic of Srpska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3792B"/>
    <w:multiLevelType w:val="multilevel"/>
    <w:tmpl w:val="92D2EE70"/>
    <w:styleLink w:val="WW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7D4231A2"/>
    <w:multiLevelType w:val="multilevel"/>
    <w:tmpl w:val="9C48E7EE"/>
    <w:styleLink w:val="WWNum2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7E6F4836"/>
    <w:multiLevelType w:val="multilevel"/>
    <w:tmpl w:val="F4DC6734"/>
    <w:styleLink w:val="NoList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grammar="clean"/>
  <w:defaultTabStop w:val="720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DD7822"/>
    <w:rsid w:val="00006889"/>
    <w:rsid w:val="00041E57"/>
    <w:rsid w:val="00042A5C"/>
    <w:rsid w:val="00077B97"/>
    <w:rsid w:val="00080CB4"/>
    <w:rsid w:val="0009050B"/>
    <w:rsid w:val="000A2E1E"/>
    <w:rsid w:val="000E1149"/>
    <w:rsid w:val="000F3657"/>
    <w:rsid w:val="001061AC"/>
    <w:rsid w:val="00155B71"/>
    <w:rsid w:val="00156C02"/>
    <w:rsid w:val="001A66B6"/>
    <w:rsid w:val="001E7D5E"/>
    <w:rsid w:val="002433AC"/>
    <w:rsid w:val="00253FD1"/>
    <w:rsid w:val="002564AA"/>
    <w:rsid w:val="002A64F6"/>
    <w:rsid w:val="002B14C7"/>
    <w:rsid w:val="002D6A0C"/>
    <w:rsid w:val="003042B9"/>
    <w:rsid w:val="00314459"/>
    <w:rsid w:val="003340CD"/>
    <w:rsid w:val="0033630A"/>
    <w:rsid w:val="00383C22"/>
    <w:rsid w:val="003911FE"/>
    <w:rsid w:val="003F29B2"/>
    <w:rsid w:val="004128B9"/>
    <w:rsid w:val="0042015E"/>
    <w:rsid w:val="00434E23"/>
    <w:rsid w:val="00486BD0"/>
    <w:rsid w:val="004F12FC"/>
    <w:rsid w:val="0050114E"/>
    <w:rsid w:val="00510E89"/>
    <w:rsid w:val="00542A59"/>
    <w:rsid w:val="005B64E0"/>
    <w:rsid w:val="00612520"/>
    <w:rsid w:val="0062374C"/>
    <w:rsid w:val="00630BA3"/>
    <w:rsid w:val="0063435C"/>
    <w:rsid w:val="006436A6"/>
    <w:rsid w:val="006500BE"/>
    <w:rsid w:val="006748CE"/>
    <w:rsid w:val="006B26C6"/>
    <w:rsid w:val="006E6D43"/>
    <w:rsid w:val="00725285"/>
    <w:rsid w:val="00745E39"/>
    <w:rsid w:val="00760AE5"/>
    <w:rsid w:val="00762254"/>
    <w:rsid w:val="00774761"/>
    <w:rsid w:val="007759EE"/>
    <w:rsid w:val="007A78EC"/>
    <w:rsid w:val="007D05FE"/>
    <w:rsid w:val="0083042B"/>
    <w:rsid w:val="00833C71"/>
    <w:rsid w:val="0084025A"/>
    <w:rsid w:val="008A10A7"/>
    <w:rsid w:val="008A70E7"/>
    <w:rsid w:val="008B1784"/>
    <w:rsid w:val="008F50B2"/>
    <w:rsid w:val="00907623"/>
    <w:rsid w:val="009631EE"/>
    <w:rsid w:val="00973373"/>
    <w:rsid w:val="009D1C3A"/>
    <w:rsid w:val="009D45D9"/>
    <w:rsid w:val="00A833D2"/>
    <w:rsid w:val="00AA461B"/>
    <w:rsid w:val="00AB28FA"/>
    <w:rsid w:val="00AB3426"/>
    <w:rsid w:val="00AE78BC"/>
    <w:rsid w:val="00B33AD3"/>
    <w:rsid w:val="00B36B29"/>
    <w:rsid w:val="00B62CB9"/>
    <w:rsid w:val="00B63A19"/>
    <w:rsid w:val="00B96540"/>
    <w:rsid w:val="00BC3612"/>
    <w:rsid w:val="00C062E8"/>
    <w:rsid w:val="00C173C8"/>
    <w:rsid w:val="00C73D7B"/>
    <w:rsid w:val="00C746ED"/>
    <w:rsid w:val="00C919E6"/>
    <w:rsid w:val="00CA359B"/>
    <w:rsid w:val="00CB0E68"/>
    <w:rsid w:val="00CB3C8A"/>
    <w:rsid w:val="00D33963"/>
    <w:rsid w:val="00D566DF"/>
    <w:rsid w:val="00D57B87"/>
    <w:rsid w:val="00DB1ABE"/>
    <w:rsid w:val="00DD7822"/>
    <w:rsid w:val="00E1618A"/>
    <w:rsid w:val="00E50FAA"/>
    <w:rsid w:val="00E6426D"/>
    <w:rsid w:val="00E702E7"/>
    <w:rsid w:val="00E837A5"/>
    <w:rsid w:val="00E8382C"/>
    <w:rsid w:val="00EA4338"/>
    <w:rsid w:val="00EF5CFE"/>
    <w:rsid w:val="00EF67C3"/>
    <w:rsid w:val="00F12DA5"/>
    <w:rsid w:val="00F3685C"/>
    <w:rsid w:val="00F37061"/>
    <w:rsid w:val="00F8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E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DD78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">
    <w:name w:val="Heading"/>
    <w:basedOn w:val="Standard"/>
    <w:next w:val="Textbody"/>
    <w:rsid w:val="00DD7822"/>
    <w:pPr>
      <w:keepNext/>
      <w:spacing w:before="240" w:after="120"/>
    </w:pPr>
    <w:rPr>
      <w:rFonts w:ascii="Liberation Sans" w:eastAsia="AR PL SungtiL GB" w:hAnsi="Liberation Sans" w:cs="FreeSans"/>
      <w:sz w:val="28"/>
      <w:szCs w:val="28"/>
    </w:rPr>
  </w:style>
  <w:style w:type="paragraph" w:customStyle="1" w:styleId="Textbody">
    <w:name w:val="Text body"/>
    <w:basedOn w:val="Standard"/>
    <w:rsid w:val="00DD7822"/>
    <w:pPr>
      <w:spacing w:after="140" w:line="288" w:lineRule="auto"/>
    </w:pPr>
  </w:style>
  <w:style w:type="paragraph" w:styleId="List">
    <w:name w:val="List"/>
    <w:basedOn w:val="Textbody"/>
    <w:rsid w:val="00DD7822"/>
    <w:rPr>
      <w:rFonts w:cs="FreeSans"/>
      <w:sz w:val="24"/>
    </w:rPr>
  </w:style>
  <w:style w:type="paragraph" w:styleId="Caption">
    <w:name w:val="caption"/>
    <w:basedOn w:val="Standard"/>
    <w:rsid w:val="00DD7822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Standard"/>
    <w:rsid w:val="00DD7822"/>
    <w:pPr>
      <w:suppressLineNumbers/>
    </w:pPr>
    <w:rPr>
      <w:rFonts w:cs="FreeSans"/>
      <w:sz w:val="24"/>
    </w:rPr>
  </w:style>
  <w:style w:type="paragraph" w:customStyle="1" w:styleId="References">
    <w:name w:val="References"/>
    <w:basedOn w:val="Standard"/>
    <w:rsid w:val="00DD7822"/>
    <w:pPr>
      <w:widowControl/>
      <w:tabs>
        <w:tab w:val="left" w:pos="576"/>
      </w:tabs>
      <w:ind w:left="288" w:hanging="288"/>
      <w:jc w:val="both"/>
    </w:pPr>
    <w:rPr>
      <w:rFonts w:ascii="Times" w:hAnsi="Times"/>
      <w:color w:val="000000"/>
      <w:lang w:val="fr-FR"/>
    </w:rPr>
  </w:style>
  <w:style w:type="paragraph" w:customStyle="1" w:styleId="TextNormal">
    <w:name w:val="Text_Normal"/>
    <w:basedOn w:val="Standard"/>
    <w:rsid w:val="00DD7822"/>
    <w:pPr>
      <w:widowControl/>
      <w:jc w:val="both"/>
    </w:pPr>
    <w:rPr>
      <w:rFonts w:ascii="Times" w:hAnsi="Times"/>
      <w:lang w:val="fr-FR"/>
    </w:rPr>
  </w:style>
  <w:style w:type="paragraph" w:styleId="Header">
    <w:name w:val="header"/>
    <w:basedOn w:val="Standard"/>
    <w:rsid w:val="00DD7822"/>
    <w:pPr>
      <w:tabs>
        <w:tab w:val="center" w:pos="4680"/>
        <w:tab w:val="right" w:pos="9360"/>
      </w:tabs>
    </w:pPr>
  </w:style>
  <w:style w:type="paragraph" w:styleId="BalloonText">
    <w:name w:val="Balloon Text"/>
    <w:basedOn w:val="Standard"/>
    <w:rsid w:val="00DD782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D7822"/>
    <w:pPr>
      <w:widowControl/>
      <w:spacing w:after="0" w:line="240" w:lineRule="auto"/>
    </w:pPr>
    <w:rPr>
      <w:rFonts w:ascii="Helvetica 45 Light" w:hAnsi="Helvetica 45 Light" w:cs="Helvetica 45 Light"/>
      <w:color w:val="000000"/>
      <w:sz w:val="24"/>
      <w:szCs w:val="24"/>
    </w:rPr>
  </w:style>
  <w:style w:type="paragraph" w:styleId="NoSpacing">
    <w:name w:val="No Spacing"/>
    <w:rsid w:val="00DD7822"/>
    <w:pPr>
      <w:widowControl/>
      <w:spacing w:after="0" w:line="240" w:lineRule="auto"/>
      <w:jc w:val="both"/>
    </w:pPr>
    <w:rPr>
      <w:rFonts w:ascii="Times New Roman" w:hAnsi="Times New Roman" w:cs="Times New Roman"/>
      <w:sz w:val="24"/>
      <w:lang w:val="en-GB"/>
    </w:rPr>
  </w:style>
  <w:style w:type="paragraph" w:customStyle="1" w:styleId="Arial10">
    <w:name w:val="Arial 10"/>
    <w:basedOn w:val="Standard"/>
    <w:rsid w:val="00DD7822"/>
    <w:pPr>
      <w:widowControl/>
      <w:jc w:val="both"/>
    </w:pPr>
    <w:rPr>
      <w:rFonts w:ascii="Arial" w:hAnsi="Arial" w:cs="Arial"/>
    </w:rPr>
  </w:style>
  <w:style w:type="paragraph" w:customStyle="1" w:styleId="Framecontents">
    <w:name w:val="Frame contents"/>
    <w:basedOn w:val="Standard"/>
    <w:rsid w:val="00DD7822"/>
  </w:style>
  <w:style w:type="character" w:customStyle="1" w:styleId="HeaderChar">
    <w:name w:val="Header Char"/>
    <w:basedOn w:val="DefaultParagraphFont"/>
    <w:rsid w:val="00DD7822"/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link">
    <w:name w:val="Internet link"/>
    <w:basedOn w:val="DefaultParagraphFont"/>
    <w:rsid w:val="00DD7822"/>
    <w:rPr>
      <w:color w:val="0000FF"/>
      <w:u w:val="single"/>
    </w:rPr>
  </w:style>
  <w:style w:type="character" w:customStyle="1" w:styleId="FontStyle18">
    <w:name w:val="Font Style18"/>
    <w:basedOn w:val="DefaultParagraphFont"/>
    <w:rsid w:val="00DD7822"/>
    <w:rPr>
      <w:rFonts w:ascii="Calibri" w:hAnsi="Calibri" w:cs="Calibri"/>
      <w:sz w:val="16"/>
      <w:szCs w:val="16"/>
    </w:rPr>
  </w:style>
  <w:style w:type="character" w:customStyle="1" w:styleId="BalloonTextChar">
    <w:name w:val="Balloon Text Char"/>
    <w:basedOn w:val="DefaultParagraphFont"/>
    <w:rsid w:val="00DD7822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rsid w:val="00DD7822"/>
    <w:rPr>
      <w:rFonts w:cs="Courier New"/>
    </w:rPr>
  </w:style>
  <w:style w:type="character" w:customStyle="1" w:styleId="FootnoteSymbol">
    <w:name w:val="Footnote Symbol"/>
    <w:rsid w:val="00DD7822"/>
  </w:style>
  <w:style w:type="character" w:customStyle="1" w:styleId="EndnoteSymbol">
    <w:name w:val="Endnote Symbol"/>
    <w:rsid w:val="00DD7822"/>
  </w:style>
  <w:style w:type="numbering" w:customStyle="1" w:styleId="NoList1">
    <w:name w:val="No List_1"/>
    <w:basedOn w:val="NoList"/>
    <w:rsid w:val="00DD7822"/>
    <w:pPr>
      <w:numPr>
        <w:numId w:val="1"/>
      </w:numPr>
    </w:pPr>
  </w:style>
  <w:style w:type="numbering" w:customStyle="1" w:styleId="WWNum1">
    <w:name w:val="WWNum1"/>
    <w:basedOn w:val="NoList"/>
    <w:rsid w:val="00DD7822"/>
    <w:pPr>
      <w:numPr>
        <w:numId w:val="2"/>
      </w:numPr>
    </w:pPr>
  </w:style>
  <w:style w:type="numbering" w:customStyle="1" w:styleId="WWNum2">
    <w:name w:val="WWNum2"/>
    <w:basedOn w:val="NoList"/>
    <w:rsid w:val="00DD7822"/>
    <w:pPr>
      <w:numPr>
        <w:numId w:val="3"/>
      </w:numPr>
    </w:pPr>
  </w:style>
  <w:style w:type="character" w:styleId="Hyperlink">
    <w:name w:val="Hyperlink"/>
    <w:basedOn w:val="DefaultParagraphFont"/>
    <w:uiPriority w:val="99"/>
    <w:unhideWhenUsed/>
    <w:rsid w:val="00D566D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36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30BA3"/>
    <w:rPr>
      <w:color w:val="808080"/>
    </w:rPr>
  </w:style>
  <w:style w:type="table" w:customStyle="1" w:styleId="TableGrid8">
    <w:name w:val="Table Grid8"/>
    <w:basedOn w:val="TableNormal"/>
    <w:next w:val="TableGrid"/>
    <w:uiPriority w:val="59"/>
    <w:rsid w:val="00F37061"/>
    <w:pPr>
      <w:widowControl/>
      <w:suppressAutoHyphens w:val="0"/>
      <w:autoSpaceDN/>
      <w:spacing w:after="0" w:line="240" w:lineRule="auto"/>
      <w:textAlignment w:val="auto"/>
    </w:pPr>
    <w:rPr>
      <w:rFonts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andard">
    <w:name w:val="WWNum1"/>
    <w:pPr>
      <w:numPr>
        <w:numId w:val="2"/>
      </w:numPr>
    </w:pPr>
  </w:style>
  <w:style w:type="numbering" w:customStyle="1" w:styleId="Heading">
    <w:name w:val="WWNum2"/>
    <w:pPr>
      <w:numPr>
        <w:numId w:val="3"/>
      </w:numPr>
    </w:pPr>
  </w:style>
  <w:style w:type="numbering" w:customStyle="1" w:styleId="Textbody">
    <w:name w:val="NoList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ao.or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EKOLOGIJA\RADU&#352;KA%20CUPA&#262;\Konacni%20izvjestaji\FBUR%20RS\Godisnji%20izvjestaj%20RS%202015\racunanje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EKOLOGIJA\RADU&#352;KA%20CUPA&#262;\Konacni%20izvjestaji\FBUR%20RS\Godisnji%20izvjestaj%20RS%202015\racunanje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EKOLOGIJA\RADU&#352;KA%20CUPA&#262;\Konacni%20izvjestaji\FBUR%20RS\Godisnji%20izvjestaj%20RS%202015\racunanje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EKOLOGIJA\RADU&#352;KA%20CUPA&#262;\Konacni%20izvjestaji\FBUR%20RS\Godisnji%20izvjestaj%20RS%202015\racunanje%20(Autosaved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b="0"/>
            </a:pPr>
            <a:r>
              <a:rPr lang="sr-Latn-BA" sz="1050" b="0">
                <a:latin typeface="Times New Roman" pitchFamily="18" charset="0"/>
                <a:cs typeface="Times New Roman" pitchFamily="18" charset="0"/>
              </a:rPr>
              <a:t>Emisija</a:t>
            </a:r>
            <a:r>
              <a:rPr lang="sr-Latn-BA" sz="1050" b="0" baseline="0">
                <a:latin typeface="Times New Roman" pitchFamily="18" charset="0"/>
                <a:cs typeface="Times New Roman" pitchFamily="18" charset="0"/>
              </a:rPr>
              <a:t> </a:t>
            </a:r>
            <a:r>
              <a:rPr lang="en-US" sz="1050" b="0">
                <a:latin typeface="Times New Roman" pitchFamily="18" charset="0"/>
                <a:cs typeface="Times New Roman" pitchFamily="18" charset="0"/>
              </a:rPr>
              <a:t>CO</a:t>
            </a:r>
            <a:r>
              <a:rPr lang="en-US" sz="1050" b="0" baseline="-25000">
                <a:latin typeface="Times New Roman" pitchFamily="18" charset="0"/>
                <a:cs typeface="Times New Roman" pitchFamily="18" charset="0"/>
              </a:rPr>
              <a:t>2</a:t>
            </a:r>
            <a:r>
              <a:rPr lang="en-US" sz="1050" b="0">
                <a:latin typeface="Times New Roman" pitchFamily="18" charset="0"/>
                <a:cs typeface="Times New Roman" pitchFamily="18" charset="0"/>
              </a:rPr>
              <a:t>-eq </a:t>
            </a:r>
            <a:r>
              <a:rPr lang="sr-Latn-BA" sz="1000" b="0">
                <a:latin typeface="Times New Roman" pitchFamily="18" charset="0"/>
                <a:cs typeface="Times New Roman" pitchFamily="18" charset="0"/>
              </a:rPr>
              <a:t>u termoelektranama</a:t>
            </a:r>
            <a:r>
              <a:rPr lang="sr-Latn-BA" sz="1050" b="0">
                <a:latin typeface="Times New Roman" pitchFamily="18" charset="0"/>
                <a:cs typeface="Times New Roman" pitchFamily="18" charset="0"/>
              </a:rPr>
              <a:t> Republike Srpske</a:t>
            </a:r>
            <a:endParaRPr lang="sr-Cyrl-CS" sz="1050" b="0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6767836961556273"/>
          <c:y val="4.1994750656167971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'[termoelektrane (1).xlsx]Sheet1'!$W$70</c:f>
              <c:strCache>
                <c:ptCount val="1"/>
                <c:pt idx="0">
                  <c:v>TE Гацко</c:v>
                </c:pt>
              </c:strCache>
            </c:strRef>
          </c:tx>
          <c:spPr>
            <a:solidFill>
              <a:schemeClr val="bg1">
                <a:lumMod val="75000"/>
                <a:alpha val="89000"/>
              </a:schemeClr>
            </a:solidFill>
            <a:effectLst>
              <a:outerShdw blurRad="50800" dist="50800" dir="5400000" algn="ctr" rotWithShape="0">
                <a:schemeClr val="bg1">
                  <a:lumMod val="65000"/>
                </a:schemeClr>
              </a:outerShdw>
            </a:effectLst>
          </c:spPr>
          <c:invertIfNegative val="0"/>
          <c:cat>
            <c:numRef>
              <c:f>'[termoelektrane (1).xlsx]Sheet1'!$V$83:$V$95</c:f>
              <c:numCache>
                <c:formatCode>General</c:formatCode>
                <c:ptCount val="13"/>
                <c:pt idx="0">
                  <c:v>2002</c:v>
                </c:pt>
                <c:pt idx="1">
                  <c:v>2003</c:v>
                </c:pt>
                <c:pt idx="2">
                  <c:v>2004</c:v>
                </c:pt>
                <c:pt idx="3">
                  <c:v>2005</c:v>
                </c:pt>
                <c:pt idx="4">
                  <c:v>2006</c:v>
                </c:pt>
                <c:pt idx="5">
                  <c:v>2007</c:v>
                </c:pt>
                <c:pt idx="6">
                  <c:v>2008</c:v>
                </c:pt>
                <c:pt idx="7">
                  <c:v>2009</c:v>
                </c:pt>
                <c:pt idx="8">
                  <c:v>2010</c:v>
                </c:pt>
                <c:pt idx="9">
                  <c:v>2011</c:v>
                </c:pt>
                <c:pt idx="10">
                  <c:v>2012</c:v>
                </c:pt>
                <c:pt idx="11">
                  <c:v>2013</c:v>
                </c:pt>
                <c:pt idx="12">
                  <c:v>2014</c:v>
                </c:pt>
              </c:numCache>
            </c:numRef>
          </c:cat>
          <c:val>
            <c:numRef>
              <c:f>'[termoelektrane (1).xlsx]Sheet1'!$W$83:$W$95</c:f>
              <c:numCache>
                <c:formatCode>General</c:formatCode>
                <c:ptCount val="13"/>
                <c:pt idx="0">
                  <c:v>1080.5102782413624</c:v>
                </c:pt>
                <c:pt idx="1">
                  <c:v>1546.9612330213552</c:v>
                </c:pt>
                <c:pt idx="2">
                  <c:v>1471.3961406397452</c:v>
                </c:pt>
                <c:pt idx="3">
                  <c:v>1667.7871199321482</c:v>
                </c:pt>
                <c:pt idx="4">
                  <c:v>1628.6386572320421</c:v>
                </c:pt>
                <c:pt idx="5">
                  <c:v>1308.2319001766421</c:v>
                </c:pt>
                <c:pt idx="6">
                  <c:v>1717.9541933607761</c:v>
                </c:pt>
                <c:pt idx="7">
                  <c:v>1667.4100902545597</c:v>
                </c:pt>
                <c:pt idx="8">
                  <c:v>1696.4801927381545</c:v>
                </c:pt>
                <c:pt idx="9">
                  <c:v>1780.5878781745507</c:v>
                </c:pt>
                <c:pt idx="10">
                  <c:v>1647.0451321503986</c:v>
                </c:pt>
                <c:pt idx="11">
                  <c:v>2050.2955971665201</c:v>
                </c:pt>
                <c:pt idx="12">
                  <c:v>1749.577370060638</c:v>
                </c:pt>
              </c:numCache>
            </c:numRef>
          </c:val>
        </c:ser>
        <c:ser>
          <c:idx val="1"/>
          <c:order val="1"/>
          <c:tx>
            <c:strRef>
              <c:f>'[termoelektrane (1).xlsx]Sheet1'!$X$70</c:f>
              <c:strCache>
                <c:ptCount val="1"/>
                <c:pt idx="0">
                  <c:v>ТЕ Угљевик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</c:spPr>
          <c:invertIfNegative val="0"/>
          <c:cat>
            <c:numRef>
              <c:f>'[termoelektrane (1).xlsx]Sheet1'!$V$83:$V$95</c:f>
              <c:numCache>
                <c:formatCode>General</c:formatCode>
                <c:ptCount val="13"/>
                <c:pt idx="0">
                  <c:v>2002</c:v>
                </c:pt>
                <c:pt idx="1">
                  <c:v>2003</c:v>
                </c:pt>
                <c:pt idx="2">
                  <c:v>2004</c:v>
                </c:pt>
                <c:pt idx="3">
                  <c:v>2005</c:v>
                </c:pt>
                <c:pt idx="4">
                  <c:v>2006</c:v>
                </c:pt>
                <c:pt idx="5">
                  <c:v>2007</c:v>
                </c:pt>
                <c:pt idx="6">
                  <c:v>2008</c:v>
                </c:pt>
                <c:pt idx="7">
                  <c:v>2009</c:v>
                </c:pt>
                <c:pt idx="8">
                  <c:v>2010</c:v>
                </c:pt>
                <c:pt idx="9">
                  <c:v>2011</c:v>
                </c:pt>
                <c:pt idx="10">
                  <c:v>2012</c:v>
                </c:pt>
                <c:pt idx="11">
                  <c:v>2013</c:v>
                </c:pt>
                <c:pt idx="12">
                  <c:v>2014</c:v>
                </c:pt>
              </c:numCache>
            </c:numRef>
          </c:cat>
          <c:val>
            <c:numRef>
              <c:f>'[termoelektrane (1).xlsx]Sheet1'!$X$83:$X$95</c:f>
              <c:numCache>
                <c:formatCode>General</c:formatCode>
                <c:ptCount val="13"/>
                <c:pt idx="0">
                  <c:v>1286.9787740106751</c:v>
                </c:pt>
                <c:pt idx="1">
                  <c:v>1366.8207847267931</c:v>
                </c:pt>
                <c:pt idx="2">
                  <c:v>1194.328849446711</c:v>
                </c:pt>
                <c:pt idx="3">
                  <c:v>1109.3502198172478</c:v>
                </c:pt>
                <c:pt idx="4">
                  <c:v>1766.2311756977811</c:v>
                </c:pt>
                <c:pt idx="5">
                  <c:v>1746.2617112042635</c:v>
                </c:pt>
                <c:pt idx="6">
                  <c:v>1705.6080873535143</c:v>
                </c:pt>
                <c:pt idx="7">
                  <c:v>1811.4958865451949</c:v>
                </c:pt>
                <c:pt idx="8">
                  <c:v>1344.1317910613666</c:v>
                </c:pt>
                <c:pt idx="9">
                  <c:v>1983.283594081825</c:v>
                </c:pt>
                <c:pt idx="10">
                  <c:v>2022.1791424765267</c:v>
                </c:pt>
                <c:pt idx="11">
                  <c:v>1884.2901477681417</c:v>
                </c:pt>
                <c:pt idx="12">
                  <c:v>1879.3223896706552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2819968"/>
        <c:axId val="172821504"/>
      </c:barChart>
      <c:catAx>
        <c:axId val="172819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72821504"/>
        <c:crosses val="autoZero"/>
        <c:auto val="1"/>
        <c:lblAlgn val="ctr"/>
        <c:lblOffset val="100"/>
        <c:noMultiLvlLbl val="0"/>
      </c:catAx>
      <c:valAx>
        <c:axId val="17282150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en-US">
                    <a:latin typeface="Times New Roman" pitchFamily="18" charset="0"/>
                    <a:cs typeface="Times New Roman" pitchFamily="18" charset="0"/>
                  </a:rPr>
                  <a:t>Gg CO2-eq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2819968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/>
            </a:pPr>
            <a:r>
              <a:rPr lang="sr-Latn-BA" sz="1000" b="0">
                <a:latin typeface="Times New Roman" pitchFamily="18" charset="0"/>
                <a:cs typeface="Times New Roman" pitchFamily="18" charset="0"/>
              </a:rPr>
              <a:t>Emisija iz saobraćaja prema </a:t>
            </a:r>
            <a:r>
              <a:rPr lang="en-US" sz="1000" b="0">
                <a:latin typeface="Times New Roman" pitchFamily="18" charset="0"/>
                <a:cs typeface="Times New Roman" pitchFamily="18" charset="0"/>
              </a:rPr>
              <a:t>IPCC</a:t>
            </a:r>
            <a:r>
              <a:rPr lang="sr-Cyrl-CS" sz="1000" b="0">
                <a:latin typeface="Times New Roman" pitchFamily="18" charset="0"/>
                <a:cs typeface="Times New Roman" pitchFamily="18" charset="0"/>
              </a:rPr>
              <a:t>, </a:t>
            </a:r>
            <a:r>
              <a:rPr lang="en-US" sz="1000" b="0">
                <a:latin typeface="Times New Roman" pitchFamily="18" charset="0"/>
                <a:cs typeface="Times New Roman" pitchFamily="18" charset="0"/>
              </a:rPr>
              <a:t>Gg CO</a:t>
            </a:r>
            <a:r>
              <a:rPr lang="en-US" sz="1000" b="0" baseline="-25000">
                <a:latin typeface="Times New Roman" pitchFamily="18" charset="0"/>
                <a:cs typeface="Times New Roman" pitchFamily="18" charset="0"/>
              </a:rPr>
              <a:t>2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TNC!$U$155</c:f>
              <c:strCache>
                <c:ptCount val="1"/>
                <c:pt idx="0">
                  <c:v>Укупна емисија - саобраћај, Gg CO2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</c:spPr>
          <c:invertIfNegative val="0"/>
          <c:dPt>
            <c:idx val="8"/>
            <c:invertIfNegative val="0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</c:spPr>
          </c:dPt>
          <c:dPt>
            <c:idx val="9"/>
            <c:invertIfNegative val="0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</c:spPr>
          </c:dPt>
          <c:cat>
            <c:numRef>
              <c:f>TNC!$T$156:$T$168</c:f>
              <c:numCache>
                <c:formatCode>General</c:formatCode>
                <c:ptCount val="13"/>
                <c:pt idx="0">
                  <c:v>2002</c:v>
                </c:pt>
                <c:pt idx="1">
                  <c:v>2003</c:v>
                </c:pt>
                <c:pt idx="2">
                  <c:v>2004</c:v>
                </c:pt>
                <c:pt idx="3">
                  <c:v>2005</c:v>
                </c:pt>
                <c:pt idx="4">
                  <c:v>2006</c:v>
                </c:pt>
                <c:pt idx="5">
                  <c:v>2007</c:v>
                </c:pt>
                <c:pt idx="6">
                  <c:v>2008</c:v>
                </c:pt>
                <c:pt idx="7">
                  <c:v>2009</c:v>
                </c:pt>
                <c:pt idx="8">
                  <c:v>2010</c:v>
                </c:pt>
                <c:pt idx="9">
                  <c:v>2011</c:v>
                </c:pt>
                <c:pt idx="10">
                  <c:v>2012</c:v>
                </c:pt>
                <c:pt idx="11">
                  <c:v>2013</c:v>
                </c:pt>
                <c:pt idx="12">
                  <c:v>2014</c:v>
                </c:pt>
              </c:numCache>
            </c:numRef>
          </c:cat>
          <c:val>
            <c:numRef>
              <c:f>TNC!$U$156:$U$168</c:f>
              <c:numCache>
                <c:formatCode>0.00</c:formatCode>
                <c:ptCount val="13"/>
                <c:pt idx="0">
                  <c:v>568.47210973739993</c:v>
                </c:pt>
                <c:pt idx="1">
                  <c:v>695.35405678199936</c:v>
                </c:pt>
                <c:pt idx="2">
                  <c:v>742.49321253359994</c:v>
                </c:pt>
                <c:pt idx="3">
                  <c:v>724.49813868299998</c:v>
                </c:pt>
                <c:pt idx="4">
                  <c:v>735.5482765562582</c:v>
                </c:pt>
                <c:pt idx="5">
                  <c:v>748.45619083012798</c:v>
                </c:pt>
                <c:pt idx="6">
                  <c:v>740.29944288141587</c:v>
                </c:pt>
                <c:pt idx="7">
                  <c:v>701.37791049070768</c:v>
                </c:pt>
                <c:pt idx="8">
                  <c:v>724.90206031042771</c:v>
                </c:pt>
                <c:pt idx="9">
                  <c:v>794.69552413928591</c:v>
                </c:pt>
                <c:pt idx="10">
                  <c:v>753.5378061989577</c:v>
                </c:pt>
                <c:pt idx="11">
                  <c:v>849.62102131381187</c:v>
                </c:pt>
                <c:pt idx="12">
                  <c:v>1046.2994984655841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3130112"/>
        <c:axId val="173131648"/>
      </c:barChart>
      <c:catAx>
        <c:axId val="1731301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73131648"/>
        <c:crosses val="autoZero"/>
        <c:auto val="1"/>
        <c:lblAlgn val="ctr"/>
        <c:lblOffset val="100"/>
        <c:noMultiLvlLbl val="0"/>
      </c:catAx>
      <c:valAx>
        <c:axId val="173131648"/>
        <c:scaling>
          <c:orientation val="minMax"/>
          <c:min val="0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en-US">
                    <a:latin typeface="Times New Roman" pitchFamily="18" charset="0"/>
                    <a:cs typeface="Times New Roman" pitchFamily="18" charset="0"/>
                  </a:rPr>
                  <a:t>Gg CO</a:t>
                </a:r>
                <a:r>
                  <a:rPr lang="en-US" baseline="-25000">
                    <a:latin typeface="Times New Roman" pitchFamily="18" charset="0"/>
                    <a:cs typeface="Times New Roman" pitchFamily="18" charset="0"/>
                  </a:rPr>
                  <a:t>2</a:t>
                </a:r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crossAx val="173130112"/>
        <c:crosses val="autoZero"/>
        <c:crossBetween val="between"/>
        <c:majorUnit val="100"/>
        <c:minorUnit val="20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/>
            </a:pPr>
            <a:r>
              <a:rPr lang="sr-Latn-BA" sz="1000" b="0"/>
              <a:t>Emisije</a:t>
            </a:r>
            <a:r>
              <a:rPr lang="sr-Latn-BA" sz="1000" b="0" baseline="0"/>
              <a:t> iz </a:t>
            </a:r>
            <a:r>
              <a:rPr lang="sr-Latn-BA" sz="1000" b="0"/>
              <a:t>Industrijskh procesa</a:t>
            </a:r>
            <a:r>
              <a:rPr lang="sr-Latn-BA" sz="1000" b="0" baseline="0"/>
              <a:t> prema IPPC</a:t>
            </a:r>
            <a:r>
              <a:rPr lang="sr-Latn-BA" sz="1000" b="0"/>
              <a:t>, </a:t>
            </a:r>
            <a:r>
              <a:rPr lang="en-US" sz="1000" b="0"/>
              <a:t>Gg CO</a:t>
            </a:r>
            <a:r>
              <a:rPr lang="en-US" sz="1000" b="0" baseline="-25000"/>
              <a:t>2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spPr>
            <a:solidFill>
              <a:prstClr val="black">
                <a:lumMod val="50000"/>
                <a:lumOff val="50000"/>
              </a:prstClr>
            </a:solidFill>
          </c:spPr>
          <c:invertIfNegative val="0"/>
          <c:cat>
            <c:numRef>
              <c:f>TNC!$T$179:$T$184</c:f>
              <c:numCache>
                <c:formatCode>General</c:formatCode>
                <c:ptCount val="6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  <c:pt idx="5">
                  <c:v>2014</c:v>
                </c:pt>
              </c:numCache>
            </c:numRef>
          </c:cat>
          <c:val>
            <c:numRef>
              <c:f>TNC!$U$179:$U$184</c:f>
              <c:numCache>
                <c:formatCode>0.00</c:formatCode>
                <c:ptCount val="6"/>
                <c:pt idx="0">
                  <c:v>49.249074</c:v>
                </c:pt>
                <c:pt idx="1">
                  <c:v>79.763657800000004</c:v>
                </c:pt>
                <c:pt idx="2">
                  <c:v>138.32558790000004</c:v>
                </c:pt>
                <c:pt idx="3">
                  <c:v>97.183303600000002</c:v>
                </c:pt>
                <c:pt idx="4">
                  <c:v>73.505478899999957</c:v>
                </c:pt>
                <c:pt idx="5">
                  <c:v>94.595389999999981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3143936"/>
        <c:axId val="173145472"/>
      </c:barChart>
      <c:catAx>
        <c:axId val="1731439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73145472"/>
        <c:crosses val="autoZero"/>
        <c:auto val="1"/>
        <c:lblAlgn val="ctr"/>
        <c:lblOffset val="100"/>
        <c:noMultiLvlLbl val="0"/>
      </c:catAx>
      <c:valAx>
        <c:axId val="1731454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Gg CO2</a:t>
                </a:r>
              </a:p>
            </c:rich>
          </c:tx>
          <c:overlay val="0"/>
        </c:title>
        <c:numFmt formatCode="0.00" sourceLinked="1"/>
        <c:majorTickMark val="out"/>
        <c:minorTickMark val="none"/>
        <c:tickLblPos val="nextTo"/>
        <c:crossAx val="17314393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>
                <a:latin typeface="Times New Roman" pitchFamily="18" charset="0"/>
                <a:cs typeface="Times New Roman" pitchFamily="18" charset="0"/>
              </a:defRPr>
            </a:pPr>
            <a:r>
              <a:rPr lang="sr-Latn-BA" sz="1000" b="0">
                <a:latin typeface="Times New Roman" pitchFamily="18" charset="0"/>
                <a:cs typeface="Times New Roman" pitchFamily="18" charset="0"/>
              </a:rPr>
              <a:t>Ukupna</a:t>
            </a:r>
            <a:r>
              <a:rPr lang="sr-Cyrl-CS" sz="1000" b="0">
                <a:latin typeface="Times New Roman" pitchFamily="18" charset="0"/>
                <a:cs typeface="Times New Roman" pitchFamily="18" charset="0"/>
              </a:rPr>
              <a:t> </a:t>
            </a:r>
            <a:r>
              <a:rPr lang="sr-Latn-BA" sz="1000" b="0">
                <a:latin typeface="Times New Roman" pitchFamily="18" charset="0"/>
                <a:cs typeface="Times New Roman" pitchFamily="18" charset="0"/>
              </a:rPr>
              <a:t>emisija </a:t>
            </a:r>
            <a:r>
              <a:rPr lang="sr-Latn-BA" sz="1000" b="0" baseline="0">
                <a:latin typeface="Times New Roman" pitchFamily="18" charset="0"/>
                <a:cs typeface="Times New Roman" pitchFamily="18" charset="0"/>
              </a:rPr>
              <a:t>po sektorima</a:t>
            </a:r>
            <a:r>
              <a:rPr lang="sr-Cyrl-CS" sz="1000" b="0" baseline="0">
                <a:latin typeface="Times New Roman" pitchFamily="18" charset="0"/>
                <a:cs typeface="Times New Roman" pitchFamily="18" charset="0"/>
              </a:rPr>
              <a:t>, </a:t>
            </a:r>
            <a:r>
              <a:rPr lang="en-US" sz="1000" b="0" baseline="0">
                <a:latin typeface="Times New Roman" pitchFamily="18" charset="0"/>
                <a:cs typeface="Times New Roman" pitchFamily="18" charset="0"/>
              </a:rPr>
              <a:t>Gg CO</a:t>
            </a:r>
            <a:r>
              <a:rPr lang="en-US" sz="1000" b="0" baseline="-25000">
                <a:latin typeface="Times New Roman" pitchFamily="18" charset="0"/>
                <a:cs typeface="Times New Roman" pitchFamily="18" charset="0"/>
              </a:rPr>
              <a:t>2</a:t>
            </a:r>
            <a:r>
              <a:rPr lang="en-US" sz="1000" b="0" baseline="0">
                <a:latin typeface="Times New Roman" pitchFamily="18" charset="0"/>
                <a:cs typeface="Times New Roman" pitchFamily="18" charset="0"/>
              </a:rPr>
              <a:t>-eq</a:t>
            </a:r>
          </a:p>
        </c:rich>
      </c:tx>
      <c:layout>
        <c:manualLayout>
          <c:xMode val="edge"/>
          <c:yMode val="edge"/>
          <c:x val="0.24122749023237605"/>
          <c:y val="6.2678062678062682E-2"/>
        </c:manualLayout>
      </c:layout>
      <c:overlay val="0"/>
    </c:title>
    <c:autoTitleDeleted val="0"/>
    <c:plotArea>
      <c:layout/>
      <c:barChart>
        <c:barDir val="col"/>
        <c:grouping val="stacked"/>
        <c:varyColors val="0"/>
        <c:ser>
          <c:idx val="1"/>
          <c:order val="0"/>
          <c:tx>
            <c:v>energetika</c:v>
          </c:tx>
          <c:spPr>
            <a:solidFill>
              <a:schemeClr val="tx1">
                <a:lumMod val="50000"/>
                <a:lumOff val="50000"/>
              </a:schemeClr>
            </a:solidFill>
          </c:spPr>
          <c:invertIfNegative val="0"/>
          <c:cat>
            <c:numRef>
              <c:f>TNC!$AU$19:$BG$19</c:f>
              <c:numCache>
                <c:formatCode>General</c:formatCode>
                <c:ptCount val="13"/>
                <c:pt idx="0">
                  <c:v>2002</c:v>
                </c:pt>
                <c:pt idx="1">
                  <c:v>2003</c:v>
                </c:pt>
                <c:pt idx="2">
                  <c:v>2004</c:v>
                </c:pt>
                <c:pt idx="3">
                  <c:v>2005</c:v>
                </c:pt>
                <c:pt idx="4">
                  <c:v>2006</c:v>
                </c:pt>
                <c:pt idx="5">
                  <c:v>2007</c:v>
                </c:pt>
                <c:pt idx="6">
                  <c:v>2008</c:v>
                </c:pt>
                <c:pt idx="7">
                  <c:v>2009</c:v>
                </c:pt>
                <c:pt idx="8">
                  <c:v>2010</c:v>
                </c:pt>
                <c:pt idx="9">
                  <c:v>2011</c:v>
                </c:pt>
                <c:pt idx="10">
                  <c:v>2012</c:v>
                </c:pt>
                <c:pt idx="11">
                  <c:v>2013</c:v>
                </c:pt>
                <c:pt idx="12">
                  <c:v>2014</c:v>
                </c:pt>
              </c:numCache>
            </c:numRef>
          </c:cat>
          <c:val>
            <c:numRef>
              <c:f>TNC!$AU$21:$BG$21</c:f>
              <c:numCache>
                <c:formatCode>0.00</c:formatCode>
                <c:ptCount val="13"/>
                <c:pt idx="0">
                  <c:v>3321.4868143239901</c:v>
                </c:pt>
                <c:pt idx="1">
                  <c:v>3912.1584681645131</c:v>
                </c:pt>
                <c:pt idx="2">
                  <c:v>4135.2339855408954</c:v>
                </c:pt>
                <c:pt idx="3">
                  <c:v>4331.8164142854366</c:v>
                </c:pt>
                <c:pt idx="4">
                  <c:v>4815.9078477531111</c:v>
                </c:pt>
                <c:pt idx="5">
                  <c:v>4217.104094514415</c:v>
                </c:pt>
                <c:pt idx="6">
                  <c:v>4753.0064246450438</c:v>
                </c:pt>
                <c:pt idx="7">
                  <c:v>5098.8901175619703</c:v>
                </c:pt>
                <c:pt idx="8">
                  <c:v>5448.154689195122</c:v>
                </c:pt>
                <c:pt idx="9">
                  <c:v>6337.5198910955214</c:v>
                </c:pt>
                <c:pt idx="10">
                  <c:v>5787.7799476026285</c:v>
                </c:pt>
                <c:pt idx="11">
                  <c:v>6067.3810346604532</c:v>
                </c:pt>
                <c:pt idx="12">
                  <c:v>6063.2471775677586</c:v>
                </c:pt>
              </c:numCache>
            </c:numRef>
          </c:val>
        </c:ser>
        <c:ser>
          <c:idx val="2"/>
          <c:order val="1"/>
          <c:tx>
            <c:v>industrijski procesi</c:v>
          </c:tx>
          <c:spPr>
            <a:solidFill>
              <a:schemeClr val="tx1">
                <a:lumMod val="65000"/>
                <a:lumOff val="35000"/>
              </a:schemeClr>
            </a:solidFill>
          </c:spPr>
          <c:invertIfNegative val="0"/>
          <c:cat>
            <c:numRef>
              <c:f>TNC!$AU$19:$BG$19</c:f>
              <c:numCache>
                <c:formatCode>General</c:formatCode>
                <c:ptCount val="13"/>
                <c:pt idx="0">
                  <c:v>2002</c:v>
                </c:pt>
                <c:pt idx="1">
                  <c:v>2003</c:v>
                </c:pt>
                <c:pt idx="2">
                  <c:v>2004</c:v>
                </c:pt>
                <c:pt idx="3">
                  <c:v>2005</c:v>
                </c:pt>
                <c:pt idx="4">
                  <c:v>2006</c:v>
                </c:pt>
                <c:pt idx="5">
                  <c:v>2007</c:v>
                </c:pt>
                <c:pt idx="6">
                  <c:v>2008</c:v>
                </c:pt>
                <c:pt idx="7">
                  <c:v>2009</c:v>
                </c:pt>
                <c:pt idx="8">
                  <c:v>2010</c:v>
                </c:pt>
                <c:pt idx="9">
                  <c:v>2011</c:v>
                </c:pt>
                <c:pt idx="10">
                  <c:v>2012</c:v>
                </c:pt>
                <c:pt idx="11">
                  <c:v>2013</c:v>
                </c:pt>
                <c:pt idx="12">
                  <c:v>2014</c:v>
                </c:pt>
              </c:numCache>
            </c:numRef>
          </c:cat>
          <c:val>
            <c:numRef>
              <c:f>TNC!$AU$22:$BG$22</c:f>
              <c:numCache>
                <c:formatCode>0.00</c:formatCode>
                <c:ptCount val="13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49.249074</c:v>
                </c:pt>
                <c:pt idx="8">
                  <c:v>79.763657800000004</c:v>
                </c:pt>
                <c:pt idx="9">
                  <c:v>138.32558790000004</c:v>
                </c:pt>
                <c:pt idx="10">
                  <c:v>97.183303600000002</c:v>
                </c:pt>
                <c:pt idx="11">
                  <c:v>73.505478899999986</c:v>
                </c:pt>
                <c:pt idx="12">
                  <c:v>94.595389999999981</c:v>
                </c:pt>
              </c:numCache>
            </c:numRef>
          </c:val>
        </c:ser>
        <c:ser>
          <c:idx val="3"/>
          <c:order val="2"/>
          <c:tx>
            <c:v>poljoprivreda</c:v>
          </c:tx>
          <c:spPr>
            <a:solidFill>
              <a:schemeClr val="bg1">
                <a:lumMod val="85000"/>
              </a:schemeClr>
            </a:solidFill>
          </c:spPr>
          <c:invertIfNegative val="0"/>
          <c:cat>
            <c:numRef>
              <c:f>TNC!$AU$19:$BG$19</c:f>
              <c:numCache>
                <c:formatCode>General</c:formatCode>
                <c:ptCount val="13"/>
                <c:pt idx="0">
                  <c:v>2002</c:v>
                </c:pt>
                <c:pt idx="1">
                  <c:v>2003</c:v>
                </c:pt>
                <c:pt idx="2">
                  <c:v>2004</c:v>
                </c:pt>
                <c:pt idx="3">
                  <c:v>2005</c:v>
                </c:pt>
                <c:pt idx="4">
                  <c:v>2006</c:v>
                </c:pt>
                <c:pt idx="5">
                  <c:v>2007</c:v>
                </c:pt>
                <c:pt idx="6">
                  <c:v>2008</c:v>
                </c:pt>
                <c:pt idx="7">
                  <c:v>2009</c:v>
                </c:pt>
                <c:pt idx="8">
                  <c:v>2010</c:v>
                </c:pt>
                <c:pt idx="9">
                  <c:v>2011</c:v>
                </c:pt>
                <c:pt idx="10">
                  <c:v>2012</c:v>
                </c:pt>
                <c:pt idx="11">
                  <c:v>2013</c:v>
                </c:pt>
                <c:pt idx="12">
                  <c:v>2014</c:v>
                </c:pt>
              </c:numCache>
            </c:numRef>
          </c:cat>
          <c:val>
            <c:numRef>
              <c:f>TNC!$AU$23:$BG$23</c:f>
              <c:numCache>
                <c:formatCode>0.00</c:formatCode>
                <c:ptCount val="13"/>
                <c:pt idx="0">
                  <c:v>0</c:v>
                </c:pt>
                <c:pt idx="1">
                  <c:v>0</c:v>
                </c:pt>
                <c:pt idx="2">
                  <c:v>1387.2520316818047</c:v>
                </c:pt>
                <c:pt idx="3">
                  <c:v>1443.6495599723401</c:v>
                </c:pt>
                <c:pt idx="4">
                  <c:v>1597.4258617901544</c:v>
                </c:pt>
                <c:pt idx="5">
                  <c:v>1421.7827257938486</c:v>
                </c:pt>
                <c:pt idx="6">
                  <c:v>1421.8418983251358</c:v>
                </c:pt>
                <c:pt idx="7">
                  <c:v>1450.8182126255813</c:v>
                </c:pt>
                <c:pt idx="8">
                  <c:v>1425.3995949305536</c:v>
                </c:pt>
                <c:pt idx="9">
                  <c:v>1372.4213622732589</c:v>
                </c:pt>
                <c:pt idx="10">
                  <c:v>1307.5998645959698</c:v>
                </c:pt>
                <c:pt idx="11">
                  <c:v>1338.0086814722063</c:v>
                </c:pt>
                <c:pt idx="12">
                  <c:v>1102.5362045927679</c:v>
                </c:pt>
              </c:numCache>
            </c:numRef>
          </c:val>
        </c:ser>
        <c:ser>
          <c:idx val="4"/>
          <c:order val="3"/>
          <c:tx>
            <c:v>otpad</c:v>
          </c:tx>
          <c:spPr>
            <a:solidFill>
              <a:schemeClr val="tx1"/>
            </a:solidFill>
          </c:spPr>
          <c:invertIfNegative val="0"/>
          <c:cat>
            <c:numRef>
              <c:f>TNC!$AU$19:$BG$19</c:f>
              <c:numCache>
                <c:formatCode>General</c:formatCode>
                <c:ptCount val="13"/>
                <c:pt idx="0">
                  <c:v>2002</c:v>
                </c:pt>
                <c:pt idx="1">
                  <c:v>2003</c:v>
                </c:pt>
                <c:pt idx="2">
                  <c:v>2004</c:v>
                </c:pt>
                <c:pt idx="3">
                  <c:v>2005</c:v>
                </c:pt>
                <c:pt idx="4">
                  <c:v>2006</c:v>
                </c:pt>
                <c:pt idx="5">
                  <c:v>2007</c:v>
                </c:pt>
                <c:pt idx="6">
                  <c:v>2008</c:v>
                </c:pt>
                <c:pt idx="7">
                  <c:v>2009</c:v>
                </c:pt>
                <c:pt idx="8">
                  <c:v>2010</c:v>
                </c:pt>
                <c:pt idx="9">
                  <c:v>2011</c:v>
                </c:pt>
                <c:pt idx="10">
                  <c:v>2012</c:v>
                </c:pt>
                <c:pt idx="11">
                  <c:v>2013</c:v>
                </c:pt>
                <c:pt idx="12">
                  <c:v>2014</c:v>
                </c:pt>
              </c:numCache>
            </c:numRef>
          </c:cat>
          <c:val>
            <c:numRef>
              <c:f>TNC!$AU$24:$BG$24</c:f>
              <c:numCache>
                <c:formatCode>0.00</c:formatCode>
                <c:ptCount val="13"/>
                <c:pt idx="0">
                  <c:v>416.12701363014435</c:v>
                </c:pt>
                <c:pt idx="1">
                  <c:v>417.08935718639879</c:v>
                </c:pt>
                <c:pt idx="2">
                  <c:v>417.49317053934902</c:v>
                </c:pt>
                <c:pt idx="3">
                  <c:v>423.84300829587954</c:v>
                </c:pt>
                <c:pt idx="4">
                  <c:v>435.16386850728196</c:v>
                </c:pt>
                <c:pt idx="5">
                  <c:v>432.59228329816375</c:v>
                </c:pt>
                <c:pt idx="6">
                  <c:v>406.07237036051833</c:v>
                </c:pt>
                <c:pt idx="7">
                  <c:v>409.7903187493522</c:v>
                </c:pt>
                <c:pt idx="8">
                  <c:v>415.38242132641636</c:v>
                </c:pt>
                <c:pt idx="9">
                  <c:v>432.6794561368925</c:v>
                </c:pt>
                <c:pt idx="10">
                  <c:v>418.17804381638365</c:v>
                </c:pt>
                <c:pt idx="11">
                  <c:v>388.36022213146856</c:v>
                </c:pt>
                <c:pt idx="12">
                  <c:v>477.71514957068683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3250432"/>
        <c:axId val="173251968"/>
      </c:barChart>
      <c:catAx>
        <c:axId val="1732504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73251968"/>
        <c:crosses val="autoZero"/>
        <c:auto val="1"/>
        <c:lblAlgn val="ctr"/>
        <c:lblOffset val="100"/>
        <c:noMultiLvlLbl val="0"/>
      </c:catAx>
      <c:valAx>
        <c:axId val="17325196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en-US">
                    <a:latin typeface="Times New Roman" pitchFamily="18" charset="0"/>
                    <a:cs typeface="Times New Roman" pitchFamily="18" charset="0"/>
                  </a:rPr>
                  <a:t>Gg CO</a:t>
                </a:r>
                <a:r>
                  <a:rPr lang="en-US" baseline="-25000">
                    <a:latin typeface="Times New Roman" pitchFamily="18" charset="0"/>
                    <a:cs typeface="Times New Roman" pitchFamily="18" charset="0"/>
                  </a:rPr>
                  <a:t>2</a:t>
                </a:r>
                <a:r>
                  <a:rPr lang="en-US">
                    <a:latin typeface="Times New Roman" pitchFamily="18" charset="0"/>
                    <a:cs typeface="Times New Roman" pitchFamily="18" charset="0"/>
                  </a:rPr>
                  <a:t>-eq</a:t>
                </a:r>
              </a:p>
            </c:rich>
          </c:tx>
          <c:overlay val="0"/>
        </c:title>
        <c:numFmt formatCode="0.00" sourceLinked="1"/>
        <c:majorTickMark val="out"/>
        <c:minorTickMark val="none"/>
        <c:tickLblPos val="nextTo"/>
        <c:crossAx val="173250432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7F974-FE60-44F1-8AC0-672480337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8</Pages>
  <Words>2610</Words>
  <Characters>14878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</dc:creator>
  <cp:keywords/>
  <dc:description/>
  <cp:lastModifiedBy>sasa</cp:lastModifiedBy>
  <cp:revision>15</cp:revision>
  <dcterms:created xsi:type="dcterms:W3CDTF">2016-07-26T05:27:00Z</dcterms:created>
  <dcterms:modified xsi:type="dcterms:W3CDTF">2016-07-29T09:12:00Z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