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EA4" w:rsidRPr="00AC3EA4" w:rsidRDefault="00AC3EA4" w:rsidP="00AC3EA4">
      <w:pPr>
        <w:jc w:val="center"/>
        <w:rPr>
          <w:b/>
          <w:sz w:val="28"/>
          <w:szCs w:val="28"/>
          <w:lang w:val="sr-Latn-BA"/>
        </w:rPr>
      </w:pPr>
      <w:r w:rsidRPr="00AC3EA4">
        <w:rPr>
          <w:b/>
          <w:sz w:val="28"/>
          <w:szCs w:val="28"/>
          <w:lang w:val="sr-Latn-BA"/>
        </w:rPr>
        <w:t>METODE EKSTRAKCIJE UKUPNIH NAFTNIH UGLJOVODONIKA IZ ZEMLJIŠTA</w:t>
      </w:r>
    </w:p>
    <w:p w:rsidR="00AC3EA4" w:rsidRPr="00AC3EA4" w:rsidRDefault="00AC3EA4" w:rsidP="00AC3EA4">
      <w:pPr>
        <w:jc w:val="center"/>
        <w:rPr>
          <w:b/>
          <w:sz w:val="24"/>
          <w:szCs w:val="24"/>
          <w:lang w:val="sr-Latn-BA"/>
        </w:rPr>
      </w:pPr>
    </w:p>
    <w:p w:rsidR="00AC3EA4" w:rsidRDefault="00AC3EA4" w:rsidP="00AC3EA4">
      <w:pPr>
        <w:jc w:val="center"/>
        <w:rPr>
          <w:b/>
          <w:bCs/>
          <w:sz w:val="24"/>
          <w:szCs w:val="24"/>
          <w:lang w:val="sr-Latn-BA"/>
        </w:rPr>
      </w:pPr>
    </w:p>
    <w:p w:rsidR="006D5C44" w:rsidRDefault="006D5C44" w:rsidP="00AC3EA4">
      <w:pPr>
        <w:jc w:val="center"/>
        <w:rPr>
          <w:b/>
          <w:bCs/>
          <w:sz w:val="24"/>
          <w:szCs w:val="24"/>
          <w:lang w:val="sr-Latn-BA"/>
        </w:rPr>
      </w:pPr>
    </w:p>
    <w:p w:rsidR="006D5C44" w:rsidRPr="00AC3EA4" w:rsidRDefault="006D5C44" w:rsidP="00AC3EA4">
      <w:pPr>
        <w:jc w:val="center"/>
        <w:rPr>
          <w:b/>
          <w:bCs/>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Poljoprivredno i industrijsko zemljište na pojedinim mjestima, kao što je blizina saobraćajnica, benzinskih stanica, gradilišta i servisnih radionica za motorna vozila potencijalno je ugroženo od zagađenja naftni</w:t>
      </w:r>
      <w:r w:rsidR="000B571A">
        <w:rPr>
          <w:sz w:val="24"/>
          <w:szCs w:val="24"/>
          <w:lang w:val="sr-Latn-BA"/>
        </w:rPr>
        <w:t>m</w:t>
      </w:r>
      <w:r w:rsidRPr="00AC3EA4">
        <w:rPr>
          <w:sz w:val="24"/>
          <w:szCs w:val="24"/>
          <w:lang w:val="sr-Latn-BA"/>
        </w:rPr>
        <w:t xml:space="preserve"> ugljovodonicima. Za određivanje sastava i količine ugljovodonika adsorbovanih na zemljištu, prvi korak je njihova desorpcija, odnosno ekstrakcija iz kontaminiranih uzoraka.</w:t>
      </w:r>
    </w:p>
    <w:p w:rsidR="00AC3EA4" w:rsidRPr="00AC3EA4" w:rsidRDefault="00AC3EA4" w:rsidP="00AC3EA4">
      <w:pPr>
        <w:jc w:val="both"/>
        <w:rPr>
          <w:sz w:val="24"/>
          <w:szCs w:val="24"/>
          <w:lang w:val="sr-Latn-BA"/>
        </w:rPr>
      </w:pPr>
      <w:r w:rsidRPr="00AC3EA4">
        <w:rPr>
          <w:sz w:val="24"/>
          <w:szCs w:val="24"/>
          <w:lang w:val="sr-Latn-BA"/>
        </w:rPr>
        <w:t>Za ekstrahovanje ukupnih naftnih ugljovodonika adsorbovanih na zemljištu, korišćene su tri metode: ekstrakcija po Soxhlet-u, ultrazvučna ekstrakcija i ekstrakcija mehaničkim mućkanjem.</w:t>
      </w:r>
    </w:p>
    <w:p w:rsidR="00AC3EA4" w:rsidRPr="00AC3EA4" w:rsidRDefault="00AC3EA4" w:rsidP="00AC3EA4">
      <w:pPr>
        <w:jc w:val="both"/>
        <w:rPr>
          <w:sz w:val="24"/>
          <w:szCs w:val="24"/>
          <w:lang w:val="sr-Latn-BA"/>
        </w:rPr>
      </w:pPr>
      <w:r w:rsidRPr="00AC3EA4">
        <w:rPr>
          <w:sz w:val="24"/>
          <w:szCs w:val="24"/>
          <w:lang w:val="sr-Latn-BA"/>
        </w:rPr>
        <w:t xml:space="preserve">Efikasnost ovih metoda ispitana je na seriji modelnih uzoraka dobijenih miješanjem određene količine dizel goriva sa nekontaminiranim suvim zemljištem. Obogaćivanje uzoraka zemljišta je vršeno na šest različitih nivoa koncentracije. Kao ekstrakciono sredstvo za sve tri metode korišćen je heksan. </w:t>
      </w:r>
    </w:p>
    <w:p w:rsidR="00AC3EA4" w:rsidRPr="00AC3EA4" w:rsidRDefault="00AC3EA4" w:rsidP="00AC3EA4">
      <w:pPr>
        <w:jc w:val="both"/>
        <w:rPr>
          <w:sz w:val="24"/>
          <w:szCs w:val="24"/>
          <w:lang w:val="sr-Latn-BA"/>
        </w:rPr>
      </w:pPr>
      <w:r w:rsidRPr="00AC3EA4">
        <w:rPr>
          <w:sz w:val="24"/>
          <w:szCs w:val="24"/>
          <w:lang w:val="sr-Latn-BA"/>
        </w:rPr>
        <w:t xml:space="preserve">Određivanje sadržaja ekstrahovanih ukupnih naftnih ugljovodonika izvršeno je na gasnom hromatografu sa plameno – jonizacionim detektorom (GC-FID). </w:t>
      </w:r>
    </w:p>
    <w:p w:rsidR="00AC3EA4" w:rsidRPr="00AC3EA4" w:rsidRDefault="00AC3EA4" w:rsidP="00AC3EA4">
      <w:pPr>
        <w:jc w:val="both"/>
        <w:rPr>
          <w:sz w:val="24"/>
          <w:szCs w:val="24"/>
          <w:lang w:val="sr-Latn-BA"/>
        </w:rPr>
      </w:pPr>
      <w:r w:rsidRPr="00AC3EA4">
        <w:rPr>
          <w:sz w:val="24"/>
          <w:szCs w:val="24"/>
          <w:lang w:val="sr-Latn-BA"/>
        </w:rPr>
        <w:t>Na osnovu modelnih uzoraka izvršena je ocjena primjenljivosti odabranog rastvarača i metode ekstrakcije za ispitivanje realnih uzoraka zemljišta kontaminiranih naftnim ugljovodonicima.</w:t>
      </w:r>
    </w:p>
    <w:p w:rsidR="00AC3EA4" w:rsidRPr="00AC3EA4" w:rsidRDefault="00AC3EA4" w:rsidP="00AC3EA4">
      <w:pPr>
        <w:jc w:val="both"/>
        <w:rPr>
          <w:sz w:val="24"/>
          <w:szCs w:val="24"/>
          <w:lang w:val="sr-Latn-BA"/>
        </w:rPr>
      </w:pPr>
      <w:r w:rsidRPr="00AC3EA4">
        <w:rPr>
          <w:sz w:val="24"/>
          <w:szCs w:val="24"/>
          <w:lang w:val="sr-Latn-BA"/>
        </w:rPr>
        <w:t>Rezultati su pokazali da je metoda Soxhlet ekstrakcije imala najveću efikasnost pri ekstrakciji ukupnih naftnih ugljovodonika iz zemljišta u poređenju sa druge dvije metode.</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r w:rsidRPr="00AC3EA4">
        <w:rPr>
          <w:b/>
          <w:sz w:val="24"/>
          <w:szCs w:val="24"/>
          <w:lang w:val="sr-Latn-BA"/>
        </w:rPr>
        <w:t>Ključne riječi:</w:t>
      </w:r>
      <w:r w:rsidRPr="00AC3EA4">
        <w:rPr>
          <w:sz w:val="24"/>
          <w:szCs w:val="24"/>
          <w:lang w:val="sr-Latn-BA"/>
        </w:rPr>
        <w:t xml:space="preserve"> Ukupni naftni ugljovodonici; Soxhlet ekstrakcija; ultrazvučna ekstrakcija; ekstrakcija mehaničkim mućkanjem. </w:t>
      </w:r>
    </w:p>
    <w:p w:rsidR="00AC3EA4" w:rsidRPr="00AC3EA4" w:rsidRDefault="00AC3EA4" w:rsidP="00AC3EA4">
      <w:pPr>
        <w:jc w:val="center"/>
        <w:rPr>
          <w:b/>
          <w:bCs/>
          <w:sz w:val="28"/>
          <w:szCs w:val="28"/>
          <w:lang w:val="sr-Latn-BA"/>
        </w:rPr>
      </w:pPr>
    </w:p>
    <w:p w:rsidR="00AC3EA4" w:rsidRPr="00AC3EA4" w:rsidRDefault="00AC3EA4" w:rsidP="00AC3EA4">
      <w:pPr>
        <w:jc w:val="center"/>
        <w:rPr>
          <w:b/>
          <w:bCs/>
          <w:sz w:val="28"/>
          <w:szCs w:val="28"/>
          <w:lang w:val="sr-Latn-BA"/>
        </w:rPr>
      </w:pPr>
    </w:p>
    <w:p w:rsidR="00AC3EA4" w:rsidRPr="00AC3EA4" w:rsidRDefault="00AC3EA4" w:rsidP="00AC3EA4">
      <w:pPr>
        <w:jc w:val="center"/>
        <w:rPr>
          <w:b/>
          <w:bCs/>
          <w:sz w:val="28"/>
          <w:szCs w:val="28"/>
          <w:lang w:val="sr-Latn-BA"/>
        </w:rPr>
      </w:pPr>
      <w:r w:rsidRPr="00AC3EA4">
        <w:rPr>
          <w:b/>
          <w:bCs/>
          <w:sz w:val="28"/>
          <w:szCs w:val="28"/>
          <w:lang w:val="sr-Latn-BA"/>
        </w:rPr>
        <w:t>UVOD</w:t>
      </w:r>
    </w:p>
    <w:p w:rsidR="00AC3EA4" w:rsidRPr="00AC3EA4" w:rsidRDefault="00AC3EA4" w:rsidP="00AC3EA4">
      <w:pPr>
        <w:rPr>
          <w:color w:val="002060"/>
          <w:sz w:val="24"/>
          <w:szCs w:val="24"/>
          <w:lang w:val="sr-Latn-BA"/>
        </w:rPr>
      </w:pPr>
    </w:p>
    <w:p w:rsidR="00AC3EA4" w:rsidRPr="00AC3EA4" w:rsidRDefault="00AC3EA4" w:rsidP="00AC3EA4">
      <w:pPr>
        <w:autoSpaceDE w:val="0"/>
        <w:autoSpaceDN w:val="0"/>
        <w:adjustRightInd w:val="0"/>
        <w:jc w:val="both"/>
        <w:rPr>
          <w:lang w:val="sr-Latn-BA"/>
        </w:rPr>
      </w:pPr>
      <w:r w:rsidRPr="00AC3EA4">
        <w:rPr>
          <w:sz w:val="24"/>
          <w:szCs w:val="24"/>
          <w:lang w:val="sr-Latn-BA"/>
        </w:rPr>
        <w:t xml:space="preserve">Ukupni naftni ugljovodonici (TPH) se definišu kao grupa hemijskih jedinjenja koji izvorno potiču iz sirove nafte </w:t>
      </w:r>
      <w:r w:rsidRPr="00AC3EA4">
        <w:rPr>
          <w:color w:val="000000"/>
          <w:sz w:val="24"/>
          <w:szCs w:val="24"/>
          <w:lang w:val="sr-Latn-BA"/>
        </w:rPr>
        <w:t>[1].</w:t>
      </w:r>
      <w:r w:rsidRPr="00AC3EA4">
        <w:rPr>
          <w:sz w:val="24"/>
          <w:szCs w:val="24"/>
          <w:lang w:val="sr-Latn-BA"/>
        </w:rPr>
        <w:t xml:space="preserve"> TPH je smješa ugljovodonika i drugih hemijskih jedinjenja koja pored ugljenika i vodonika sadrže manje količine sumpora, azota i kiseonika.</w:t>
      </w:r>
    </w:p>
    <w:p w:rsidR="00AC3EA4" w:rsidRPr="00AC3EA4" w:rsidRDefault="00AC3EA4" w:rsidP="00AC3EA4">
      <w:pPr>
        <w:autoSpaceDE w:val="0"/>
        <w:autoSpaceDN w:val="0"/>
        <w:adjustRightInd w:val="0"/>
        <w:jc w:val="both"/>
        <w:rPr>
          <w:sz w:val="24"/>
          <w:szCs w:val="24"/>
          <w:lang w:val="sr-Latn-BA"/>
        </w:rPr>
      </w:pPr>
      <w:r w:rsidRPr="00AC3EA4">
        <w:rPr>
          <w:sz w:val="24"/>
          <w:szCs w:val="24"/>
          <w:lang w:val="sr-Latn-BA"/>
        </w:rPr>
        <w:t>Ukupni naftni ugljovodonici (Total Petroleum Hydrocarbons – TPH),</w:t>
      </w:r>
      <w:r w:rsidRPr="00AC3EA4">
        <w:rPr>
          <w:color w:val="FF0000"/>
          <w:sz w:val="24"/>
          <w:szCs w:val="24"/>
          <w:lang w:val="sr-Latn-BA"/>
        </w:rPr>
        <w:t xml:space="preserve"> </w:t>
      </w:r>
      <w:r w:rsidRPr="00AC3EA4">
        <w:rPr>
          <w:sz w:val="24"/>
          <w:szCs w:val="24"/>
          <w:lang w:val="sr-Latn-BA"/>
        </w:rPr>
        <w:t>prisutni su u  svim naftni</w:t>
      </w:r>
      <w:r w:rsidR="000B571A">
        <w:rPr>
          <w:sz w:val="24"/>
          <w:szCs w:val="24"/>
          <w:lang w:val="sr-Latn-BA"/>
        </w:rPr>
        <w:t>m</w:t>
      </w:r>
      <w:r w:rsidRPr="00AC3EA4">
        <w:rPr>
          <w:sz w:val="24"/>
          <w:szCs w:val="24"/>
          <w:lang w:val="sr-Latn-BA"/>
        </w:rPr>
        <w:t xml:space="preserve"> proizvodima i toksični su za čovjeka, biljni i životinjski svijet, te su potencijalni zagađivači životne sredine. Do zagađenja životne sredine naftnim proizvodima dolazi antropogenom djelatnošću pri eksploataciji, preradi, transportu, skladištenju, korišćenju nafte, ali i pri akcidentnim izlivanjima. Do zagađenja, takođe, može doći i prirodnom aktivnošću</w:t>
      </w:r>
      <w:r w:rsidRPr="00AC3EA4">
        <w:rPr>
          <w:lang w:val="sr-Latn-BA"/>
        </w:rPr>
        <w:t xml:space="preserve"> </w:t>
      </w:r>
      <w:r w:rsidRPr="00AC3EA4">
        <w:rPr>
          <w:sz w:val="24"/>
          <w:szCs w:val="24"/>
          <w:lang w:val="sr-Latn-BA"/>
        </w:rPr>
        <w:t>[2]. Poljoprivredno i industrijsko zemljište na pojedinim mjestima, kao što je blizina saobraćajnica, benzinskih stanica, gradilišta i servisnih radionica za motorna vozila potencijalno je ugroženo od zagađenja naftnim ugljovodonicima.</w:t>
      </w:r>
    </w:p>
    <w:p w:rsidR="00AC3EA4" w:rsidRPr="00AC3EA4" w:rsidRDefault="00AC3EA4" w:rsidP="00AC3EA4">
      <w:pPr>
        <w:jc w:val="both"/>
        <w:rPr>
          <w:sz w:val="24"/>
          <w:szCs w:val="24"/>
          <w:lang w:val="sr-Latn-BA"/>
        </w:rPr>
      </w:pPr>
      <w:r w:rsidRPr="00AC3EA4">
        <w:rPr>
          <w:sz w:val="24"/>
          <w:szCs w:val="24"/>
          <w:lang w:val="sr-Latn-BA"/>
        </w:rPr>
        <w:t>Naftni zagađivači se ne razlažu brzo te mogu da ostanu u zemljištu, sedimentima i vodi duži vremenski period. Zbog njihovog prisustva u životnoj sredini može doći do oštećenja ozona u stratosferi, globalnog zagrijavanja i efekta staklene bašte [3].</w:t>
      </w:r>
    </w:p>
    <w:p w:rsidR="00AC3EA4" w:rsidRPr="00AC3EA4" w:rsidRDefault="00AC3EA4" w:rsidP="00AC3EA4">
      <w:pPr>
        <w:jc w:val="both"/>
        <w:rPr>
          <w:sz w:val="24"/>
          <w:szCs w:val="24"/>
          <w:lang w:val="sr-Latn-BA"/>
        </w:rPr>
      </w:pPr>
      <w:r w:rsidRPr="00AC3EA4">
        <w:rPr>
          <w:sz w:val="24"/>
          <w:szCs w:val="24"/>
          <w:lang w:val="sr-Latn-BA"/>
        </w:rPr>
        <w:t xml:space="preserve">Kako bi se mogao pratiti nivo zagađenja životne sredine sa TPH, razvijene su brojne analitičke metode za određivanje njihovog prisustva i koncentracije u različitim uzorcima. Za određivanje sastava i količine ugljovodonika adsorbovanih na zemljištu, prvi korak je njihova </w:t>
      </w:r>
      <w:r w:rsidRPr="00AC3EA4">
        <w:rPr>
          <w:sz w:val="24"/>
          <w:szCs w:val="24"/>
          <w:lang w:val="sr-Latn-BA"/>
        </w:rPr>
        <w:lastRenderedPageBreak/>
        <w:t>desorpcija, odnosno ekstrakcija iz kontaminiranog zemljišta.</w:t>
      </w:r>
    </w:p>
    <w:p w:rsidR="00AC3EA4" w:rsidRPr="00AC3EA4" w:rsidRDefault="00AC3EA4" w:rsidP="00AC3EA4">
      <w:pPr>
        <w:autoSpaceDE w:val="0"/>
        <w:autoSpaceDN w:val="0"/>
        <w:adjustRightInd w:val="0"/>
        <w:jc w:val="both"/>
        <w:rPr>
          <w:sz w:val="24"/>
          <w:szCs w:val="24"/>
          <w:lang w:val="sr-Latn-BA"/>
        </w:rPr>
      </w:pPr>
      <w:r w:rsidRPr="00AC3EA4">
        <w:rPr>
          <w:sz w:val="24"/>
          <w:szCs w:val="24"/>
          <w:lang w:val="sr-Latn-BA"/>
        </w:rPr>
        <w:t>Cilj rada bio je da se ispita efikasnost tri metode ekstrakcije naftnih ugljovodonika iz zemljišta, i to: ekstrakcija po Soxhlet-u, ultrazvučna ekstrakcija i ekstrakcija mehaničkim mućkanjem. Određivanje sadržaja ekstrahovanih ukupnih naftnih ugljovodonika iz zemljišta izvršeno je na gasnom hromatografu sa plameno-jonizacionim detektorom (GC-FID).</w:t>
      </w:r>
    </w:p>
    <w:p w:rsidR="00AC3EA4" w:rsidRPr="00AC3EA4" w:rsidRDefault="00AC3EA4" w:rsidP="00AC3EA4">
      <w:pPr>
        <w:rPr>
          <w:lang w:val="sr-Latn-BA"/>
        </w:rPr>
      </w:pPr>
    </w:p>
    <w:p w:rsidR="00AC3EA4" w:rsidRPr="00AC3EA4" w:rsidRDefault="00AC3EA4" w:rsidP="00AC3EA4">
      <w:pPr>
        <w:rPr>
          <w:lang w:val="sr-Latn-BA"/>
        </w:rPr>
      </w:pPr>
    </w:p>
    <w:p w:rsidR="00AC3EA4" w:rsidRPr="00AC3EA4" w:rsidRDefault="00AC3EA4" w:rsidP="00AC3EA4">
      <w:pPr>
        <w:jc w:val="center"/>
        <w:rPr>
          <w:b/>
          <w:sz w:val="28"/>
          <w:szCs w:val="28"/>
          <w:lang w:val="sr-Latn-BA"/>
        </w:rPr>
      </w:pPr>
      <w:r w:rsidRPr="00AC3EA4">
        <w:rPr>
          <w:b/>
          <w:sz w:val="28"/>
          <w:szCs w:val="28"/>
          <w:lang w:val="sr-Latn-BA"/>
        </w:rPr>
        <w:t>MATERIJAL I METODE</w:t>
      </w:r>
    </w:p>
    <w:p w:rsidR="00AC3EA4" w:rsidRPr="00AC3EA4" w:rsidRDefault="00AC3EA4" w:rsidP="00AC3EA4">
      <w:pPr>
        <w:rPr>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U radu su upoređene tri metode desorpcije tj. ekstrakcije ukupnih naftnih ugljovodonika iz uzoraka zemljišta: Soxhlet ekstrakcija, ekstrakcija ultrazvukom i ekstrakcija mehaničkim mućkanjem. Efikasnost ovih metoda ispitana je na seriji modelnih uzoraka dobijenih miješanjem određene količine dizel goriva sa nekontaminiranim suvim zemljištem. Priprema  uzoraka zemljišta izvršena je sa šest različitih nivoa koncentracije dizel goriva. Za sve tri metode ekstrakcije izvagano je 6 puta po 10 g nekontaminiranog suvog zemljišta i dodavano približno 8, 15, 20, 30, 40 i 50 mg dizel goriva. Kao ekstrakciono sredstvo za sve tri metode korišćen je n-heksan.</w:t>
      </w:r>
    </w:p>
    <w:p w:rsidR="00AC3EA4" w:rsidRPr="00AC3EA4" w:rsidRDefault="00AC3EA4" w:rsidP="00AC3EA4">
      <w:pPr>
        <w:rPr>
          <w:sz w:val="24"/>
          <w:szCs w:val="24"/>
          <w:lang w:val="sr-Latn-BA"/>
        </w:rPr>
      </w:pPr>
    </w:p>
    <w:p w:rsidR="00AC3EA4" w:rsidRPr="00AC3EA4" w:rsidRDefault="00AC3EA4" w:rsidP="00AC3EA4">
      <w:pPr>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METODA EKSTRAKCIJE PO SOXHLET-u</w:t>
      </w:r>
    </w:p>
    <w:p w:rsidR="00AC3EA4" w:rsidRPr="00AC3EA4" w:rsidRDefault="00AC3EA4" w:rsidP="00AC3EA4">
      <w:pPr>
        <w:jc w:val="cente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Efikasnost Soxhlet ekstrakcije ispitana je tako što je u čauru od filter p</w:t>
      </w:r>
      <w:r w:rsidR="008C2545">
        <w:rPr>
          <w:sz w:val="24"/>
          <w:szCs w:val="24"/>
          <w:lang w:val="sr-Latn-BA"/>
        </w:rPr>
        <w:t xml:space="preserve">apira  izvagano šest puta po 10 </w:t>
      </w:r>
      <w:r w:rsidRPr="00AC3EA4">
        <w:rPr>
          <w:sz w:val="24"/>
          <w:szCs w:val="24"/>
          <w:lang w:val="sr-Latn-BA"/>
        </w:rPr>
        <w:t>g nekontaminiranog suvog zemljišta. Svaki uzorak zemljišta je nakon toga obogaćen različitom količinom dizel goriva (≈ 8, 15, 20, 30, 40 i 50 mg) i preliven sa oko 150 mL n-heksana. Ekstrakcija je vršena kontinualno. Vrijeme ekstrakcije za svaki uzorak bilo je oko 12</w:t>
      </w:r>
      <w:r w:rsidR="008C2545">
        <w:rPr>
          <w:sz w:val="24"/>
          <w:szCs w:val="24"/>
          <w:lang w:val="sr-Latn-BA"/>
        </w:rPr>
        <w:t xml:space="preserve"> </w:t>
      </w:r>
      <w:r w:rsidRPr="00AC3EA4">
        <w:rPr>
          <w:sz w:val="24"/>
          <w:szCs w:val="24"/>
          <w:lang w:val="sr-Latn-BA"/>
        </w:rPr>
        <w:t>h.</w:t>
      </w:r>
    </w:p>
    <w:p w:rsidR="00AC3EA4" w:rsidRPr="00AC3EA4" w:rsidRDefault="00AC3EA4" w:rsidP="00AC3EA4">
      <w:pPr>
        <w:jc w:val="both"/>
        <w:rPr>
          <w:sz w:val="24"/>
          <w:szCs w:val="24"/>
          <w:lang w:val="sr-Latn-BA"/>
        </w:rPr>
      </w:pPr>
      <w:r w:rsidRPr="00AC3EA4">
        <w:rPr>
          <w:sz w:val="24"/>
          <w:szCs w:val="24"/>
          <w:lang w:val="sr-Latn-BA"/>
        </w:rPr>
        <w:t>Nakon ekstrakcije, ekstrakt je uparen na vakuum uparivaču na temperaturi od 40 °</w:t>
      </w:r>
      <w:r w:rsidR="008C2545">
        <w:rPr>
          <w:sz w:val="24"/>
          <w:szCs w:val="24"/>
          <w:lang w:val="sr-Latn-BA"/>
        </w:rPr>
        <w:t>C</w:t>
      </w:r>
      <w:r w:rsidRPr="00AC3EA4">
        <w:rPr>
          <w:sz w:val="24"/>
          <w:szCs w:val="24"/>
          <w:lang w:val="sr-Latn-BA"/>
        </w:rPr>
        <w:t xml:space="preserve"> do 1 mL. </w:t>
      </w:r>
    </w:p>
    <w:p w:rsidR="00AC3EA4" w:rsidRPr="00AC3EA4" w:rsidRDefault="00AC3EA4" w:rsidP="00AC3EA4">
      <w:pPr>
        <w:rPr>
          <w:sz w:val="24"/>
          <w:szCs w:val="24"/>
          <w:lang w:val="sr-Latn-BA"/>
        </w:rPr>
      </w:pPr>
    </w:p>
    <w:p w:rsidR="00AC3EA4" w:rsidRPr="00AC3EA4" w:rsidRDefault="00AC3EA4" w:rsidP="00AC3EA4">
      <w:pPr>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METODA ULTRAZVUČNE EKSTRAKCIJE</w:t>
      </w:r>
    </w:p>
    <w:p w:rsidR="00AC3EA4" w:rsidRPr="00AC3EA4" w:rsidRDefault="00AC3EA4" w:rsidP="00AC3EA4">
      <w:pP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U erlenmajer tikvicu zapremine 100 mL izvagano je 6 puta po 10 g nekontaminiranog suvog zemljišta.</w:t>
      </w:r>
      <w:r w:rsidRPr="00AC3EA4">
        <w:rPr>
          <w:color w:val="FF0000"/>
          <w:sz w:val="24"/>
          <w:szCs w:val="24"/>
          <w:lang w:val="sr-Latn-BA"/>
        </w:rPr>
        <w:t xml:space="preserve"> </w:t>
      </w:r>
      <w:r w:rsidRPr="00AC3EA4">
        <w:rPr>
          <w:sz w:val="24"/>
          <w:szCs w:val="24"/>
          <w:lang w:val="sr-Latn-BA"/>
        </w:rPr>
        <w:t xml:space="preserve">Svaki uzorak zemljišta je nakon toga obogaćen različitom količinom dizel goriva (≈ 8, 15, 20, 30, 40 i 50 mg), te je preliven sa 10 mL </w:t>
      </w:r>
      <w:r w:rsidR="008C2545">
        <w:rPr>
          <w:sz w:val="24"/>
          <w:szCs w:val="24"/>
          <w:lang w:val="sr-Latn-BA"/>
        </w:rPr>
        <w:t>n-</w:t>
      </w:r>
      <w:r w:rsidRPr="00AC3EA4">
        <w:rPr>
          <w:sz w:val="24"/>
          <w:szCs w:val="24"/>
          <w:lang w:val="sr-Latn-BA"/>
        </w:rPr>
        <w:t>heksana. Nakon toga vršena je ekstrakcija 3 puta, jednom 30 min i dva puta po 15 min. Nakon svake pojedine ekstrakcije izvršeno je dekantovanje ekstrakta u isti balon, a uzorku zemljišta koji je ostao u erlenmajru dodavane su nove porcije rastvarača od 10 mL. Ukupno vrijeme ekstrakcije bilo je 1h. Cjelokupni ekstrakt je uparen na vakuum uparivaču na temperaturi od 40 °</w:t>
      </w:r>
      <w:r w:rsidR="008C2545">
        <w:rPr>
          <w:sz w:val="24"/>
          <w:szCs w:val="24"/>
          <w:lang w:val="sr-Latn-BA"/>
        </w:rPr>
        <w:t>C</w:t>
      </w:r>
      <w:r w:rsidRPr="00AC3EA4">
        <w:rPr>
          <w:sz w:val="24"/>
          <w:szCs w:val="24"/>
          <w:lang w:val="sr-Latn-BA"/>
        </w:rPr>
        <w:t xml:space="preserve"> do 1 mL. </w:t>
      </w:r>
    </w:p>
    <w:p w:rsidR="00AC3EA4" w:rsidRPr="00AC3EA4" w:rsidRDefault="00AC3EA4" w:rsidP="00AC3EA4">
      <w:pPr>
        <w:jc w:val="both"/>
        <w:rPr>
          <w:sz w:val="24"/>
          <w:szCs w:val="24"/>
          <w:lang w:val="sr-Latn-BA"/>
        </w:rPr>
      </w:pPr>
      <w:r w:rsidRPr="00AC3EA4">
        <w:rPr>
          <w:sz w:val="24"/>
          <w:szCs w:val="24"/>
          <w:lang w:val="sr-Latn-BA"/>
        </w:rPr>
        <w:t xml:space="preserve">   </w:t>
      </w:r>
    </w:p>
    <w:p w:rsidR="00AC3EA4" w:rsidRPr="00AC3EA4" w:rsidRDefault="00AC3EA4" w:rsidP="00AC3EA4">
      <w:pPr>
        <w:jc w:val="both"/>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t>METODA EKSTRAKCIJE MEHANIČKIM MUĆKANJEM</w:t>
      </w:r>
    </w:p>
    <w:p w:rsidR="00AC3EA4" w:rsidRPr="00AC3EA4" w:rsidRDefault="00AC3EA4" w:rsidP="00AC3EA4">
      <w:pPr>
        <w:jc w:val="both"/>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U šest epruveta za centrifu</w:t>
      </w:r>
      <w:r w:rsidR="008C2545">
        <w:rPr>
          <w:sz w:val="24"/>
          <w:szCs w:val="24"/>
          <w:lang w:val="sr-Latn-BA"/>
        </w:rPr>
        <w:t>gu</w:t>
      </w:r>
      <w:r w:rsidRPr="00AC3EA4">
        <w:rPr>
          <w:sz w:val="24"/>
          <w:szCs w:val="24"/>
          <w:lang w:val="sr-Latn-BA"/>
        </w:rPr>
        <w:t xml:space="preserve"> izvagano je po 10 g nekontaminiranog suvog zemljišta.</w:t>
      </w:r>
      <w:r w:rsidRPr="00AC3EA4">
        <w:rPr>
          <w:color w:val="FF0000"/>
          <w:sz w:val="24"/>
          <w:szCs w:val="24"/>
          <w:lang w:val="sr-Latn-BA"/>
        </w:rPr>
        <w:t xml:space="preserve"> </w:t>
      </w:r>
      <w:r w:rsidRPr="00AC3EA4">
        <w:rPr>
          <w:sz w:val="24"/>
          <w:szCs w:val="24"/>
          <w:lang w:val="sr-Latn-BA"/>
        </w:rPr>
        <w:t xml:space="preserve">Svaki uzorak zemljišta je nakon toga obogaćen različitom količinom dizel goriva (≈ 8, 15, 20, 30, 40 i 50 mg), te je preliven sa 10 mL </w:t>
      </w:r>
      <w:r w:rsidR="008C2545">
        <w:rPr>
          <w:sz w:val="24"/>
          <w:szCs w:val="24"/>
          <w:lang w:val="sr-Latn-BA"/>
        </w:rPr>
        <w:t>n-</w:t>
      </w:r>
      <w:r w:rsidRPr="00AC3EA4">
        <w:rPr>
          <w:sz w:val="24"/>
          <w:szCs w:val="24"/>
          <w:lang w:val="sr-Latn-BA"/>
        </w:rPr>
        <w:t xml:space="preserve">heksana nakon čega su uzorci intenzivno mućkani jedan sat na mućkalici. Nakon ekstrakcije uzorci su centrifugirani 5 min. na 3000 obrtaja, te je izdvojeni ekstrakt prebačen u balon od 50 mL. Isti postupak je ponovljen još dva puta, svaki put sa novom porcijom od 10 mL </w:t>
      </w:r>
      <w:r w:rsidR="008C2545">
        <w:rPr>
          <w:sz w:val="24"/>
          <w:szCs w:val="24"/>
          <w:lang w:val="sr-Latn-BA"/>
        </w:rPr>
        <w:t>n-</w:t>
      </w:r>
      <w:r w:rsidRPr="00AC3EA4">
        <w:rPr>
          <w:sz w:val="24"/>
          <w:szCs w:val="24"/>
          <w:lang w:val="sr-Latn-BA"/>
        </w:rPr>
        <w:t>heksana. Ukupno vrijeme mućkanja bilo je tri sata. Cjelokupni ekstrakt je uparen na vakuum uparivaču na temperaturi od 40 °</w:t>
      </w:r>
      <w:r w:rsidR="008C2545">
        <w:rPr>
          <w:sz w:val="24"/>
          <w:szCs w:val="24"/>
          <w:lang w:val="sr-Latn-BA"/>
        </w:rPr>
        <w:t>C</w:t>
      </w:r>
      <w:r w:rsidRPr="00AC3EA4">
        <w:rPr>
          <w:sz w:val="24"/>
          <w:szCs w:val="24"/>
          <w:lang w:val="sr-Latn-BA"/>
        </w:rPr>
        <w:t xml:space="preserve"> do 1 mL. </w:t>
      </w:r>
    </w:p>
    <w:p w:rsidR="00AC3EA4" w:rsidRPr="00AC3EA4" w:rsidRDefault="00AC3EA4" w:rsidP="00AC3EA4">
      <w:pPr>
        <w:jc w:val="both"/>
        <w:rPr>
          <w:sz w:val="24"/>
          <w:szCs w:val="24"/>
          <w:lang w:val="sr-Latn-BA"/>
        </w:rPr>
      </w:pPr>
    </w:p>
    <w:p w:rsidR="00AC3EA4" w:rsidRPr="00AC3EA4" w:rsidRDefault="00AC3EA4" w:rsidP="00AC3EA4">
      <w:pPr>
        <w:jc w:val="center"/>
        <w:rPr>
          <w:b/>
          <w:sz w:val="24"/>
          <w:szCs w:val="24"/>
          <w:lang w:val="sr-Latn-BA"/>
        </w:rPr>
      </w:pPr>
      <w:r w:rsidRPr="00AC3EA4">
        <w:rPr>
          <w:b/>
          <w:sz w:val="24"/>
          <w:szCs w:val="24"/>
          <w:lang w:val="sr-Latn-BA"/>
        </w:rPr>
        <w:lastRenderedPageBreak/>
        <w:t>USLOVI HROMATOGRAFSKOG ODREĐIVANJA NAFTNIH UGLJOVODONIKA</w:t>
      </w:r>
    </w:p>
    <w:p w:rsidR="00AC3EA4" w:rsidRPr="00AC3EA4" w:rsidRDefault="00AC3EA4" w:rsidP="00AC3EA4">
      <w:pPr>
        <w:jc w:val="cente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Određivanje sadržaja ekstrahovanih ukupnih naftnih ugljovodonika izvršeno je na gasnom hromatografu sa plameno-jonizacionim detektorom (GC-FID), Perkin Elmer Autosystem XL sa split/splitless injektorom. Korišćena je kapilarna kolona OV-101, 25m x 0,32 mm x 0,4 µm. Temperatura peći je programirana od 40 °</w:t>
      </w:r>
      <w:r w:rsidR="006659C5">
        <w:rPr>
          <w:sz w:val="24"/>
          <w:szCs w:val="24"/>
          <w:lang w:val="sr-Latn-BA"/>
        </w:rPr>
        <w:t>C</w:t>
      </w:r>
      <w:r w:rsidRPr="00AC3EA4">
        <w:rPr>
          <w:sz w:val="24"/>
          <w:szCs w:val="24"/>
          <w:lang w:val="sr-Latn-BA"/>
        </w:rPr>
        <w:t xml:space="preserve"> (5 min.), 5</w:t>
      </w:r>
      <w:r w:rsidR="006659C5">
        <w:rPr>
          <w:sz w:val="24"/>
          <w:szCs w:val="24"/>
          <w:lang w:val="sr-Latn-BA"/>
        </w:rPr>
        <w:t xml:space="preserve"> </w:t>
      </w:r>
      <w:r w:rsidRPr="00AC3EA4">
        <w:rPr>
          <w:sz w:val="24"/>
          <w:szCs w:val="24"/>
          <w:lang w:val="sr-Latn-BA"/>
        </w:rPr>
        <w:t>°</w:t>
      </w:r>
      <w:r w:rsidR="006659C5">
        <w:rPr>
          <w:sz w:val="24"/>
          <w:szCs w:val="24"/>
          <w:lang w:val="sr-Latn-BA"/>
        </w:rPr>
        <w:t>C</w:t>
      </w:r>
      <w:r w:rsidRPr="00AC3EA4">
        <w:rPr>
          <w:sz w:val="24"/>
          <w:szCs w:val="24"/>
          <w:lang w:val="sr-Latn-BA"/>
        </w:rPr>
        <w:t>/min. do 300 °</w:t>
      </w:r>
      <w:r w:rsidR="006659C5">
        <w:rPr>
          <w:sz w:val="24"/>
          <w:szCs w:val="24"/>
          <w:lang w:val="sr-Latn-BA"/>
        </w:rPr>
        <w:t>C</w:t>
      </w:r>
      <w:r w:rsidRPr="00AC3EA4">
        <w:rPr>
          <w:sz w:val="24"/>
          <w:szCs w:val="24"/>
          <w:lang w:val="sr-Latn-BA"/>
        </w:rPr>
        <w:t xml:space="preserve"> (10 min.), ukupno vrijeme programa 67 min. Za kvantifikaciju naftnih ugljovodonika injektovan je 1 µL krajnjeg ekstrakta. Injektovanje je vršeno ručno u splitless režimu. Temperatura injektora je 250</w:t>
      </w:r>
      <w:r w:rsidR="006659C5">
        <w:rPr>
          <w:sz w:val="24"/>
          <w:szCs w:val="24"/>
          <w:lang w:val="sr-Latn-BA"/>
        </w:rPr>
        <w:t xml:space="preserve"> </w:t>
      </w:r>
      <w:r w:rsidRPr="00AC3EA4">
        <w:rPr>
          <w:sz w:val="24"/>
          <w:szCs w:val="24"/>
          <w:lang w:val="sr-Latn-BA"/>
        </w:rPr>
        <w:t>°</w:t>
      </w:r>
      <w:r w:rsidR="006659C5">
        <w:rPr>
          <w:sz w:val="24"/>
          <w:szCs w:val="24"/>
          <w:lang w:val="sr-Latn-BA"/>
        </w:rPr>
        <w:t>C</w:t>
      </w:r>
      <w:r w:rsidRPr="00AC3EA4">
        <w:rPr>
          <w:sz w:val="24"/>
          <w:szCs w:val="24"/>
          <w:lang w:val="sr-Latn-BA"/>
        </w:rPr>
        <w:t>, a temperatura detektora 300 °</w:t>
      </w:r>
      <w:r w:rsidR="006659C5">
        <w:rPr>
          <w:sz w:val="24"/>
          <w:szCs w:val="24"/>
          <w:lang w:val="sr-Latn-BA"/>
        </w:rPr>
        <w:t>C</w:t>
      </w:r>
      <w:r w:rsidRPr="00AC3EA4">
        <w:rPr>
          <w:sz w:val="24"/>
          <w:szCs w:val="24"/>
          <w:lang w:val="sr-Latn-BA"/>
        </w:rPr>
        <w:t>. Vodonik je korišćen kao noseći gas, pri pritisku od 8 psi (55,16 kPa).</w:t>
      </w:r>
      <w:r w:rsidRPr="00AC3EA4">
        <w:rPr>
          <w:color w:val="FF0000"/>
          <w:sz w:val="24"/>
          <w:szCs w:val="24"/>
          <w:lang w:val="sr-Latn-BA"/>
        </w:rPr>
        <w:t xml:space="preserve"> </w:t>
      </w:r>
    </w:p>
    <w:p w:rsidR="00AC3EA4" w:rsidRPr="00AC3EA4" w:rsidRDefault="00AC3EA4" w:rsidP="00AC3EA4">
      <w:pPr>
        <w:jc w:val="both"/>
        <w:rPr>
          <w:sz w:val="24"/>
          <w:szCs w:val="24"/>
          <w:lang w:val="sr-Latn-BA"/>
        </w:rPr>
      </w:pPr>
      <w:r w:rsidRPr="00AC3EA4">
        <w:rPr>
          <w:sz w:val="24"/>
          <w:szCs w:val="24"/>
          <w:lang w:val="sr-Latn-BA"/>
        </w:rPr>
        <w:t xml:space="preserve">Obrada podataka je rađena u Microsoft Excel-u (verzija 2010). </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p>
    <w:p w:rsidR="00AC3EA4" w:rsidRPr="00AC3EA4" w:rsidRDefault="00AC3EA4" w:rsidP="00AC3EA4">
      <w:pPr>
        <w:jc w:val="center"/>
        <w:rPr>
          <w:b/>
          <w:sz w:val="28"/>
          <w:szCs w:val="28"/>
          <w:lang w:val="sr-Latn-BA"/>
        </w:rPr>
      </w:pPr>
      <w:r w:rsidRPr="00AC3EA4">
        <w:rPr>
          <w:b/>
          <w:sz w:val="28"/>
          <w:szCs w:val="28"/>
          <w:lang w:val="sr-Latn-BA"/>
        </w:rPr>
        <w:t>REZULTATI SA DISKUSIJOM</w:t>
      </w:r>
    </w:p>
    <w:p w:rsidR="00AC3EA4" w:rsidRPr="00AC3EA4" w:rsidRDefault="00AC3EA4" w:rsidP="00AC3EA4">
      <w:pPr>
        <w:rPr>
          <w:b/>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 xml:space="preserve">Kalibraciona kriva konstruisana je korišćenjem šest nivoa standardnih rastora dizel goriva (u koncentracionom opsegu od  ≈ 8-60 mg/mL) pripremljenih u </w:t>
      </w:r>
      <w:r w:rsidR="00A14A28">
        <w:rPr>
          <w:sz w:val="24"/>
          <w:szCs w:val="24"/>
          <w:lang w:val="sr-Latn-BA"/>
        </w:rPr>
        <w:t>n-</w:t>
      </w:r>
      <w:r w:rsidRPr="00AC3EA4">
        <w:rPr>
          <w:sz w:val="24"/>
          <w:szCs w:val="24"/>
          <w:lang w:val="sr-Latn-BA"/>
        </w:rPr>
        <w:t xml:space="preserve">heksanu (slika 1).  </w:t>
      </w:r>
    </w:p>
    <w:p w:rsidR="00AC3EA4" w:rsidRPr="00AC3EA4" w:rsidRDefault="00AC3EA4" w:rsidP="00AC3EA4">
      <w:pPr>
        <w:jc w:val="both"/>
        <w:rPr>
          <w:sz w:val="24"/>
          <w:szCs w:val="24"/>
          <w:lang w:val="sr-Latn-BA"/>
        </w:rPr>
      </w:pPr>
      <w:r w:rsidRPr="00AC3EA4">
        <w:rPr>
          <w:sz w:val="24"/>
          <w:szCs w:val="24"/>
          <w:lang w:val="sr-Latn-BA"/>
        </w:rPr>
        <w:t>Na osnovu vrijednosti odgovora detektora (response), dobijena je jednačina kalibracione krive (Y = 2274.1 X – 14739) i koeficijent korelacije R</w:t>
      </w:r>
      <w:r w:rsidRPr="00AC3EA4">
        <w:rPr>
          <w:sz w:val="24"/>
          <w:szCs w:val="24"/>
          <w:vertAlign w:val="superscript"/>
          <w:lang w:val="sr-Latn-BA"/>
        </w:rPr>
        <w:t>2</w:t>
      </w:r>
      <w:r w:rsidRPr="00AC3EA4">
        <w:rPr>
          <w:sz w:val="24"/>
          <w:szCs w:val="24"/>
          <w:lang w:val="sr-Latn-BA"/>
        </w:rPr>
        <w:t>=0,9949.</w:t>
      </w:r>
    </w:p>
    <w:p w:rsidR="00AC3EA4" w:rsidRPr="00AC3EA4" w:rsidRDefault="00AC3EA4" w:rsidP="00AC3EA4">
      <w:pPr>
        <w:jc w:val="both"/>
        <w:rPr>
          <w:sz w:val="24"/>
          <w:szCs w:val="24"/>
          <w:lang w:val="sr-Latn-BA"/>
        </w:rPr>
      </w:pPr>
      <w:r w:rsidRPr="00AC3EA4">
        <w:rPr>
          <w:sz w:val="24"/>
          <w:szCs w:val="24"/>
          <w:lang w:val="sr-Latn-BA"/>
        </w:rPr>
        <w:t>Na osnovu kalibracione krive određen je limit detekcije koji je iznosio 10,60 mg/mL.</w:t>
      </w:r>
    </w:p>
    <w:p w:rsidR="00AC3EA4" w:rsidRPr="00AC3EA4" w:rsidRDefault="00AC3EA4" w:rsidP="00AC3EA4">
      <w:pPr>
        <w:jc w:val="both"/>
        <w:rPr>
          <w:sz w:val="24"/>
          <w:szCs w:val="24"/>
          <w:lang w:val="sr-Latn-BA"/>
        </w:rPr>
      </w:pPr>
    </w:p>
    <w:p w:rsidR="00AC3EA4" w:rsidRPr="00AC3EA4" w:rsidRDefault="00AC3EA4" w:rsidP="00AC3EA4">
      <w:pPr>
        <w:jc w:val="center"/>
        <w:rPr>
          <w:sz w:val="24"/>
          <w:szCs w:val="24"/>
          <w:lang w:val="sr-Latn-BA"/>
        </w:rPr>
      </w:pPr>
      <w:r w:rsidRPr="00AC3EA4">
        <w:rPr>
          <w:noProof/>
        </w:rPr>
        <w:drawing>
          <wp:inline distT="0" distB="0" distL="0" distR="0" wp14:anchorId="00C56182" wp14:editId="2F3A62B6">
            <wp:extent cx="3533775" cy="2828925"/>
            <wp:effectExtent l="0" t="0" r="9525" b="952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C3EA4" w:rsidRPr="009A4DEF" w:rsidRDefault="00AC3EA4" w:rsidP="00AC3EA4">
      <w:pPr>
        <w:jc w:val="center"/>
        <w:rPr>
          <w:color w:val="FF0000"/>
          <w:sz w:val="24"/>
          <w:szCs w:val="24"/>
          <w:lang w:val="sr-Latn-BA"/>
        </w:rPr>
      </w:pPr>
    </w:p>
    <w:p w:rsidR="00AC3EA4" w:rsidRPr="00D93427" w:rsidRDefault="00AC3EA4" w:rsidP="00AC3EA4">
      <w:pPr>
        <w:jc w:val="center"/>
        <w:rPr>
          <w:lang w:val="sr-Latn-BA"/>
        </w:rPr>
      </w:pPr>
      <w:r w:rsidRPr="00D93427">
        <w:rPr>
          <w:lang w:val="sr-Latn-BA"/>
        </w:rPr>
        <w:t xml:space="preserve">Slika 1. Kalibraciona kriva za 6 nivoa koncentracije </w:t>
      </w:r>
    </w:p>
    <w:p w:rsidR="00A14A28" w:rsidRPr="00D93427" w:rsidRDefault="00A14A28" w:rsidP="00AC3EA4">
      <w:pPr>
        <w:jc w:val="center"/>
        <w:rPr>
          <w:lang w:val="sr-Latn-BA"/>
        </w:rPr>
      </w:pPr>
      <w:r w:rsidRPr="00D93427">
        <w:rPr>
          <w:lang w:val="sr-Latn-BA"/>
        </w:rPr>
        <w:t>Figure 1. Calibration curve for six level of concentration</w:t>
      </w:r>
    </w:p>
    <w:p w:rsidR="00AC3EA4" w:rsidRPr="00AC3EA4" w:rsidRDefault="00AC3EA4" w:rsidP="00AC3EA4">
      <w:pPr>
        <w:jc w:val="center"/>
        <w:rPr>
          <w:b/>
          <w:color w:val="FF0000"/>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Na slici 2 prikazan je prosječan prinos (recovery %) metoda ekstrakcije, iz čega se jasno vidi da se Soxhlet ekstrakcija pokazala kao najefikasnija sa prinosom ekstrakcije 95,48%. Prosječan prinos ekstrakcije za metodu ultrazvuka je 91,29%, a metodu mehaničkim mućkanjem 86,25%. Srednja vrijednost RSD iznosila je 17,38% za Soxhlet metodu, 23,32% za metodu ultrazvukom i 16,57% za metodu mehaničkim mućkanjem. Kod ekstrakcije ultrazvukom relativna standardna devijacija prelazi 20%, što je iznad preporučenih ≤20% [4].</w:t>
      </w:r>
    </w:p>
    <w:p w:rsidR="00AC3EA4" w:rsidRPr="00AC3EA4" w:rsidRDefault="00AC3EA4" w:rsidP="00AC3EA4">
      <w:pPr>
        <w:jc w:val="center"/>
        <w:rPr>
          <w:sz w:val="24"/>
          <w:szCs w:val="24"/>
          <w:lang w:val="sr-Latn-BA"/>
        </w:rPr>
      </w:pPr>
      <w:r w:rsidRPr="00AC3EA4">
        <w:rPr>
          <w:noProof/>
        </w:rPr>
        <w:lastRenderedPageBreak/>
        <w:drawing>
          <wp:inline distT="0" distB="0" distL="0" distR="0" wp14:anchorId="6DE9B995" wp14:editId="3A8169D3">
            <wp:extent cx="3457575" cy="2552700"/>
            <wp:effectExtent l="0" t="0" r="9525" b="1905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C3EA4" w:rsidRPr="009A4DEF" w:rsidRDefault="00AC3EA4" w:rsidP="00AC3EA4">
      <w:pPr>
        <w:jc w:val="center"/>
        <w:rPr>
          <w:sz w:val="24"/>
          <w:szCs w:val="24"/>
          <w:lang w:val="sr-Latn-BA"/>
        </w:rPr>
      </w:pPr>
    </w:p>
    <w:p w:rsidR="00AC3EA4" w:rsidRPr="00D93427" w:rsidRDefault="00AC3EA4" w:rsidP="00AC3EA4">
      <w:pPr>
        <w:jc w:val="center"/>
        <w:rPr>
          <w:lang w:val="sr-Latn-BA"/>
        </w:rPr>
      </w:pPr>
      <w:r w:rsidRPr="00D93427">
        <w:rPr>
          <w:lang w:val="sr-Latn-BA"/>
        </w:rPr>
        <w:t xml:space="preserve">Slika 2. Prinos metoda </w:t>
      </w:r>
    </w:p>
    <w:p w:rsidR="009A4DEF" w:rsidRPr="00D93427" w:rsidRDefault="009A4DEF" w:rsidP="00AC3EA4">
      <w:pPr>
        <w:jc w:val="center"/>
        <w:rPr>
          <w:lang w:val="sr-Latn-BA"/>
        </w:rPr>
      </w:pPr>
      <w:r w:rsidRPr="00D93427">
        <w:rPr>
          <w:lang w:val="sr-Latn-BA"/>
        </w:rPr>
        <w:t>Figure 2. Recovery (%)</w:t>
      </w:r>
    </w:p>
    <w:p w:rsidR="009A4DEF" w:rsidRPr="00D93427" w:rsidRDefault="009A4DEF" w:rsidP="00AC3EA4">
      <w:pPr>
        <w:jc w:val="center"/>
        <w:rPr>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Na slici</w:t>
      </w:r>
      <w:r w:rsidRPr="00AC3EA4">
        <w:rPr>
          <w:color w:val="FF0000"/>
          <w:sz w:val="24"/>
          <w:szCs w:val="24"/>
          <w:lang w:val="sr-Latn-BA"/>
        </w:rPr>
        <w:t xml:space="preserve"> </w:t>
      </w:r>
      <w:r w:rsidRPr="00AC3EA4">
        <w:rPr>
          <w:sz w:val="24"/>
          <w:szCs w:val="24"/>
          <w:lang w:val="sr-Latn-BA"/>
        </w:rPr>
        <w:t>3 prikazani su i svi pojedinačni rezultati analiza za sve tri metode ekstrakcije za svaki od nivoa zagađivanja zemljišta dizel gorivom (≈8, 15, 20, 30, 40 i 50 mg).</w:t>
      </w:r>
    </w:p>
    <w:p w:rsidR="00AC3EA4" w:rsidRPr="00AC3EA4" w:rsidRDefault="00AC3EA4" w:rsidP="00AC3EA4">
      <w:pPr>
        <w:jc w:val="both"/>
        <w:rPr>
          <w:sz w:val="24"/>
          <w:szCs w:val="24"/>
          <w:lang w:val="sr-Latn-BA"/>
        </w:rPr>
      </w:pPr>
    </w:p>
    <w:p w:rsidR="00AC3EA4" w:rsidRPr="00AC3EA4" w:rsidRDefault="00AC3EA4" w:rsidP="00AC3EA4">
      <w:pPr>
        <w:jc w:val="center"/>
        <w:rPr>
          <w:sz w:val="24"/>
          <w:szCs w:val="24"/>
          <w:lang w:val="sr-Latn-BA"/>
        </w:rPr>
      </w:pPr>
      <w:r w:rsidRPr="00AC3EA4">
        <w:rPr>
          <w:noProof/>
        </w:rPr>
        <w:drawing>
          <wp:inline distT="0" distB="0" distL="0" distR="0" wp14:anchorId="11C59A0C" wp14:editId="64B38264">
            <wp:extent cx="3552825" cy="2705100"/>
            <wp:effectExtent l="0" t="0" r="9525" b="1905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C3EA4" w:rsidRPr="009A4DEF" w:rsidRDefault="00AC3EA4" w:rsidP="00AC3EA4">
      <w:pPr>
        <w:jc w:val="center"/>
        <w:rPr>
          <w:sz w:val="24"/>
          <w:szCs w:val="24"/>
          <w:lang w:val="sr-Latn-BA"/>
        </w:rPr>
      </w:pPr>
    </w:p>
    <w:p w:rsidR="00AC3EA4" w:rsidRPr="00811036" w:rsidRDefault="00AC3EA4" w:rsidP="00AC3EA4">
      <w:pPr>
        <w:jc w:val="center"/>
        <w:rPr>
          <w:lang w:val="sr-Latn-BA"/>
        </w:rPr>
      </w:pPr>
      <w:r w:rsidRPr="00811036">
        <w:rPr>
          <w:lang w:val="sr-Latn-BA"/>
        </w:rPr>
        <w:t>Slika</w:t>
      </w:r>
      <w:r w:rsidRPr="00811036">
        <w:rPr>
          <w:color w:val="FF0000"/>
          <w:lang w:val="sr-Latn-BA"/>
        </w:rPr>
        <w:t xml:space="preserve"> </w:t>
      </w:r>
      <w:r w:rsidRPr="00811036">
        <w:rPr>
          <w:lang w:val="sr-Latn-BA"/>
        </w:rPr>
        <w:t xml:space="preserve">3. Prikaz dobijenih rezultata </w:t>
      </w:r>
    </w:p>
    <w:p w:rsidR="009A4DEF" w:rsidRPr="00811036" w:rsidRDefault="009A4DEF" w:rsidP="00AC3EA4">
      <w:pPr>
        <w:jc w:val="center"/>
        <w:rPr>
          <w:lang w:val="sr-Latn-BA"/>
        </w:rPr>
      </w:pPr>
      <w:r w:rsidRPr="00811036">
        <w:rPr>
          <w:lang w:val="sr-Latn-BA"/>
        </w:rPr>
        <w:t xml:space="preserve">Figure 3. Obtained results </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r w:rsidRPr="00AC3EA4">
        <w:rPr>
          <w:sz w:val="24"/>
          <w:szCs w:val="24"/>
          <w:lang w:val="sr-Latn-BA"/>
        </w:rPr>
        <w:t xml:space="preserve">I na ovom grafikonu takođe se može uočiti da je najveću efikasnost imala Soxhlet ekstrakcija, dok je za njom imala ekstrakcija ultrazvukom. Iz grafika na slici 3 vidi se da je najlošiju efikasnost imala ekstrakcija mehaničkim mućkanjem, sem kod  najvišeg nivoa obogaćivanja (50 mg dizel goriva) gdje je imala najbolju efikasnost.  </w:t>
      </w:r>
    </w:p>
    <w:p w:rsidR="00AC3EA4" w:rsidRPr="00AC3EA4" w:rsidRDefault="00AC3EA4" w:rsidP="00AC3EA4">
      <w:pPr>
        <w:jc w:val="both"/>
        <w:rPr>
          <w:sz w:val="24"/>
          <w:szCs w:val="24"/>
          <w:lang w:val="sr-Latn-BA"/>
        </w:rPr>
      </w:pPr>
    </w:p>
    <w:p w:rsidR="00AC3EA4" w:rsidRDefault="00AC3EA4" w:rsidP="00AC3EA4">
      <w:pPr>
        <w:rPr>
          <w:sz w:val="24"/>
          <w:szCs w:val="24"/>
          <w:lang w:val="sr-Latn-BA"/>
        </w:rPr>
      </w:pPr>
    </w:p>
    <w:p w:rsidR="00C306E0" w:rsidRDefault="00C306E0" w:rsidP="00AC3EA4">
      <w:pPr>
        <w:rPr>
          <w:sz w:val="24"/>
          <w:szCs w:val="24"/>
          <w:lang w:val="sr-Latn-BA"/>
        </w:rPr>
      </w:pPr>
    </w:p>
    <w:p w:rsidR="00C306E0" w:rsidRDefault="00C306E0" w:rsidP="00AC3EA4">
      <w:pPr>
        <w:rPr>
          <w:sz w:val="24"/>
          <w:szCs w:val="24"/>
          <w:lang w:val="sr-Latn-BA"/>
        </w:rPr>
      </w:pPr>
    </w:p>
    <w:p w:rsidR="00C306E0" w:rsidRPr="00AC3EA4" w:rsidRDefault="00C306E0" w:rsidP="00AC3EA4">
      <w:pPr>
        <w:rPr>
          <w:sz w:val="24"/>
          <w:szCs w:val="24"/>
          <w:lang w:val="sr-Latn-BA"/>
        </w:rPr>
      </w:pPr>
    </w:p>
    <w:p w:rsidR="00AC3EA4" w:rsidRPr="00AC3EA4" w:rsidRDefault="00AC3EA4" w:rsidP="00AC3EA4">
      <w:pPr>
        <w:pStyle w:val="CM1"/>
        <w:jc w:val="center"/>
        <w:rPr>
          <w:rFonts w:ascii="Times New Roman" w:hAnsi="Times New Roman"/>
          <w:b/>
          <w:sz w:val="28"/>
          <w:szCs w:val="28"/>
          <w:lang w:val="sr-Latn-BA"/>
        </w:rPr>
      </w:pPr>
      <w:r w:rsidRPr="00AC3EA4">
        <w:rPr>
          <w:rFonts w:ascii="Times New Roman" w:hAnsi="Times New Roman"/>
          <w:b/>
          <w:sz w:val="28"/>
          <w:szCs w:val="28"/>
          <w:lang w:val="sr-Latn-BA"/>
        </w:rPr>
        <w:lastRenderedPageBreak/>
        <w:t>ZAKLJUČAK</w:t>
      </w:r>
    </w:p>
    <w:p w:rsidR="00AC3EA4" w:rsidRPr="00AC3EA4" w:rsidRDefault="00AC3EA4" w:rsidP="00AC3EA4">
      <w:pPr>
        <w:rPr>
          <w:lang w:val="sr-Latn-BA"/>
        </w:rPr>
      </w:pPr>
    </w:p>
    <w:p w:rsidR="00AC3EA4" w:rsidRPr="00AC3EA4" w:rsidRDefault="00AC3EA4" w:rsidP="00AC3EA4">
      <w:pPr>
        <w:jc w:val="both"/>
        <w:rPr>
          <w:sz w:val="24"/>
          <w:szCs w:val="24"/>
          <w:lang w:val="sr-Latn-BA"/>
        </w:rPr>
      </w:pPr>
      <w:r w:rsidRPr="00AC3EA4">
        <w:rPr>
          <w:sz w:val="24"/>
          <w:szCs w:val="24"/>
          <w:lang w:val="sr-Latn-BA"/>
        </w:rPr>
        <w:t>Koeficijent korelacije</w:t>
      </w:r>
      <w:r w:rsidRPr="00AC3EA4">
        <w:rPr>
          <w:color w:val="FF0000"/>
          <w:sz w:val="24"/>
          <w:szCs w:val="24"/>
          <w:lang w:val="sr-Latn-BA"/>
        </w:rPr>
        <w:t xml:space="preserve"> </w:t>
      </w:r>
      <w:r w:rsidRPr="00AC3EA4">
        <w:rPr>
          <w:sz w:val="24"/>
          <w:szCs w:val="24"/>
          <w:lang w:val="sr-Latn-BA"/>
        </w:rPr>
        <w:t xml:space="preserve">određivanja ukupnih naftnih ugljovodonika iznosio je 0,9949, što je dobro jer minimalna vrijednost korelacionog faktora mora biti ≥0,99 [4].  </w:t>
      </w:r>
    </w:p>
    <w:p w:rsidR="00AC3EA4" w:rsidRPr="00AC3EA4" w:rsidRDefault="00AC3EA4" w:rsidP="00AC3EA4">
      <w:pPr>
        <w:jc w:val="both"/>
        <w:rPr>
          <w:sz w:val="24"/>
          <w:szCs w:val="24"/>
          <w:lang w:val="sr-Latn-BA"/>
        </w:rPr>
      </w:pPr>
      <w:r w:rsidRPr="00AC3EA4">
        <w:rPr>
          <w:sz w:val="24"/>
          <w:szCs w:val="24"/>
          <w:lang w:val="sr-Latn-BA"/>
        </w:rPr>
        <w:t>Nakon poređenja tri metode ekstrakcije (Soxhlet, ultrazvuk i mehaničko mućkanje) zemljišta zagađenog dizel gorivom, Soxhlet ekstrakcija se pokazala kao najefikasnija. U odnosu na druge dvije metode Soxhlet metoda je imala najbolje vrijednosti prosječnog prinosa ekstrakcije (recovery %) koji je iznosio 95,48%, dok je srednja vrijednost relativnog standardnog odstupanja (RSD)</w:t>
      </w:r>
      <w:r w:rsidRPr="00AC3EA4">
        <w:rPr>
          <w:color w:val="FF0000"/>
          <w:sz w:val="24"/>
          <w:szCs w:val="24"/>
          <w:lang w:val="sr-Latn-BA"/>
        </w:rPr>
        <w:t xml:space="preserve"> </w:t>
      </w:r>
      <w:r w:rsidRPr="00AC3EA4">
        <w:rPr>
          <w:sz w:val="24"/>
          <w:szCs w:val="24"/>
          <w:lang w:val="sr-Latn-BA"/>
        </w:rPr>
        <w:t xml:space="preserve">iznosila 17,38%, što je prihvatljivo jer je manje od gornje dozvoljene vrijednosti (≤20% RSD) [4]. </w:t>
      </w:r>
    </w:p>
    <w:p w:rsidR="00AC3EA4" w:rsidRPr="00AC3EA4" w:rsidRDefault="00AC3EA4" w:rsidP="00AC3EA4">
      <w:pPr>
        <w:jc w:val="both"/>
        <w:rPr>
          <w:sz w:val="24"/>
          <w:szCs w:val="24"/>
          <w:lang w:val="sr-Latn-BA"/>
        </w:rPr>
      </w:pPr>
      <w:r w:rsidRPr="00AC3EA4">
        <w:rPr>
          <w:sz w:val="24"/>
          <w:szCs w:val="24"/>
          <w:lang w:val="sr-Latn-BA"/>
        </w:rPr>
        <w:t xml:space="preserve">Soxhlet metoda sa </w:t>
      </w:r>
      <w:r w:rsidR="00C306E0">
        <w:rPr>
          <w:sz w:val="24"/>
          <w:szCs w:val="24"/>
          <w:lang w:val="sr-Latn-BA"/>
        </w:rPr>
        <w:t>n-</w:t>
      </w:r>
      <w:r w:rsidRPr="00AC3EA4">
        <w:rPr>
          <w:sz w:val="24"/>
          <w:szCs w:val="24"/>
          <w:lang w:val="sr-Latn-BA"/>
        </w:rPr>
        <w:t xml:space="preserve">heksanom kao rastvaračem pokazala se kao najbolja metoda za ekstrakciju ugljovodonika iz zemljišta zagađenog </w:t>
      </w:r>
      <w:r>
        <w:rPr>
          <w:sz w:val="24"/>
          <w:szCs w:val="24"/>
          <w:lang w:val="sr-Latn-BA"/>
        </w:rPr>
        <w:t>di</w:t>
      </w:r>
      <w:r w:rsidRPr="00AC3EA4">
        <w:rPr>
          <w:sz w:val="24"/>
          <w:szCs w:val="24"/>
          <w:lang w:val="sr-Latn-BA"/>
        </w:rPr>
        <w:t xml:space="preserve">zel gorivom (naftnim ugljovodonicima), a buduća istraživanja biće usmjerena na povećanje efikasnosti ekstrakcije i pripreme za analizu realnih uzoraka zemljišta uzetih iz životne sredine.  </w:t>
      </w:r>
    </w:p>
    <w:p w:rsidR="00AC3EA4" w:rsidRPr="00AC3EA4" w:rsidRDefault="00AC3EA4" w:rsidP="00AC3EA4">
      <w:pPr>
        <w:jc w:val="both"/>
        <w:rPr>
          <w:sz w:val="24"/>
          <w:szCs w:val="24"/>
          <w:lang w:val="sr-Latn-BA"/>
        </w:rPr>
      </w:pPr>
    </w:p>
    <w:p w:rsidR="00AC3EA4" w:rsidRPr="00AC3EA4" w:rsidRDefault="00AC3EA4" w:rsidP="00AC3EA4">
      <w:pPr>
        <w:jc w:val="both"/>
        <w:rPr>
          <w:sz w:val="24"/>
          <w:szCs w:val="24"/>
          <w:lang w:val="sr-Latn-BA"/>
        </w:rPr>
      </w:pPr>
    </w:p>
    <w:p w:rsidR="00AC3EA4" w:rsidRPr="00AC3EA4" w:rsidRDefault="00AC3EA4" w:rsidP="00AC3EA4">
      <w:pPr>
        <w:pStyle w:val="CM1"/>
        <w:jc w:val="center"/>
        <w:rPr>
          <w:rFonts w:ascii="Times New Roman" w:hAnsi="Times New Roman"/>
          <w:b/>
          <w:sz w:val="28"/>
          <w:szCs w:val="28"/>
          <w:lang w:val="sr-Latn-BA"/>
        </w:rPr>
      </w:pPr>
      <w:r w:rsidRPr="00AC3EA4">
        <w:rPr>
          <w:rFonts w:ascii="Times New Roman" w:hAnsi="Times New Roman"/>
          <w:b/>
          <w:sz w:val="28"/>
          <w:szCs w:val="28"/>
          <w:lang w:val="sr-Latn-BA"/>
        </w:rPr>
        <w:t>LITERATURA</w:t>
      </w:r>
    </w:p>
    <w:p w:rsidR="00AC3EA4" w:rsidRPr="00AC3EA4" w:rsidRDefault="00AC3EA4" w:rsidP="00AC3EA4">
      <w:pPr>
        <w:pStyle w:val="Default"/>
        <w:rPr>
          <w:lang w:val="sr-Latn-BA"/>
        </w:rPr>
      </w:pPr>
    </w:p>
    <w:p w:rsidR="00AC3EA4" w:rsidRPr="00AC3EA4" w:rsidRDefault="00AC3EA4" w:rsidP="00AC3EA4">
      <w:pPr>
        <w:pStyle w:val="CM1"/>
        <w:ind w:left="360" w:hanging="360"/>
        <w:jc w:val="both"/>
        <w:rPr>
          <w:rFonts w:ascii="Times New Roman" w:hAnsi="Times New Roman"/>
          <w:color w:val="0000FF"/>
          <w:u w:val="single"/>
          <w:lang w:val="sr-Latn-BA"/>
        </w:rPr>
      </w:pPr>
      <w:r w:rsidRPr="00AC3EA4">
        <w:rPr>
          <w:rFonts w:ascii="Times New Roman" w:hAnsi="Times New Roman"/>
          <w:color w:val="000000"/>
          <w:lang w:val="sr-Latn-BA"/>
        </w:rPr>
        <w:t xml:space="preserve">[1] Agency for Toxic Substances and Disease Registry: </w:t>
      </w:r>
      <w:r w:rsidRPr="00AC3EA4">
        <w:rPr>
          <w:rFonts w:ascii="Times New Roman" w:hAnsi="Times New Roman"/>
          <w:bCs/>
          <w:color w:val="000000"/>
          <w:lang w:val="sr-Latn-BA"/>
        </w:rPr>
        <w:t>TOXICOLOGICAL PROFILE FOR TOTAL PETROLEUM HYDROCARBONS (TPH), U.S. DEPARTMENT OF HEALTH</w:t>
      </w:r>
      <w:r w:rsidRPr="00AC3EA4">
        <w:rPr>
          <w:rFonts w:ascii="Times New Roman" w:hAnsi="Times New Roman"/>
          <w:b/>
          <w:bCs/>
          <w:color w:val="000000"/>
          <w:lang w:val="sr-Latn-BA"/>
        </w:rPr>
        <w:t xml:space="preserve"> </w:t>
      </w:r>
      <w:r w:rsidRPr="00AC3EA4">
        <w:rPr>
          <w:rFonts w:ascii="Times New Roman" w:hAnsi="Times New Roman"/>
          <w:bCs/>
          <w:color w:val="000000"/>
          <w:lang w:val="sr-Latn-BA"/>
        </w:rPr>
        <w:t>AND HUMAN SERVICES Public Health Service,</w:t>
      </w:r>
      <w:r w:rsidRPr="00AC3EA4">
        <w:rPr>
          <w:rFonts w:ascii="Times New Roman" w:hAnsi="Times New Roman"/>
          <w:color w:val="000000"/>
          <w:lang w:val="sr-Latn-BA"/>
        </w:rPr>
        <w:t xml:space="preserve"> September 1999, </w:t>
      </w:r>
      <w:r w:rsidR="005030A0">
        <w:rPr>
          <w:rFonts w:ascii="Times New Roman" w:hAnsi="Times New Roman"/>
          <w:color w:val="000000"/>
          <w:lang w:val="sr-Latn-BA"/>
        </w:rPr>
        <w:t xml:space="preserve">Dostupno na: </w:t>
      </w:r>
      <w:hyperlink r:id="rId11" w:history="1">
        <w:r w:rsidRPr="00AC3EA4">
          <w:rPr>
            <w:rStyle w:val="Hyperlink"/>
            <w:rFonts w:ascii="Times New Roman" w:hAnsi="Times New Roman"/>
            <w:lang w:val="sr-Latn-BA"/>
          </w:rPr>
          <w:t>https://www.atsdr.cdc.gov/toxprofiles/tp123-p.pdf</w:t>
        </w:r>
      </w:hyperlink>
      <w:r w:rsidR="005030A0">
        <w:rPr>
          <w:rStyle w:val="Hyperlink"/>
          <w:rFonts w:ascii="Times New Roman" w:hAnsi="Times New Roman"/>
          <w:lang w:val="sr-Latn-BA"/>
        </w:rPr>
        <w:t xml:space="preserve"> </w:t>
      </w:r>
    </w:p>
    <w:p w:rsidR="00AC3EA4" w:rsidRPr="00AC3EA4" w:rsidRDefault="00AC3EA4" w:rsidP="00AC3EA4">
      <w:pPr>
        <w:rPr>
          <w:lang w:val="sr-Latn-BA"/>
        </w:rPr>
      </w:pPr>
    </w:p>
    <w:p w:rsidR="00AC3EA4" w:rsidRPr="00AC3EA4" w:rsidRDefault="00AC3EA4" w:rsidP="00AC3EA4">
      <w:pPr>
        <w:pStyle w:val="Default"/>
        <w:ind w:left="360" w:hanging="360"/>
        <w:jc w:val="both"/>
        <w:rPr>
          <w:color w:val="auto"/>
          <w:lang w:val="sr-Latn-BA"/>
        </w:rPr>
      </w:pPr>
      <w:r w:rsidRPr="00AC3EA4">
        <w:rPr>
          <w:color w:val="auto"/>
          <w:lang w:val="sr-Latn-BA"/>
        </w:rPr>
        <w:t>[2] Beškovski P. V., Gojgić-Cvijović Đ. Gordana, Milić S. Jelena, Ilić V. Mila, Miletić B. S., Jovančićević S. B., Vrvić M. M.: Bioremedijacija zemljišta kontaminiranog naftom i naftnim derivatima: mikroorganizmi, putanje razgradnje, tehnologije, Hem. Ind. 66 (2)</w:t>
      </w:r>
      <w:r w:rsidR="0028443B">
        <w:rPr>
          <w:color w:val="auto"/>
          <w:lang w:val="sr-Latn-BA"/>
        </w:rPr>
        <w:t>(2012) 275-289</w:t>
      </w:r>
    </w:p>
    <w:p w:rsidR="00AC3EA4" w:rsidRPr="00AC3EA4" w:rsidRDefault="00AC3EA4" w:rsidP="00AC3EA4">
      <w:pPr>
        <w:pStyle w:val="Default"/>
        <w:jc w:val="both"/>
        <w:rPr>
          <w:color w:val="auto"/>
          <w:lang w:val="sr-Latn-BA"/>
        </w:rPr>
      </w:pPr>
    </w:p>
    <w:p w:rsidR="00AC3EA4" w:rsidRPr="00AC3EA4" w:rsidRDefault="00AC3EA4" w:rsidP="00AC3EA4">
      <w:pPr>
        <w:pStyle w:val="Default"/>
        <w:ind w:left="360" w:hanging="360"/>
        <w:jc w:val="both"/>
        <w:rPr>
          <w:color w:val="auto"/>
          <w:lang w:val="sr-Latn-BA"/>
        </w:rPr>
      </w:pPr>
      <w:r w:rsidRPr="00AC3EA4">
        <w:rPr>
          <w:lang w:val="sr-Latn-BA"/>
        </w:rPr>
        <w:t xml:space="preserve">[3] </w:t>
      </w:r>
      <w:r w:rsidRPr="00AC3EA4">
        <w:rPr>
          <w:color w:val="auto"/>
          <w:lang w:val="sr-Latn-BA"/>
        </w:rPr>
        <w:t>Okop J. I., Ekpo C. S.: Determination of Total Hydrocarbon Content in Soil after Petroleum Spillage, Proceedings of the World Congre</w:t>
      </w:r>
      <w:r w:rsidR="0028443B">
        <w:rPr>
          <w:color w:val="auto"/>
          <w:lang w:val="sr-Latn-BA"/>
        </w:rPr>
        <w:t>ss on Engineering, Vol. III, London</w:t>
      </w:r>
      <w:r w:rsidRPr="00AC3EA4">
        <w:rPr>
          <w:color w:val="auto"/>
          <w:lang w:val="sr-Latn-BA"/>
        </w:rPr>
        <w:t xml:space="preserve"> </w:t>
      </w:r>
      <w:r w:rsidR="0028443B">
        <w:rPr>
          <w:color w:val="auto"/>
          <w:lang w:val="sr-Latn-BA"/>
        </w:rPr>
        <w:t>(</w:t>
      </w:r>
      <w:r w:rsidRPr="00AC3EA4">
        <w:rPr>
          <w:color w:val="auto"/>
          <w:lang w:val="sr-Latn-BA"/>
        </w:rPr>
        <w:t>2012</w:t>
      </w:r>
      <w:r w:rsidR="0028443B">
        <w:rPr>
          <w:color w:val="auto"/>
          <w:lang w:val="sr-Latn-BA"/>
        </w:rPr>
        <w:t>) str.1-5.</w:t>
      </w:r>
    </w:p>
    <w:p w:rsidR="00AC3EA4" w:rsidRPr="00AC3EA4" w:rsidRDefault="00AC3EA4" w:rsidP="00AC3EA4">
      <w:pPr>
        <w:jc w:val="both"/>
        <w:rPr>
          <w:lang w:val="sr-Latn-BA"/>
        </w:rPr>
      </w:pPr>
    </w:p>
    <w:p w:rsidR="00AC3EA4" w:rsidRPr="00AC3EA4" w:rsidRDefault="00AC3EA4" w:rsidP="00AC3EA4">
      <w:pPr>
        <w:ind w:left="360" w:hanging="360"/>
        <w:jc w:val="both"/>
        <w:rPr>
          <w:sz w:val="24"/>
          <w:szCs w:val="24"/>
          <w:lang w:val="sr-Latn-BA"/>
        </w:rPr>
      </w:pPr>
      <w:r w:rsidRPr="00AC3EA4">
        <w:rPr>
          <w:sz w:val="24"/>
          <w:szCs w:val="24"/>
          <w:lang w:val="sr-Latn-BA"/>
        </w:rPr>
        <w:t>[4] ESS Laboratory, Division of Thielsch Engineering, Cranston, RI, SOP 60_8100-mod Total Petroleum Hydrocarbons (SW846 Method 8100 modified/Conn ETPH) by GC/FID, 2008</w:t>
      </w:r>
    </w:p>
    <w:p w:rsidR="00AC3EA4" w:rsidRPr="00AC3EA4" w:rsidRDefault="00AC3EA4" w:rsidP="00AC3EA4">
      <w:pPr>
        <w:jc w:val="both"/>
        <w:rPr>
          <w:sz w:val="24"/>
          <w:szCs w:val="24"/>
          <w:lang w:val="sr-Latn-BA"/>
        </w:rPr>
      </w:pPr>
    </w:p>
    <w:p w:rsidR="00AC3EA4" w:rsidRPr="00AC3EA4" w:rsidRDefault="00AC3EA4" w:rsidP="00AC3EA4">
      <w:pPr>
        <w:pStyle w:val="Default"/>
        <w:jc w:val="both"/>
        <w:rPr>
          <w:color w:val="auto"/>
          <w:lang w:val="sr-Latn-BA"/>
        </w:rPr>
      </w:pPr>
    </w:p>
    <w:p w:rsidR="00AC3EA4" w:rsidRPr="00AC3EA4" w:rsidRDefault="00AC3EA4" w:rsidP="00AC3EA4">
      <w:pPr>
        <w:pStyle w:val="Default"/>
        <w:rPr>
          <w:rFonts w:ascii="Arial" w:hAnsi="Arial" w:cs="Arial"/>
          <w:lang w:val="sr-Latn-BA"/>
        </w:rPr>
      </w:pPr>
    </w:p>
    <w:p w:rsidR="009B61F1" w:rsidRDefault="009B61F1" w:rsidP="009B61F1">
      <w:pPr>
        <w:jc w:val="center"/>
        <w:rPr>
          <w:b/>
          <w:bCs/>
          <w:snapToGrid/>
          <w:sz w:val="28"/>
          <w:szCs w:val="28"/>
        </w:rPr>
      </w:pPr>
      <w:r>
        <w:rPr>
          <w:b/>
          <w:bCs/>
          <w:sz w:val="28"/>
          <w:szCs w:val="28"/>
        </w:rPr>
        <w:t>METHODS OF EXTRACTION TOTAL PETROLEUM HYDROCARBONS FROM SOIL</w:t>
      </w:r>
    </w:p>
    <w:p w:rsidR="009B61F1" w:rsidRDefault="009B61F1" w:rsidP="009B61F1">
      <w:pPr>
        <w:jc w:val="center"/>
        <w:rPr>
          <w:sz w:val="24"/>
          <w:szCs w:val="24"/>
        </w:rPr>
      </w:pPr>
    </w:p>
    <w:p w:rsidR="009B61F1" w:rsidRDefault="009B61F1" w:rsidP="009B61F1">
      <w:pPr>
        <w:tabs>
          <w:tab w:val="left" w:pos="3300"/>
        </w:tabs>
        <w:jc w:val="both"/>
        <w:rPr>
          <w:sz w:val="24"/>
          <w:szCs w:val="24"/>
        </w:rPr>
      </w:pPr>
      <w:r>
        <w:rPr>
          <w:sz w:val="24"/>
          <w:szCs w:val="24"/>
        </w:rPr>
        <w:tab/>
      </w:r>
    </w:p>
    <w:p w:rsidR="009B61F1" w:rsidRDefault="009B61F1" w:rsidP="009B61F1">
      <w:pPr>
        <w:jc w:val="both"/>
        <w:rPr>
          <w:sz w:val="24"/>
          <w:szCs w:val="24"/>
        </w:rPr>
      </w:pPr>
      <w:r>
        <w:rPr>
          <w:sz w:val="24"/>
          <w:szCs w:val="24"/>
        </w:rPr>
        <w:t>Agricultural and industrial soil in some places, such as places near roads, gas stations, construction sites and automobile repair workshops has potentially risk to be affected by contamination of petroleum hydrocarbons. To determine the composition and amount of hydrocarbons adsorbed on the soil, the fi</w:t>
      </w:r>
      <w:bookmarkStart w:id="0" w:name="_GoBack"/>
      <w:bookmarkEnd w:id="0"/>
      <w:r>
        <w:rPr>
          <w:sz w:val="24"/>
          <w:szCs w:val="24"/>
        </w:rPr>
        <w:t xml:space="preserve">rst step is </w:t>
      </w:r>
      <w:proofErr w:type="gramStart"/>
      <w:r>
        <w:rPr>
          <w:sz w:val="24"/>
          <w:szCs w:val="24"/>
        </w:rPr>
        <w:t>their desorption</w:t>
      </w:r>
      <w:proofErr w:type="gramEnd"/>
      <w:r>
        <w:rPr>
          <w:sz w:val="24"/>
          <w:szCs w:val="24"/>
        </w:rPr>
        <w:t xml:space="preserve"> i.e. the extraction of contaminated samples.</w:t>
      </w:r>
    </w:p>
    <w:p w:rsidR="009B61F1" w:rsidRDefault="009B61F1" w:rsidP="009B61F1">
      <w:pPr>
        <w:jc w:val="both"/>
        <w:rPr>
          <w:sz w:val="24"/>
          <w:szCs w:val="24"/>
        </w:rPr>
      </w:pPr>
      <w:r>
        <w:rPr>
          <w:sz w:val="24"/>
          <w:szCs w:val="24"/>
        </w:rPr>
        <w:t xml:space="preserve">For extraction of total petroleum hydrocarbons adsorbed on the soil were used 3 methods: extraction by </w:t>
      </w:r>
      <w:proofErr w:type="spellStart"/>
      <w:r>
        <w:rPr>
          <w:sz w:val="24"/>
          <w:szCs w:val="24"/>
        </w:rPr>
        <w:t>Soxhlet</w:t>
      </w:r>
      <w:proofErr w:type="spellEnd"/>
      <w:r>
        <w:rPr>
          <w:sz w:val="24"/>
          <w:szCs w:val="24"/>
        </w:rPr>
        <w:t xml:space="preserve">, the ultrasonic extraction and extraction by mechanical shaking. The efficiency of these methods was tested on a series of model samples obtained by mixing a </w:t>
      </w:r>
      <w:r>
        <w:rPr>
          <w:sz w:val="24"/>
          <w:szCs w:val="24"/>
        </w:rPr>
        <w:lastRenderedPageBreak/>
        <w:t xml:space="preserve">certain amount of diesel fuel with a dry non-contaminated soil. Enriching the soil samples was performed on six different concentration levels. N-hexane was used as the extracting solvent. </w:t>
      </w:r>
      <w:r>
        <w:rPr>
          <w:sz w:val="24"/>
          <w:szCs w:val="24"/>
        </w:rPr>
        <w:br/>
        <w:t xml:space="preserve">Determination of extracted total petroleum hydrocarbons were performed on the gas chromatograph with the flame-ionization detector (GC-FID). </w:t>
      </w:r>
    </w:p>
    <w:p w:rsidR="009B61F1" w:rsidRDefault="009B61F1" w:rsidP="009B61F1">
      <w:pPr>
        <w:jc w:val="both"/>
        <w:rPr>
          <w:sz w:val="24"/>
          <w:szCs w:val="24"/>
        </w:rPr>
      </w:pPr>
      <w:r>
        <w:rPr>
          <w:sz w:val="24"/>
          <w:szCs w:val="24"/>
        </w:rPr>
        <w:t>The assessment of the applicability of the selected solvent and extraction methods for testing of real soil samples contaminated by petroleum hydrocarbons was carried out based on the model samples.</w:t>
      </w:r>
    </w:p>
    <w:p w:rsidR="009B61F1" w:rsidRDefault="009B61F1" w:rsidP="009B61F1">
      <w:pPr>
        <w:jc w:val="both"/>
        <w:rPr>
          <w:sz w:val="24"/>
          <w:szCs w:val="24"/>
        </w:rPr>
      </w:pPr>
      <w:r>
        <w:rPr>
          <w:sz w:val="24"/>
          <w:szCs w:val="24"/>
        </w:rPr>
        <w:t xml:space="preserve">The results showed that </w:t>
      </w:r>
      <w:proofErr w:type="spellStart"/>
      <w:r>
        <w:rPr>
          <w:sz w:val="24"/>
          <w:szCs w:val="24"/>
        </w:rPr>
        <w:t>Soxhlet</w:t>
      </w:r>
      <w:proofErr w:type="spellEnd"/>
      <w:r>
        <w:rPr>
          <w:sz w:val="24"/>
          <w:szCs w:val="24"/>
        </w:rPr>
        <w:t xml:space="preserve"> extraction method has the most efficiency in extraction of total petroleum hydrocarbons compared with other two methods.</w:t>
      </w:r>
    </w:p>
    <w:p w:rsidR="009B61F1" w:rsidRDefault="009B61F1" w:rsidP="009B61F1">
      <w:pPr>
        <w:widowControl/>
        <w:jc w:val="both"/>
        <w:rPr>
          <w:sz w:val="24"/>
          <w:szCs w:val="24"/>
        </w:rPr>
      </w:pPr>
    </w:p>
    <w:p w:rsidR="009B61F1" w:rsidRDefault="009B61F1" w:rsidP="009B61F1">
      <w:pPr>
        <w:widowControl/>
        <w:jc w:val="both"/>
        <w:rPr>
          <w:sz w:val="24"/>
          <w:szCs w:val="24"/>
        </w:rPr>
      </w:pPr>
      <w:r>
        <w:rPr>
          <w:sz w:val="24"/>
          <w:szCs w:val="24"/>
        </w:rPr>
        <w:t xml:space="preserve">Key words: Total Petroleum Hydrocarbons; </w:t>
      </w:r>
      <w:proofErr w:type="spellStart"/>
      <w:r>
        <w:rPr>
          <w:sz w:val="24"/>
          <w:szCs w:val="24"/>
        </w:rPr>
        <w:t>Soxhlet</w:t>
      </w:r>
      <w:proofErr w:type="spellEnd"/>
      <w:r>
        <w:rPr>
          <w:sz w:val="24"/>
          <w:szCs w:val="24"/>
        </w:rPr>
        <w:t xml:space="preserve"> extraction; ultrasonic extraction; extraction by mechanical shaking. </w:t>
      </w:r>
    </w:p>
    <w:p w:rsidR="009B61F1" w:rsidRDefault="009B61F1" w:rsidP="009B61F1">
      <w:pPr>
        <w:jc w:val="both"/>
        <w:rPr>
          <w:b/>
          <w:bCs/>
          <w:sz w:val="24"/>
          <w:szCs w:val="24"/>
        </w:rPr>
      </w:pPr>
    </w:p>
    <w:p w:rsidR="009B61F1" w:rsidRDefault="009B61F1" w:rsidP="009B61F1"/>
    <w:p w:rsidR="00AC3EA4" w:rsidRPr="00AC3EA4" w:rsidRDefault="00AC3EA4" w:rsidP="00AC3EA4">
      <w:pPr>
        <w:pStyle w:val="Default"/>
        <w:rPr>
          <w:lang w:val="sr-Latn-BA"/>
        </w:rPr>
      </w:pPr>
    </w:p>
    <w:p w:rsidR="00F51C5C" w:rsidRPr="00AC3EA4" w:rsidRDefault="00F51C5C" w:rsidP="00AC3EA4">
      <w:pPr>
        <w:rPr>
          <w:lang w:val="sr-Latn-BA"/>
        </w:rPr>
      </w:pPr>
    </w:p>
    <w:sectPr w:rsidR="00F51C5C" w:rsidRPr="00AC3EA4" w:rsidSect="00C2020E">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0A3" w:rsidRDefault="00EF60A3">
      <w:r>
        <w:separator/>
      </w:r>
    </w:p>
  </w:endnote>
  <w:endnote w:type="continuationSeparator" w:id="0">
    <w:p w:rsidR="00EF60A3" w:rsidRDefault="00EF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EOGEP+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0A3" w:rsidRDefault="00EF60A3">
      <w:r>
        <w:separator/>
      </w:r>
    </w:p>
  </w:footnote>
  <w:footnote w:type="continuationSeparator" w:id="0">
    <w:p w:rsidR="00EF60A3" w:rsidRDefault="00EF6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BE8" w:rsidRPr="00ED09E2" w:rsidRDefault="00170759"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265A46"/>
    <w:multiLevelType w:val="hybridMultilevel"/>
    <w:tmpl w:val="2F4E34F6"/>
    <w:lvl w:ilvl="0" w:tplc="47B8ACD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3E0"/>
    <w:rsid w:val="000B571A"/>
    <w:rsid w:val="00170759"/>
    <w:rsid w:val="0028443B"/>
    <w:rsid w:val="003C66C7"/>
    <w:rsid w:val="00446239"/>
    <w:rsid w:val="005030A0"/>
    <w:rsid w:val="005903E0"/>
    <w:rsid w:val="005D5D92"/>
    <w:rsid w:val="006659C5"/>
    <w:rsid w:val="00681E88"/>
    <w:rsid w:val="006D5C44"/>
    <w:rsid w:val="0078501E"/>
    <w:rsid w:val="00811036"/>
    <w:rsid w:val="008C2545"/>
    <w:rsid w:val="00924911"/>
    <w:rsid w:val="00993B8D"/>
    <w:rsid w:val="009A4DEF"/>
    <w:rsid w:val="009B61F1"/>
    <w:rsid w:val="00A14A28"/>
    <w:rsid w:val="00AA349F"/>
    <w:rsid w:val="00AC3EA4"/>
    <w:rsid w:val="00C306E0"/>
    <w:rsid w:val="00D93427"/>
    <w:rsid w:val="00E05477"/>
    <w:rsid w:val="00EF60A3"/>
    <w:rsid w:val="00F51C5C"/>
    <w:rsid w:val="00F81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81A70-99C0-495C-BC1A-589C7112F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681E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E88"/>
    <w:rPr>
      <w:rFonts w:ascii="Segoe UI" w:eastAsia="Times New Roman" w:hAnsi="Segoe UI" w:cs="Segoe UI"/>
      <w:snapToGrid w:val="0"/>
      <w:sz w:val="18"/>
      <w:szCs w:val="18"/>
    </w:rPr>
  </w:style>
  <w:style w:type="table" w:styleId="TableGrid">
    <w:name w:val="Table Grid"/>
    <w:basedOn w:val="TableNormal"/>
    <w:uiPriority w:val="59"/>
    <w:rsid w:val="00AC3EA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uiPriority w:val="99"/>
    <w:rsid w:val="00AC3EA4"/>
    <w:pPr>
      <w:widowControl/>
      <w:autoSpaceDE w:val="0"/>
      <w:autoSpaceDN w:val="0"/>
      <w:adjustRightInd w:val="0"/>
    </w:pPr>
    <w:rPr>
      <w:rFonts w:ascii="MEOGEP+Arial,Bold" w:eastAsia="Calibri" w:hAnsi="MEOGEP+Arial,Bold"/>
      <w:snapToGrid/>
      <w:sz w:val="24"/>
      <w:szCs w:val="24"/>
    </w:rPr>
  </w:style>
  <w:style w:type="paragraph" w:customStyle="1" w:styleId="Default">
    <w:name w:val="Default"/>
    <w:uiPriority w:val="99"/>
    <w:rsid w:val="00AC3E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AC3EA4"/>
    <w:pPr>
      <w:widowControl/>
      <w:spacing w:after="200" w:line="276" w:lineRule="auto"/>
      <w:ind w:left="720"/>
      <w:contextualSpacing/>
    </w:pPr>
    <w:rPr>
      <w:rFonts w:ascii="Calibri" w:eastAsia="Calibri" w:hAnsi="Calibri"/>
      <w:snapToGrid/>
      <w:sz w:val="22"/>
      <w:szCs w:val="22"/>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92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sdr.cdc.gov/toxprofiles/tp123-p.pdf"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F:\kalibracija4.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F:\kalibracija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esktop\MASTER\MasterRad\Obrada%20podatak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spPr>
            <a:ln w="28575">
              <a:noFill/>
            </a:ln>
          </c:spPr>
          <c:trendline>
            <c:trendlineType val="linear"/>
            <c:dispRSqr val="0"/>
            <c:dispEq val="0"/>
          </c:trendline>
          <c:trendline>
            <c:trendlineType val="linear"/>
            <c:dispRSqr val="0"/>
            <c:dispEq val="0"/>
          </c:trendline>
          <c:trendline>
            <c:trendlineType val="linear"/>
            <c:dispRSqr val="1"/>
            <c:dispEq val="1"/>
            <c:trendlineLbl>
              <c:layout>
                <c:manualLayout>
                  <c:x val="-0.10075181280306063"/>
                  <c:y val="1.7981454740302792E-2"/>
                </c:manualLayout>
              </c:layout>
              <c:numFmt formatCode="General" sourceLinked="0"/>
              <c:txPr>
                <a:bodyPr/>
                <a:lstStyle/>
                <a:p>
                  <a:pPr>
                    <a:defRPr sz="1000"/>
                  </a:pPr>
                  <a:endParaRPr lang="en-US"/>
                </a:p>
              </c:txPr>
            </c:trendlineLbl>
          </c:trendline>
          <c:xVal>
            <c:numRef>
              <c:f>Sheet3!$B$3:$B$9</c:f>
              <c:numCache>
                <c:formatCode>General</c:formatCode>
                <c:ptCount val="7"/>
                <c:pt idx="0">
                  <c:v>9.24</c:v>
                </c:pt>
                <c:pt idx="1">
                  <c:v>15.92</c:v>
                </c:pt>
                <c:pt idx="2">
                  <c:v>21.22</c:v>
                </c:pt>
                <c:pt idx="3">
                  <c:v>31.56</c:v>
                </c:pt>
                <c:pt idx="4">
                  <c:v>42.16</c:v>
                </c:pt>
                <c:pt idx="5">
                  <c:v>51.22</c:v>
                </c:pt>
                <c:pt idx="6">
                  <c:v>60.86</c:v>
                </c:pt>
              </c:numCache>
            </c:numRef>
          </c:xVal>
          <c:yVal>
            <c:numRef>
              <c:f>Sheet3!$C$3:$C$9</c:f>
              <c:numCache>
                <c:formatCode>0.00</c:formatCode>
                <c:ptCount val="7"/>
                <c:pt idx="0">
                  <c:v>11172.78</c:v>
                </c:pt>
                <c:pt idx="1">
                  <c:v>19653.7</c:v>
                </c:pt>
                <c:pt idx="2">
                  <c:v>32818.572999999997</c:v>
                </c:pt>
                <c:pt idx="3">
                  <c:v>53970.173000000003</c:v>
                </c:pt>
                <c:pt idx="4">
                  <c:v>77901.077999999994</c:v>
                </c:pt>
                <c:pt idx="5">
                  <c:v>102397.976</c:v>
                </c:pt>
                <c:pt idx="6">
                  <c:v>126909.52</c:v>
                </c:pt>
              </c:numCache>
            </c:numRef>
          </c:yVal>
          <c:smooth val="0"/>
        </c:ser>
        <c:dLbls>
          <c:showLegendKey val="0"/>
          <c:showVal val="0"/>
          <c:showCatName val="0"/>
          <c:showSerName val="0"/>
          <c:showPercent val="0"/>
          <c:showBubbleSize val="0"/>
        </c:dLbls>
        <c:axId val="1815477392"/>
        <c:axId val="1815462160"/>
      </c:scatterChart>
      <c:valAx>
        <c:axId val="1815477392"/>
        <c:scaling>
          <c:orientation val="minMax"/>
        </c:scaling>
        <c:delete val="0"/>
        <c:axPos val="b"/>
        <c:title>
          <c:tx>
            <c:rich>
              <a:bodyPr/>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Koncentracija</a:t>
                </a:r>
                <a:r>
                  <a:rPr lang="sr-Cyrl-BA" sz="1000">
                    <a:latin typeface="Times New Roman" pitchFamily="18" charset="0"/>
                    <a:cs typeface="Times New Roman" pitchFamily="18" charset="0"/>
                  </a:rPr>
                  <a:t> (</a:t>
                </a:r>
                <a:r>
                  <a:rPr lang="sr-Latn-BA" sz="1000">
                    <a:latin typeface="Times New Roman" pitchFamily="18" charset="0"/>
                    <a:cs typeface="Times New Roman" pitchFamily="18" charset="0"/>
                  </a:rPr>
                  <a:t>mg/ml)</a:t>
                </a:r>
                <a:endParaRPr lang="en-US" sz="1000">
                  <a:latin typeface="Times New Roman" pitchFamily="18" charset="0"/>
                  <a:cs typeface="Times New Roman" pitchFamily="18" charset="0"/>
                </a:endParaRPr>
              </a:p>
            </c:rich>
          </c:tx>
          <c:layout/>
          <c:overlay val="0"/>
        </c:title>
        <c:numFmt formatCode="General" sourceLinked="1"/>
        <c:majorTickMark val="out"/>
        <c:minorTickMark val="none"/>
        <c:tickLblPos val="nextTo"/>
        <c:txPr>
          <a:bodyPr rot="0" vert="horz"/>
          <a:lstStyle/>
          <a:p>
            <a:pPr>
              <a:defRPr sz="1000" b="0" i="0" u="none" strike="noStrike" baseline="0">
                <a:solidFill>
                  <a:srgbClr val="000000"/>
                </a:solidFill>
                <a:latin typeface="Times New Roman" pitchFamily="18" charset="0"/>
                <a:ea typeface="Calibri"/>
                <a:cs typeface="Times New Roman" pitchFamily="18" charset="0"/>
              </a:defRPr>
            </a:pPr>
            <a:endParaRPr lang="en-US"/>
          </a:p>
        </c:txPr>
        <c:crossAx val="1815462160"/>
        <c:crosses val="autoZero"/>
        <c:crossBetween val="midCat"/>
      </c:valAx>
      <c:valAx>
        <c:axId val="1815462160"/>
        <c:scaling>
          <c:orientation val="minMax"/>
        </c:scaling>
        <c:delete val="0"/>
        <c:axPos val="l"/>
        <c:majorGridlines/>
        <c:title>
          <c:tx>
            <c:rich>
              <a:bodyPr rot="-5400000" vert="horz"/>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Površina</a:t>
                </a:r>
                <a:endParaRPr lang="en-US" sz="1000">
                  <a:latin typeface="Times New Roman" pitchFamily="18" charset="0"/>
                  <a:cs typeface="Times New Roman" pitchFamily="18" charset="0"/>
                </a:endParaRPr>
              </a:p>
            </c:rich>
          </c:tx>
          <c:layout/>
          <c:overlay val="0"/>
        </c:title>
        <c:numFmt formatCode="0.00"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1815477392"/>
        <c:crosses val="autoZero"/>
        <c:crossBetween val="midCat"/>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3"/>
    </mc:Choice>
    <mc:Fallback>
      <c:style val="23"/>
    </mc:Fallback>
  </mc:AlternateContent>
  <c:chart>
    <c:autoTitleDeleted val="1"/>
    <c:plotArea>
      <c:layout/>
      <c:barChart>
        <c:barDir val="col"/>
        <c:grouping val="clustered"/>
        <c:varyColors val="0"/>
        <c:ser>
          <c:idx val="0"/>
          <c:order val="0"/>
          <c:tx>
            <c:v>Принос методе (%)</c:v>
          </c:tx>
          <c:invertIfNegative val="0"/>
          <c:dLbls>
            <c:spPr>
              <a:noFill/>
              <a:ln>
                <a:noFill/>
              </a:ln>
              <a:effectLst/>
            </c:spPr>
            <c:txPr>
              <a:bodyPr/>
              <a:lstStyle/>
              <a:p>
                <a:pPr>
                  <a:defRPr sz="10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Lit>
              <c:ptCount val="3"/>
              <c:pt idx="0">
                <c:v>Soxhlet</c:v>
              </c:pt>
              <c:pt idx="1">
                <c:v> Ultrazvuk</c:v>
              </c:pt>
              <c:pt idx="2">
                <c:v> Mućkanje</c:v>
              </c:pt>
            </c:strLit>
          </c:cat>
          <c:val>
            <c:numRef>
              <c:f>Sheet4!$C$17:$C$19</c:f>
              <c:numCache>
                <c:formatCode>0.00</c:formatCode>
                <c:ptCount val="3"/>
                <c:pt idx="0">
                  <c:v>95.475724195837827</c:v>
                </c:pt>
                <c:pt idx="1">
                  <c:v>91.294090590632536</c:v>
                </c:pt>
                <c:pt idx="2">
                  <c:v>86.25363699108037</c:v>
                </c:pt>
              </c:numCache>
            </c:numRef>
          </c:val>
        </c:ser>
        <c:dLbls>
          <c:showLegendKey val="0"/>
          <c:showVal val="0"/>
          <c:showCatName val="0"/>
          <c:showSerName val="0"/>
          <c:showPercent val="0"/>
          <c:showBubbleSize val="0"/>
        </c:dLbls>
        <c:gapWidth val="150"/>
        <c:axId val="1815473040"/>
        <c:axId val="1815468688"/>
      </c:barChart>
      <c:catAx>
        <c:axId val="1815473040"/>
        <c:scaling>
          <c:orientation val="minMax"/>
        </c:scaling>
        <c:delete val="0"/>
        <c:axPos val="b"/>
        <c:title>
          <c:tx>
            <c:rich>
              <a:bodyPr/>
              <a:lstStyle/>
              <a:p>
                <a:pPr>
                  <a:defRPr sz="1000"/>
                </a:pPr>
                <a:r>
                  <a:rPr lang="sr-Latn-BA" sz="1000">
                    <a:latin typeface="Times New Roman" pitchFamily="18" charset="0"/>
                    <a:cs typeface="Times New Roman" pitchFamily="18" charset="0"/>
                  </a:rPr>
                  <a:t>Metode ekstrakcije</a:t>
                </a:r>
                <a:endParaRPr lang="en-US" sz="1000">
                  <a:latin typeface="Times New Roman" pitchFamily="18" charset="0"/>
                  <a:cs typeface="Times New Roman" pitchFamily="18" charset="0"/>
                </a:endParaRPr>
              </a:p>
            </c:rich>
          </c:tx>
          <c:layout/>
          <c:overlay val="0"/>
        </c:title>
        <c:numFmt formatCode="General"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1815468688"/>
        <c:crosses val="autoZero"/>
        <c:auto val="1"/>
        <c:lblAlgn val="ctr"/>
        <c:lblOffset val="100"/>
        <c:noMultiLvlLbl val="0"/>
      </c:catAx>
      <c:valAx>
        <c:axId val="1815468688"/>
        <c:scaling>
          <c:orientation val="minMax"/>
        </c:scaling>
        <c:delete val="0"/>
        <c:axPos val="l"/>
        <c:title>
          <c:tx>
            <c:rich>
              <a:bodyPr rot="-5400000" vert="horz"/>
              <a:lstStyle/>
              <a:p>
                <a:pPr>
                  <a:defRPr sz="1000"/>
                </a:pPr>
                <a:r>
                  <a:rPr lang="sr-Latn-BA" sz="1000">
                    <a:latin typeface="Times New Roman" pitchFamily="18" charset="0"/>
                    <a:cs typeface="Times New Roman" pitchFamily="18" charset="0"/>
                  </a:rPr>
                  <a:t>Prinos metoda</a:t>
                </a:r>
                <a:endParaRPr lang="en-US" sz="1000">
                  <a:latin typeface="Times New Roman" pitchFamily="18" charset="0"/>
                  <a:cs typeface="Times New Roman" pitchFamily="18" charset="0"/>
                </a:endParaRPr>
              </a:p>
            </c:rich>
          </c:tx>
          <c:layout/>
          <c:overlay val="0"/>
        </c:title>
        <c:numFmt formatCode="0.00"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181547304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v>Soxhlet</c:v>
          </c:tx>
          <c:invertIfNegative val="0"/>
          <c:val>
            <c:numRef>
              <c:f>'[Obrada podataka.xlsx]Sheet1'!$C$3:$C$8</c:f>
              <c:numCache>
                <c:formatCode>General</c:formatCode>
                <c:ptCount val="6"/>
                <c:pt idx="0" formatCode="0.00">
                  <c:v>11.2</c:v>
                </c:pt>
                <c:pt idx="1">
                  <c:v>15.04</c:v>
                </c:pt>
                <c:pt idx="2">
                  <c:v>17.93</c:v>
                </c:pt>
                <c:pt idx="3">
                  <c:v>24.42</c:v>
                </c:pt>
                <c:pt idx="4">
                  <c:v>35.92</c:v>
                </c:pt>
                <c:pt idx="5">
                  <c:v>43.07</c:v>
                </c:pt>
              </c:numCache>
            </c:numRef>
          </c:val>
        </c:ser>
        <c:ser>
          <c:idx val="1"/>
          <c:order val="1"/>
          <c:tx>
            <c:v>Ultrazvuk</c:v>
          </c:tx>
          <c:invertIfNegative val="0"/>
          <c:val>
            <c:numRef>
              <c:f>'[Obrada podataka.xlsx]Sheet1'!$D$3:$D$8</c:f>
              <c:numCache>
                <c:formatCode>General</c:formatCode>
                <c:ptCount val="6"/>
                <c:pt idx="0" formatCode="0.00">
                  <c:v>10.5</c:v>
                </c:pt>
                <c:pt idx="1">
                  <c:v>14.36</c:v>
                </c:pt>
                <c:pt idx="2">
                  <c:v>17.510000000000002</c:v>
                </c:pt>
                <c:pt idx="3">
                  <c:v>22.25</c:v>
                </c:pt>
                <c:pt idx="4">
                  <c:v>27.91</c:v>
                </c:pt>
                <c:pt idx="5">
                  <c:v>42.58</c:v>
                </c:pt>
              </c:numCache>
            </c:numRef>
          </c:val>
        </c:ser>
        <c:ser>
          <c:idx val="2"/>
          <c:order val="2"/>
          <c:tx>
            <c:v>Mućkanje</c:v>
          </c:tx>
          <c:invertIfNegative val="0"/>
          <c:val>
            <c:numRef>
              <c:f>'[Obrada podataka.xlsx]Sheet1'!$E$3:$E$8</c:f>
              <c:numCache>
                <c:formatCode>General</c:formatCode>
                <c:ptCount val="6"/>
                <c:pt idx="0">
                  <c:v>9.98</c:v>
                </c:pt>
                <c:pt idx="1">
                  <c:v>12.1</c:v>
                </c:pt>
                <c:pt idx="2">
                  <c:v>17.09</c:v>
                </c:pt>
                <c:pt idx="3">
                  <c:v>23.91</c:v>
                </c:pt>
                <c:pt idx="4">
                  <c:v>27.91</c:v>
                </c:pt>
                <c:pt idx="5">
                  <c:v>44.24</c:v>
                </c:pt>
              </c:numCache>
            </c:numRef>
          </c:val>
        </c:ser>
        <c:dLbls>
          <c:showLegendKey val="0"/>
          <c:showVal val="0"/>
          <c:showCatName val="0"/>
          <c:showSerName val="0"/>
          <c:showPercent val="0"/>
          <c:showBubbleSize val="0"/>
        </c:dLbls>
        <c:gapWidth val="150"/>
        <c:axId val="1815469776"/>
        <c:axId val="1815471408"/>
      </c:barChart>
      <c:catAx>
        <c:axId val="1815469776"/>
        <c:scaling>
          <c:orientation val="minMax"/>
        </c:scaling>
        <c:delete val="0"/>
        <c:axPos val="b"/>
        <c:title>
          <c:tx>
            <c:rich>
              <a:bodyPr rot="0" vert="horz"/>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Nivoi koncentracije</a:t>
                </a:r>
                <a:r>
                  <a:rPr lang="sr-Cyrl-BA" sz="1000">
                    <a:latin typeface="Times New Roman" pitchFamily="18" charset="0"/>
                    <a:cs typeface="Times New Roman" pitchFamily="18" charset="0"/>
                  </a:rPr>
                  <a:t> </a:t>
                </a:r>
                <a:endParaRPr lang="en-US" sz="1000">
                  <a:latin typeface="Times New Roman" pitchFamily="18" charset="0"/>
                  <a:cs typeface="Times New Roman" pitchFamily="18" charset="0"/>
                </a:endParaRPr>
              </a:p>
            </c:rich>
          </c:tx>
          <c:layout/>
          <c:overlay val="0"/>
        </c:title>
        <c:majorTickMark val="out"/>
        <c:minorTickMark val="none"/>
        <c:tickLblPos val="nextTo"/>
        <c:txPr>
          <a:bodyPr/>
          <a:lstStyle/>
          <a:p>
            <a:pPr>
              <a:defRPr sz="1000">
                <a:latin typeface="Times New Roman" pitchFamily="18" charset="0"/>
                <a:cs typeface="Times New Roman" pitchFamily="18" charset="0"/>
              </a:defRPr>
            </a:pPr>
            <a:endParaRPr lang="en-US"/>
          </a:p>
        </c:txPr>
        <c:crossAx val="1815471408"/>
        <c:crosses val="autoZero"/>
        <c:auto val="1"/>
        <c:lblAlgn val="ctr"/>
        <c:lblOffset val="100"/>
        <c:noMultiLvlLbl val="0"/>
      </c:catAx>
      <c:valAx>
        <c:axId val="1815471408"/>
        <c:scaling>
          <c:orientation val="minMax"/>
        </c:scaling>
        <c:delete val="0"/>
        <c:axPos val="l"/>
        <c:title>
          <c:tx>
            <c:rich>
              <a:bodyPr rot="-5400000" vert="horz"/>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Koncentracije</a:t>
                </a:r>
                <a:endParaRPr lang="en-US" sz="1000">
                  <a:latin typeface="Times New Roman" pitchFamily="18" charset="0"/>
                  <a:cs typeface="Times New Roman" pitchFamily="18" charset="0"/>
                </a:endParaRPr>
              </a:p>
            </c:rich>
          </c:tx>
          <c:layout>
            <c:manualLayout>
              <c:xMode val="edge"/>
              <c:yMode val="edge"/>
              <c:x val="1.7676767676767676E-2"/>
              <c:y val="0.3075034370703662"/>
            </c:manualLayout>
          </c:layout>
          <c:overlay val="0"/>
        </c:title>
        <c:numFmt formatCode="0.00" sourceLinked="1"/>
        <c:majorTickMark val="out"/>
        <c:minorTickMark val="none"/>
        <c:tickLblPos val="nextTo"/>
        <c:txPr>
          <a:bodyPr/>
          <a:lstStyle/>
          <a:p>
            <a:pPr>
              <a:defRPr sz="1000">
                <a:latin typeface="Times New Roman" pitchFamily="18" charset="0"/>
                <a:cs typeface="Times New Roman" pitchFamily="18" charset="0"/>
              </a:defRPr>
            </a:pPr>
            <a:endParaRPr lang="en-US"/>
          </a:p>
        </c:txPr>
        <c:crossAx val="1815469776"/>
        <c:crosses val="autoZero"/>
        <c:crossBetween val="between"/>
      </c:valAx>
    </c:plotArea>
    <c:legend>
      <c:legendPos val="r"/>
      <c:layout/>
      <c:overlay val="0"/>
      <c:txPr>
        <a:bodyPr/>
        <a:lstStyle/>
        <a:p>
          <a:pPr>
            <a:defRPr sz="10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D46D3-C934-4495-A36A-414D4E4E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1778</Words>
  <Characters>10136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User</cp:lastModifiedBy>
  <cp:revision>5</cp:revision>
  <cp:lastPrinted>2016-08-08T07:55:00Z</cp:lastPrinted>
  <dcterms:created xsi:type="dcterms:W3CDTF">2016-09-25T19:26:00Z</dcterms:created>
  <dcterms:modified xsi:type="dcterms:W3CDTF">2016-09-27T17:52:00Z</dcterms:modified>
</cp:coreProperties>
</file>