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94D" w:rsidRDefault="00BA36D5" w:rsidP="00BA36D5">
      <w:pPr>
        <w:widowControl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Numerical</w:t>
      </w:r>
      <w:r w:rsidR="004D294D" w:rsidRPr="00BA36D5">
        <w:rPr>
          <w:b/>
          <w:sz w:val="30"/>
          <w:szCs w:val="30"/>
        </w:rPr>
        <w:t xml:space="preserve"> solution of two-dimensional </w:t>
      </w:r>
      <w:r w:rsidR="00D22FBC">
        <w:rPr>
          <w:b/>
          <w:sz w:val="30"/>
          <w:szCs w:val="30"/>
          <w:lang w:val="sr-Cyrl-CS"/>
        </w:rPr>
        <w:t>advection-diffusion equation</w:t>
      </w:r>
      <w:r w:rsidR="004D294D" w:rsidRPr="00BA36D5">
        <w:rPr>
          <w:b/>
          <w:sz w:val="30"/>
          <w:szCs w:val="30"/>
        </w:rPr>
        <w:t xml:space="preserve"> in homogenous</w:t>
      </w:r>
      <w:r w:rsidR="00AD7E6F">
        <w:rPr>
          <w:b/>
          <w:sz w:val="30"/>
          <w:szCs w:val="30"/>
          <w:lang w:val="sr-Cyrl-CS"/>
        </w:rPr>
        <w:t xml:space="preserve"> and porous</w:t>
      </w:r>
      <w:r w:rsidR="004D294D" w:rsidRPr="00BA36D5">
        <w:rPr>
          <w:b/>
          <w:sz w:val="30"/>
          <w:szCs w:val="30"/>
        </w:rPr>
        <w:t xml:space="preserve"> media  </w:t>
      </w:r>
    </w:p>
    <w:p w:rsidR="00BA36D5" w:rsidRPr="00BA36D5" w:rsidRDefault="00BA36D5" w:rsidP="00BA36D5">
      <w:pPr>
        <w:widowControl w:val="0"/>
        <w:jc w:val="center"/>
        <w:rPr>
          <w:b/>
          <w:sz w:val="30"/>
          <w:szCs w:val="30"/>
        </w:rPr>
      </w:pPr>
    </w:p>
    <w:p w:rsidR="004D294D" w:rsidRPr="00276E8E" w:rsidRDefault="004D294D" w:rsidP="00BA36D5">
      <w:pPr>
        <w:widowControl w:val="0"/>
        <w:tabs>
          <w:tab w:val="left" w:pos="2688"/>
        </w:tabs>
        <w:jc w:val="center"/>
        <w:rPr>
          <w:i/>
          <w:sz w:val="22"/>
          <w:szCs w:val="22"/>
        </w:rPr>
      </w:pPr>
      <w:r w:rsidRPr="00276E8E">
        <w:rPr>
          <w:i/>
          <w:sz w:val="22"/>
          <w:szCs w:val="22"/>
        </w:rPr>
        <w:t>Svetislav Savović</w:t>
      </w:r>
      <w:r w:rsidR="00BA36D5" w:rsidRPr="00276E8E">
        <w:rPr>
          <w:i/>
          <w:sz w:val="22"/>
          <w:szCs w:val="22"/>
          <w:vertAlign w:val="superscript"/>
        </w:rPr>
        <w:t>1,2</w:t>
      </w:r>
      <w:r w:rsidRPr="00276E8E">
        <w:rPr>
          <w:rStyle w:val="FootnoteReference"/>
          <w:rFonts w:eastAsia="SimSun"/>
          <w:i/>
          <w:sz w:val="22"/>
          <w:szCs w:val="22"/>
        </w:rPr>
        <w:footnoteReference w:customMarkFollows="1" w:id="2"/>
        <w:sym w:font="Symbol" w:char="F02A"/>
      </w:r>
      <w:r w:rsidRPr="00276E8E">
        <w:rPr>
          <w:i/>
          <w:sz w:val="22"/>
          <w:szCs w:val="22"/>
        </w:rPr>
        <w:t xml:space="preserve"> </w:t>
      </w:r>
      <w:r w:rsidRPr="00276E8E">
        <w:rPr>
          <w:i/>
          <w:sz w:val="22"/>
          <w:szCs w:val="22"/>
          <w:vertAlign w:val="superscript"/>
        </w:rPr>
        <w:t xml:space="preserve"> </w:t>
      </w:r>
      <w:r w:rsidR="00BA36D5" w:rsidRPr="00276E8E">
        <w:rPr>
          <w:i/>
          <w:sz w:val="22"/>
          <w:szCs w:val="22"/>
        </w:rPr>
        <w:t>Alexandar Djordjevich</w:t>
      </w:r>
      <w:r w:rsidR="003A17D4">
        <w:rPr>
          <w:i/>
          <w:sz w:val="22"/>
          <w:szCs w:val="22"/>
          <w:vertAlign w:val="superscript"/>
        </w:rPr>
        <w:t>2</w:t>
      </w:r>
      <w:r w:rsidR="00BA36D5" w:rsidRPr="00276E8E">
        <w:rPr>
          <w:i/>
          <w:sz w:val="22"/>
          <w:szCs w:val="22"/>
        </w:rPr>
        <w:t xml:space="preserve"> </w:t>
      </w:r>
      <w:r w:rsidR="00276E8E">
        <w:rPr>
          <w:i/>
          <w:sz w:val="22"/>
          <w:szCs w:val="22"/>
          <w:lang w:val="sr-Cyrl-CS"/>
        </w:rPr>
        <w:t>,</w:t>
      </w:r>
      <w:r w:rsidR="00BA36D5" w:rsidRPr="00276E8E">
        <w:rPr>
          <w:i/>
          <w:sz w:val="22"/>
          <w:szCs w:val="22"/>
        </w:rPr>
        <w:t xml:space="preserve"> Aco Janićijević</w:t>
      </w:r>
      <w:r w:rsidR="00BA36D5" w:rsidRPr="00276E8E">
        <w:rPr>
          <w:i/>
          <w:sz w:val="22"/>
          <w:szCs w:val="22"/>
          <w:vertAlign w:val="superscript"/>
        </w:rPr>
        <w:t>3</w:t>
      </w:r>
      <w:r w:rsidR="00BA36D5" w:rsidRPr="00276E8E">
        <w:rPr>
          <w:i/>
          <w:sz w:val="22"/>
          <w:szCs w:val="22"/>
        </w:rPr>
        <w:t xml:space="preserve"> </w:t>
      </w:r>
    </w:p>
    <w:p w:rsidR="00AD7E6F" w:rsidRPr="00BA36D5" w:rsidRDefault="00AD7E6F" w:rsidP="00BA36D5">
      <w:pPr>
        <w:widowControl w:val="0"/>
        <w:tabs>
          <w:tab w:val="left" w:pos="2688"/>
        </w:tabs>
        <w:jc w:val="center"/>
        <w:rPr>
          <w:sz w:val="20"/>
          <w:szCs w:val="20"/>
          <w:lang w:val="sr-Latn-CS"/>
        </w:rPr>
      </w:pPr>
    </w:p>
    <w:p w:rsidR="00AD7E6F" w:rsidRDefault="00AD7E6F" w:rsidP="00AD7E6F">
      <w:pPr>
        <w:widowControl w:val="0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 w:rsidRPr="00BA36D5">
        <w:rPr>
          <w:sz w:val="20"/>
          <w:szCs w:val="20"/>
        </w:rPr>
        <w:t>University of Kragujevac, Faculty of Science, R. Domanovića 12, Kragujevac, Serbia</w:t>
      </w:r>
    </w:p>
    <w:p w:rsidR="00AD7E6F" w:rsidRDefault="00AD7E6F" w:rsidP="00AD7E6F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Cs/>
          <w:sz w:val="20"/>
          <w:szCs w:val="20"/>
          <w:lang w:val="en-CA"/>
        </w:rPr>
      </w:pPr>
      <w:r>
        <w:rPr>
          <w:iCs/>
          <w:sz w:val="20"/>
          <w:szCs w:val="20"/>
          <w:lang w:val="en-CA"/>
        </w:rPr>
        <w:t xml:space="preserve">e-mail: </w:t>
      </w:r>
      <w:hyperlink r:id="rId6" w:history="1">
        <w:r w:rsidRPr="001B46C6">
          <w:rPr>
            <w:rStyle w:val="Hyperlink"/>
            <w:iCs/>
            <w:sz w:val="20"/>
            <w:szCs w:val="20"/>
            <w:lang w:val="en-CA"/>
          </w:rPr>
          <w:t>savovic@kg.ac.rs</w:t>
        </w:r>
      </w:hyperlink>
    </w:p>
    <w:p w:rsidR="004D294D" w:rsidRDefault="00AD7E6F" w:rsidP="00BA36D5">
      <w:pPr>
        <w:widowControl w:val="0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 w:rsidR="004D294D" w:rsidRPr="00BA36D5">
        <w:rPr>
          <w:sz w:val="20"/>
          <w:szCs w:val="20"/>
        </w:rPr>
        <w:t>City University of Hong Kong, 83 Tat Chee Avenue, Kowloon, Hong Kong, China</w:t>
      </w:r>
    </w:p>
    <w:p w:rsidR="00AD7E6F" w:rsidRDefault="00AD7E6F" w:rsidP="00AD7E6F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Cs/>
          <w:sz w:val="20"/>
          <w:szCs w:val="20"/>
          <w:lang w:val="en-CA"/>
        </w:rPr>
      </w:pPr>
      <w:r w:rsidRPr="007C0034">
        <w:rPr>
          <w:iCs/>
          <w:sz w:val="20"/>
          <w:szCs w:val="20"/>
          <w:lang w:val="en-CA"/>
        </w:rPr>
        <w:t xml:space="preserve">e-mail: </w:t>
      </w:r>
      <w:hyperlink r:id="rId7" w:history="1">
        <w:r w:rsidRPr="001B46C6">
          <w:rPr>
            <w:rStyle w:val="Hyperlink"/>
            <w:iCs/>
            <w:sz w:val="20"/>
            <w:szCs w:val="20"/>
            <w:lang w:val="en-CA"/>
          </w:rPr>
          <w:t>mealex@cityu.edu.hk</w:t>
        </w:r>
      </w:hyperlink>
    </w:p>
    <w:p w:rsidR="00BA36D5" w:rsidRPr="00BA36D5" w:rsidRDefault="00BA36D5" w:rsidP="00BA36D5">
      <w:pPr>
        <w:pStyle w:val="ListParagraph"/>
        <w:ind w:left="480"/>
        <w:jc w:val="center"/>
        <w:rPr>
          <w:sz w:val="20"/>
          <w:szCs w:val="20"/>
        </w:rPr>
      </w:pPr>
      <w:r w:rsidRPr="00BA36D5">
        <w:rPr>
          <w:sz w:val="20"/>
          <w:szCs w:val="20"/>
          <w:vertAlign w:val="superscript"/>
        </w:rPr>
        <w:t>3</w:t>
      </w:r>
      <w:r w:rsidRPr="00BA36D5">
        <w:rPr>
          <w:sz w:val="20"/>
          <w:szCs w:val="20"/>
        </w:rPr>
        <w:t>Faculty of Technology and Metalurgy, University of Belgrade, Belgrade, Serbia</w:t>
      </w:r>
    </w:p>
    <w:p w:rsidR="00BA36D5" w:rsidRPr="00BA36D5" w:rsidRDefault="00BA36D5" w:rsidP="00BA36D5">
      <w:pPr>
        <w:pStyle w:val="ListParagraph"/>
        <w:ind w:left="480"/>
        <w:jc w:val="center"/>
        <w:rPr>
          <w:sz w:val="20"/>
          <w:szCs w:val="20"/>
        </w:rPr>
      </w:pPr>
      <w:r w:rsidRPr="00BA36D5">
        <w:rPr>
          <w:sz w:val="20"/>
          <w:szCs w:val="20"/>
        </w:rPr>
        <w:t xml:space="preserve">e-mail: </w:t>
      </w:r>
      <w:hyperlink r:id="rId8" w:history="1">
        <w:r w:rsidRPr="00BA36D5">
          <w:rPr>
            <w:rStyle w:val="Hyperlink"/>
            <w:sz w:val="20"/>
            <w:szCs w:val="20"/>
            <w:lang w:val="sr-Cyrl-CS"/>
          </w:rPr>
          <w:t>janicaco@tmf.bg.ac.rs</w:t>
        </w:r>
      </w:hyperlink>
    </w:p>
    <w:p w:rsidR="00BA36D5" w:rsidRPr="00BA36D5" w:rsidRDefault="00BA36D5" w:rsidP="00BA36D5">
      <w:pPr>
        <w:widowControl w:val="0"/>
        <w:jc w:val="center"/>
        <w:rPr>
          <w:sz w:val="20"/>
          <w:szCs w:val="20"/>
        </w:rPr>
      </w:pPr>
    </w:p>
    <w:p w:rsidR="004D294D" w:rsidRPr="006F680C" w:rsidRDefault="004D294D" w:rsidP="00BA36D5">
      <w:pPr>
        <w:widowControl w:val="0"/>
        <w:jc w:val="both"/>
        <w:rPr>
          <w:b/>
        </w:rPr>
      </w:pPr>
    </w:p>
    <w:p w:rsidR="004D294D" w:rsidRPr="004521DA" w:rsidRDefault="004D294D" w:rsidP="00BA36D5">
      <w:pPr>
        <w:widowControl w:val="0"/>
        <w:jc w:val="both"/>
        <w:rPr>
          <w:b/>
          <w:sz w:val="20"/>
          <w:szCs w:val="20"/>
        </w:rPr>
      </w:pPr>
      <w:r w:rsidRPr="004521DA">
        <w:rPr>
          <w:b/>
          <w:sz w:val="20"/>
          <w:szCs w:val="20"/>
        </w:rPr>
        <w:t>Abstract</w:t>
      </w:r>
    </w:p>
    <w:p w:rsidR="004D294D" w:rsidRPr="004521DA" w:rsidRDefault="004D294D" w:rsidP="00BA36D5">
      <w:pPr>
        <w:autoSpaceDE w:val="0"/>
        <w:autoSpaceDN w:val="0"/>
        <w:adjustRightInd w:val="0"/>
        <w:jc w:val="both"/>
        <w:rPr>
          <w:sz w:val="20"/>
          <w:szCs w:val="20"/>
          <w:lang w:val="en-GB"/>
        </w:rPr>
      </w:pPr>
      <w:r w:rsidRPr="004521DA">
        <w:rPr>
          <w:sz w:val="20"/>
          <w:szCs w:val="20"/>
        </w:rPr>
        <w:t xml:space="preserve">Two-dimensional advection-diffusion equation with variable coefficients is solved by the explicit finite-difference method for the transport of solutes through a homogeneous, finite, porous, two-dimensional, domain. Retardation by adsorption, periodic seepage velocity, and a dispersion coefficient proportional to this velocity are permitted. </w:t>
      </w:r>
      <w:r w:rsidRPr="004521DA">
        <w:rPr>
          <w:sz w:val="20"/>
          <w:szCs w:val="20"/>
          <w:lang w:val="en-GB"/>
        </w:rPr>
        <w:t>T</w:t>
      </w:r>
      <w:r w:rsidRPr="004521DA">
        <w:rPr>
          <w:sz w:val="20"/>
          <w:szCs w:val="20"/>
        </w:rPr>
        <w:t xml:space="preserve">he solute concentration profile is greatly influenced by the periodic velocity fluctuations. </w:t>
      </w:r>
      <w:r w:rsidR="004521DA" w:rsidRPr="004521DA">
        <w:rPr>
          <w:sz w:val="20"/>
          <w:szCs w:val="20"/>
        </w:rPr>
        <w:t>T</w:t>
      </w:r>
      <w:r w:rsidRPr="004521DA">
        <w:rPr>
          <w:sz w:val="20"/>
          <w:szCs w:val="20"/>
        </w:rPr>
        <w:t xml:space="preserve">he effectiveness of the </w:t>
      </w:r>
      <w:r w:rsidRPr="004521DA">
        <w:rPr>
          <w:sz w:val="20"/>
          <w:szCs w:val="20"/>
          <w:lang w:val="en-GB"/>
        </w:rPr>
        <w:t xml:space="preserve">explicit finite difference method for solving two-dimensional </w:t>
      </w:r>
      <w:r w:rsidRPr="004521DA">
        <w:rPr>
          <w:sz w:val="20"/>
          <w:szCs w:val="20"/>
        </w:rPr>
        <w:t xml:space="preserve">advection-diffusion equation with variable coefficients </w:t>
      </w:r>
      <w:r w:rsidR="004521DA" w:rsidRPr="004521DA">
        <w:rPr>
          <w:sz w:val="20"/>
          <w:szCs w:val="20"/>
        </w:rPr>
        <w:t>has been proven</w:t>
      </w:r>
      <w:r w:rsidRPr="004521DA">
        <w:rPr>
          <w:sz w:val="20"/>
          <w:szCs w:val="20"/>
        </w:rPr>
        <w:t>,</w:t>
      </w:r>
      <w:r w:rsidRPr="004521DA">
        <w:rPr>
          <w:sz w:val="20"/>
          <w:szCs w:val="20"/>
          <w:lang w:val="en-GB"/>
        </w:rPr>
        <w:t xml:space="preserve"> which is especially important when arbitrary initial and boundary conditions are required.</w:t>
      </w:r>
    </w:p>
    <w:p w:rsidR="00BA36D5" w:rsidRPr="004521DA" w:rsidRDefault="00BA36D5" w:rsidP="00BA36D5">
      <w:pPr>
        <w:autoSpaceDE w:val="0"/>
        <w:autoSpaceDN w:val="0"/>
        <w:adjustRightInd w:val="0"/>
        <w:jc w:val="both"/>
        <w:rPr>
          <w:sz w:val="20"/>
          <w:szCs w:val="20"/>
          <w:lang w:val="en-GB"/>
        </w:rPr>
      </w:pPr>
    </w:p>
    <w:p w:rsidR="00387DA4" w:rsidRDefault="004D294D" w:rsidP="00BA36D5">
      <w:pPr>
        <w:widowControl w:val="0"/>
        <w:jc w:val="both"/>
        <w:rPr>
          <w:sz w:val="20"/>
          <w:szCs w:val="20"/>
        </w:rPr>
      </w:pPr>
      <w:r w:rsidRPr="00D22FBC">
        <w:rPr>
          <w:b/>
          <w:sz w:val="20"/>
          <w:szCs w:val="20"/>
        </w:rPr>
        <w:t xml:space="preserve"> </w:t>
      </w:r>
      <w:r w:rsidRPr="00D22FBC">
        <w:rPr>
          <w:b/>
          <w:bCs/>
          <w:i/>
          <w:iCs/>
          <w:sz w:val="20"/>
          <w:szCs w:val="20"/>
        </w:rPr>
        <w:t>Key words:</w:t>
      </w:r>
      <w:r w:rsidRPr="004521DA">
        <w:rPr>
          <w:sz w:val="20"/>
          <w:szCs w:val="20"/>
        </w:rPr>
        <w:t xml:space="preserve"> Water; Advection-diffusion equation; Mass transfer; Finite difference method</w:t>
      </w:r>
    </w:p>
    <w:p w:rsidR="004521DA" w:rsidRDefault="004521DA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</w:p>
    <w:p w:rsidR="00A27FA2" w:rsidRDefault="00A27FA2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</w:p>
    <w:p w:rsidR="004521DA" w:rsidRPr="00BA36D5" w:rsidRDefault="00D22FBC" w:rsidP="004521DA">
      <w:pPr>
        <w:widowControl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Нумеричко решење дводимензионе адвекционо</w:t>
      </w:r>
      <w:r w:rsidR="00AD7E6F">
        <w:rPr>
          <w:b/>
          <w:sz w:val="30"/>
          <w:szCs w:val="30"/>
        </w:rPr>
        <w:t>-</w:t>
      </w:r>
      <w:r>
        <w:rPr>
          <w:b/>
          <w:sz w:val="30"/>
          <w:szCs w:val="30"/>
        </w:rPr>
        <w:t xml:space="preserve">дифузионе једначине </w:t>
      </w:r>
      <w:r>
        <w:rPr>
          <w:b/>
          <w:sz w:val="30"/>
          <w:szCs w:val="30"/>
          <w:lang w:val="sr-Cyrl-CS"/>
        </w:rPr>
        <w:t xml:space="preserve">у хомогеној и порозној средини </w:t>
      </w:r>
    </w:p>
    <w:p w:rsidR="004521DA" w:rsidRDefault="004521DA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</w:p>
    <w:p w:rsidR="004521DA" w:rsidRDefault="004521DA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  <w:lang w:val="sr-Cyrl-CS"/>
        </w:rPr>
        <w:t>С</w:t>
      </w:r>
      <w:r w:rsidR="00276E8E">
        <w:rPr>
          <w:i/>
          <w:sz w:val="22"/>
          <w:szCs w:val="22"/>
          <w:lang w:val="sr-Cyrl-CS"/>
        </w:rPr>
        <w:t>ветислав</w:t>
      </w:r>
      <w:r>
        <w:rPr>
          <w:i/>
          <w:sz w:val="22"/>
          <w:szCs w:val="22"/>
          <w:lang w:val="sr-Cyrl-CS"/>
        </w:rPr>
        <w:t xml:space="preserve"> Савовић</w:t>
      </w:r>
      <w:r>
        <w:rPr>
          <w:i/>
          <w:sz w:val="22"/>
          <w:szCs w:val="22"/>
          <w:vertAlign w:val="superscript"/>
          <w:lang w:val="sr-Cyrl-CS"/>
        </w:rPr>
        <w:t>1,2</w:t>
      </w:r>
      <w:r>
        <w:rPr>
          <w:i/>
          <w:sz w:val="22"/>
          <w:szCs w:val="22"/>
          <w:lang w:val="sr-Cyrl-CS"/>
        </w:rPr>
        <w:t>, А</w:t>
      </w:r>
      <w:r w:rsidR="00276E8E">
        <w:rPr>
          <w:i/>
          <w:sz w:val="22"/>
          <w:szCs w:val="22"/>
          <w:lang w:val="sr-Cyrl-CS"/>
        </w:rPr>
        <w:t>лександар</w:t>
      </w:r>
      <w:r>
        <w:rPr>
          <w:i/>
          <w:sz w:val="22"/>
          <w:szCs w:val="22"/>
          <w:lang w:val="sr-Cyrl-CS"/>
        </w:rPr>
        <w:t xml:space="preserve"> Ђорђевић</w:t>
      </w: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  <w:lang w:val="sr-Cyrl-CS"/>
        </w:rPr>
        <w:t>, А</w:t>
      </w:r>
      <w:r w:rsidR="00276E8E">
        <w:rPr>
          <w:i/>
          <w:sz w:val="22"/>
          <w:szCs w:val="22"/>
          <w:lang w:val="sr-Cyrl-CS"/>
        </w:rPr>
        <w:t>цо</w:t>
      </w:r>
      <w:r>
        <w:rPr>
          <w:i/>
          <w:sz w:val="22"/>
          <w:szCs w:val="22"/>
          <w:lang w:val="sr-Cyrl-CS"/>
        </w:rPr>
        <w:t xml:space="preserve"> Јанићијевић</w:t>
      </w:r>
      <w:r>
        <w:rPr>
          <w:i/>
          <w:sz w:val="22"/>
          <w:szCs w:val="22"/>
          <w:vertAlign w:val="superscript"/>
          <w:lang w:val="sr-Cyrl-CS"/>
        </w:rPr>
        <w:t>3</w:t>
      </w:r>
      <w:r>
        <w:rPr>
          <w:i/>
          <w:sz w:val="22"/>
          <w:szCs w:val="22"/>
        </w:rPr>
        <w:t xml:space="preserve"> </w:t>
      </w:r>
    </w:p>
    <w:p w:rsidR="004521DA" w:rsidRDefault="004521DA" w:rsidP="00BA36D5">
      <w:pPr>
        <w:widowControl w:val="0"/>
        <w:jc w:val="both"/>
        <w:rPr>
          <w:sz w:val="20"/>
          <w:szCs w:val="20"/>
        </w:rPr>
      </w:pPr>
    </w:p>
    <w:p w:rsidR="004521DA" w:rsidRDefault="004521DA" w:rsidP="00BA36D5">
      <w:pPr>
        <w:widowControl w:val="0"/>
        <w:jc w:val="both"/>
        <w:rPr>
          <w:sz w:val="20"/>
          <w:szCs w:val="20"/>
        </w:rPr>
      </w:pPr>
    </w:p>
    <w:p w:rsidR="004521DA" w:rsidRPr="00601EBD" w:rsidRDefault="004521DA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outlineLvl w:val="0"/>
        <w:rPr>
          <w:sz w:val="20"/>
          <w:szCs w:val="20"/>
          <w:lang w:val="sr-Cyrl-CS"/>
        </w:rPr>
      </w:pPr>
      <w:r>
        <w:rPr>
          <w:sz w:val="20"/>
          <w:szCs w:val="20"/>
          <w:vertAlign w:val="superscript"/>
          <w:lang w:val="sr-Cyrl-CS"/>
        </w:rPr>
        <w:t>1</w:t>
      </w:r>
      <w:r>
        <w:rPr>
          <w:sz w:val="20"/>
          <w:szCs w:val="20"/>
          <w:lang w:val="sr-Cyrl-CS"/>
        </w:rPr>
        <w:t>Природно</w:t>
      </w:r>
      <w:r>
        <w:rPr>
          <w:sz w:val="20"/>
          <w:szCs w:val="20"/>
        </w:rPr>
        <w:t>-</w:t>
      </w:r>
      <w:r>
        <w:rPr>
          <w:sz w:val="20"/>
          <w:szCs w:val="20"/>
          <w:lang w:val="sr-Cyrl-CS"/>
        </w:rPr>
        <w:t>математички факултет, Универзитет у Крагујевцу</w:t>
      </w:r>
      <w:r>
        <w:rPr>
          <w:sz w:val="20"/>
          <w:szCs w:val="20"/>
        </w:rPr>
        <w:t xml:space="preserve">, </w:t>
      </w:r>
      <w:r>
        <w:rPr>
          <w:sz w:val="20"/>
          <w:szCs w:val="20"/>
          <w:lang w:val="sr-Cyrl-CS"/>
        </w:rPr>
        <w:t xml:space="preserve">Р. Домановића </w:t>
      </w:r>
      <w:r w:rsidRPr="007C0034">
        <w:rPr>
          <w:sz w:val="20"/>
          <w:szCs w:val="20"/>
        </w:rPr>
        <w:t xml:space="preserve">12,  </w:t>
      </w:r>
      <w:r>
        <w:rPr>
          <w:sz w:val="20"/>
          <w:szCs w:val="20"/>
          <w:lang w:val="sr-Cyrl-CS"/>
        </w:rPr>
        <w:t>Крагујевац, Србија</w:t>
      </w:r>
    </w:p>
    <w:p w:rsidR="004521DA" w:rsidRDefault="004521DA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Cs/>
          <w:sz w:val="20"/>
          <w:szCs w:val="20"/>
          <w:lang w:val="sr-Cyrl-CS"/>
        </w:rPr>
      </w:pPr>
      <w:r>
        <w:rPr>
          <w:iCs/>
          <w:sz w:val="20"/>
          <w:szCs w:val="20"/>
          <w:lang w:val="en-CA"/>
        </w:rPr>
        <w:t xml:space="preserve">e-mail: </w:t>
      </w:r>
      <w:hyperlink r:id="rId9" w:history="1">
        <w:r w:rsidR="00276E8E" w:rsidRPr="001B46C6">
          <w:rPr>
            <w:rStyle w:val="Hyperlink"/>
            <w:iCs/>
            <w:sz w:val="20"/>
            <w:szCs w:val="20"/>
            <w:lang w:val="en-CA"/>
          </w:rPr>
          <w:t>savovic@kg.ac.rs</w:t>
        </w:r>
      </w:hyperlink>
    </w:p>
    <w:p w:rsidR="004521DA" w:rsidRPr="00601EBD" w:rsidRDefault="004521DA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  <w:lang w:val="sr-Cyrl-CS"/>
        </w:rPr>
      </w:pPr>
      <w:r>
        <w:rPr>
          <w:sz w:val="20"/>
          <w:szCs w:val="20"/>
          <w:vertAlign w:val="superscript"/>
        </w:rPr>
        <w:t>2</w:t>
      </w:r>
      <w:r w:rsidRPr="00601EBD">
        <w:rPr>
          <w:sz w:val="20"/>
          <w:szCs w:val="20"/>
          <w:lang w:val="sr-Cyrl-CS"/>
        </w:rPr>
        <w:t>Градски Универзитет у Хонг Конгу,</w:t>
      </w:r>
      <w:r>
        <w:rPr>
          <w:sz w:val="20"/>
          <w:szCs w:val="20"/>
          <w:vertAlign w:val="superscript"/>
          <w:lang w:val="sr-Cyrl-CS"/>
        </w:rPr>
        <w:t xml:space="preserve"> </w:t>
      </w:r>
      <w:r>
        <w:rPr>
          <w:sz w:val="20"/>
          <w:szCs w:val="20"/>
          <w:lang w:val="sr-Cyrl-CS"/>
        </w:rPr>
        <w:t>Хонг Конг, Кина</w:t>
      </w:r>
    </w:p>
    <w:p w:rsidR="004521DA" w:rsidRDefault="004521DA" w:rsidP="004521DA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Cs/>
          <w:sz w:val="20"/>
          <w:szCs w:val="20"/>
          <w:lang w:val="sr-Cyrl-CS"/>
        </w:rPr>
      </w:pPr>
      <w:r w:rsidRPr="007C0034">
        <w:rPr>
          <w:iCs/>
          <w:sz w:val="20"/>
          <w:szCs w:val="20"/>
          <w:lang w:val="en-CA"/>
        </w:rPr>
        <w:t xml:space="preserve">e-mail: </w:t>
      </w:r>
      <w:hyperlink r:id="rId10" w:history="1">
        <w:r w:rsidR="00276E8E" w:rsidRPr="001B46C6">
          <w:rPr>
            <w:rStyle w:val="Hyperlink"/>
            <w:iCs/>
            <w:sz w:val="20"/>
            <w:szCs w:val="20"/>
            <w:lang w:val="en-CA"/>
          </w:rPr>
          <w:t>mealex@cityu.edu.hk</w:t>
        </w:r>
      </w:hyperlink>
    </w:p>
    <w:p w:rsidR="004521DA" w:rsidRPr="00B115ED" w:rsidRDefault="004521DA" w:rsidP="004521DA">
      <w:pPr>
        <w:ind w:firstLine="562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  <w:lang w:val="sr-Cyrl-CS"/>
        </w:rPr>
        <w:t>3</w:t>
      </w:r>
      <w:r w:rsidRPr="00B115ED">
        <w:rPr>
          <w:sz w:val="20"/>
          <w:szCs w:val="20"/>
          <w:lang w:val="sr-Cyrl-CS"/>
        </w:rPr>
        <w:t>Технолошко</w:t>
      </w:r>
      <w:r w:rsidRPr="00B115ED">
        <w:rPr>
          <w:sz w:val="20"/>
          <w:szCs w:val="20"/>
        </w:rPr>
        <w:t>-</w:t>
      </w:r>
      <w:r w:rsidRPr="00B115ED">
        <w:rPr>
          <w:sz w:val="20"/>
          <w:szCs w:val="20"/>
          <w:lang w:val="sr-Cyrl-CS"/>
        </w:rPr>
        <w:t>металуршки факултет, Универзитет у Београду, Београд</w:t>
      </w:r>
      <w:r w:rsidRPr="00B115ED">
        <w:rPr>
          <w:sz w:val="20"/>
          <w:szCs w:val="20"/>
        </w:rPr>
        <w:t>,</w:t>
      </w:r>
      <w:r w:rsidRPr="00B115ED">
        <w:rPr>
          <w:sz w:val="20"/>
          <w:szCs w:val="20"/>
          <w:lang w:val="sr-Cyrl-CS"/>
        </w:rPr>
        <w:t xml:space="preserve"> Србија</w:t>
      </w:r>
    </w:p>
    <w:p w:rsidR="004521DA" w:rsidRPr="00B115ED" w:rsidRDefault="004521DA" w:rsidP="004521DA">
      <w:pPr>
        <w:ind w:firstLine="562"/>
        <w:jc w:val="center"/>
        <w:rPr>
          <w:sz w:val="20"/>
          <w:szCs w:val="20"/>
        </w:rPr>
      </w:pPr>
      <w:r w:rsidRPr="00B115ED">
        <w:rPr>
          <w:sz w:val="20"/>
          <w:szCs w:val="20"/>
        </w:rPr>
        <w:t xml:space="preserve">e-mail: </w:t>
      </w:r>
      <w:hyperlink r:id="rId11" w:history="1">
        <w:r w:rsidRPr="00B115ED">
          <w:rPr>
            <w:rStyle w:val="Hyperlink"/>
            <w:sz w:val="20"/>
            <w:szCs w:val="20"/>
            <w:lang w:val="sr-Cyrl-CS"/>
          </w:rPr>
          <w:t>janicaco@tmf.bg.ac.rs</w:t>
        </w:r>
      </w:hyperlink>
    </w:p>
    <w:p w:rsidR="004521DA" w:rsidRPr="004521DA" w:rsidRDefault="004521DA" w:rsidP="00BA36D5">
      <w:pPr>
        <w:widowControl w:val="0"/>
        <w:jc w:val="both"/>
        <w:rPr>
          <w:sz w:val="20"/>
          <w:szCs w:val="20"/>
        </w:rPr>
      </w:pPr>
    </w:p>
    <w:p w:rsidR="002A520F" w:rsidRPr="004521DA" w:rsidRDefault="002A520F" w:rsidP="00BA36D5">
      <w:pPr>
        <w:widowControl w:val="0"/>
        <w:jc w:val="both"/>
        <w:rPr>
          <w:sz w:val="20"/>
          <w:szCs w:val="20"/>
        </w:rPr>
      </w:pPr>
    </w:p>
    <w:p w:rsidR="002A520F" w:rsidRPr="004521DA" w:rsidRDefault="002A520F" w:rsidP="00BA36D5">
      <w:pPr>
        <w:widowControl w:val="0"/>
        <w:jc w:val="both"/>
        <w:rPr>
          <w:b/>
          <w:sz w:val="20"/>
          <w:szCs w:val="20"/>
          <w:lang w:val="sr-Cyrl-CS"/>
        </w:rPr>
      </w:pPr>
      <w:r w:rsidRPr="004521DA">
        <w:rPr>
          <w:b/>
          <w:sz w:val="20"/>
          <w:szCs w:val="20"/>
          <w:lang w:val="sr-Cyrl-CS"/>
        </w:rPr>
        <w:t>Сажетак</w:t>
      </w:r>
    </w:p>
    <w:p w:rsidR="002A520F" w:rsidRDefault="002A520F" w:rsidP="00BA36D5">
      <w:pPr>
        <w:widowControl w:val="0"/>
        <w:jc w:val="both"/>
        <w:rPr>
          <w:sz w:val="20"/>
          <w:szCs w:val="20"/>
          <w:lang w:val="sr-Cyrl-CS"/>
        </w:rPr>
      </w:pPr>
      <w:r w:rsidRPr="004521DA">
        <w:rPr>
          <w:sz w:val="20"/>
          <w:szCs w:val="20"/>
          <w:lang w:val="sr-Cyrl-CS"/>
        </w:rPr>
        <w:t>Дводимензиона адвекционо</w:t>
      </w:r>
      <w:r w:rsidR="004521DA">
        <w:rPr>
          <w:sz w:val="20"/>
          <w:szCs w:val="20"/>
        </w:rPr>
        <w:t>-</w:t>
      </w:r>
      <w:r w:rsidRPr="004521DA">
        <w:rPr>
          <w:sz w:val="20"/>
          <w:szCs w:val="20"/>
          <w:lang w:val="sr-Cyrl-CS"/>
        </w:rPr>
        <w:t xml:space="preserve">дифузиона једначина са варијабилним коефицијентима је решена користећи експлицитни метод коначних разлика за случај </w:t>
      </w:r>
      <w:r w:rsidR="006927AC">
        <w:rPr>
          <w:sz w:val="20"/>
          <w:szCs w:val="20"/>
          <w:lang w:val="sr-Cyrl-CS"/>
        </w:rPr>
        <w:t>преноса</w:t>
      </w:r>
      <w:r w:rsidRPr="004521DA">
        <w:rPr>
          <w:sz w:val="20"/>
          <w:szCs w:val="20"/>
          <w:lang w:val="sr-Cyrl-CS"/>
        </w:rPr>
        <w:t xml:space="preserve"> </w:t>
      </w:r>
      <w:r w:rsidR="006927AC">
        <w:rPr>
          <w:sz w:val="20"/>
          <w:szCs w:val="20"/>
        </w:rPr>
        <w:t>растворене супстанце</w:t>
      </w:r>
      <w:r w:rsidRPr="004521DA">
        <w:rPr>
          <w:sz w:val="20"/>
          <w:szCs w:val="20"/>
          <w:lang w:val="sr-Cyrl-CS"/>
        </w:rPr>
        <w:t xml:space="preserve"> кроз хомогени, коначни, порозни, дводимензиони домен. Испитиван је случај </w:t>
      </w:r>
      <w:r w:rsidR="006927AC">
        <w:rPr>
          <w:sz w:val="20"/>
          <w:szCs w:val="20"/>
          <w:lang w:val="sr-Cyrl-CS"/>
        </w:rPr>
        <w:t>успоравања</w:t>
      </w:r>
      <w:r w:rsidRPr="004521DA">
        <w:rPr>
          <w:sz w:val="20"/>
          <w:szCs w:val="20"/>
          <w:lang w:val="sr-Cyrl-CS"/>
        </w:rPr>
        <w:t xml:space="preserve"> </w:t>
      </w:r>
      <w:r w:rsidR="006927AC">
        <w:rPr>
          <w:sz w:val="20"/>
          <w:szCs w:val="20"/>
          <w:lang w:val="sr-Cyrl-CS"/>
        </w:rPr>
        <w:t xml:space="preserve">преноса </w:t>
      </w:r>
      <w:r w:rsidRPr="004521DA">
        <w:rPr>
          <w:sz w:val="20"/>
          <w:szCs w:val="20"/>
          <w:lang w:val="sr-Cyrl-CS"/>
        </w:rPr>
        <w:t>услед адсорпције, периодичн</w:t>
      </w:r>
      <w:r w:rsidR="004521DA">
        <w:rPr>
          <w:sz w:val="20"/>
          <w:szCs w:val="20"/>
        </w:rPr>
        <w:t>e</w:t>
      </w:r>
      <w:r w:rsidRPr="004521DA">
        <w:rPr>
          <w:sz w:val="20"/>
          <w:szCs w:val="20"/>
          <w:lang w:val="sr-Cyrl-CS"/>
        </w:rPr>
        <w:t xml:space="preserve"> </w:t>
      </w:r>
      <w:r w:rsidR="004521DA">
        <w:rPr>
          <w:sz w:val="20"/>
          <w:szCs w:val="20"/>
          <w:lang w:val="sr-Cyrl-CS"/>
        </w:rPr>
        <w:t>брзине</w:t>
      </w:r>
      <w:r w:rsidR="004521DA">
        <w:rPr>
          <w:sz w:val="20"/>
          <w:szCs w:val="20"/>
        </w:rPr>
        <w:t xml:space="preserve"> </w:t>
      </w:r>
      <w:r w:rsidRPr="004521DA">
        <w:rPr>
          <w:sz w:val="20"/>
          <w:szCs w:val="20"/>
          <w:lang w:val="sr-Cyrl-CS"/>
        </w:rPr>
        <w:t xml:space="preserve">цурења, и дисперзионог коефицијента пропорционалног овој брзини. </w:t>
      </w:r>
      <w:r w:rsidR="007B01D4">
        <w:rPr>
          <w:sz w:val="20"/>
          <w:szCs w:val="20"/>
          <w:lang w:val="sr-Cyrl-CS"/>
        </w:rPr>
        <w:t>Добијени п</w:t>
      </w:r>
      <w:r w:rsidR="004521DA" w:rsidRPr="004521DA">
        <w:rPr>
          <w:sz w:val="20"/>
          <w:szCs w:val="20"/>
          <w:lang w:val="sr-Cyrl-CS"/>
        </w:rPr>
        <w:t xml:space="preserve">рофил </w:t>
      </w:r>
      <w:r w:rsidR="004521DA">
        <w:rPr>
          <w:sz w:val="20"/>
          <w:szCs w:val="20"/>
          <w:lang w:val="sr-Cyrl-CS"/>
        </w:rPr>
        <w:t xml:space="preserve"> </w:t>
      </w:r>
      <w:r w:rsidR="004521DA" w:rsidRPr="004521DA">
        <w:rPr>
          <w:sz w:val="20"/>
          <w:szCs w:val="20"/>
          <w:lang w:val="sr-Cyrl-CS"/>
        </w:rPr>
        <w:t xml:space="preserve">концентрације </w:t>
      </w:r>
      <w:r w:rsidR="006927AC">
        <w:rPr>
          <w:sz w:val="20"/>
          <w:szCs w:val="20"/>
          <w:lang w:val="sr-Cyrl-CS"/>
        </w:rPr>
        <w:t>растворене супстанце</w:t>
      </w:r>
      <w:r w:rsidR="004521DA" w:rsidRPr="004521DA">
        <w:rPr>
          <w:sz w:val="20"/>
          <w:szCs w:val="20"/>
          <w:lang w:val="sr-Cyrl-CS"/>
        </w:rPr>
        <w:t xml:space="preserve"> је под јаким утиицајем флуктуација периодичне брзине цурења.</w:t>
      </w:r>
      <w:r w:rsidR="004521DA" w:rsidRPr="004521DA">
        <w:rPr>
          <w:sz w:val="20"/>
          <w:szCs w:val="20"/>
        </w:rPr>
        <w:t xml:space="preserve"> Еф</w:t>
      </w:r>
      <w:r w:rsidR="004521DA">
        <w:rPr>
          <w:sz w:val="20"/>
          <w:szCs w:val="20"/>
          <w:lang w:val="sr-Cyrl-CS"/>
        </w:rPr>
        <w:t xml:space="preserve">икасност </w:t>
      </w:r>
      <w:r w:rsidR="004521DA" w:rsidRPr="004521DA">
        <w:rPr>
          <w:sz w:val="20"/>
          <w:szCs w:val="20"/>
        </w:rPr>
        <w:t>експлицитн</w:t>
      </w:r>
      <w:r w:rsidR="007B01D4">
        <w:rPr>
          <w:sz w:val="20"/>
          <w:szCs w:val="20"/>
          <w:lang w:val="sr-Cyrl-CS"/>
        </w:rPr>
        <w:t>ог</w:t>
      </w:r>
      <w:r w:rsidR="004521DA" w:rsidRPr="004521DA">
        <w:rPr>
          <w:sz w:val="20"/>
          <w:szCs w:val="20"/>
        </w:rPr>
        <w:t xml:space="preserve"> </w:t>
      </w:r>
      <w:r w:rsidR="007B01D4">
        <w:rPr>
          <w:sz w:val="20"/>
          <w:szCs w:val="20"/>
          <w:lang w:val="sr-Cyrl-CS"/>
        </w:rPr>
        <w:t>метода</w:t>
      </w:r>
      <w:r w:rsidR="004521DA" w:rsidRPr="004521DA">
        <w:rPr>
          <w:sz w:val="20"/>
          <w:szCs w:val="20"/>
        </w:rPr>
        <w:t xml:space="preserve"> коначних разлика је показана на примеру адвекционо</w:t>
      </w:r>
      <w:r w:rsidR="004521DA">
        <w:rPr>
          <w:sz w:val="20"/>
          <w:szCs w:val="20"/>
        </w:rPr>
        <w:t>-</w:t>
      </w:r>
      <w:r w:rsidR="004521DA" w:rsidRPr="004521DA">
        <w:rPr>
          <w:sz w:val="20"/>
          <w:szCs w:val="20"/>
        </w:rPr>
        <w:t>дифузионе једначине са варијабилним коефицијентима</w:t>
      </w:r>
      <w:r w:rsidR="004521DA" w:rsidRPr="004521DA">
        <w:rPr>
          <w:sz w:val="20"/>
          <w:szCs w:val="20"/>
          <w:lang w:val="sr-Cyrl-CS"/>
        </w:rPr>
        <w:t xml:space="preserve">, што је од посебног значаја у случају када имамо </w:t>
      </w:r>
      <w:r w:rsidR="004521DA">
        <w:rPr>
          <w:sz w:val="20"/>
          <w:szCs w:val="20"/>
          <w:lang w:val="sr-Cyrl-CS"/>
        </w:rPr>
        <w:t>произвољне</w:t>
      </w:r>
      <w:r w:rsidR="004521DA" w:rsidRPr="004521DA">
        <w:rPr>
          <w:sz w:val="20"/>
          <w:szCs w:val="20"/>
          <w:lang w:val="sr-Cyrl-CS"/>
        </w:rPr>
        <w:t xml:space="preserve"> иницијалне и граничне услове.</w:t>
      </w:r>
      <w:r w:rsidR="004521DA" w:rsidRPr="004521DA">
        <w:rPr>
          <w:sz w:val="20"/>
          <w:szCs w:val="20"/>
        </w:rPr>
        <w:t xml:space="preserve"> </w:t>
      </w:r>
    </w:p>
    <w:p w:rsidR="004521DA" w:rsidRDefault="004521DA" w:rsidP="00BA36D5">
      <w:pPr>
        <w:widowControl w:val="0"/>
        <w:jc w:val="both"/>
        <w:rPr>
          <w:sz w:val="20"/>
          <w:szCs w:val="20"/>
          <w:lang w:val="sr-Cyrl-CS"/>
        </w:rPr>
      </w:pPr>
    </w:p>
    <w:p w:rsidR="004521DA" w:rsidRPr="004521DA" w:rsidRDefault="004521DA" w:rsidP="00BA36D5">
      <w:pPr>
        <w:widowControl w:val="0"/>
        <w:jc w:val="both"/>
        <w:rPr>
          <w:sz w:val="20"/>
          <w:szCs w:val="20"/>
          <w:lang w:val="sr-Cyrl-CS"/>
        </w:rPr>
      </w:pPr>
      <w:r w:rsidRPr="00D22FBC">
        <w:rPr>
          <w:b/>
          <w:i/>
          <w:sz w:val="20"/>
          <w:szCs w:val="20"/>
          <w:lang w:val="sr-Cyrl-CS"/>
        </w:rPr>
        <w:t>Кључне речи</w:t>
      </w:r>
      <w:r w:rsidRPr="00D22FBC">
        <w:rPr>
          <w:b/>
          <w:i/>
          <w:sz w:val="20"/>
          <w:szCs w:val="20"/>
        </w:rPr>
        <w:t>:</w:t>
      </w:r>
      <w:r>
        <w:rPr>
          <w:sz w:val="20"/>
          <w:szCs w:val="20"/>
          <w:lang w:val="sr-Cyrl-CS"/>
        </w:rPr>
        <w:t xml:space="preserve"> Вода</w:t>
      </w:r>
      <w:r>
        <w:rPr>
          <w:sz w:val="20"/>
          <w:szCs w:val="20"/>
        </w:rPr>
        <w:t>;</w:t>
      </w:r>
      <w:r>
        <w:rPr>
          <w:sz w:val="20"/>
          <w:szCs w:val="20"/>
          <w:lang w:val="sr-Cyrl-CS"/>
        </w:rPr>
        <w:t xml:space="preserve"> </w:t>
      </w:r>
      <w:r w:rsidR="007B01D4">
        <w:rPr>
          <w:sz w:val="20"/>
          <w:szCs w:val="20"/>
          <w:lang w:val="sr-Cyrl-CS"/>
        </w:rPr>
        <w:t>а</w:t>
      </w:r>
      <w:r>
        <w:rPr>
          <w:sz w:val="20"/>
          <w:szCs w:val="20"/>
          <w:lang w:val="sr-Cyrl-CS"/>
        </w:rPr>
        <w:t>двекционо</w:t>
      </w:r>
      <w:r>
        <w:rPr>
          <w:sz w:val="20"/>
          <w:szCs w:val="20"/>
        </w:rPr>
        <w:t>-</w:t>
      </w:r>
      <w:r>
        <w:rPr>
          <w:sz w:val="20"/>
          <w:szCs w:val="20"/>
          <w:lang w:val="sr-Cyrl-CS"/>
        </w:rPr>
        <w:t>дифузиона једначина</w:t>
      </w:r>
      <w:r>
        <w:rPr>
          <w:sz w:val="20"/>
          <w:szCs w:val="20"/>
        </w:rPr>
        <w:t>;</w:t>
      </w:r>
      <w:r>
        <w:rPr>
          <w:sz w:val="20"/>
          <w:szCs w:val="20"/>
          <w:lang w:val="sr-Cyrl-CS"/>
        </w:rPr>
        <w:t xml:space="preserve"> </w:t>
      </w:r>
      <w:r w:rsidR="007B01D4">
        <w:rPr>
          <w:sz w:val="20"/>
          <w:szCs w:val="20"/>
          <w:lang w:val="sr-Cyrl-CS"/>
        </w:rPr>
        <w:t>п</w:t>
      </w:r>
      <w:r>
        <w:rPr>
          <w:sz w:val="20"/>
          <w:szCs w:val="20"/>
          <w:lang w:val="sr-Cyrl-CS"/>
        </w:rPr>
        <w:t>ренос масе</w:t>
      </w:r>
      <w:r>
        <w:rPr>
          <w:sz w:val="20"/>
          <w:szCs w:val="20"/>
        </w:rPr>
        <w:t>;</w:t>
      </w:r>
      <w:r>
        <w:rPr>
          <w:sz w:val="20"/>
          <w:szCs w:val="20"/>
          <w:lang w:val="sr-Cyrl-CS"/>
        </w:rPr>
        <w:t xml:space="preserve"> </w:t>
      </w:r>
      <w:r w:rsidR="007B01D4">
        <w:rPr>
          <w:sz w:val="20"/>
          <w:szCs w:val="20"/>
          <w:lang w:val="sr-Cyrl-CS"/>
        </w:rPr>
        <w:t>м</w:t>
      </w:r>
      <w:r>
        <w:rPr>
          <w:sz w:val="20"/>
          <w:szCs w:val="20"/>
          <w:lang w:val="sr-Cyrl-CS"/>
        </w:rPr>
        <w:t>етод коначних разлика</w:t>
      </w:r>
    </w:p>
    <w:sectPr w:rsidR="004521DA" w:rsidRPr="004521DA" w:rsidSect="00FA06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BBA" w:rsidRDefault="004B4BBA" w:rsidP="004D294D">
      <w:r>
        <w:separator/>
      </w:r>
    </w:p>
  </w:endnote>
  <w:endnote w:type="continuationSeparator" w:id="1">
    <w:p w:rsidR="004B4BBA" w:rsidRDefault="004B4BBA" w:rsidP="004D2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BBA" w:rsidRDefault="004B4BBA" w:rsidP="004D294D">
      <w:r>
        <w:separator/>
      </w:r>
    </w:p>
  </w:footnote>
  <w:footnote w:type="continuationSeparator" w:id="1">
    <w:p w:rsidR="004B4BBA" w:rsidRDefault="004B4BBA" w:rsidP="004D294D">
      <w:r>
        <w:continuationSeparator/>
      </w:r>
    </w:p>
  </w:footnote>
  <w:footnote w:id="2">
    <w:p w:rsidR="004D294D" w:rsidRDefault="004D294D" w:rsidP="004D294D">
      <w:pPr>
        <w:pStyle w:val="FootnoteText"/>
      </w:pPr>
      <w:r>
        <w:rPr>
          <w:rStyle w:val="FootnoteReference"/>
        </w:rPr>
        <w:sym w:font="Symbol" w:char="F02A"/>
      </w:r>
      <w:r>
        <w:rPr>
          <w:lang w:val="en-CA"/>
        </w:rPr>
        <w:t xml:space="preserve"> Corresponding author (S. Savović). Fax: +381-34-335040; E-mail address: savovic@kg.ac.rs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294D"/>
    <w:rsid w:val="001C4797"/>
    <w:rsid w:val="00276E8E"/>
    <w:rsid w:val="002A520F"/>
    <w:rsid w:val="002E4E16"/>
    <w:rsid w:val="00317912"/>
    <w:rsid w:val="003A17D4"/>
    <w:rsid w:val="004521DA"/>
    <w:rsid w:val="004662C4"/>
    <w:rsid w:val="004B4BBA"/>
    <w:rsid w:val="004D294D"/>
    <w:rsid w:val="005064EA"/>
    <w:rsid w:val="006927AC"/>
    <w:rsid w:val="007B01D4"/>
    <w:rsid w:val="00A268E3"/>
    <w:rsid w:val="00A27FA2"/>
    <w:rsid w:val="00AD7E6F"/>
    <w:rsid w:val="00BA36D5"/>
    <w:rsid w:val="00D22FBC"/>
    <w:rsid w:val="00D2420C"/>
    <w:rsid w:val="00D41EE0"/>
    <w:rsid w:val="00DC446E"/>
    <w:rsid w:val="00FA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94D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4D294D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semiHidden/>
    <w:rsid w:val="004D294D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semiHidden/>
    <w:rsid w:val="004D294D"/>
    <w:rPr>
      <w:vertAlign w:val="superscript"/>
    </w:rPr>
  </w:style>
  <w:style w:type="character" w:styleId="Hyperlink">
    <w:name w:val="Hyperlink"/>
    <w:basedOn w:val="DefaultParagraphFont"/>
    <w:rsid w:val="00BA36D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36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icaco@tmf.bg.ac.r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mealex@cityu.edu.h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vovic@kg.ac.rs" TargetMode="External"/><Relationship Id="rId11" Type="http://schemas.openxmlformats.org/officeDocument/2006/relationships/hyperlink" Target="mailto:janicaco@tmf.bg.ac.rs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mealex@cityu.edu.h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avovic@kg.ac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 &amp; Ltd. OEM Windows XP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 ® SP2</dc:creator>
  <cp:keywords/>
  <dc:description/>
  <cp:lastModifiedBy>aco janicijevic</cp:lastModifiedBy>
  <cp:revision>4</cp:revision>
  <cp:lastPrinted>2016-07-14T09:17:00Z</cp:lastPrinted>
  <dcterms:created xsi:type="dcterms:W3CDTF">2016-06-29T13:45:00Z</dcterms:created>
  <dcterms:modified xsi:type="dcterms:W3CDTF">2016-07-14T09:18:00Z</dcterms:modified>
</cp:coreProperties>
</file>