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10D0" w:rsidRPr="009A6ABA" w:rsidRDefault="00B510D0" w:rsidP="00B510D0">
      <w:pPr>
        <w:jc w:val="both"/>
        <w:rPr>
          <w:b/>
          <w:sz w:val="28"/>
          <w:szCs w:val="24"/>
        </w:rPr>
      </w:pPr>
      <w:bookmarkStart w:id="0" w:name="_GoBack"/>
      <w:bookmarkEnd w:id="0"/>
      <w:r w:rsidRPr="009A6ABA">
        <w:rPr>
          <w:b/>
          <w:sz w:val="28"/>
          <w:szCs w:val="24"/>
        </w:rPr>
        <w:t xml:space="preserve">MICROWAVE-ASSISTED EXTRACTION OF POLYPHENOLS FROM </w:t>
      </w:r>
      <w:r w:rsidRPr="00FA5BE3">
        <w:rPr>
          <w:b/>
          <w:i/>
          <w:sz w:val="28"/>
          <w:szCs w:val="24"/>
        </w:rPr>
        <w:t>TEUCRIUM CHAMAEDRYS</w:t>
      </w:r>
      <w:r>
        <w:rPr>
          <w:b/>
          <w:sz w:val="28"/>
          <w:szCs w:val="24"/>
        </w:rPr>
        <w:t xml:space="preserve"> L.</w:t>
      </w:r>
      <w:r w:rsidRPr="009A6ABA">
        <w:rPr>
          <w:b/>
          <w:sz w:val="28"/>
          <w:szCs w:val="24"/>
        </w:rPr>
        <w:t xml:space="preserve">: OPTIMIZATION AND CHARACTERIZATION OF THE PHENOLIC COMPOSITION </w:t>
      </w:r>
    </w:p>
    <w:p w:rsidR="003F1333" w:rsidRPr="00B74A23" w:rsidRDefault="003F1333" w:rsidP="00230F8E">
      <w:pPr>
        <w:jc w:val="center"/>
        <w:rPr>
          <w:b/>
          <w:sz w:val="28"/>
          <w:szCs w:val="28"/>
        </w:rPr>
      </w:pPr>
    </w:p>
    <w:p w:rsidR="003F1333" w:rsidRPr="00B74A23" w:rsidRDefault="003F1333">
      <w:pPr>
        <w:jc w:val="center"/>
        <w:rPr>
          <w:b/>
        </w:rPr>
      </w:pPr>
    </w:p>
    <w:p w:rsidR="00B510D0" w:rsidRPr="00B510D0" w:rsidRDefault="00B510D0" w:rsidP="00B510D0">
      <w:pPr>
        <w:jc w:val="center"/>
        <w:rPr>
          <w:szCs w:val="24"/>
          <w:lang w:val="pt-PT"/>
        </w:rPr>
      </w:pPr>
      <w:r w:rsidRPr="00B510D0">
        <w:rPr>
          <w:szCs w:val="24"/>
          <w:lang w:val="pt-PT"/>
        </w:rPr>
        <w:t>Marija Radojković</w:t>
      </w:r>
      <w:r w:rsidRPr="00B510D0">
        <w:rPr>
          <w:szCs w:val="24"/>
          <w:vertAlign w:val="superscript"/>
          <w:lang w:val="pt-PT"/>
        </w:rPr>
        <w:t>1*</w:t>
      </w:r>
      <w:r w:rsidRPr="00B510D0">
        <w:rPr>
          <w:szCs w:val="24"/>
          <w:lang w:val="pt-PT"/>
        </w:rPr>
        <w:t>, Simone Morais</w:t>
      </w:r>
      <w:r w:rsidRPr="00B510D0">
        <w:rPr>
          <w:szCs w:val="24"/>
          <w:vertAlign w:val="superscript"/>
          <w:lang w:val="pt-PT"/>
        </w:rPr>
        <w:t>2</w:t>
      </w:r>
      <w:r w:rsidRPr="00B510D0">
        <w:rPr>
          <w:szCs w:val="24"/>
          <w:lang w:val="pt-PT"/>
        </w:rPr>
        <w:t>, Cristina Soares</w:t>
      </w:r>
      <w:r w:rsidRPr="00B510D0">
        <w:rPr>
          <w:szCs w:val="24"/>
          <w:vertAlign w:val="superscript"/>
          <w:lang w:val="pt-PT"/>
        </w:rPr>
        <w:t>2</w:t>
      </w:r>
      <w:r w:rsidRPr="00B510D0">
        <w:rPr>
          <w:szCs w:val="24"/>
          <w:lang w:val="pt-PT"/>
        </w:rPr>
        <w:t>, M. Fátima Barroso</w:t>
      </w:r>
      <w:r w:rsidRPr="00B510D0">
        <w:rPr>
          <w:szCs w:val="24"/>
          <w:vertAlign w:val="superscript"/>
          <w:lang w:val="pt-PT"/>
        </w:rPr>
        <w:t>2</w:t>
      </w:r>
      <w:r w:rsidRPr="00B510D0">
        <w:rPr>
          <w:szCs w:val="24"/>
          <w:lang w:val="pt-PT"/>
        </w:rPr>
        <w:t>, Manuela M. Moreira</w:t>
      </w:r>
      <w:r w:rsidRPr="00B510D0">
        <w:rPr>
          <w:szCs w:val="24"/>
          <w:vertAlign w:val="superscript"/>
          <w:lang w:val="pt-PT"/>
        </w:rPr>
        <w:t>2</w:t>
      </w:r>
      <w:r w:rsidRPr="00B510D0">
        <w:rPr>
          <w:szCs w:val="24"/>
          <w:lang w:val="pt-PT"/>
        </w:rPr>
        <w:t>, Aleksandra Cvetanović</w:t>
      </w:r>
      <w:r w:rsidRPr="00B510D0">
        <w:rPr>
          <w:szCs w:val="24"/>
          <w:vertAlign w:val="superscript"/>
          <w:lang w:val="pt-PT"/>
        </w:rPr>
        <w:t>1</w:t>
      </w:r>
      <w:r w:rsidRPr="00B510D0">
        <w:rPr>
          <w:szCs w:val="24"/>
          <w:lang w:val="pt-PT"/>
        </w:rPr>
        <w:t>, Jaroslava Švarc Gajić</w:t>
      </w:r>
      <w:r w:rsidRPr="00B510D0">
        <w:rPr>
          <w:szCs w:val="24"/>
          <w:vertAlign w:val="superscript"/>
          <w:lang w:val="pt-PT"/>
        </w:rPr>
        <w:t>1</w:t>
      </w:r>
      <w:r w:rsidRPr="00B510D0">
        <w:rPr>
          <w:szCs w:val="24"/>
          <w:lang w:val="pt-PT"/>
        </w:rPr>
        <w:t xml:space="preserve">, </w:t>
      </w:r>
      <w:r w:rsidR="008E2A65">
        <w:rPr>
          <w:szCs w:val="24"/>
          <w:lang w:val="pt-PT"/>
        </w:rPr>
        <w:t>Milena Vujanović</w:t>
      </w:r>
      <w:r w:rsidR="008E2A65" w:rsidRPr="00B510D0">
        <w:rPr>
          <w:szCs w:val="24"/>
          <w:vertAlign w:val="superscript"/>
          <w:lang w:val="pt-PT"/>
        </w:rPr>
        <w:t>1</w:t>
      </w:r>
      <w:r w:rsidR="008E2A65">
        <w:rPr>
          <w:szCs w:val="24"/>
          <w:lang w:val="pt-PT"/>
        </w:rPr>
        <w:t>,</w:t>
      </w:r>
      <w:r w:rsidR="008E2A65">
        <w:rPr>
          <w:szCs w:val="24"/>
          <w:vertAlign w:val="superscript"/>
          <w:lang w:val="pt-PT"/>
        </w:rPr>
        <w:t xml:space="preserve"> </w:t>
      </w:r>
      <w:r w:rsidRPr="00B510D0">
        <w:rPr>
          <w:szCs w:val="24"/>
          <w:lang w:val="pt-PT"/>
        </w:rPr>
        <w:t>Cristina Delerue-Matos</w:t>
      </w:r>
      <w:r w:rsidRPr="00B510D0">
        <w:rPr>
          <w:szCs w:val="24"/>
          <w:vertAlign w:val="superscript"/>
          <w:lang w:val="pt-PT"/>
        </w:rPr>
        <w:t>2</w:t>
      </w:r>
    </w:p>
    <w:p w:rsidR="003F1333" w:rsidRPr="009C6B4A" w:rsidRDefault="003F1333">
      <w:pPr>
        <w:jc w:val="center"/>
        <w:rPr>
          <w:vertAlign w:val="superscript"/>
          <w:lang w:val="pt-PT"/>
        </w:rPr>
      </w:pPr>
    </w:p>
    <w:p w:rsidR="00ED42E9" w:rsidRPr="009C6B4A" w:rsidRDefault="00ED42E9">
      <w:pPr>
        <w:jc w:val="center"/>
        <w:rPr>
          <w:vertAlign w:val="superscript"/>
          <w:lang w:val="pt-PT"/>
        </w:rPr>
      </w:pPr>
    </w:p>
    <w:p w:rsidR="00B510D0" w:rsidRPr="00B510D0" w:rsidRDefault="00ED42E9" w:rsidP="00B510D0">
      <w:pPr>
        <w:pStyle w:val="BCAuthorAddress"/>
        <w:tabs>
          <w:tab w:val="right" w:pos="6804"/>
        </w:tabs>
        <w:spacing w:after="0" w:line="276" w:lineRule="auto"/>
        <w:rPr>
          <w:rFonts w:ascii="Times New Roman" w:hAnsi="Times New Roman"/>
          <w:sz w:val="20"/>
          <w:szCs w:val="24"/>
        </w:rPr>
      </w:pPr>
      <w:r w:rsidRPr="00B510D0">
        <w:rPr>
          <w:rFonts w:ascii="Times New Roman" w:hAnsi="Times New Roman"/>
          <w:sz w:val="20"/>
          <w:vertAlign w:val="superscript"/>
        </w:rPr>
        <w:t>1</w:t>
      </w:r>
      <w:r w:rsidR="00B510D0" w:rsidRPr="00B510D0">
        <w:rPr>
          <w:rFonts w:ascii="Times New Roman" w:hAnsi="Times New Roman"/>
          <w:sz w:val="20"/>
          <w:szCs w:val="24"/>
        </w:rPr>
        <w:t xml:space="preserve">Faculty of Technology, University of Novi Sad, </w:t>
      </w:r>
      <w:proofErr w:type="spellStart"/>
      <w:r w:rsidR="00B510D0" w:rsidRPr="00B510D0">
        <w:rPr>
          <w:rFonts w:ascii="Times New Roman" w:hAnsi="Times New Roman"/>
          <w:sz w:val="20"/>
          <w:szCs w:val="24"/>
        </w:rPr>
        <w:t>Bulevar</w:t>
      </w:r>
      <w:proofErr w:type="spellEnd"/>
      <w:r w:rsidR="00B510D0" w:rsidRPr="00B510D0">
        <w:rPr>
          <w:rFonts w:ascii="Times New Roman" w:hAnsi="Times New Roman"/>
          <w:sz w:val="20"/>
          <w:szCs w:val="24"/>
        </w:rPr>
        <w:t xml:space="preserve"> </w:t>
      </w:r>
      <w:proofErr w:type="spellStart"/>
      <w:r w:rsidR="00B510D0" w:rsidRPr="00B510D0">
        <w:rPr>
          <w:rFonts w:ascii="Times New Roman" w:hAnsi="Times New Roman"/>
          <w:sz w:val="20"/>
          <w:szCs w:val="24"/>
        </w:rPr>
        <w:t>cara</w:t>
      </w:r>
      <w:proofErr w:type="spellEnd"/>
      <w:r w:rsidR="00B510D0" w:rsidRPr="00B510D0">
        <w:rPr>
          <w:rFonts w:ascii="Times New Roman" w:hAnsi="Times New Roman"/>
          <w:sz w:val="20"/>
          <w:szCs w:val="24"/>
        </w:rPr>
        <w:t xml:space="preserve"> </w:t>
      </w:r>
      <w:proofErr w:type="spellStart"/>
      <w:r w:rsidR="00B510D0" w:rsidRPr="00B510D0">
        <w:rPr>
          <w:rFonts w:ascii="Times New Roman" w:hAnsi="Times New Roman"/>
          <w:sz w:val="20"/>
          <w:szCs w:val="24"/>
        </w:rPr>
        <w:t>Lazara</w:t>
      </w:r>
      <w:proofErr w:type="spellEnd"/>
      <w:r w:rsidR="00B510D0" w:rsidRPr="00B510D0">
        <w:rPr>
          <w:rFonts w:ascii="Times New Roman" w:hAnsi="Times New Roman"/>
          <w:sz w:val="20"/>
          <w:szCs w:val="24"/>
        </w:rPr>
        <w:t xml:space="preserve"> 1, 21000 Novi Sad, Serbia</w:t>
      </w:r>
    </w:p>
    <w:p w:rsidR="00B510D0" w:rsidRPr="00B510D0" w:rsidRDefault="00B510D0" w:rsidP="00B510D0">
      <w:pPr>
        <w:pStyle w:val="BCAuthorAddress"/>
        <w:spacing w:after="0" w:line="276" w:lineRule="auto"/>
        <w:rPr>
          <w:rFonts w:ascii="Times New Roman" w:hAnsi="Times New Roman"/>
          <w:sz w:val="20"/>
          <w:szCs w:val="24"/>
          <w:lang w:val="pt-PT" w:eastAsia="pt-PT"/>
        </w:rPr>
      </w:pPr>
      <w:r w:rsidRPr="00B510D0">
        <w:rPr>
          <w:rFonts w:ascii="Times New Roman" w:hAnsi="Times New Roman"/>
          <w:sz w:val="20"/>
          <w:szCs w:val="24"/>
          <w:vertAlign w:val="superscript"/>
          <w:lang w:val="pt-PT"/>
        </w:rPr>
        <w:t>2</w:t>
      </w:r>
      <w:r w:rsidRPr="00B510D0">
        <w:rPr>
          <w:rFonts w:ascii="Times New Roman" w:hAnsi="Times New Roman"/>
          <w:sz w:val="20"/>
          <w:szCs w:val="24"/>
          <w:lang w:val="pt-PT"/>
        </w:rPr>
        <w:t xml:space="preserve">REQUIMTE/LAQV, Instituto Superior de Engenharia do Instituto Politécnico do Porto, </w:t>
      </w:r>
      <w:r w:rsidRPr="00B510D0">
        <w:rPr>
          <w:rFonts w:ascii="Times New Roman" w:hAnsi="Times New Roman"/>
          <w:sz w:val="20"/>
          <w:szCs w:val="24"/>
          <w:lang w:val="pt-PT" w:eastAsia="pt-PT"/>
        </w:rPr>
        <w:t xml:space="preserve">Rua Dr. António Bernardino de Almeida, 431, 4249-015 </w:t>
      </w:r>
      <w:r w:rsidRPr="00B510D0">
        <w:rPr>
          <w:rFonts w:ascii="Times New Roman" w:hAnsi="Times New Roman"/>
          <w:sz w:val="20"/>
          <w:szCs w:val="24"/>
          <w:lang w:val="pt-PT"/>
        </w:rPr>
        <w:t>Porto, Portugal</w:t>
      </w:r>
    </w:p>
    <w:p w:rsidR="00B510D0" w:rsidRPr="00B510D0" w:rsidRDefault="00B510D0" w:rsidP="00B510D0">
      <w:pPr>
        <w:jc w:val="center"/>
        <w:rPr>
          <w:szCs w:val="24"/>
        </w:rPr>
      </w:pPr>
      <w:r w:rsidRPr="00B510D0">
        <w:rPr>
          <w:szCs w:val="24"/>
        </w:rPr>
        <w:t xml:space="preserve">*Corresponding author: Faculty of Technology, University of Novi Sad, </w:t>
      </w:r>
      <w:proofErr w:type="spellStart"/>
      <w:r w:rsidRPr="00B510D0">
        <w:rPr>
          <w:szCs w:val="24"/>
        </w:rPr>
        <w:t>Bulevar</w:t>
      </w:r>
      <w:proofErr w:type="spellEnd"/>
      <w:r w:rsidRPr="00B510D0">
        <w:rPr>
          <w:szCs w:val="24"/>
        </w:rPr>
        <w:t xml:space="preserve"> </w:t>
      </w:r>
      <w:proofErr w:type="spellStart"/>
      <w:r w:rsidRPr="00B510D0">
        <w:rPr>
          <w:szCs w:val="24"/>
        </w:rPr>
        <w:t>cara</w:t>
      </w:r>
      <w:proofErr w:type="spellEnd"/>
      <w:r w:rsidRPr="00B510D0">
        <w:rPr>
          <w:szCs w:val="24"/>
        </w:rPr>
        <w:t xml:space="preserve"> </w:t>
      </w:r>
      <w:proofErr w:type="spellStart"/>
      <w:r w:rsidRPr="00B510D0">
        <w:rPr>
          <w:szCs w:val="24"/>
        </w:rPr>
        <w:t>Lazara</w:t>
      </w:r>
      <w:proofErr w:type="spellEnd"/>
      <w:r w:rsidRPr="00B510D0">
        <w:rPr>
          <w:szCs w:val="24"/>
        </w:rPr>
        <w:t xml:space="preserve"> 1, 21000 Novi Sad, Serbia, </w:t>
      </w:r>
      <w:hyperlink r:id="rId7" w:history="1">
        <w:r w:rsidRPr="00B510D0">
          <w:rPr>
            <w:rStyle w:val="Hyperlink"/>
            <w:szCs w:val="24"/>
          </w:rPr>
          <w:t>ramarija@uns.ac.rs</w:t>
        </w:r>
      </w:hyperlink>
    </w:p>
    <w:p w:rsidR="00216C5E" w:rsidRDefault="00216C5E" w:rsidP="00532254">
      <w:pPr>
        <w:rPr>
          <w:sz w:val="24"/>
          <w:szCs w:val="24"/>
        </w:rPr>
      </w:pPr>
    </w:p>
    <w:p w:rsidR="00532254" w:rsidRPr="00532254" w:rsidRDefault="00532254" w:rsidP="00532254">
      <w:pPr>
        <w:rPr>
          <w:sz w:val="24"/>
          <w:szCs w:val="24"/>
        </w:rPr>
      </w:pPr>
    </w:p>
    <w:p w:rsidR="00B510D0" w:rsidRPr="00B510D0" w:rsidRDefault="00B510D0" w:rsidP="00B510D0">
      <w:pPr>
        <w:autoSpaceDE w:val="0"/>
        <w:autoSpaceDN w:val="0"/>
        <w:adjustRightInd w:val="0"/>
        <w:jc w:val="both"/>
        <w:rPr>
          <w:i/>
          <w:iCs/>
          <w:sz w:val="24"/>
          <w:szCs w:val="24"/>
          <w:lang w:val="sr-Latn-RS" w:eastAsia="sr-Latn-RS"/>
        </w:rPr>
      </w:pPr>
      <w:proofErr w:type="spellStart"/>
      <w:r w:rsidRPr="00B510D0">
        <w:rPr>
          <w:i/>
          <w:sz w:val="24"/>
          <w:szCs w:val="24"/>
        </w:rPr>
        <w:t>Teucrium</w:t>
      </w:r>
      <w:proofErr w:type="spellEnd"/>
      <w:r w:rsidRPr="00B510D0">
        <w:rPr>
          <w:i/>
          <w:sz w:val="24"/>
          <w:szCs w:val="24"/>
        </w:rPr>
        <w:t xml:space="preserve"> chamaedrys</w:t>
      </w:r>
      <w:r w:rsidRPr="00B510D0">
        <w:rPr>
          <w:sz w:val="24"/>
          <w:szCs w:val="24"/>
        </w:rPr>
        <w:t xml:space="preserve"> L.</w:t>
      </w:r>
      <w:r w:rsidRPr="00B510D0">
        <w:rPr>
          <w:spacing w:val="-2"/>
          <w:sz w:val="24"/>
          <w:szCs w:val="24"/>
        </w:rPr>
        <w:t xml:space="preserve"> is a perennial herbaceous plant very popular in folk medicine in Western Europe, Balkan and Middle East regions. Preparations and extracts have shown wide range of biological activity against various disease and conditions. </w:t>
      </w:r>
      <w:r w:rsidRPr="00B510D0">
        <w:rPr>
          <w:sz w:val="24"/>
          <w:szCs w:val="24"/>
          <w:lang w:val="sr-Latn-RS" w:eastAsia="sr-Latn-RS"/>
        </w:rPr>
        <w:t xml:space="preserve">In this study the microwave-assisted extraction (MAE) of </w:t>
      </w:r>
      <w:r w:rsidRPr="00B510D0">
        <w:rPr>
          <w:sz w:val="24"/>
          <w:szCs w:val="24"/>
        </w:rPr>
        <w:t>phenolic compounds</w:t>
      </w:r>
      <w:r w:rsidRPr="00B510D0">
        <w:rPr>
          <w:sz w:val="24"/>
          <w:szCs w:val="24"/>
          <w:lang w:val="sr-Latn-RS" w:eastAsia="sr-Latn-RS"/>
        </w:rPr>
        <w:t xml:space="preserve"> from </w:t>
      </w:r>
      <w:r w:rsidRPr="00B510D0">
        <w:rPr>
          <w:i/>
          <w:sz w:val="24"/>
          <w:szCs w:val="24"/>
        </w:rPr>
        <w:t>T</w:t>
      </w:r>
      <w:r>
        <w:rPr>
          <w:i/>
          <w:sz w:val="24"/>
          <w:szCs w:val="24"/>
        </w:rPr>
        <w:t>.</w:t>
      </w:r>
      <w:r w:rsidRPr="00B510D0">
        <w:rPr>
          <w:i/>
          <w:sz w:val="24"/>
          <w:szCs w:val="24"/>
        </w:rPr>
        <w:t xml:space="preserve"> chamaedrys</w:t>
      </w:r>
      <w:r>
        <w:rPr>
          <w:sz w:val="24"/>
          <w:szCs w:val="24"/>
        </w:rPr>
        <w:t xml:space="preserve"> L.</w:t>
      </w:r>
      <w:r w:rsidRPr="00B510D0">
        <w:rPr>
          <w:sz w:val="24"/>
          <w:szCs w:val="24"/>
          <w:lang w:val="sr-Latn-RS" w:eastAsia="sr-Latn-RS"/>
        </w:rPr>
        <w:t xml:space="preserve"> </w:t>
      </w:r>
      <w:proofErr w:type="gramStart"/>
      <w:r w:rsidRPr="00B510D0">
        <w:rPr>
          <w:sz w:val="24"/>
          <w:szCs w:val="24"/>
          <w:lang w:val="sr-Latn-RS" w:eastAsia="sr-Latn-RS"/>
        </w:rPr>
        <w:t>and  the</w:t>
      </w:r>
      <w:proofErr w:type="gramEnd"/>
      <w:r w:rsidRPr="00B510D0">
        <w:rPr>
          <w:sz w:val="24"/>
          <w:szCs w:val="24"/>
          <w:lang w:val="sr-Latn-RS" w:eastAsia="sr-Latn-RS"/>
        </w:rPr>
        <w:t xml:space="preserve"> phenolic composition and antioxidant activity of the obtained extracts were investigated. A</w:t>
      </w:r>
      <w:r w:rsidRPr="00B510D0">
        <w:rPr>
          <w:sz w:val="24"/>
          <w:szCs w:val="24"/>
        </w:rPr>
        <w:t xml:space="preserve"> 2</w:t>
      </w:r>
      <w:r w:rsidRPr="00B510D0">
        <w:rPr>
          <w:sz w:val="24"/>
          <w:szCs w:val="24"/>
          <w:vertAlign w:val="superscript"/>
        </w:rPr>
        <w:t>3</w:t>
      </w:r>
      <w:r w:rsidRPr="00B510D0">
        <w:rPr>
          <w:sz w:val="24"/>
          <w:szCs w:val="24"/>
        </w:rPr>
        <w:t xml:space="preserve"> factorial design coupled with response surface methodology (RSM) was used. The optimized MAE conditions were ethanol: water (1:1; v/v), medium stirring speed, 120°C, 32 min, and 0.029 g sample/mL solvent. The statistical analysis gave that line</w:t>
      </w:r>
      <w:r w:rsidR="002547F9">
        <w:rPr>
          <w:sz w:val="24"/>
          <w:szCs w:val="24"/>
        </w:rPr>
        <w:t>a</w:t>
      </w:r>
      <w:r w:rsidRPr="00B510D0">
        <w:rPr>
          <w:sz w:val="24"/>
          <w:szCs w:val="24"/>
        </w:rPr>
        <w:t>r and quadratic terms as temperature, extraction time, sample-to-solvent ratio were the most significant parameters of the extraction process (</w:t>
      </w:r>
      <w:r w:rsidRPr="00B921C4">
        <w:rPr>
          <w:i/>
          <w:sz w:val="24"/>
          <w:szCs w:val="24"/>
        </w:rPr>
        <w:t>p</w:t>
      </w:r>
      <w:r w:rsidRPr="00B510D0">
        <w:rPr>
          <w:sz w:val="24"/>
          <w:szCs w:val="24"/>
        </w:rPr>
        <w:t>&lt;0.01). Under the MAE optimized conditions, the maximum TPC was 81.3±6.</w:t>
      </w:r>
      <w:r w:rsidR="00253AEE">
        <w:rPr>
          <w:sz w:val="24"/>
          <w:szCs w:val="24"/>
        </w:rPr>
        <w:t>9</w:t>
      </w:r>
      <w:r w:rsidR="00253AEE" w:rsidRPr="00B510D0">
        <w:rPr>
          <w:sz w:val="24"/>
          <w:szCs w:val="24"/>
        </w:rPr>
        <w:t xml:space="preserve"> </w:t>
      </w:r>
      <w:r w:rsidRPr="00B510D0">
        <w:rPr>
          <w:sz w:val="24"/>
          <w:szCs w:val="24"/>
        </w:rPr>
        <w:t>mg GAE/g dry plant (DP), antioxidant activity was 111.</w:t>
      </w:r>
      <w:r w:rsidR="00253AEE">
        <w:rPr>
          <w:sz w:val="24"/>
          <w:szCs w:val="24"/>
        </w:rPr>
        <w:t>2</w:t>
      </w:r>
      <w:r w:rsidRPr="00B510D0">
        <w:rPr>
          <w:sz w:val="24"/>
          <w:szCs w:val="24"/>
        </w:rPr>
        <w:t>±5.</w:t>
      </w:r>
      <w:r w:rsidR="00253AEE">
        <w:rPr>
          <w:sz w:val="24"/>
          <w:szCs w:val="24"/>
        </w:rPr>
        <w:t>3</w:t>
      </w:r>
      <w:r w:rsidR="00253AEE" w:rsidRPr="00B510D0">
        <w:rPr>
          <w:sz w:val="24"/>
          <w:szCs w:val="24"/>
        </w:rPr>
        <w:t xml:space="preserve"> </w:t>
      </w:r>
      <w:r w:rsidRPr="00B510D0">
        <w:rPr>
          <w:sz w:val="24"/>
          <w:szCs w:val="24"/>
        </w:rPr>
        <w:t>mg AA/g DP (FRAP assay), 86.</w:t>
      </w:r>
      <w:r w:rsidR="00253AEE">
        <w:rPr>
          <w:sz w:val="24"/>
          <w:szCs w:val="24"/>
        </w:rPr>
        <w:t>3</w:t>
      </w:r>
      <w:r w:rsidRPr="00B510D0">
        <w:rPr>
          <w:sz w:val="24"/>
          <w:szCs w:val="24"/>
        </w:rPr>
        <w:t>±2.2 mg TX/g DP (DPPH assay) and 328.</w:t>
      </w:r>
      <w:r w:rsidR="00253AEE">
        <w:rPr>
          <w:sz w:val="24"/>
          <w:szCs w:val="24"/>
        </w:rPr>
        <w:t>3</w:t>
      </w:r>
      <w:r w:rsidRPr="00B510D0">
        <w:rPr>
          <w:sz w:val="24"/>
          <w:szCs w:val="24"/>
        </w:rPr>
        <w:t>±28.5 mg TE/g DP (ORAC assay). When com</w:t>
      </w:r>
      <w:r w:rsidR="00253AEE">
        <w:rPr>
          <w:sz w:val="24"/>
          <w:szCs w:val="24"/>
        </w:rPr>
        <w:t>p</w:t>
      </w:r>
      <w:r w:rsidRPr="00B510D0">
        <w:rPr>
          <w:sz w:val="24"/>
          <w:szCs w:val="24"/>
        </w:rPr>
        <w:t>ared to conventional extraction</w:t>
      </w:r>
      <w:r w:rsidR="002547F9">
        <w:rPr>
          <w:sz w:val="24"/>
          <w:szCs w:val="24"/>
        </w:rPr>
        <w:t xml:space="preserve">, MAE presented higher yields. </w:t>
      </w:r>
      <w:r w:rsidRPr="00B510D0">
        <w:rPr>
          <w:sz w:val="24"/>
          <w:szCs w:val="24"/>
        </w:rPr>
        <w:t xml:space="preserve">Based on these results of investigation, it could be concluded that extracts of </w:t>
      </w:r>
      <w:r w:rsidRPr="00B510D0">
        <w:rPr>
          <w:i/>
          <w:sz w:val="24"/>
          <w:szCs w:val="24"/>
        </w:rPr>
        <w:t xml:space="preserve">T. </w:t>
      </w:r>
      <w:proofErr w:type="spellStart"/>
      <w:r w:rsidRPr="00B510D0">
        <w:rPr>
          <w:i/>
          <w:sz w:val="24"/>
          <w:szCs w:val="24"/>
        </w:rPr>
        <w:t>chamaedrys</w:t>
      </w:r>
      <w:proofErr w:type="spellEnd"/>
      <w:r w:rsidRPr="00B510D0">
        <w:rPr>
          <w:sz w:val="24"/>
          <w:szCs w:val="24"/>
        </w:rPr>
        <w:t xml:space="preserve"> </w:t>
      </w:r>
      <w:r w:rsidR="00253AEE">
        <w:rPr>
          <w:sz w:val="24"/>
          <w:szCs w:val="24"/>
        </w:rPr>
        <w:t>are</w:t>
      </w:r>
      <w:r w:rsidR="00253AEE" w:rsidRPr="00B510D0">
        <w:rPr>
          <w:sz w:val="24"/>
          <w:szCs w:val="24"/>
        </w:rPr>
        <w:t xml:space="preserve"> </w:t>
      </w:r>
      <w:r w:rsidRPr="00B510D0">
        <w:rPr>
          <w:sz w:val="24"/>
          <w:szCs w:val="24"/>
        </w:rPr>
        <w:t>a rich source of phenolic compounds as natural antioxidants of high value.</w:t>
      </w:r>
    </w:p>
    <w:p w:rsidR="00230F8E" w:rsidRPr="00230F8E" w:rsidRDefault="00230F8E" w:rsidP="00230F8E">
      <w:pPr>
        <w:widowControl/>
        <w:jc w:val="both"/>
        <w:rPr>
          <w:sz w:val="24"/>
          <w:szCs w:val="24"/>
        </w:rPr>
      </w:pPr>
    </w:p>
    <w:p w:rsidR="00230F8E" w:rsidRPr="00230F8E" w:rsidRDefault="00230F8E" w:rsidP="00230F8E">
      <w:pPr>
        <w:widowControl/>
        <w:jc w:val="both"/>
        <w:rPr>
          <w:sz w:val="24"/>
          <w:szCs w:val="24"/>
        </w:rPr>
      </w:pPr>
    </w:p>
    <w:p w:rsidR="00230F8E" w:rsidRPr="00230F8E" w:rsidRDefault="00230F8E" w:rsidP="00230F8E">
      <w:pPr>
        <w:widowControl/>
        <w:jc w:val="both"/>
        <w:rPr>
          <w:sz w:val="24"/>
          <w:szCs w:val="24"/>
        </w:rPr>
      </w:pPr>
      <w:r w:rsidRPr="00230F8E">
        <w:rPr>
          <w:sz w:val="24"/>
          <w:szCs w:val="24"/>
        </w:rPr>
        <w:t>Key words:</w:t>
      </w:r>
      <w:r w:rsidR="00B510D0" w:rsidRPr="00B510D0">
        <w:rPr>
          <w:i/>
          <w:sz w:val="24"/>
          <w:szCs w:val="24"/>
        </w:rPr>
        <w:t xml:space="preserve"> </w:t>
      </w:r>
      <w:proofErr w:type="spellStart"/>
      <w:r w:rsidR="00B510D0" w:rsidRPr="00B510D0">
        <w:rPr>
          <w:i/>
          <w:sz w:val="24"/>
          <w:szCs w:val="24"/>
        </w:rPr>
        <w:t>Teucrium</w:t>
      </w:r>
      <w:proofErr w:type="spellEnd"/>
      <w:r w:rsidR="00B510D0" w:rsidRPr="00B510D0">
        <w:rPr>
          <w:i/>
          <w:sz w:val="24"/>
          <w:szCs w:val="24"/>
        </w:rPr>
        <w:t xml:space="preserve"> chamaedrys</w:t>
      </w:r>
      <w:r w:rsidR="00B510D0" w:rsidRPr="00B510D0">
        <w:rPr>
          <w:sz w:val="24"/>
          <w:szCs w:val="24"/>
        </w:rPr>
        <w:t xml:space="preserve"> L.</w:t>
      </w:r>
      <w:r w:rsidR="00B510D0">
        <w:rPr>
          <w:sz w:val="24"/>
          <w:szCs w:val="24"/>
        </w:rPr>
        <w:t xml:space="preserve">, </w:t>
      </w:r>
      <w:r w:rsidR="00B510D0" w:rsidRPr="009A6ABA">
        <w:rPr>
          <w:sz w:val="24"/>
          <w:szCs w:val="24"/>
          <w:lang w:val="sr-Latn-RS" w:eastAsia="sr-Latn-RS"/>
        </w:rPr>
        <w:t xml:space="preserve">microwave-assisted extraction, </w:t>
      </w:r>
      <w:r w:rsidR="00B510D0">
        <w:rPr>
          <w:sz w:val="24"/>
          <w:szCs w:val="24"/>
          <w:lang w:val="sr-Latn-RS" w:eastAsia="sr-Latn-RS"/>
        </w:rPr>
        <w:t>r</w:t>
      </w:r>
      <w:proofErr w:type="spellStart"/>
      <w:r w:rsidR="00B510D0" w:rsidRPr="009A6ABA">
        <w:rPr>
          <w:sz w:val="24"/>
          <w:szCs w:val="24"/>
        </w:rPr>
        <w:t>esponse</w:t>
      </w:r>
      <w:proofErr w:type="spellEnd"/>
      <w:r w:rsidR="00B510D0" w:rsidRPr="009A6ABA">
        <w:rPr>
          <w:sz w:val="24"/>
          <w:szCs w:val="24"/>
        </w:rPr>
        <w:t xml:space="preserve"> </w:t>
      </w:r>
      <w:r w:rsidR="00B510D0">
        <w:rPr>
          <w:sz w:val="24"/>
          <w:szCs w:val="24"/>
        </w:rPr>
        <w:t>s</w:t>
      </w:r>
      <w:r w:rsidR="00B510D0" w:rsidRPr="009A6ABA">
        <w:rPr>
          <w:sz w:val="24"/>
          <w:szCs w:val="24"/>
        </w:rPr>
        <w:t xml:space="preserve">urface </w:t>
      </w:r>
      <w:r w:rsidR="00B510D0">
        <w:rPr>
          <w:sz w:val="24"/>
          <w:szCs w:val="24"/>
        </w:rPr>
        <w:t>m</w:t>
      </w:r>
      <w:r w:rsidR="00B510D0" w:rsidRPr="009A6ABA">
        <w:rPr>
          <w:sz w:val="24"/>
          <w:szCs w:val="24"/>
        </w:rPr>
        <w:t>ethodology</w:t>
      </w:r>
      <w:r w:rsidR="00B510D0">
        <w:rPr>
          <w:sz w:val="24"/>
          <w:szCs w:val="24"/>
        </w:rPr>
        <w:t>, phenolic compounds</w:t>
      </w:r>
      <w:r w:rsidRPr="00230F8E">
        <w:rPr>
          <w:sz w:val="24"/>
          <w:szCs w:val="24"/>
        </w:rPr>
        <w:t xml:space="preserve">  </w:t>
      </w:r>
    </w:p>
    <w:p w:rsidR="00ED09E2" w:rsidRPr="00ED09E2" w:rsidRDefault="00ED09E2" w:rsidP="008C7815">
      <w:pPr>
        <w:rPr>
          <w:b/>
          <w:sz w:val="22"/>
          <w:szCs w:val="22"/>
        </w:rPr>
      </w:pPr>
    </w:p>
    <w:sectPr w:rsidR="00ED09E2" w:rsidRPr="00ED09E2" w:rsidSect="00B74A23">
      <w:headerReference w:type="default" r:id="rId8"/>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7562" w:rsidRDefault="005D7562" w:rsidP="002338FC">
      <w:r>
        <w:separator/>
      </w:r>
    </w:p>
  </w:endnote>
  <w:endnote w:type="continuationSeparator" w:id="0">
    <w:p w:rsidR="005D7562" w:rsidRDefault="005D7562"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7562" w:rsidRDefault="005D7562" w:rsidP="002338FC">
      <w:r>
        <w:separator/>
      </w:r>
    </w:p>
  </w:footnote>
  <w:footnote w:type="continuationSeparator" w:id="0">
    <w:p w:rsidR="005D7562" w:rsidRDefault="005D7562" w:rsidP="00233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B4A" w:rsidRPr="00ED09E2" w:rsidRDefault="009C6B4A"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9C6B4A" w:rsidRPr="00ED09E2" w:rsidRDefault="009C6B4A"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52D1E"/>
    <w:rsid w:val="000A694D"/>
    <w:rsid w:val="001137B3"/>
    <w:rsid w:val="00140B76"/>
    <w:rsid w:val="00155E2A"/>
    <w:rsid w:val="00163092"/>
    <w:rsid w:val="001E0B0E"/>
    <w:rsid w:val="001E1E4E"/>
    <w:rsid w:val="00211CB6"/>
    <w:rsid w:val="00216C5E"/>
    <w:rsid w:val="00230F8E"/>
    <w:rsid w:val="002338FC"/>
    <w:rsid w:val="002411E3"/>
    <w:rsid w:val="00253AEE"/>
    <w:rsid w:val="002547F9"/>
    <w:rsid w:val="0027080A"/>
    <w:rsid w:val="0028158C"/>
    <w:rsid w:val="002B571C"/>
    <w:rsid w:val="00305A84"/>
    <w:rsid w:val="003119D2"/>
    <w:rsid w:val="00325004"/>
    <w:rsid w:val="00336813"/>
    <w:rsid w:val="003766E9"/>
    <w:rsid w:val="003920C8"/>
    <w:rsid w:val="003B72C8"/>
    <w:rsid w:val="003F1333"/>
    <w:rsid w:val="00463A00"/>
    <w:rsid w:val="00490446"/>
    <w:rsid w:val="004C00FA"/>
    <w:rsid w:val="004E7652"/>
    <w:rsid w:val="00532254"/>
    <w:rsid w:val="00545371"/>
    <w:rsid w:val="005C2F81"/>
    <w:rsid w:val="005D3448"/>
    <w:rsid w:val="005D7562"/>
    <w:rsid w:val="005F7535"/>
    <w:rsid w:val="00622152"/>
    <w:rsid w:val="006E78D0"/>
    <w:rsid w:val="00733D5F"/>
    <w:rsid w:val="00737A8A"/>
    <w:rsid w:val="008019DE"/>
    <w:rsid w:val="00810EAE"/>
    <w:rsid w:val="00817944"/>
    <w:rsid w:val="00852DAF"/>
    <w:rsid w:val="00861E6A"/>
    <w:rsid w:val="008C7815"/>
    <w:rsid w:val="008E2A65"/>
    <w:rsid w:val="00966613"/>
    <w:rsid w:val="00971A94"/>
    <w:rsid w:val="0097443A"/>
    <w:rsid w:val="009C6B4A"/>
    <w:rsid w:val="009D1F13"/>
    <w:rsid w:val="00A12585"/>
    <w:rsid w:val="00A325FB"/>
    <w:rsid w:val="00A407C9"/>
    <w:rsid w:val="00A77759"/>
    <w:rsid w:val="00AC1B67"/>
    <w:rsid w:val="00B36B75"/>
    <w:rsid w:val="00B5014F"/>
    <w:rsid w:val="00B510D0"/>
    <w:rsid w:val="00B73D2F"/>
    <w:rsid w:val="00B74A23"/>
    <w:rsid w:val="00B921C4"/>
    <w:rsid w:val="00BB3447"/>
    <w:rsid w:val="00BF4545"/>
    <w:rsid w:val="00C879E5"/>
    <w:rsid w:val="00D95F51"/>
    <w:rsid w:val="00DB66DC"/>
    <w:rsid w:val="00DC2FD9"/>
    <w:rsid w:val="00DC79BA"/>
    <w:rsid w:val="00DD0313"/>
    <w:rsid w:val="00E0331A"/>
    <w:rsid w:val="00E07990"/>
    <w:rsid w:val="00E839FB"/>
    <w:rsid w:val="00E949EC"/>
    <w:rsid w:val="00E95CC0"/>
    <w:rsid w:val="00EC1C83"/>
    <w:rsid w:val="00EC41D0"/>
    <w:rsid w:val="00ED09E2"/>
    <w:rsid w:val="00ED42E9"/>
    <w:rsid w:val="00EF062E"/>
    <w:rsid w:val="00F50206"/>
    <w:rsid w:val="00F513AF"/>
    <w:rsid w:val="00F56C45"/>
    <w:rsid w:val="00F63BC1"/>
    <w:rsid w:val="00FB1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224499E-7044-4AAB-8728-FF3F75D9C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 w:type="paragraph" w:customStyle="1" w:styleId="BCAuthorAddress">
    <w:name w:val="BC_Author_Address"/>
    <w:basedOn w:val="Normal"/>
    <w:next w:val="Normal"/>
    <w:rsid w:val="00B510D0"/>
    <w:pPr>
      <w:widowControl/>
      <w:spacing w:after="240" w:line="480" w:lineRule="auto"/>
      <w:jc w:val="center"/>
    </w:pPr>
    <w:rPr>
      <w:rFonts w:ascii="Times" w:hAnsi="Times"/>
      <w:snapToGrid/>
      <w:sz w:val="24"/>
    </w:rPr>
  </w:style>
  <w:style w:type="character" w:styleId="CommentReference">
    <w:name w:val="annotation reference"/>
    <w:rsid w:val="00253AEE"/>
    <w:rPr>
      <w:sz w:val="16"/>
      <w:szCs w:val="16"/>
    </w:rPr>
  </w:style>
  <w:style w:type="paragraph" w:styleId="CommentText">
    <w:name w:val="annotation text"/>
    <w:basedOn w:val="Normal"/>
    <w:link w:val="CommentTextChar"/>
    <w:rsid w:val="00253AEE"/>
  </w:style>
  <w:style w:type="character" w:customStyle="1" w:styleId="CommentTextChar">
    <w:name w:val="Comment Text Char"/>
    <w:link w:val="CommentText"/>
    <w:rsid w:val="00253AEE"/>
    <w:rPr>
      <w:snapToGrid w:val="0"/>
      <w:lang w:val="en-US" w:eastAsia="en-US"/>
    </w:rPr>
  </w:style>
  <w:style w:type="paragraph" w:styleId="CommentSubject">
    <w:name w:val="annotation subject"/>
    <w:basedOn w:val="CommentText"/>
    <w:next w:val="CommentText"/>
    <w:link w:val="CommentSubjectChar"/>
    <w:rsid w:val="00253AEE"/>
    <w:rPr>
      <w:b/>
      <w:bCs/>
    </w:rPr>
  </w:style>
  <w:style w:type="character" w:customStyle="1" w:styleId="CommentSubjectChar">
    <w:name w:val="Comment Subject Char"/>
    <w:link w:val="CommentSubject"/>
    <w:rsid w:val="00253AEE"/>
    <w:rPr>
      <w:b/>
      <w:bCs/>
      <w:snapToGrid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57557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amarija@uns.ac.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326</Words>
  <Characters>1862</Characters>
  <Application>Microsoft Office Word</Application>
  <DocSecurity>0</DocSecurity>
  <Lines>15</Lines>
  <Paragraphs>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Title</vt:lpstr>
      <vt:lpstr>Title</vt:lpstr>
    </vt:vector>
  </TitlesOfParts>
  <Company>Electrochemical Society</Company>
  <LinksUpToDate>false</LinksUpToDate>
  <CharactersWithSpaces>2184</CharactersWithSpaces>
  <SharedDoc>false</SharedDoc>
  <HLinks>
    <vt:vector size="6" baseType="variant">
      <vt:variant>
        <vt:i4>7602187</vt:i4>
      </vt:variant>
      <vt:variant>
        <vt:i4>0</vt:i4>
      </vt:variant>
      <vt:variant>
        <vt:i4>0</vt:i4>
      </vt:variant>
      <vt:variant>
        <vt:i4>5</vt:i4>
      </vt:variant>
      <vt:variant>
        <vt:lpwstr>mailto:ramarija@uns.ac.rs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2016-07-16T13:46:00Z</cp:lastPrinted>
  <dcterms:created xsi:type="dcterms:W3CDTF">2016-10-05T12:56:00Z</dcterms:created>
  <dcterms:modified xsi:type="dcterms:W3CDTF">2016-10-05T12:56:00Z</dcterms:modified>
</cp:coreProperties>
</file>