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9F1" w:rsidRDefault="00CE39F1" w:rsidP="00CE39F1">
      <w:pPr>
        <w:jc w:val="center"/>
        <w:rPr>
          <w:b/>
          <w:sz w:val="28"/>
          <w:szCs w:val="28"/>
          <w:lang w:val="sr-Latn-CS"/>
        </w:rPr>
      </w:pPr>
      <w:bookmarkStart w:id="0" w:name="_GoBack"/>
      <w:bookmarkEnd w:id="0"/>
      <w:r w:rsidRPr="00CE39F1">
        <w:rPr>
          <w:b/>
          <w:sz w:val="28"/>
          <w:szCs w:val="28"/>
          <w:lang w:val="sr-Latn-RS"/>
        </w:rPr>
        <w:t xml:space="preserve">THE INFLUENCE OF ROSEMARY ESSENTIAL OIL APPLIED </w:t>
      </w:r>
      <w:r w:rsidRPr="00CE39F1">
        <w:rPr>
          <w:b/>
          <w:i/>
          <w:sz w:val="28"/>
          <w:szCs w:val="28"/>
          <w:lang w:val="sr-Latn-RS"/>
        </w:rPr>
        <w:t>per os</w:t>
      </w:r>
      <w:r w:rsidRPr="00CE39F1">
        <w:rPr>
          <w:b/>
          <w:sz w:val="28"/>
          <w:szCs w:val="28"/>
          <w:lang w:val="sr-Latn-RS"/>
        </w:rPr>
        <w:t xml:space="preserve"> ON THE </w:t>
      </w:r>
      <w:r w:rsidRPr="00CE39F1">
        <w:rPr>
          <w:b/>
          <w:lang w:val="sr-Latn-RS"/>
        </w:rPr>
        <w:t xml:space="preserve"> </w:t>
      </w:r>
      <w:r w:rsidRPr="00CE39F1">
        <w:rPr>
          <w:b/>
          <w:sz w:val="28"/>
          <w:szCs w:val="28"/>
          <w:lang w:val="sr-Latn-CS"/>
        </w:rPr>
        <w:t>PHARMACODYNAMIC AND PHARMACOKINETIC PROPERTIES OF PARACETAMOL</w:t>
      </w:r>
    </w:p>
    <w:p w:rsidR="00CE39F1" w:rsidRDefault="00CE39F1" w:rsidP="00CE39F1">
      <w:pPr>
        <w:jc w:val="center"/>
        <w:rPr>
          <w:b/>
          <w:sz w:val="28"/>
          <w:szCs w:val="28"/>
          <w:lang w:val="sr-Latn-CS"/>
        </w:rPr>
      </w:pPr>
    </w:p>
    <w:p w:rsidR="00CE39F1" w:rsidRPr="00E93EE5" w:rsidRDefault="00CE39F1" w:rsidP="00CE39F1">
      <w:pPr>
        <w:jc w:val="center"/>
        <w:rPr>
          <w:vertAlign w:val="superscript"/>
          <w:lang w:val="sr-Latn-CS"/>
        </w:rPr>
      </w:pPr>
      <w:r w:rsidRPr="00E93EE5">
        <w:rPr>
          <w:lang w:val="sr-Latn-CS"/>
        </w:rPr>
        <w:t>*Isidora Milanović</w:t>
      </w:r>
      <w:r w:rsidRPr="00E93EE5">
        <w:rPr>
          <w:vertAlign w:val="superscript"/>
          <w:lang w:val="sr-Latn-CS"/>
        </w:rPr>
        <w:t xml:space="preserve">1 </w:t>
      </w:r>
      <w:r w:rsidRPr="00E93EE5">
        <w:rPr>
          <w:lang w:val="sr-Latn-CS"/>
        </w:rPr>
        <w:t>, Aleksandar Rašković</w:t>
      </w:r>
      <w:r w:rsidRPr="00E93EE5">
        <w:rPr>
          <w:vertAlign w:val="superscript"/>
          <w:lang w:val="sr-Latn-CS"/>
        </w:rPr>
        <w:t xml:space="preserve">2 </w:t>
      </w:r>
      <w:r w:rsidRPr="00E93EE5">
        <w:rPr>
          <w:lang w:val="sr-Latn-CS"/>
        </w:rPr>
        <w:t>, Saša Vukmirović</w:t>
      </w:r>
      <w:r w:rsidRPr="00E93EE5">
        <w:rPr>
          <w:vertAlign w:val="superscript"/>
          <w:lang w:val="sr-Latn-CS"/>
        </w:rPr>
        <w:t>2</w:t>
      </w:r>
      <w:r w:rsidRPr="00E93EE5">
        <w:rPr>
          <w:lang w:val="sr-Latn-CS"/>
        </w:rPr>
        <w:t>, Nebojša Stilinović</w:t>
      </w:r>
      <w:r w:rsidRPr="00E93EE5">
        <w:rPr>
          <w:vertAlign w:val="superscript"/>
          <w:lang w:val="sr-Latn-CS"/>
        </w:rPr>
        <w:t>2</w:t>
      </w:r>
      <w:r w:rsidRPr="00E93EE5">
        <w:rPr>
          <w:lang w:val="sr-Latn-CS"/>
        </w:rPr>
        <w:t>, Momir Mikov</w:t>
      </w:r>
      <w:r w:rsidRPr="00E93EE5">
        <w:rPr>
          <w:vertAlign w:val="superscript"/>
          <w:lang w:val="sr-Latn-CS"/>
        </w:rPr>
        <w:t>2</w:t>
      </w:r>
    </w:p>
    <w:p w:rsidR="00CE39F1" w:rsidRPr="001B65F1" w:rsidRDefault="00CE39F1" w:rsidP="001B65F1">
      <w:pPr>
        <w:jc w:val="center"/>
        <w:rPr>
          <w:lang w:val="sr-Latn-CS"/>
        </w:rPr>
      </w:pPr>
      <w:r w:rsidRPr="00E93EE5">
        <w:rPr>
          <w:vertAlign w:val="superscript"/>
          <w:lang w:val="sr-Latn-CS"/>
        </w:rPr>
        <w:t>1</w:t>
      </w:r>
      <w:r>
        <w:rPr>
          <w:lang w:val="sr-Latn-CS"/>
        </w:rPr>
        <w:t>Higher Education School of Professional Health Studies</w:t>
      </w:r>
      <w:r w:rsidRPr="00E93EE5">
        <w:rPr>
          <w:lang w:val="sr-Latn-CS"/>
        </w:rPr>
        <w:t xml:space="preserve">, Cara Dušana </w:t>
      </w:r>
      <w:r>
        <w:rPr>
          <w:lang w:val="sr-Latn-CS"/>
        </w:rPr>
        <w:t>st. No 254, Zemun, Serbia</w:t>
      </w:r>
    </w:p>
    <w:p w:rsidR="00CE39F1" w:rsidRDefault="00CE39F1" w:rsidP="00CE39F1">
      <w:pPr>
        <w:ind w:firstLine="720"/>
        <w:jc w:val="center"/>
        <w:rPr>
          <w:lang w:val="sr-Latn-CS"/>
        </w:rPr>
      </w:pPr>
      <w:r w:rsidRPr="00E93EE5">
        <w:rPr>
          <w:vertAlign w:val="superscript"/>
          <w:lang w:val="sr-Latn-CS"/>
        </w:rPr>
        <w:t>2</w:t>
      </w:r>
      <w:r>
        <w:rPr>
          <w:vertAlign w:val="superscript"/>
          <w:lang w:val="sr-Latn-CS"/>
        </w:rPr>
        <w:t xml:space="preserve"> </w:t>
      </w:r>
      <w:r>
        <w:rPr>
          <w:lang w:val="sr-Latn-CS"/>
        </w:rPr>
        <w:t>Medical Faculty of  University of Novi Sad, H</w:t>
      </w:r>
      <w:r w:rsidRPr="00E93EE5">
        <w:rPr>
          <w:lang w:val="sr-Latn-CS"/>
        </w:rPr>
        <w:t>ajduk Veljkova</w:t>
      </w:r>
      <w:r>
        <w:rPr>
          <w:lang w:val="sr-Latn-CS"/>
        </w:rPr>
        <w:t xml:space="preserve"> st. No 3, Novi Sad, Serbia</w:t>
      </w:r>
    </w:p>
    <w:p w:rsidR="001B65F1" w:rsidRPr="0064079E" w:rsidRDefault="001B65F1" w:rsidP="001B65F1">
      <w:pPr>
        <w:ind w:firstLine="720"/>
        <w:jc w:val="center"/>
      </w:pPr>
      <w:r w:rsidRPr="0064079E">
        <w:rPr>
          <w:lang w:val="sr-Latn-CS"/>
        </w:rPr>
        <w:t>*</w:t>
      </w:r>
      <w:r>
        <w:rPr>
          <w:lang w:val="sr-Latn-CS"/>
        </w:rPr>
        <w:t xml:space="preserve">coresponding author </w:t>
      </w:r>
      <w:r w:rsidRPr="0064079E">
        <w:rPr>
          <w:lang w:val="sr-Latn-CS"/>
        </w:rPr>
        <w:t>e-mail: i.milanovic007@gmail.com</w:t>
      </w:r>
    </w:p>
    <w:p w:rsidR="001B65F1" w:rsidRDefault="001B65F1" w:rsidP="00CE39F1">
      <w:pPr>
        <w:ind w:firstLine="720"/>
        <w:jc w:val="center"/>
        <w:rPr>
          <w:lang w:val="sr-Latn-CS"/>
        </w:rPr>
      </w:pPr>
    </w:p>
    <w:p w:rsidR="00CE39F1" w:rsidRDefault="00CE39F1" w:rsidP="001B65F1">
      <w:pPr>
        <w:rPr>
          <w:lang w:val="sr-Latn-CS"/>
        </w:rPr>
      </w:pPr>
    </w:p>
    <w:p w:rsidR="00CE39F1" w:rsidRDefault="00CE39F1" w:rsidP="00CE39F1">
      <w:pPr>
        <w:jc w:val="both"/>
        <w:rPr>
          <w:sz w:val="24"/>
          <w:lang w:val="sr-Latn-CS"/>
        </w:rPr>
      </w:pPr>
      <w:r w:rsidRPr="000204AA">
        <w:rPr>
          <w:sz w:val="24"/>
          <w:szCs w:val="24"/>
          <w:lang w:val="sr-Latn-RS"/>
        </w:rPr>
        <w:t xml:space="preserve">Introduction: </w:t>
      </w:r>
      <w:r w:rsidRPr="000204AA">
        <w:rPr>
          <w:sz w:val="24"/>
          <w:szCs w:val="24"/>
          <w:lang w:val="sr-Latn-CS"/>
        </w:rPr>
        <w:t xml:space="preserve">Rosemary essential oil can be </w:t>
      </w:r>
      <w:r>
        <w:rPr>
          <w:sz w:val="24"/>
          <w:szCs w:val="24"/>
          <w:lang w:val="sr-Latn-CS"/>
        </w:rPr>
        <w:t xml:space="preserve">used for treating dyspepsia, </w:t>
      </w:r>
      <w:r w:rsidRPr="000204AA">
        <w:rPr>
          <w:sz w:val="24"/>
          <w:szCs w:val="24"/>
          <w:lang w:val="sr-Latn-CS"/>
        </w:rPr>
        <w:t>mild spasmodic</w:t>
      </w:r>
      <w:r>
        <w:rPr>
          <w:sz w:val="24"/>
          <w:lang w:val="sr-Latn-CS"/>
        </w:rPr>
        <w:t xml:space="preserve"> disorders of the gastrointestinal tract, externally as analgetic in muscular and articular pain and minor peripheral circulatory disorders.</w:t>
      </w:r>
      <w:r>
        <w:rPr>
          <w:lang w:val="sr-Latn-RS"/>
        </w:rPr>
        <w:t xml:space="preserve"> </w:t>
      </w:r>
      <w:r>
        <w:rPr>
          <w:sz w:val="24"/>
          <w:szCs w:val="24"/>
          <w:lang w:val="sr-Latn-RS"/>
        </w:rPr>
        <w:t>It is important to explore</w:t>
      </w:r>
      <w:r w:rsidRPr="00F2324A">
        <w:rPr>
          <w:sz w:val="24"/>
          <w:szCs w:val="24"/>
          <w:lang w:val="sr-Latn-RS"/>
        </w:rPr>
        <w:t xml:space="preserve"> its </w:t>
      </w:r>
      <w:r>
        <w:rPr>
          <w:sz w:val="24"/>
          <w:szCs w:val="24"/>
          <w:lang w:val="sr-Latn-RS"/>
        </w:rPr>
        <w:t xml:space="preserve">analgetic potential and </w:t>
      </w:r>
      <w:r>
        <w:rPr>
          <w:sz w:val="24"/>
          <w:szCs w:val="24"/>
          <w:lang w:val="sr-Latn-CS"/>
        </w:rPr>
        <w:t>its influence on</w:t>
      </w:r>
      <w:r w:rsidRPr="00F2324A">
        <w:rPr>
          <w:sz w:val="24"/>
          <w:szCs w:val="24"/>
          <w:lang w:val="sr-Latn-CS"/>
        </w:rPr>
        <w:t xml:space="preserve"> the pharmacodynamic</w:t>
      </w:r>
      <w:r>
        <w:rPr>
          <w:sz w:val="24"/>
          <w:lang w:val="sr-Latn-CS"/>
        </w:rPr>
        <w:t xml:space="preserve"> and pharmacokinetic properties of paracetamol.</w:t>
      </w:r>
    </w:p>
    <w:p w:rsidR="00CE39F1" w:rsidRDefault="00CE39F1" w:rsidP="00CE39F1">
      <w:pPr>
        <w:jc w:val="both"/>
        <w:rPr>
          <w:spacing w:val="-4"/>
          <w:sz w:val="24"/>
          <w:lang w:val="sr-Latn-CS"/>
        </w:rPr>
      </w:pPr>
      <w:r>
        <w:rPr>
          <w:sz w:val="24"/>
          <w:lang w:val="sr-Latn-CS"/>
        </w:rPr>
        <w:t>Methodology</w:t>
      </w:r>
      <w:r>
        <w:rPr>
          <w:spacing w:val="-4"/>
          <w:sz w:val="24"/>
          <w:lang w:val="sr-Latn-CS"/>
        </w:rPr>
        <w:t>:</w:t>
      </w:r>
      <w:r w:rsidR="00A83DE8">
        <w:rPr>
          <w:spacing w:val="-4"/>
          <w:sz w:val="24"/>
          <w:lang w:val="sr-Latn-CS"/>
        </w:rPr>
        <w:t xml:space="preserve"> </w:t>
      </w:r>
      <w:r>
        <w:rPr>
          <w:spacing w:val="-4"/>
          <w:sz w:val="24"/>
          <w:lang w:val="sr-Latn-CS"/>
        </w:rPr>
        <w:t xml:space="preserve">Rosemary essential oil was applied to mice orally (10 and 20 mg/kg b.w.) for seven days and in single dose for the pharmacodynamic tests. </w:t>
      </w:r>
      <w:r w:rsidRPr="00E37CEB">
        <w:rPr>
          <w:spacing w:val="-4"/>
          <w:sz w:val="24"/>
          <w:lang w:val="sr-Latn-CS"/>
        </w:rPr>
        <w:t xml:space="preserve"> </w:t>
      </w:r>
      <w:r>
        <w:rPr>
          <w:spacing w:val="-4"/>
          <w:sz w:val="24"/>
          <w:lang w:val="sr-Latn-CS"/>
        </w:rPr>
        <w:t>Rats treated with  rosemary essential oil for seven days orally (5 and 10 mg/kg b.w.) were used for the examination of influence of essential oil on the pharmacokinetic properties of paracetamol (applied on the 7</w:t>
      </w:r>
      <w:r>
        <w:rPr>
          <w:spacing w:val="-4"/>
          <w:sz w:val="24"/>
          <w:vertAlign w:val="superscript"/>
          <w:lang w:val="sr-Latn-CS"/>
        </w:rPr>
        <w:t>th</w:t>
      </w:r>
      <w:r>
        <w:rPr>
          <w:spacing w:val="-4"/>
          <w:sz w:val="24"/>
          <w:lang w:val="sr-Latn-CS"/>
        </w:rPr>
        <w:t xml:space="preserve"> day p.o. or i.v.).</w:t>
      </w:r>
      <w:r w:rsidRPr="000204AA">
        <w:rPr>
          <w:spacing w:val="-4"/>
          <w:sz w:val="24"/>
          <w:lang w:val="sr-Latn-CS"/>
        </w:rPr>
        <w:t xml:space="preserve"> </w:t>
      </w:r>
      <w:r>
        <w:rPr>
          <w:spacing w:val="-4"/>
          <w:sz w:val="24"/>
          <w:lang w:val="sr-Latn-CS"/>
        </w:rPr>
        <w:t>The parameters of pharmacokinetic were analyzed in blood samples obtained from rats tail veins, with the HPLC method.</w:t>
      </w:r>
    </w:p>
    <w:p w:rsidR="00CE39F1" w:rsidRDefault="00CE39F1" w:rsidP="00CE39F1">
      <w:pPr>
        <w:jc w:val="both"/>
        <w:rPr>
          <w:lang w:val="sr-Latn-RS"/>
        </w:rPr>
      </w:pPr>
      <w:r>
        <w:rPr>
          <w:spacing w:val="-4"/>
          <w:sz w:val="24"/>
          <w:lang w:val="sr-Latn-CS"/>
        </w:rPr>
        <w:t>Results:</w:t>
      </w:r>
      <w:r>
        <w:rPr>
          <w:sz w:val="24"/>
          <w:lang w:val="sr-Latn-CS"/>
        </w:rPr>
        <w:t xml:space="preserve">  The essential oil of rosemary shows analgetic properties . The rosemary essential oil increases pharmacological effects of paracetamol and</w:t>
      </w:r>
      <w:r>
        <w:rPr>
          <w:rFonts w:eastAsia="Arial Unicode MS"/>
          <w:sz w:val="24"/>
          <w:lang w:val="sr-Latn-CS"/>
        </w:rPr>
        <w:t xml:space="preserve"> does not change paracetamol bioavailability.</w:t>
      </w:r>
    </w:p>
    <w:p w:rsidR="00CE39F1" w:rsidRDefault="00CE39F1" w:rsidP="00CE39F1">
      <w:pPr>
        <w:jc w:val="both"/>
        <w:rPr>
          <w:sz w:val="24"/>
          <w:lang w:val="sr-Latn-CS"/>
        </w:rPr>
      </w:pPr>
      <w:r>
        <w:rPr>
          <w:sz w:val="24"/>
          <w:lang w:val="sr-Latn-CS"/>
        </w:rPr>
        <w:t>Conclusion: The herbal drugs could change the pharmacodynamic and the pharmacokinetic properties of clasical drugs and also they could change safety of use clasical drugs in human population.</w:t>
      </w:r>
    </w:p>
    <w:p w:rsidR="005F4BC6" w:rsidRPr="00CE39F1" w:rsidRDefault="00CE39F1" w:rsidP="00CE39F1">
      <w:pPr>
        <w:jc w:val="both"/>
        <w:rPr>
          <w:sz w:val="24"/>
          <w:lang w:val="sr-Latn-CS"/>
        </w:rPr>
      </w:pPr>
      <w:r>
        <w:rPr>
          <w:sz w:val="24"/>
          <w:lang w:val="sr-Latn-CS"/>
        </w:rPr>
        <w:t xml:space="preserve">Key words: </w:t>
      </w:r>
      <w:r w:rsidRPr="00B4041B">
        <w:rPr>
          <w:sz w:val="24"/>
          <w:lang w:val="sr-Latn-CS"/>
        </w:rPr>
        <w:t>Rosemary</w:t>
      </w:r>
      <w:r>
        <w:rPr>
          <w:sz w:val="24"/>
          <w:lang w:val="sr-Latn-CS"/>
        </w:rPr>
        <w:t>, Herb-Drugs Interactions, Paracetamol</w:t>
      </w:r>
    </w:p>
    <w:p w:rsidR="005F4BC6" w:rsidRPr="00ED09E2" w:rsidRDefault="005F4BC6" w:rsidP="005F4BC6">
      <w:pPr>
        <w:jc w:val="center"/>
        <w:rPr>
          <w:b/>
          <w:sz w:val="22"/>
          <w:szCs w:val="22"/>
        </w:rPr>
      </w:pPr>
    </w:p>
    <w:p w:rsidR="005F4BC6" w:rsidRDefault="005F4BC6" w:rsidP="005F4BC6">
      <w:pPr>
        <w:jc w:val="center"/>
        <w:rPr>
          <w:b/>
          <w:sz w:val="22"/>
          <w:szCs w:val="22"/>
        </w:rPr>
      </w:pPr>
    </w:p>
    <w:p w:rsidR="005F4BC6" w:rsidRDefault="005F4BC6" w:rsidP="005F4BC6">
      <w:pPr>
        <w:jc w:val="center"/>
        <w:rPr>
          <w:b/>
          <w:sz w:val="24"/>
          <w:szCs w:val="24"/>
        </w:rPr>
      </w:pPr>
      <w:r w:rsidRPr="00D615DA">
        <w:rPr>
          <w:b/>
          <w:sz w:val="24"/>
          <w:szCs w:val="24"/>
        </w:rPr>
        <w:t>INTRODUCTION</w:t>
      </w:r>
    </w:p>
    <w:p w:rsidR="00B61F5C" w:rsidRDefault="00B61F5C" w:rsidP="00A83DE8">
      <w:pPr>
        <w:rPr>
          <w:b/>
          <w:sz w:val="24"/>
          <w:szCs w:val="24"/>
        </w:rPr>
      </w:pPr>
    </w:p>
    <w:p w:rsidR="00B61F5C" w:rsidRPr="00A2772D" w:rsidRDefault="00B61F5C" w:rsidP="007272A4">
      <w:pPr>
        <w:ind w:firstLine="720"/>
        <w:jc w:val="both"/>
        <w:rPr>
          <w:sz w:val="24"/>
          <w:szCs w:val="24"/>
        </w:rPr>
      </w:pPr>
      <w:r w:rsidRPr="00A2772D">
        <w:rPr>
          <w:sz w:val="24"/>
          <w:szCs w:val="24"/>
        </w:rPr>
        <w:t xml:space="preserve">The use of herbal medicinal products to relieve </w:t>
      </w:r>
      <w:r w:rsidR="00890E07">
        <w:rPr>
          <w:sz w:val="24"/>
          <w:szCs w:val="24"/>
        </w:rPr>
        <w:t>pain has been increasing</w:t>
      </w:r>
      <w:r w:rsidRPr="00A2772D">
        <w:rPr>
          <w:sz w:val="24"/>
          <w:szCs w:val="24"/>
        </w:rPr>
        <w:t xml:space="preserve"> in recent years because they are often perceived as being natural and therefore harmless</w:t>
      </w:r>
      <w:r w:rsidR="004D2E83">
        <w:rPr>
          <w:sz w:val="24"/>
          <w:szCs w:val="24"/>
        </w:rPr>
        <w:t xml:space="preserve"> [1,2]</w:t>
      </w:r>
      <w:r w:rsidRPr="00A2772D">
        <w:rPr>
          <w:sz w:val="24"/>
          <w:szCs w:val="24"/>
        </w:rPr>
        <w:t>. Herbal medicines are often taken in combination with conventional drug therapies and some of their pharmacologically active ingredients might interact with synthetic drugs</w:t>
      </w:r>
      <w:r w:rsidR="004D2E83">
        <w:rPr>
          <w:sz w:val="24"/>
          <w:szCs w:val="24"/>
        </w:rPr>
        <w:t xml:space="preserve"> [3]</w:t>
      </w:r>
      <w:r w:rsidRPr="00A2772D">
        <w:rPr>
          <w:sz w:val="24"/>
          <w:szCs w:val="24"/>
        </w:rPr>
        <w:t>. Drugs that are substrates for metabolism mediated by cytochrome P450 (CYP) enzymes are particularly subject to herb-drug interacti</w:t>
      </w:r>
      <w:r w:rsidR="00890E07">
        <w:rPr>
          <w:sz w:val="24"/>
          <w:szCs w:val="24"/>
        </w:rPr>
        <w:t>ons, which can be attributed to</w:t>
      </w:r>
      <w:r w:rsidRPr="00A2772D">
        <w:rPr>
          <w:sz w:val="24"/>
          <w:szCs w:val="24"/>
        </w:rPr>
        <w:t xml:space="preserve"> ability of many herbal compounds to induce or inhibit these enzymes</w:t>
      </w:r>
      <w:r w:rsidR="005D2B55">
        <w:rPr>
          <w:sz w:val="24"/>
          <w:szCs w:val="24"/>
        </w:rPr>
        <w:t xml:space="preserve"> [4]</w:t>
      </w:r>
      <w:r w:rsidRPr="00A2772D">
        <w:rPr>
          <w:sz w:val="24"/>
          <w:szCs w:val="24"/>
        </w:rPr>
        <w:t>.</w:t>
      </w:r>
    </w:p>
    <w:p w:rsidR="00B61F5C" w:rsidRPr="00A2772D" w:rsidRDefault="00B61F5C" w:rsidP="007272A4">
      <w:pPr>
        <w:ind w:firstLine="720"/>
        <w:jc w:val="both"/>
        <w:rPr>
          <w:sz w:val="24"/>
          <w:szCs w:val="24"/>
        </w:rPr>
      </w:pPr>
      <w:r w:rsidRPr="00A2772D">
        <w:rPr>
          <w:sz w:val="24"/>
          <w:szCs w:val="24"/>
        </w:rPr>
        <w:t>Rosemary (</w:t>
      </w:r>
      <w:r w:rsidRPr="00A2772D">
        <w:rPr>
          <w:i/>
          <w:sz w:val="24"/>
          <w:szCs w:val="24"/>
        </w:rPr>
        <w:t>Rosmarinus officinalis</w:t>
      </w:r>
      <w:r w:rsidRPr="00A2772D">
        <w:rPr>
          <w:sz w:val="24"/>
          <w:szCs w:val="24"/>
        </w:rPr>
        <w:t xml:space="preserve"> L., Lamiaceae) is widely cultivated all over the world as an ornamental and aromatic plant, and has been commonly used for flavoring food, but also for different medicinal purposes. In traditional medicine, rosemary was used as mild analgesic, for relieving renal colic pain, dysmenorrhea, respiratory disorders, due to its antispasmodic properties</w:t>
      </w:r>
      <w:r w:rsidR="005D2B55">
        <w:rPr>
          <w:sz w:val="24"/>
          <w:szCs w:val="24"/>
        </w:rPr>
        <w:t xml:space="preserve"> [5,6]</w:t>
      </w:r>
      <w:r w:rsidRPr="00A2772D">
        <w:rPr>
          <w:sz w:val="24"/>
          <w:szCs w:val="24"/>
        </w:rPr>
        <w:t>. Recently, essential oil isolated from rosemary and monoterpenes as its main active compounds have been of great interest due to their various health benefits and therapeutic effects. According to the recommendation of European Medicines Agency (EMA) from 2010, rosemary essential oil (REO) can be used for treating dyspepsia and mild spasmodic disorders of the gastrointestinal tract, as well as an adjuvant in the relief of minor muscular and articular pain and in minor peripheral circulatory disorders</w:t>
      </w:r>
      <w:r w:rsidR="005D2B55">
        <w:rPr>
          <w:sz w:val="24"/>
          <w:szCs w:val="24"/>
        </w:rPr>
        <w:t xml:space="preserve"> [7]</w:t>
      </w:r>
      <w:r w:rsidRPr="00A2772D">
        <w:rPr>
          <w:sz w:val="24"/>
          <w:szCs w:val="24"/>
        </w:rPr>
        <w:t>. Besides, the experiments conducted with REO have demonstrated its several notable pharmacological effects, such as antioxidant and antimicrobial</w:t>
      </w:r>
      <w:r w:rsidR="005D2B55">
        <w:rPr>
          <w:sz w:val="24"/>
          <w:szCs w:val="24"/>
        </w:rPr>
        <w:t xml:space="preserve"> [8]</w:t>
      </w:r>
      <w:r w:rsidRPr="00A2772D">
        <w:rPr>
          <w:sz w:val="24"/>
          <w:szCs w:val="24"/>
        </w:rPr>
        <w:t>, anti-inflammatory and antinociceptive</w:t>
      </w:r>
      <w:r w:rsidR="005D2B55">
        <w:rPr>
          <w:sz w:val="24"/>
          <w:szCs w:val="24"/>
        </w:rPr>
        <w:t xml:space="preserve"> [9]</w:t>
      </w:r>
      <w:r w:rsidRPr="00A2772D">
        <w:rPr>
          <w:sz w:val="24"/>
          <w:szCs w:val="24"/>
        </w:rPr>
        <w:t>, among others.</w:t>
      </w:r>
    </w:p>
    <w:p w:rsidR="00B61F5C" w:rsidRPr="00A2772D" w:rsidRDefault="00B61F5C" w:rsidP="007272A4">
      <w:pPr>
        <w:ind w:firstLine="720"/>
        <w:jc w:val="both"/>
        <w:rPr>
          <w:sz w:val="24"/>
          <w:szCs w:val="24"/>
        </w:rPr>
      </w:pPr>
      <w:r w:rsidRPr="00A2772D">
        <w:rPr>
          <w:sz w:val="24"/>
          <w:szCs w:val="24"/>
        </w:rPr>
        <w:lastRenderedPageBreak/>
        <w:t>On the other hand, there are several well-established interactions of rosemary preparations with different drugs, such as antibiotics, anxiolytics and anticoagulant medicines, in terms of potentiation of their activity</w:t>
      </w:r>
      <w:r w:rsidR="005D2B55">
        <w:rPr>
          <w:sz w:val="24"/>
          <w:szCs w:val="24"/>
        </w:rPr>
        <w:t xml:space="preserve"> [3,10]</w:t>
      </w:r>
      <w:r w:rsidRPr="00A2772D">
        <w:rPr>
          <w:sz w:val="24"/>
          <w:szCs w:val="24"/>
          <w:vertAlign w:val="superscript"/>
        </w:rPr>
        <w:t>3,12</w:t>
      </w:r>
      <w:r w:rsidRPr="00A2772D">
        <w:rPr>
          <w:sz w:val="24"/>
          <w:szCs w:val="24"/>
        </w:rPr>
        <w:t>. Given that REO was found to exert analgesic effects in different experimental models of nociception, its potential interactions with analgesics may be assumed. Besides, it was demonstrated that REO and its main components induce catalytic activities of microsomal enzymes, and therefore may interact with drugs metabolized by cytochromes or UGT</w:t>
      </w:r>
      <w:r w:rsidR="005D2B55">
        <w:rPr>
          <w:sz w:val="24"/>
          <w:szCs w:val="24"/>
        </w:rPr>
        <w:t xml:space="preserve"> [11,12]</w:t>
      </w:r>
      <w:r w:rsidRPr="00A2772D">
        <w:rPr>
          <w:sz w:val="24"/>
          <w:szCs w:val="24"/>
          <w:vertAlign w:val="superscript"/>
        </w:rPr>
        <w:t>13,14</w:t>
      </w:r>
      <w:r w:rsidRPr="00A2772D">
        <w:rPr>
          <w:sz w:val="24"/>
          <w:szCs w:val="24"/>
        </w:rPr>
        <w:t>.</w:t>
      </w:r>
    </w:p>
    <w:p w:rsidR="00B61F5C" w:rsidRPr="00A2772D" w:rsidRDefault="00B61F5C" w:rsidP="007272A4">
      <w:pPr>
        <w:ind w:firstLine="720"/>
        <w:jc w:val="both"/>
        <w:rPr>
          <w:sz w:val="24"/>
          <w:szCs w:val="24"/>
        </w:rPr>
      </w:pPr>
      <w:r w:rsidRPr="00A2772D">
        <w:rPr>
          <w:sz w:val="24"/>
          <w:szCs w:val="24"/>
        </w:rPr>
        <w:t>Paracetamol (acetaminophen) is one of the most widely used drugs for the treatment of pain in both acute and chronic settings. It has a unique position among analgesic drugs, having a spectrum of action similar to that of NSAIDs, but with negligible anti-inflammatory and antirheumatic activities. The mode of action of paracetamol has still not been fully elucidated, but there are some evidences supporting a central analgesic effect. It is now generally accepted that it inhibits COX-1 and particularly COX-2 through metabolism by the peroxidase function of these isoenzymes</w:t>
      </w:r>
      <w:r w:rsidR="005D2B55">
        <w:rPr>
          <w:sz w:val="24"/>
          <w:szCs w:val="24"/>
        </w:rPr>
        <w:t xml:space="preserve"> [13,14]</w:t>
      </w:r>
      <w:r w:rsidRPr="00A2772D">
        <w:rPr>
          <w:sz w:val="24"/>
          <w:szCs w:val="24"/>
          <w:vertAlign w:val="superscript"/>
        </w:rPr>
        <w:t>17,18</w:t>
      </w:r>
      <w:r w:rsidRPr="00A2772D">
        <w:rPr>
          <w:sz w:val="24"/>
          <w:szCs w:val="24"/>
        </w:rPr>
        <w:t>. Recently, it was discovered that paracetamol may act as a prodrug by triggering the CB</w:t>
      </w:r>
      <w:r w:rsidRPr="00A2772D">
        <w:rPr>
          <w:sz w:val="24"/>
          <w:szCs w:val="24"/>
          <w:vertAlign w:val="subscript"/>
        </w:rPr>
        <w:t>1</w:t>
      </w:r>
      <w:r w:rsidRPr="00A2772D">
        <w:rPr>
          <w:sz w:val="24"/>
          <w:szCs w:val="24"/>
        </w:rPr>
        <w:t xml:space="preserve"> receptor - mediated effects of the cannabinoid system. At therapeutic doses, majority of paracetamol is conjugated with glucuronic acid and, to a lesser extent, with sulphate or cysteine. A fraction usually ranging from 5 to 15% is oxidized by CYP2E1, CYP1A2, CYP3A4, and CYP2A6 subfamilies of cytochromes P450, resulting in the formation of the highly reactive and hepatotoxic N-acetyl-p-benzoquinoneimine (NAPQI), which is quickly conjugated with glutathione to form non-toxic cysteine and mercapturic acid conjugates</w:t>
      </w:r>
      <w:r w:rsidR="005D2B55">
        <w:rPr>
          <w:sz w:val="24"/>
          <w:szCs w:val="24"/>
        </w:rPr>
        <w:t xml:space="preserve"> [15]</w:t>
      </w:r>
      <w:r w:rsidRPr="00A2772D">
        <w:rPr>
          <w:sz w:val="24"/>
          <w:szCs w:val="24"/>
          <w:vertAlign w:val="superscript"/>
        </w:rPr>
        <w:t>19</w:t>
      </w:r>
      <w:r w:rsidRPr="00A2772D">
        <w:rPr>
          <w:sz w:val="24"/>
          <w:szCs w:val="24"/>
        </w:rPr>
        <w:t>. Hepatic enzymes induction may increase paracetamol hepatotoxicity, and therefore the potential for interactions of paracetamol with herbal medicinal products should be carefully considered.</w:t>
      </w:r>
    </w:p>
    <w:p w:rsidR="005F4BC6" w:rsidRPr="006C130C" w:rsidRDefault="00B61F5C" w:rsidP="007272A4">
      <w:pPr>
        <w:ind w:firstLine="720"/>
        <w:jc w:val="both"/>
        <w:rPr>
          <w:sz w:val="24"/>
          <w:szCs w:val="24"/>
        </w:rPr>
      </w:pPr>
      <w:r w:rsidRPr="00A2772D">
        <w:rPr>
          <w:sz w:val="24"/>
          <w:szCs w:val="24"/>
        </w:rPr>
        <w:t xml:space="preserve">Based on the above mentioned facts, the aim of our study was to examine analgesic effects of REO and its pharmacodynamic </w:t>
      </w:r>
      <w:r w:rsidR="00A83DE8">
        <w:rPr>
          <w:sz w:val="24"/>
          <w:szCs w:val="24"/>
        </w:rPr>
        <w:t>interactions with</w:t>
      </w:r>
      <w:r w:rsidRPr="00A2772D">
        <w:rPr>
          <w:sz w:val="24"/>
          <w:szCs w:val="24"/>
        </w:rPr>
        <w:t xml:space="preserve"> paracetamol in mice</w:t>
      </w:r>
      <w:r w:rsidR="006C130C">
        <w:rPr>
          <w:sz w:val="24"/>
          <w:szCs w:val="24"/>
        </w:rPr>
        <w:t xml:space="preserve"> and also  </w:t>
      </w:r>
      <w:r w:rsidR="006C130C">
        <w:rPr>
          <w:color w:val="FF0000"/>
          <w:sz w:val="24"/>
          <w:szCs w:val="24"/>
        </w:rPr>
        <w:t xml:space="preserve"> </w:t>
      </w:r>
      <w:r w:rsidR="006C130C" w:rsidRPr="006C130C">
        <w:rPr>
          <w:sz w:val="24"/>
          <w:szCs w:val="24"/>
        </w:rPr>
        <w:t>pharmackokinetic interactions in rats.</w:t>
      </w:r>
    </w:p>
    <w:p w:rsidR="005F4BC6" w:rsidRDefault="005F4BC6" w:rsidP="005F4BC6">
      <w:pPr>
        <w:jc w:val="center"/>
        <w:rPr>
          <w:b/>
          <w:sz w:val="24"/>
          <w:szCs w:val="24"/>
          <w:lang w:val="sr-Latn-BA"/>
        </w:rPr>
      </w:pPr>
    </w:p>
    <w:p w:rsidR="005F4BC6" w:rsidRPr="00B61D1A" w:rsidRDefault="005F4BC6" w:rsidP="005F4BC6">
      <w:pPr>
        <w:jc w:val="center"/>
        <w:rPr>
          <w:b/>
          <w:sz w:val="24"/>
          <w:szCs w:val="24"/>
          <w:lang w:val="sr-Latn-BA"/>
        </w:rPr>
      </w:pPr>
    </w:p>
    <w:p w:rsidR="005F4BC6" w:rsidRPr="00EA4227" w:rsidRDefault="005F4BC6" w:rsidP="005F4BC6">
      <w:pPr>
        <w:jc w:val="center"/>
        <w:rPr>
          <w:b/>
          <w:sz w:val="24"/>
          <w:szCs w:val="24"/>
          <w:lang w:val="sr-Latn-BA"/>
        </w:rPr>
      </w:pPr>
      <w:r w:rsidRPr="00EA4227">
        <w:rPr>
          <w:b/>
          <w:sz w:val="24"/>
          <w:szCs w:val="24"/>
          <w:lang w:val="sr-Latn-BA"/>
        </w:rPr>
        <w:t>MATERIAL AND METHODS OF WORK</w:t>
      </w:r>
    </w:p>
    <w:p w:rsidR="005F4BC6" w:rsidRPr="00EA4227" w:rsidRDefault="005F4BC6" w:rsidP="005F4BC6">
      <w:pPr>
        <w:jc w:val="both"/>
        <w:rPr>
          <w:sz w:val="24"/>
          <w:szCs w:val="24"/>
          <w:lang w:val="sr-Cyrl-CS"/>
        </w:rPr>
      </w:pPr>
    </w:p>
    <w:p w:rsidR="00A83DE8" w:rsidRPr="00A83DE8" w:rsidRDefault="00A83DE8" w:rsidP="00A83DE8">
      <w:pPr>
        <w:jc w:val="both"/>
        <w:rPr>
          <w:b/>
          <w:sz w:val="24"/>
          <w:szCs w:val="24"/>
        </w:rPr>
      </w:pPr>
      <w:r w:rsidRPr="00A83DE8">
        <w:rPr>
          <w:b/>
          <w:sz w:val="24"/>
          <w:szCs w:val="24"/>
        </w:rPr>
        <w:t>Plant material and chemicals</w:t>
      </w:r>
    </w:p>
    <w:p w:rsidR="00A83DE8" w:rsidRPr="00A2772D" w:rsidRDefault="00A83DE8" w:rsidP="007272A4">
      <w:pPr>
        <w:ind w:firstLine="720"/>
        <w:jc w:val="both"/>
        <w:rPr>
          <w:sz w:val="24"/>
          <w:szCs w:val="24"/>
        </w:rPr>
      </w:pPr>
      <w:r w:rsidRPr="00A2772D">
        <w:rPr>
          <w:sz w:val="24"/>
          <w:szCs w:val="24"/>
        </w:rPr>
        <w:t>Aerial parts of cultivated plants of rosemary were obtained from the Institute for Studies on Medicinal Plants, Dr</w:t>
      </w:r>
      <w:r w:rsidR="006C130C">
        <w:rPr>
          <w:sz w:val="24"/>
          <w:szCs w:val="24"/>
        </w:rPr>
        <w:t xml:space="preserve"> Josif Pančić, Belgrade</w:t>
      </w:r>
      <w:r w:rsidRPr="00A2772D">
        <w:rPr>
          <w:sz w:val="24"/>
          <w:szCs w:val="24"/>
        </w:rPr>
        <w:t>. A voucher specimen of the plant (</w:t>
      </w:r>
      <w:r w:rsidRPr="00A2772D">
        <w:rPr>
          <w:i/>
          <w:sz w:val="24"/>
          <w:szCs w:val="24"/>
        </w:rPr>
        <w:t>Rosmarinus officinalis</w:t>
      </w:r>
      <w:r w:rsidRPr="00A2772D">
        <w:rPr>
          <w:sz w:val="24"/>
          <w:szCs w:val="24"/>
        </w:rPr>
        <w:t xml:space="preserve"> L. 1753 subsp. </w:t>
      </w:r>
      <w:r w:rsidRPr="00A2772D">
        <w:rPr>
          <w:i/>
          <w:sz w:val="24"/>
          <w:szCs w:val="24"/>
        </w:rPr>
        <w:t>officinalis</w:t>
      </w:r>
      <w:r w:rsidRPr="00A2772D">
        <w:rPr>
          <w:sz w:val="24"/>
          <w:szCs w:val="24"/>
        </w:rPr>
        <w:t xml:space="preserve"> No 2-1746, det.: Goran Anačkov) was confirmed and deposited in the Herbarium of the Department of Biology and Ecology, Faculty of Natural Sciences, University of Novi Sad. The essential oil, used in our experiments, was isolated from the obtained plant material.</w:t>
      </w:r>
    </w:p>
    <w:p w:rsidR="00A83DE8" w:rsidRPr="00A2772D" w:rsidRDefault="00A83DE8" w:rsidP="00A83DE8">
      <w:pPr>
        <w:jc w:val="both"/>
        <w:rPr>
          <w:sz w:val="24"/>
          <w:szCs w:val="24"/>
        </w:rPr>
      </w:pPr>
      <w:r w:rsidRPr="00A2772D">
        <w:rPr>
          <w:sz w:val="24"/>
          <w:szCs w:val="24"/>
        </w:rPr>
        <w:t xml:space="preserve">Paracetamol was purchased from Sigma-Aldrich (St Louis, MO, USA). </w:t>
      </w:r>
      <w:r>
        <w:rPr>
          <w:sz w:val="24"/>
          <w:szCs w:val="24"/>
        </w:rPr>
        <w:t xml:space="preserve"> </w:t>
      </w:r>
    </w:p>
    <w:p w:rsidR="00A83DE8" w:rsidRPr="00A2772D" w:rsidRDefault="00A83DE8" w:rsidP="00A83DE8">
      <w:pPr>
        <w:jc w:val="both"/>
        <w:rPr>
          <w:sz w:val="24"/>
          <w:szCs w:val="24"/>
        </w:rPr>
      </w:pPr>
    </w:p>
    <w:p w:rsidR="00A83DE8" w:rsidRPr="00A83DE8" w:rsidRDefault="00A83DE8" w:rsidP="00A83DE8">
      <w:pPr>
        <w:jc w:val="both"/>
        <w:rPr>
          <w:b/>
          <w:sz w:val="24"/>
          <w:szCs w:val="24"/>
        </w:rPr>
      </w:pPr>
      <w:r w:rsidRPr="00A83DE8">
        <w:rPr>
          <w:b/>
          <w:sz w:val="24"/>
          <w:szCs w:val="24"/>
        </w:rPr>
        <w:t>Isolation and analysis of essential oil</w:t>
      </w:r>
    </w:p>
    <w:p w:rsidR="00A83DE8" w:rsidRPr="00A2772D" w:rsidRDefault="00A83DE8" w:rsidP="007272A4">
      <w:pPr>
        <w:ind w:firstLine="720"/>
        <w:jc w:val="both"/>
        <w:rPr>
          <w:sz w:val="24"/>
          <w:szCs w:val="24"/>
        </w:rPr>
      </w:pPr>
      <w:r w:rsidRPr="00A2772D">
        <w:rPr>
          <w:sz w:val="24"/>
          <w:szCs w:val="24"/>
        </w:rPr>
        <w:t>The essential oil was isolated from air-dried aerial parts of rosemary by hydrodistillation, according to the procedure of the European Pharmacopoeia 4</w:t>
      </w:r>
      <w:r w:rsidR="005D2B55">
        <w:rPr>
          <w:sz w:val="24"/>
          <w:szCs w:val="24"/>
        </w:rPr>
        <w:t xml:space="preserve"> [16]</w:t>
      </w:r>
      <w:r w:rsidRPr="00A2772D">
        <w:rPr>
          <w:sz w:val="24"/>
          <w:szCs w:val="24"/>
          <w:vertAlign w:val="superscript"/>
        </w:rPr>
        <w:t>20</w:t>
      </w:r>
      <w:r w:rsidRPr="00A2772D">
        <w:rPr>
          <w:sz w:val="24"/>
          <w:szCs w:val="24"/>
        </w:rPr>
        <w:t>. N-hexane was used as a collecting solvent, which was afterward removed under vacuum from the obatined essential oil.</w:t>
      </w:r>
    </w:p>
    <w:p w:rsidR="00A83DE8" w:rsidRPr="00A2772D" w:rsidRDefault="00A83DE8" w:rsidP="007272A4">
      <w:pPr>
        <w:ind w:firstLine="720"/>
        <w:jc w:val="both"/>
        <w:rPr>
          <w:sz w:val="24"/>
          <w:szCs w:val="24"/>
        </w:rPr>
      </w:pPr>
      <w:r w:rsidRPr="00A2772D">
        <w:rPr>
          <w:sz w:val="24"/>
          <w:szCs w:val="24"/>
        </w:rPr>
        <w:t>The identification and quantification of chemical constituents of the essential oil were carried out by gas chromatography coupled with flame ionization detection (GC/FID) and mass spectrometric detection (GC/MS). GC/FID analysis was performed using a Hewlett-Packard HP 5890 series II chromatogra</w:t>
      </w:r>
      <w:r w:rsidR="005D387F">
        <w:rPr>
          <w:sz w:val="24"/>
          <w:szCs w:val="24"/>
        </w:rPr>
        <w:t xml:space="preserve">ph equipped with an autosampler </w:t>
      </w:r>
      <w:r w:rsidRPr="00A2772D">
        <w:rPr>
          <w:sz w:val="24"/>
          <w:szCs w:val="24"/>
        </w:rPr>
        <w:t xml:space="preserve">and a split/splitless injection system. The capillary column used in this study was HP-5 (25 m × 0.32 mm; film thickness of 0.52 μm), coupled to the flame ionization detector (FID). The injector and detector </w:t>
      </w:r>
      <w:r w:rsidRPr="00A2772D">
        <w:rPr>
          <w:sz w:val="24"/>
          <w:szCs w:val="24"/>
        </w:rPr>
        <w:lastRenderedPageBreak/>
        <w:t>temperatures were set at 250°C and 300°C, respectively, and the column temperature was programmed from 40 to 260°C at a rate of 4°C/min. The flow rate of hydrogen as a carrier gas was 1 ml/min. A sample of 1% solution of the oil in ethanol (1 μl) was injected in split mode (split ratio, 1:30). GC/MS analysis was carried out using a Hewlett-Packard HP G1800C series II GCD system under the same analytical conditions as in GC/FID. The column HP-5MS (30 m × 0.25 mm; film thickness 0.25 μm) and helium as a carrier gas were used in this analysis. The system was operated in electron ionization (EI) mode at 70 eV, in the mass (m/z) range 40-450 Da.</w:t>
      </w:r>
    </w:p>
    <w:p w:rsidR="00A83DE8" w:rsidRPr="00A2772D" w:rsidRDefault="00A83DE8" w:rsidP="007272A4">
      <w:pPr>
        <w:ind w:firstLine="720"/>
        <w:jc w:val="both"/>
        <w:rPr>
          <w:sz w:val="24"/>
          <w:szCs w:val="24"/>
        </w:rPr>
      </w:pPr>
      <w:r w:rsidRPr="00A2772D">
        <w:rPr>
          <w:sz w:val="24"/>
          <w:szCs w:val="24"/>
        </w:rPr>
        <w:t>Identification of essential oil constituents was performed by comparison of obtained mass spectra and retention indexes with those of reference compounds or those from mass spectra libraries and literature data. The quantitative analysis provided the percentage composition of the essential oil components, calculated by FID peak area normalization method.</w:t>
      </w:r>
    </w:p>
    <w:p w:rsidR="00A83DE8" w:rsidRPr="00A2772D" w:rsidRDefault="00A83DE8" w:rsidP="00A83DE8">
      <w:pPr>
        <w:jc w:val="both"/>
        <w:rPr>
          <w:sz w:val="24"/>
          <w:szCs w:val="24"/>
        </w:rPr>
      </w:pPr>
    </w:p>
    <w:p w:rsidR="00A83DE8" w:rsidRPr="00A83DE8" w:rsidRDefault="00A83DE8" w:rsidP="00A83DE8">
      <w:pPr>
        <w:jc w:val="both"/>
        <w:rPr>
          <w:b/>
          <w:sz w:val="24"/>
          <w:szCs w:val="24"/>
        </w:rPr>
      </w:pPr>
      <w:r w:rsidRPr="00A83DE8">
        <w:rPr>
          <w:b/>
          <w:sz w:val="24"/>
          <w:szCs w:val="24"/>
        </w:rPr>
        <w:t>Animals and treatment</w:t>
      </w:r>
    </w:p>
    <w:p w:rsidR="00A83DE8" w:rsidRPr="00A2772D" w:rsidRDefault="00A83DE8" w:rsidP="007272A4">
      <w:pPr>
        <w:ind w:firstLine="720"/>
        <w:jc w:val="both"/>
        <w:rPr>
          <w:sz w:val="24"/>
          <w:szCs w:val="24"/>
        </w:rPr>
      </w:pPr>
      <w:r w:rsidRPr="00A2772D">
        <w:rPr>
          <w:sz w:val="24"/>
          <w:szCs w:val="24"/>
        </w:rPr>
        <w:t xml:space="preserve">Experiments were carried out on adult, sexually mature NMRI mice of both sexes, weighing 25-35 g, which were obtained from the Veterinary Institute Novi Sad, </w:t>
      </w:r>
      <w:r w:rsidR="005D387F">
        <w:rPr>
          <w:sz w:val="24"/>
          <w:szCs w:val="24"/>
        </w:rPr>
        <w:t xml:space="preserve">Serbia and </w:t>
      </w:r>
      <w:r w:rsidR="005D387F" w:rsidRPr="00A2772D">
        <w:rPr>
          <w:sz w:val="24"/>
          <w:szCs w:val="24"/>
        </w:rPr>
        <w:t>on adult, sexually mature</w:t>
      </w:r>
      <w:r w:rsidR="005D387F">
        <w:rPr>
          <w:sz w:val="24"/>
          <w:szCs w:val="24"/>
        </w:rPr>
        <w:t xml:space="preserve"> Wistar rats of both sexws, weighing 250-300 g, which were obtained from Vojnotehnički institut</w:t>
      </w:r>
      <w:r w:rsidRPr="00A2772D">
        <w:rPr>
          <w:sz w:val="24"/>
          <w:szCs w:val="24"/>
        </w:rPr>
        <w:t xml:space="preserve"> </w:t>
      </w:r>
      <w:r w:rsidR="005D387F">
        <w:rPr>
          <w:sz w:val="24"/>
          <w:szCs w:val="24"/>
        </w:rPr>
        <w:t xml:space="preserve">VMA, Belgrade. </w:t>
      </w:r>
      <w:r w:rsidRPr="00A2772D">
        <w:rPr>
          <w:sz w:val="24"/>
          <w:szCs w:val="24"/>
        </w:rPr>
        <w:t>Animals were housed in standard laboratory cages at a controlled temperature (23 ± 1 ºC) and humidity (55 ± 1.5 %) under standard circadial rhythm (day/night), with free access to pelleted food and water. Animal care and experimental procedures were conducted in accordance with the Guide for the Care and Use of Laboratory Animals edited by Commission of Life Sciences, National Research Council (USA). The experimental procedures were approved by Ethical Committee for Animal Use in Experiments of the University of Novi Sad (No. 01-153/6-2).</w:t>
      </w:r>
    </w:p>
    <w:p w:rsidR="00A83DE8" w:rsidRPr="00A2772D" w:rsidRDefault="005D387F" w:rsidP="007272A4">
      <w:pPr>
        <w:ind w:firstLine="714"/>
        <w:jc w:val="both"/>
        <w:rPr>
          <w:sz w:val="24"/>
          <w:szCs w:val="24"/>
        </w:rPr>
      </w:pPr>
      <w:r>
        <w:rPr>
          <w:sz w:val="24"/>
          <w:szCs w:val="24"/>
        </w:rPr>
        <w:t xml:space="preserve">The mices for pharmacodinamic tests were divided into 5 </w:t>
      </w:r>
      <w:r w:rsidR="00A83DE8" w:rsidRPr="00A2772D">
        <w:rPr>
          <w:sz w:val="24"/>
          <w:szCs w:val="24"/>
        </w:rPr>
        <w:t>experimental groups, each containing 6 individuals, and treated as follows:</w:t>
      </w:r>
    </w:p>
    <w:p w:rsidR="00A83DE8" w:rsidRPr="00A2772D" w:rsidRDefault="00A83DE8" w:rsidP="00A83DE8">
      <w:pPr>
        <w:widowControl/>
        <w:numPr>
          <w:ilvl w:val="0"/>
          <w:numId w:val="2"/>
        </w:numPr>
        <w:spacing w:after="200"/>
        <w:ind w:left="714" w:hanging="357"/>
        <w:contextualSpacing/>
        <w:jc w:val="both"/>
        <w:rPr>
          <w:sz w:val="24"/>
        </w:rPr>
      </w:pPr>
      <w:r w:rsidRPr="00A2772D">
        <w:rPr>
          <w:sz w:val="24"/>
        </w:rPr>
        <w:t>ConS: control group, saline solution p.o. for 7 days, where the last dose on the 7th day was applied 30 minutes before i.p. administration of saline solution</w:t>
      </w:r>
    </w:p>
    <w:p w:rsidR="00A83DE8" w:rsidRPr="00A83DE8" w:rsidRDefault="00A83DE8" w:rsidP="00A83DE8">
      <w:pPr>
        <w:widowControl/>
        <w:numPr>
          <w:ilvl w:val="0"/>
          <w:numId w:val="2"/>
        </w:numPr>
        <w:spacing w:after="200"/>
        <w:ind w:left="714" w:hanging="357"/>
        <w:contextualSpacing/>
        <w:jc w:val="both"/>
        <w:rPr>
          <w:sz w:val="24"/>
        </w:rPr>
      </w:pPr>
      <w:r w:rsidRPr="00A2772D">
        <w:rPr>
          <w:sz w:val="24"/>
        </w:rPr>
        <w:t>REO: REO (20 mg/kg) p.o. for 7 days, where the last dose on the 7th day was applied 30 minutes before i.p. administration of REO</w:t>
      </w:r>
      <w:r w:rsidRPr="00A83DE8">
        <w:rPr>
          <w:sz w:val="24"/>
        </w:rPr>
        <w:t xml:space="preserve"> </w:t>
      </w:r>
    </w:p>
    <w:p w:rsidR="00A83DE8" w:rsidRPr="00A83DE8" w:rsidRDefault="00A83DE8" w:rsidP="00A83DE8">
      <w:pPr>
        <w:widowControl/>
        <w:numPr>
          <w:ilvl w:val="0"/>
          <w:numId w:val="2"/>
        </w:numPr>
        <w:spacing w:after="200"/>
        <w:ind w:left="714" w:hanging="357"/>
        <w:contextualSpacing/>
        <w:jc w:val="both"/>
        <w:rPr>
          <w:sz w:val="24"/>
        </w:rPr>
      </w:pPr>
      <w:r w:rsidRPr="00A2772D">
        <w:rPr>
          <w:sz w:val="24"/>
        </w:rPr>
        <w:t>Par: saline solution p.o. for 7 days, where the last dose on the 7th day was applied 30 minutes before i.p. administration of paracetamol</w:t>
      </w:r>
    </w:p>
    <w:p w:rsidR="00A83DE8" w:rsidRPr="00A2772D" w:rsidRDefault="00A83DE8" w:rsidP="00A83DE8">
      <w:pPr>
        <w:widowControl/>
        <w:numPr>
          <w:ilvl w:val="0"/>
          <w:numId w:val="2"/>
        </w:numPr>
        <w:spacing w:after="200"/>
        <w:ind w:left="714" w:hanging="357"/>
        <w:contextualSpacing/>
        <w:jc w:val="both"/>
        <w:rPr>
          <w:sz w:val="24"/>
        </w:rPr>
      </w:pPr>
      <w:r w:rsidRPr="00A2772D">
        <w:rPr>
          <w:sz w:val="24"/>
        </w:rPr>
        <w:t>ParR10: REO (10 mg/kg) p.o. for 7 days, where the last dose on the 7th day was applied 30 minutes before i.p. administration of paracetamol</w:t>
      </w:r>
    </w:p>
    <w:p w:rsidR="00A83DE8" w:rsidRPr="00A2772D" w:rsidRDefault="00A83DE8" w:rsidP="00A83DE8">
      <w:pPr>
        <w:widowControl/>
        <w:numPr>
          <w:ilvl w:val="0"/>
          <w:numId w:val="2"/>
        </w:numPr>
        <w:spacing w:after="200"/>
        <w:ind w:left="714" w:hanging="357"/>
        <w:contextualSpacing/>
        <w:jc w:val="both"/>
        <w:rPr>
          <w:sz w:val="24"/>
        </w:rPr>
      </w:pPr>
      <w:r w:rsidRPr="00A2772D">
        <w:rPr>
          <w:sz w:val="24"/>
        </w:rPr>
        <w:t>ParR20: REO (20 mg/kg) p.o. for 7 days, where the last dose on the 7th day was applied 30 minutes before i.p. administration of paracetamol</w:t>
      </w:r>
    </w:p>
    <w:p w:rsidR="005D387F" w:rsidRDefault="00A83DE8" w:rsidP="007272A4">
      <w:pPr>
        <w:ind w:firstLine="714"/>
        <w:jc w:val="both"/>
        <w:rPr>
          <w:sz w:val="24"/>
        </w:rPr>
      </w:pPr>
      <w:r w:rsidRPr="00A2772D">
        <w:rPr>
          <w:sz w:val="24"/>
        </w:rPr>
        <w:t>Applied daily doses of REO for mice were 10 mg/kg and 20 mg/kg</w:t>
      </w:r>
      <w:r w:rsidR="009571B9">
        <w:rPr>
          <w:sz w:val="24"/>
        </w:rPr>
        <w:t xml:space="preserve"> and for rats were 5 mg/kg and 10 mg/kg</w:t>
      </w:r>
      <w:r w:rsidRPr="00A2772D">
        <w:rPr>
          <w:sz w:val="24"/>
        </w:rPr>
        <w:t>. Recommended human daily dose of REO of 40 mg/day for a male of approximately 70 kg weight</w:t>
      </w:r>
      <w:r w:rsidR="005D2B55">
        <w:rPr>
          <w:sz w:val="24"/>
        </w:rPr>
        <w:t xml:space="preserve"> [7,17]</w:t>
      </w:r>
      <w:r w:rsidRPr="00A2772D">
        <w:rPr>
          <w:sz w:val="24"/>
          <w:vertAlign w:val="superscript"/>
        </w:rPr>
        <w:t>7,21</w:t>
      </w:r>
      <w:r w:rsidRPr="00A2772D">
        <w:rPr>
          <w:sz w:val="24"/>
        </w:rPr>
        <w:t xml:space="preserve"> was adapted for the expe</w:t>
      </w:r>
      <w:r w:rsidR="009571B9">
        <w:rPr>
          <w:sz w:val="24"/>
        </w:rPr>
        <w:t>rimentation on mice. Each mice</w:t>
      </w:r>
      <w:r w:rsidRPr="00A2772D">
        <w:rPr>
          <w:sz w:val="24"/>
        </w:rPr>
        <w:t xml:space="preserve"> received appropriate dose of REO in the volume of 10 ml </w:t>
      </w:r>
      <w:r w:rsidR="002D0380">
        <w:rPr>
          <w:sz w:val="24"/>
        </w:rPr>
        <w:t>of solution</w:t>
      </w:r>
      <w:r w:rsidRPr="00A2772D">
        <w:rPr>
          <w:sz w:val="24"/>
        </w:rPr>
        <w:t xml:space="preserve"> per kg of body weight, by per o</w:t>
      </w:r>
      <w:r w:rsidR="009571B9">
        <w:rPr>
          <w:sz w:val="24"/>
        </w:rPr>
        <w:t>s gavage and each rat received dose of REO in the volume of 1 ml of solution per kg of body weight, by per os gavage.</w:t>
      </w:r>
      <w:r w:rsidR="002D0380">
        <w:rPr>
          <w:sz w:val="24"/>
        </w:rPr>
        <w:t xml:space="preserve"> The tested drug</w:t>
      </w:r>
      <w:r w:rsidRPr="00A2772D">
        <w:rPr>
          <w:sz w:val="24"/>
        </w:rPr>
        <w:t>, paracetamol (60 mg/kg</w:t>
      </w:r>
      <w:r w:rsidR="009571B9">
        <w:rPr>
          <w:sz w:val="24"/>
        </w:rPr>
        <w:t xml:space="preserve"> for mices and 20 mg/kg for rats</w:t>
      </w:r>
      <w:r w:rsidRPr="00A2772D">
        <w:rPr>
          <w:sz w:val="24"/>
        </w:rPr>
        <w:t xml:space="preserve">), were administered intraperitoneally (i.p.) </w:t>
      </w:r>
      <w:r w:rsidR="009571B9">
        <w:rPr>
          <w:sz w:val="24"/>
        </w:rPr>
        <w:t xml:space="preserve">for mices and p.o. and i.v. for rats, </w:t>
      </w:r>
      <w:r w:rsidRPr="00A2772D">
        <w:rPr>
          <w:sz w:val="24"/>
        </w:rPr>
        <w:t xml:space="preserve">30 min after the last REO intake. The control group of animals received an equivalent volume of saline solution. </w:t>
      </w:r>
    </w:p>
    <w:p w:rsidR="00AF4F5B" w:rsidRPr="00AF4F5B" w:rsidRDefault="005D387F" w:rsidP="007272A4">
      <w:pPr>
        <w:ind w:firstLine="714"/>
        <w:jc w:val="both"/>
        <w:rPr>
          <w:sz w:val="24"/>
        </w:rPr>
      </w:pPr>
      <w:r>
        <w:rPr>
          <w:sz w:val="24"/>
        </w:rPr>
        <w:t>The rats for pharmacokinetic examination were divided into</w:t>
      </w:r>
      <w:r w:rsidR="00AF4F5B">
        <w:rPr>
          <w:sz w:val="24"/>
        </w:rPr>
        <w:t xml:space="preserve"> 6 </w:t>
      </w:r>
      <w:r>
        <w:rPr>
          <w:sz w:val="24"/>
        </w:rPr>
        <w:t>experimental groups, each containing 6 animals, and treated as follows:</w:t>
      </w:r>
      <w:r w:rsidR="00AF4F5B">
        <w:rPr>
          <w:sz w:val="24"/>
          <w:lang w:val="sr-Latn-CS"/>
        </w:rPr>
        <w:t xml:space="preserve"> </w:t>
      </w:r>
    </w:p>
    <w:p w:rsidR="0098799C" w:rsidRPr="0098799C" w:rsidRDefault="005C4FB4" w:rsidP="0098799C">
      <w:pPr>
        <w:numPr>
          <w:ilvl w:val="0"/>
          <w:numId w:val="4"/>
        </w:numPr>
        <w:autoSpaceDE w:val="0"/>
        <w:autoSpaceDN w:val="0"/>
        <w:adjustRightInd w:val="0"/>
        <w:spacing w:before="120" w:after="120"/>
        <w:jc w:val="both"/>
        <w:rPr>
          <w:sz w:val="24"/>
          <w:lang w:val="sr-Latn-CS"/>
        </w:rPr>
      </w:pPr>
      <w:r w:rsidRPr="0098799C">
        <w:rPr>
          <w:b/>
          <w:sz w:val="24"/>
          <w:lang w:val="sr-Latn-CS"/>
        </w:rPr>
        <w:t>Con</w:t>
      </w:r>
      <w:r w:rsidR="00AF4F5B" w:rsidRPr="0098799C">
        <w:rPr>
          <w:b/>
          <w:sz w:val="24"/>
          <w:vertAlign w:val="subscript"/>
          <w:lang w:val="sr-Latn-CS"/>
        </w:rPr>
        <w:t>7</w:t>
      </w:r>
      <w:r w:rsidR="00AF4F5B" w:rsidRPr="0098799C">
        <w:rPr>
          <w:b/>
          <w:sz w:val="24"/>
          <w:lang w:val="sr-Latn-CS"/>
        </w:rPr>
        <w:t>+PAR</w:t>
      </w:r>
      <w:r w:rsidR="00AF4F5B" w:rsidRPr="0098799C">
        <w:rPr>
          <w:b/>
          <w:sz w:val="24"/>
          <w:vertAlign w:val="subscript"/>
          <w:lang w:val="sr-Latn-CS"/>
        </w:rPr>
        <w:t xml:space="preserve">p.o., </w:t>
      </w:r>
      <w:r w:rsidR="00AF4F5B" w:rsidRPr="0098799C">
        <w:rPr>
          <w:sz w:val="24"/>
        </w:rPr>
        <w:t xml:space="preserve"> control group, saline solution p.o. for 7 days, where the last dose on the </w:t>
      </w:r>
      <w:r w:rsidR="00AF4F5B" w:rsidRPr="0098799C">
        <w:rPr>
          <w:sz w:val="24"/>
        </w:rPr>
        <w:lastRenderedPageBreak/>
        <w:t>7th day was applied 30 minutes before p.o. administration of paracetamol;</w:t>
      </w:r>
    </w:p>
    <w:p w:rsidR="0098799C" w:rsidRDefault="005C4FB4" w:rsidP="0098799C">
      <w:pPr>
        <w:widowControl/>
        <w:numPr>
          <w:ilvl w:val="0"/>
          <w:numId w:val="4"/>
        </w:numPr>
        <w:autoSpaceDE w:val="0"/>
        <w:autoSpaceDN w:val="0"/>
        <w:adjustRightInd w:val="0"/>
        <w:spacing w:before="120" w:after="200"/>
        <w:contextualSpacing/>
        <w:jc w:val="both"/>
        <w:rPr>
          <w:sz w:val="24"/>
        </w:rPr>
      </w:pPr>
      <w:r w:rsidRPr="0098799C">
        <w:rPr>
          <w:b/>
          <w:sz w:val="24"/>
          <w:lang w:val="sr-Latn-CS"/>
        </w:rPr>
        <w:t>Con</w:t>
      </w:r>
      <w:r w:rsidR="00AF4F5B" w:rsidRPr="0098799C">
        <w:rPr>
          <w:b/>
          <w:sz w:val="24"/>
          <w:vertAlign w:val="subscript"/>
          <w:lang w:val="sr-Latn-CS"/>
        </w:rPr>
        <w:t>7</w:t>
      </w:r>
      <w:r w:rsidR="00AF4F5B" w:rsidRPr="0098799C">
        <w:rPr>
          <w:b/>
          <w:sz w:val="24"/>
          <w:lang w:val="sr-Latn-CS"/>
        </w:rPr>
        <w:t>+PAR</w:t>
      </w:r>
      <w:r w:rsidR="00AF4F5B" w:rsidRPr="0098799C">
        <w:rPr>
          <w:b/>
          <w:sz w:val="24"/>
          <w:vertAlign w:val="subscript"/>
          <w:lang w:val="sr-Latn-CS"/>
        </w:rPr>
        <w:t>i.v.</w:t>
      </w:r>
      <w:r w:rsidR="00AF4F5B" w:rsidRPr="0098799C">
        <w:rPr>
          <w:sz w:val="24"/>
          <w:lang w:val="sr-Latn-CS"/>
        </w:rPr>
        <w:t xml:space="preserve">, </w:t>
      </w:r>
      <w:r w:rsidR="00AF4F5B" w:rsidRPr="0098799C">
        <w:rPr>
          <w:sz w:val="24"/>
        </w:rPr>
        <w:t>control group, saline solution p.o. for 7 days, where the last dose on the 7th day was applied 30 minutes before i.v. administration paracetamol;</w:t>
      </w:r>
    </w:p>
    <w:p w:rsidR="009571B9" w:rsidRPr="0098799C" w:rsidRDefault="005C4FB4" w:rsidP="0098799C">
      <w:pPr>
        <w:widowControl/>
        <w:numPr>
          <w:ilvl w:val="0"/>
          <w:numId w:val="4"/>
        </w:numPr>
        <w:autoSpaceDE w:val="0"/>
        <w:autoSpaceDN w:val="0"/>
        <w:adjustRightInd w:val="0"/>
        <w:spacing w:before="120" w:after="200"/>
        <w:contextualSpacing/>
        <w:jc w:val="both"/>
        <w:rPr>
          <w:sz w:val="24"/>
        </w:rPr>
      </w:pPr>
      <w:r w:rsidRPr="0098799C">
        <w:rPr>
          <w:b/>
          <w:sz w:val="24"/>
          <w:lang w:val="sr-Latn-CS"/>
        </w:rPr>
        <w:t>Reo</w:t>
      </w:r>
      <w:r w:rsidR="009571B9" w:rsidRPr="0098799C">
        <w:rPr>
          <w:b/>
          <w:sz w:val="24"/>
          <w:lang w:val="sr-Latn-CS"/>
        </w:rPr>
        <w:t>5</w:t>
      </w:r>
      <w:r w:rsidR="009571B9" w:rsidRPr="0098799C">
        <w:rPr>
          <w:b/>
          <w:sz w:val="24"/>
          <w:vertAlign w:val="subscript"/>
          <w:lang w:val="sr-Latn-CS"/>
        </w:rPr>
        <w:t>7</w:t>
      </w:r>
      <w:r w:rsidR="009571B9" w:rsidRPr="0098799C">
        <w:rPr>
          <w:b/>
          <w:sz w:val="24"/>
          <w:lang w:val="sr-Latn-CS"/>
        </w:rPr>
        <w:t>+PAR</w:t>
      </w:r>
      <w:r w:rsidR="009571B9" w:rsidRPr="0098799C">
        <w:rPr>
          <w:b/>
          <w:sz w:val="24"/>
          <w:vertAlign w:val="subscript"/>
          <w:lang w:val="sr-Latn-CS"/>
        </w:rPr>
        <w:t>p.o.</w:t>
      </w:r>
      <w:r w:rsidR="009571B9" w:rsidRPr="0098799C">
        <w:rPr>
          <w:sz w:val="24"/>
          <w:lang w:val="sr-Latn-CS"/>
        </w:rPr>
        <w:t xml:space="preserve">; </w:t>
      </w:r>
      <w:r w:rsidR="009571B9" w:rsidRPr="0098799C">
        <w:rPr>
          <w:sz w:val="24"/>
        </w:rPr>
        <w:t>REO (5 mg/kg) p.o. for 7 days, where the last dose on the 7th day was applied 30 minutes before p.o. administration of paracetamol;</w:t>
      </w:r>
    </w:p>
    <w:p w:rsidR="0098799C" w:rsidRDefault="005C4FB4" w:rsidP="0098799C">
      <w:pPr>
        <w:numPr>
          <w:ilvl w:val="0"/>
          <w:numId w:val="4"/>
        </w:numPr>
        <w:autoSpaceDE w:val="0"/>
        <w:autoSpaceDN w:val="0"/>
        <w:adjustRightInd w:val="0"/>
        <w:jc w:val="both"/>
        <w:rPr>
          <w:sz w:val="24"/>
          <w:lang w:val="sr-Latn-CS"/>
        </w:rPr>
      </w:pPr>
      <w:r w:rsidRPr="0098799C">
        <w:rPr>
          <w:b/>
          <w:sz w:val="24"/>
          <w:lang w:val="sr-Latn-CS"/>
        </w:rPr>
        <w:t>Reo</w:t>
      </w:r>
      <w:r w:rsidR="009571B9" w:rsidRPr="0098799C">
        <w:rPr>
          <w:b/>
          <w:sz w:val="24"/>
          <w:lang w:val="sr-Latn-CS"/>
        </w:rPr>
        <w:t>5</w:t>
      </w:r>
      <w:r w:rsidR="009571B9" w:rsidRPr="0098799C">
        <w:rPr>
          <w:b/>
          <w:sz w:val="24"/>
          <w:vertAlign w:val="subscript"/>
          <w:lang w:val="sr-Latn-CS"/>
        </w:rPr>
        <w:t>7</w:t>
      </w:r>
      <w:r w:rsidR="009571B9" w:rsidRPr="0098799C">
        <w:rPr>
          <w:b/>
          <w:sz w:val="24"/>
          <w:lang w:val="sr-Latn-CS"/>
        </w:rPr>
        <w:t>+PAR</w:t>
      </w:r>
      <w:r w:rsidR="009571B9" w:rsidRPr="0098799C">
        <w:rPr>
          <w:b/>
          <w:sz w:val="24"/>
          <w:vertAlign w:val="subscript"/>
          <w:lang w:val="sr-Latn-CS"/>
        </w:rPr>
        <w:t xml:space="preserve">i.v, </w:t>
      </w:r>
      <w:r w:rsidR="009571B9" w:rsidRPr="0098799C">
        <w:rPr>
          <w:sz w:val="24"/>
          <w:lang w:val="sr-Latn-CS"/>
        </w:rPr>
        <w:t xml:space="preserve"> </w:t>
      </w:r>
      <w:r w:rsidR="009571B9" w:rsidRPr="0098799C">
        <w:rPr>
          <w:sz w:val="24"/>
        </w:rPr>
        <w:t>REO (5 mg/kg) p.o. for 7 days, where the last dose on the 7th day was applied 30 minutes before i.v. administration of paracetamol;</w:t>
      </w:r>
    </w:p>
    <w:p w:rsidR="0098799C" w:rsidRPr="0098799C" w:rsidRDefault="005C4FB4" w:rsidP="0098799C">
      <w:pPr>
        <w:numPr>
          <w:ilvl w:val="0"/>
          <w:numId w:val="4"/>
        </w:numPr>
        <w:autoSpaceDE w:val="0"/>
        <w:autoSpaceDN w:val="0"/>
        <w:adjustRightInd w:val="0"/>
        <w:jc w:val="both"/>
        <w:rPr>
          <w:color w:val="FF0000"/>
          <w:sz w:val="24"/>
          <w:lang w:val="sr-Latn-CS"/>
        </w:rPr>
      </w:pPr>
      <w:r w:rsidRPr="0098799C">
        <w:rPr>
          <w:b/>
          <w:sz w:val="24"/>
          <w:lang w:val="sr-Latn-CS"/>
        </w:rPr>
        <w:t>Reo</w:t>
      </w:r>
      <w:r w:rsidR="009571B9" w:rsidRPr="0098799C">
        <w:rPr>
          <w:b/>
          <w:sz w:val="24"/>
          <w:lang w:val="sr-Latn-CS"/>
        </w:rPr>
        <w:t>10</w:t>
      </w:r>
      <w:r w:rsidR="009571B9" w:rsidRPr="0098799C">
        <w:rPr>
          <w:b/>
          <w:sz w:val="24"/>
          <w:vertAlign w:val="subscript"/>
          <w:lang w:val="sr-Latn-CS"/>
        </w:rPr>
        <w:t>7</w:t>
      </w:r>
      <w:r w:rsidR="009571B9" w:rsidRPr="0098799C">
        <w:rPr>
          <w:b/>
          <w:sz w:val="24"/>
          <w:lang w:val="sr-Latn-CS"/>
        </w:rPr>
        <w:t>+PAR</w:t>
      </w:r>
      <w:r w:rsidR="009571B9" w:rsidRPr="0098799C">
        <w:rPr>
          <w:b/>
          <w:sz w:val="24"/>
          <w:vertAlign w:val="subscript"/>
          <w:lang w:val="sr-Latn-CS"/>
        </w:rPr>
        <w:t>p.o.</w:t>
      </w:r>
      <w:r w:rsidR="009571B9" w:rsidRPr="0098799C">
        <w:rPr>
          <w:sz w:val="24"/>
          <w:lang w:val="sr-Latn-CS"/>
        </w:rPr>
        <w:t xml:space="preserve">; </w:t>
      </w:r>
      <w:r w:rsidR="009571B9" w:rsidRPr="0098799C">
        <w:rPr>
          <w:sz w:val="24"/>
        </w:rPr>
        <w:t>REO (10 mg/kg) p.o. for 7 days, where the last dose on the 7th day was applied 30 minutes before p.o. administration of paracetamol</w:t>
      </w:r>
      <w:r w:rsidR="009571B9" w:rsidRPr="0098799C">
        <w:rPr>
          <w:sz w:val="24"/>
          <w:lang w:val="sr-Latn-CS"/>
        </w:rPr>
        <w:t>;</w:t>
      </w:r>
    </w:p>
    <w:p w:rsidR="00AF4F5B" w:rsidRPr="0098799C" w:rsidRDefault="005C4FB4" w:rsidP="0098799C">
      <w:pPr>
        <w:numPr>
          <w:ilvl w:val="0"/>
          <w:numId w:val="4"/>
        </w:numPr>
        <w:autoSpaceDE w:val="0"/>
        <w:autoSpaceDN w:val="0"/>
        <w:adjustRightInd w:val="0"/>
        <w:jc w:val="both"/>
        <w:rPr>
          <w:color w:val="FF0000"/>
          <w:sz w:val="24"/>
          <w:lang w:val="sr-Latn-CS"/>
        </w:rPr>
      </w:pPr>
      <w:r w:rsidRPr="0098799C">
        <w:rPr>
          <w:b/>
          <w:sz w:val="24"/>
          <w:lang w:val="sr-Latn-CS"/>
        </w:rPr>
        <w:t>Reo10</w:t>
      </w:r>
      <w:r w:rsidRPr="0098799C">
        <w:rPr>
          <w:b/>
          <w:sz w:val="24"/>
          <w:vertAlign w:val="subscript"/>
          <w:lang w:val="sr-Latn-CS"/>
        </w:rPr>
        <w:t>7</w:t>
      </w:r>
      <w:r w:rsidRPr="0098799C">
        <w:rPr>
          <w:b/>
          <w:sz w:val="24"/>
          <w:lang w:val="sr-Latn-CS"/>
        </w:rPr>
        <w:t>+PAR</w:t>
      </w:r>
      <w:r w:rsidRPr="0098799C">
        <w:rPr>
          <w:b/>
          <w:sz w:val="24"/>
          <w:vertAlign w:val="subscript"/>
          <w:lang w:val="sr-Latn-CS"/>
        </w:rPr>
        <w:t>i.v.</w:t>
      </w:r>
      <w:r w:rsidRPr="0098799C">
        <w:rPr>
          <w:sz w:val="24"/>
          <w:lang w:val="sr-Latn-CS"/>
        </w:rPr>
        <w:t xml:space="preserve">, </w:t>
      </w:r>
      <w:r w:rsidRPr="0098799C">
        <w:rPr>
          <w:sz w:val="24"/>
        </w:rPr>
        <w:t xml:space="preserve">REO (10 </w:t>
      </w:r>
      <w:r w:rsidR="009571B9" w:rsidRPr="0098799C">
        <w:rPr>
          <w:sz w:val="24"/>
        </w:rPr>
        <w:t>mg/kg) p.o. for 7 days, where the last dose on the 7th day wa</w:t>
      </w:r>
      <w:r w:rsidRPr="0098799C">
        <w:rPr>
          <w:sz w:val="24"/>
        </w:rPr>
        <w:t>s applied 30 minutes before i.v.  administration of paracetamol.</w:t>
      </w:r>
    </w:p>
    <w:p w:rsidR="002D0380" w:rsidRPr="005C4FB4" w:rsidRDefault="005C4FB4" w:rsidP="0098799C">
      <w:pPr>
        <w:autoSpaceDE w:val="0"/>
        <w:autoSpaceDN w:val="0"/>
        <w:adjustRightInd w:val="0"/>
        <w:jc w:val="both"/>
        <w:rPr>
          <w:sz w:val="24"/>
          <w:lang w:val="sr-Latn-CS"/>
        </w:rPr>
      </w:pPr>
      <w:r>
        <w:rPr>
          <w:sz w:val="24"/>
          <w:lang w:val="sr-Latn-CS"/>
        </w:rPr>
        <w:t xml:space="preserve"> </w:t>
      </w:r>
    </w:p>
    <w:p w:rsidR="00A83DE8" w:rsidRPr="00A83DE8" w:rsidRDefault="00A83DE8" w:rsidP="00A83DE8">
      <w:pPr>
        <w:jc w:val="both"/>
        <w:rPr>
          <w:b/>
          <w:sz w:val="24"/>
        </w:rPr>
      </w:pPr>
      <w:r w:rsidRPr="00A83DE8">
        <w:rPr>
          <w:b/>
          <w:sz w:val="24"/>
        </w:rPr>
        <w:t>Hot plate test</w:t>
      </w:r>
    </w:p>
    <w:p w:rsidR="00A83DE8" w:rsidRDefault="007272A4" w:rsidP="007272A4">
      <w:pPr>
        <w:ind w:firstLine="720"/>
        <w:jc w:val="both"/>
        <w:rPr>
          <w:sz w:val="24"/>
        </w:rPr>
      </w:pPr>
      <w:r>
        <w:rPr>
          <w:sz w:val="24"/>
        </w:rPr>
        <w:t xml:space="preserve"> H</w:t>
      </w:r>
      <w:r w:rsidR="00A83DE8" w:rsidRPr="00A2772D">
        <w:rPr>
          <w:sz w:val="24"/>
        </w:rPr>
        <w:t xml:space="preserve">ot plate test was performed by placing mice individually on hot plate and assessing their response to the thermal stimulus. The temperature of the metal plate enclosed by plexiglas walls was maintained at 52.5 </w:t>
      </w:r>
      <w:r w:rsidR="00A83DE8" w:rsidRPr="00A2772D">
        <w:rPr>
          <w:rFonts w:hAnsi="Cambria Math"/>
          <w:sz w:val="24"/>
        </w:rPr>
        <w:t>⁰</w:t>
      </w:r>
      <w:r w:rsidR="00A83DE8" w:rsidRPr="00A2772D">
        <w:rPr>
          <w:sz w:val="24"/>
        </w:rPr>
        <w:t>C. The response time was measured in seconds at which the animal licked or flinched one of the hind paws, or jumped off the plate. To prevent tissue damage, a cut-off time was used as a double value of latencies measured before drug application. Response latencies were first determined two times before the application of the tested compound in order to determine a pre-treatment response for each mouse, and then 5, 10, 15, 20, 30, 40, 50, 60 minutes following the drug administration. After responding or reaching the cut-off time, mice were removed from the plate. Analgesic effect determined in seconds was expressed as percentage of prolongation of measured reaction time compared to control reaction time</w:t>
      </w:r>
      <w:r w:rsidR="005D2B55">
        <w:rPr>
          <w:sz w:val="24"/>
        </w:rPr>
        <w:t xml:space="preserve"> [18]</w:t>
      </w:r>
      <w:r w:rsidR="00A83DE8" w:rsidRPr="00A2772D">
        <w:rPr>
          <w:sz w:val="24"/>
          <w:vertAlign w:val="superscript"/>
        </w:rPr>
        <w:t>22</w:t>
      </w:r>
      <w:r w:rsidR="00A83DE8" w:rsidRPr="00A2772D">
        <w:rPr>
          <w:sz w:val="24"/>
        </w:rPr>
        <w:t>.</w:t>
      </w:r>
    </w:p>
    <w:p w:rsidR="002D0380" w:rsidRDefault="002D0380" w:rsidP="00A83DE8">
      <w:pPr>
        <w:jc w:val="both"/>
        <w:rPr>
          <w:sz w:val="24"/>
        </w:rPr>
      </w:pPr>
    </w:p>
    <w:p w:rsidR="002D0380" w:rsidRPr="00503C0C" w:rsidRDefault="00CE0CD1" w:rsidP="00A83DE8">
      <w:pPr>
        <w:jc w:val="both"/>
        <w:rPr>
          <w:b/>
          <w:sz w:val="24"/>
        </w:rPr>
      </w:pPr>
      <w:r w:rsidRPr="00503C0C">
        <w:rPr>
          <w:b/>
          <w:sz w:val="24"/>
        </w:rPr>
        <w:t>Pharmacokinetic tests</w:t>
      </w:r>
    </w:p>
    <w:p w:rsidR="00BD5704" w:rsidRPr="00503C0C" w:rsidRDefault="00CE0CD1" w:rsidP="007272A4">
      <w:pPr>
        <w:ind w:firstLine="720"/>
        <w:jc w:val="both"/>
        <w:rPr>
          <w:sz w:val="24"/>
        </w:rPr>
      </w:pPr>
      <w:r>
        <w:rPr>
          <w:sz w:val="24"/>
        </w:rPr>
        <w:t>From all experimental groups a</w:t>
      </w:r>
      <w:r w:rsidRPr="00CE0CD1">
        <w:rPr>
          <w:sz w:val="24"/>
        </w:rPr>
        <w:t xml:space="preserve"> blood sample</w:t>
      </w:r>
      <w:r>
        <w:rPr>
          <w:sz w:val="24"/>
        </w:rPr>
        <w:t xml:space="preserve"> was taken from tail vein, before the paracetamol was given.</w:t>
      </w:r>
      <w:r w:rsidR="00503C0C">
        <w:rPr>
          <w:sz w:val="24"/>
        </w:rPr>
        <w:t xml:space="preserve"> </w:t>
      </w:r>
      <w:r w:rsidR="00503C0C">
        <w:rPr>
          <w:color w:val="FF0000"/>
          <w:sz w:val="24"/>
          <w:lang w:val="sr-Latn-CS"/>
        </w:rPr>
        <w:t xml:space="preserve"> </w:t>
      </w:r>
      <w:r w:rsidR="00503C0C" w:rsidRPr="00503C0C">
        <w:rPr>
          <w:sz w:val="24"/>
          <w:lang w:val="sr-Latn-CS"/>
        </w:rPr>
        <w:t>The p</w:t>
      </w:r>
      <w:r w:rsidR="00BD5704" w:rsidRPr="00503C0C">
        <w:rPr>
          <w:sz w:val="24"/>
          <w:lang w:val="sr-Latn-CS"/>
        </w:rPr>
        <w:t>aracetamol</w:t>
      </w:r>
      <w:r w:rsidR="00503C0C">
        <w:rPr>
          <w:sz w:val="24"/>
          <w:lang w:val="sr-Latn-CS"/>
        </w:rPr>
        <w:t>as applied30 min after last doseof REO.  The samples was taken at 0, at 15th, 30th,  45th, 60th, 90th, 120th, 180th, 240 and 300th minute after paracetamol was apllied per os or I.V</w:t>
      </w:r>
      <w:r w:rsidR="00503C0C" w:rsidRPr="00503C0C">
        <w:rPr>
          <w:sz w:val="24"/>
          <w:lang w:val="sr-Latn-CS"/>
        </w:rPr>
        <w:t>.</w:t>
      </w:r>
      <w:r w:rsidR="00503C0C">
        <w:rPr>
          <w:sz w:val="24"/>
          <w:lang w:val="sr-Latn-CS"/>
        </w:rPr>
        <w:t xml:space="preserve">. </w:t>
      </w:r>
      <w:r w:rsidR="00503C0C" w:rsidRPr="00503C0C">
        <w:rPr>
          <w:sz w:val="24"/>
          <w:lang w:val="sr-Latn-CS"/>
        </w:rPr>
        <w:t>The animals were imobiliside</w:t>
      </w:r>
      <w:r w:rsidR="00BD5704" w:rsidRPr="00503C0C">
        <w:rPr>
          <w:sz w:val="24"/>
          <w:lang w:val="sr-Latn-CS"/>
        </w:rPr>
        <w:t xml:space="preserve"> </w:t>
      </w:r>
      <w:r w:rsidR="00503C0C" w:rsidRPr="00503C0C">
        <w:rPr>
          <w:sz w:val="24"/>
          <w:lang w:val="sr-Latn-CS"/>
        </w:rPr>
        <w:t>and there tails were washed with hot water than it was given massage for produce hyperemie. The perforation os skin was done 1 cm from the top of the tail and it was taken 200 microliters of blood. Those samples were centrifugated 10 minutes on 6000 o</w:t>
      </w:r>
      <w:r w:rsidR="00BD5704" w:rsidRPr="00503C0C">
        <w:rPr>
          <w:sz w:val="24"/>
          <w:lang w:val="sr-Latn-CS"/>
        </w:rPr>
        <w:t>/min.</w:t>
      </w:r>
    </w:p>
    <w:p w:rsidR="00503C0C" w:rsidRPr="00711D9E" w:rsidRDefault="00F71802" w:rsidP="007272A4">
      <w:pPr>
        <w:autoSpaceDE w:val="0"/>
        <w:autoSpaceDN w:val="0"/>
        <w:adjustRightInd w:val="0"/>
        <w:ind w:firstLine="720"/>
        <w:jc w:val="both"/>
        <w:rPr>
          <w:sz w:val="24"/>
          <w:lang w:val="sr-Latn-CS"/>
        </w:rPr>
      </w:pPr>
      <w:r w:rsidRPr="00711D9E">
        <w:rPr>
          <w:sz w:val="24"/>
          <w:lang w:val="sr-Latn-CS"/>
        </w:rPr>
        <w:t>The water solutions were prepared with water HPLC degree –JT Baker.</w:t>
      </w:r>
    </w:p>
    <w:p w:rsidR="00BD5704" w:rsidRPr="00711D9E" w:rsidRDefault="00F71802" w:rsidP="007272A4">
      <w:pPr>
        <w:autoSpaceDE w:val="0"/>
        <w:autoSpaceDN w:val="0"/>
        <w:adjustRightInd w:val="0"/>
        <w:ind w:firstLine="720"/>
        <w:jc w:val="both"/>
        <w:rPr>
          <w:sz w:val="24"/>
          <w:lang w:val="sr-Latn-CS"/>
        </w:rPr>
      </w:pPr>
      <w:r w:rsidRPr="00711D9E">
        <w:rPr>
          <w:sz w:val="24"/>
          <w:lang w:val="sr-Latn-CS"/>
        </w:rPr>
        <w:t>Stock solution was made in concentration</w:t>
      </w:r>
      <w:r w:rsidR="00BD5704" w:rsidRPr="00711D9E">
        <w:rPr>
          <w:sz w:val="24"/>
          <w:lang w:val="sr-Latn-CS"/>
        </w:rPr>
        <w:t xml:space="preserve"> 1mg/ml. </w:t>
      </w:r>
    </w:p>
    <w:p w:rsidR="00BD5704" w:rsidRPr="00711D9E" w:rsidRDefault="00F71802" w:rsidP="007272A4">
      <w:pPr>
        <w:autoSpaceDE w:val="0"/>
        <w:autoSpaceDN w:val="0"/>
        <w:adjustRightInd w:val="0"/>
        <w:ind w:firstLine="720"/>
        <w:jc w:val="both"/>
        <w:rPr>
          <w:sz w:val="24"/>
          <w:lang w:val="sr-Latn-CS"/>
        </w:rPr>
      </w:pPr>
      <w:r w:rsidRPr="00711D9E">
        <w:rPr>
          <w:sz w:val="24"/>
          <w:lang w:val="sr-Latn-CS"/>
        </w:rPr>
        <w:t>The sample analisyng  was done on the Dionex HPLC with UV detector</w:t>
      </w:r>
      <w:r w:rsidR="00BD5704" w:rsidRPr="00711D9E">
        <w:rPr>
          <w:sz w:val="24"/>
          <w:lang w:val="sr-Latn-CS"/>
        </w:rPr>
        <w:t xml:space="preserve">. </w:t>
      </w:r>
      <w:r w:rsidRPr="00711D9E">
        <w:rPr>
          <w:sz w:val="24"/>
          <w:lang w:val="sr-Latn-CS"/>
        </w:rPr>
        <w:t xml:space="preserve">The system for chromatography detecting of paracetamol was made from next elements: colone </w:t>
      </w:r>
      <w:r w:rsidR="00BD5704" w:rsidRPr="00711D9E">
        <w:rPr>
          <w:sz w:val="24"/>
          <w:lang w:val="sr-Latn-CS"/>
        </w:rPr>
        <w:t>ZORBAX Extend C-18 Narrow-Bore 2.1m</w:t>
      </w:r>
      <w:r w:rsidRPr="00711D9E">
        <w:rPr>
          <w:sz w:val="24"/>
          <w:lang w:val="sr-Latn-CS"/>
        </w:rPr>
        <w:t xml:space="preserve">m x 150 mm 5-Micron; subcolone </w:t>
      </w:r>
      <w:r w:rsidR="00BD5704" w:rsidRPr="00711D9E">
        <w:rPr>
          <w:sz w:val="24"/>
          <w:lang w:val="sr-Latn-CS"/>
        </w:rPr>
        <w:t>ZORBAX Eclipse Plus-C 18, Analytical Guard Column 4.6m x12.5 mm 5-Micron.</w:t>
      </w:r>
    </w:p>
    <w:p w:rsidR="00BD5704" w:rsidRPr="00711D9E" w:rsidRDefault="00BD5704" w:rsidP="00E70F31">
      <w:pPr>
        <w:autoSpaceDE w:val="0"/>
        <w:autoSpaceDN w:val="0"/>
        <w:adjustRightInd w:val="0"/>
        <w:jc w:val="both"/>
        <w:rPr>
          <w:sz w:val="24"/>
          <w:lang w:val="sr-Latn-CS"/>
        </w:rPr>
      </w:pPr>
      <w:r w:rsidRPr="00711D9E">
        <w:rPr>
          <w:sz w:val="24"/>
          <w:lang w:val="sr-Latn-CS"/>
        </w:rPr>
        <w:tab/>
      </w:r>
      <w:r w:rsidR="00F71802" w:rsidRPr="00711D9E">
        <w:rPr>
          <w:sz w:val="24"/>
          <w:lang w:val="sr-Latn-CS"/>
        </w:rPr>
        <w:t xml:space="preserve">In examination was used isocratic elution with constant flow of mobile fase of  </w:t>
      </w:r>
      <w:r w:rsidRPr="00711D9E">
        <w:rPr>
          <w:sz w:val="24"/>
          <w:lang w:val="sr-Latn-CS"/>
        </w:rPr>
        <w:t xml:space="preserve"> 0.4 ml/min. </w:t>
      </w:r>
      <w:r w:rsidR="00F71802" w:rsidRPr="00711D9E">
        <w:rPr>
          <w:sz w:val="24"/>
          <w:lang w:val="sr-Latn-CS"/>
        </w:rPr>
        <w:t>The mobile fase were ma</w:t>
      </w:r>
      <w:r w:rsidR="00711D9E" w:rsidRPr="00711D9E">
        <w:rPr>
          <w:sz w:val="24"/>
          <w:lang w:val="sr-Latn-CS"/>
        </w:rPr>
        <w:t xml:space="preserve">de of water and acetonitrile w/w: </w:t>
      </w:r>
      <w:r w:rsidRPr="00711D9E">
        <w:rPr>
          <w:sz w:val="24"/>
          <w:lang w:val="sr-Latn-CS"/>
        </w:rPr>
        <w:t xml:space="preserve"> H2O : ACN = 88 : 12.</w:t>
      </w:r>
    </w:p>
    <w:p w:rsidR="00BD5704" w:rsidRPr="00711D9E" w:rsidRDefault="00BD5704" w:rsidP="00E70F31">
      <w:pPr>
        <w:autoSpaceDE w:val="0"/>
        <w:autoSpaceDN w:val="0"/>
        <w:adjustRightInd w:val="0"/>
        <w:jc w:val="both"/>
        <w:rPr>
          <w:sz w:val="24"/>
          <w:lang w:val="sr-Latn-CS"/>
        </w:rPr>
      </w:pPr>
      <w:r w:rsidRPr="00BD5704">
        <w:rPr>
          <w:color w:val="FF0000"/>
          <w:sz w:val="24"/>
          <w:lang w:val="sr-Latn-CS"/>
        </w:rPr>
        <w:tab/>
      </w:r>
      <w:r w:rsidR="00711D9E" w:rsidRPr="00711D9E">
        <w:rPr>
          <w:sz w:val="24"/>
          <w:lang w:val="sr-Latn-CS"/>
        </w:rPr>
        <w:t>The samples were injected by using autosampler</w:t>
      </w:r>
      <w:r w:rsidRPr="00711D9E">
        <w:rPr>
          <w:sz w:val="24"/>
          <w:lang w:val="sr-Latn-CS"/>
        </w:rPr>
        <w:t xml:space="preserve"> ASI 100 autosampler plus. </w:t>
      </w:r>
      <w:r w:rsidR="00711D9E" w:rsidRPr="00711D9E">
        <w:rPr>
          <w:sz w:val="24"/>
          <w:lang w:val="sr-Latn-CS"/>
        </w:rPr>
        <w:t>The volumen of injection was</w:t>
      </w:r>
      <w:r w:rsidRPr="00711D9E">
        <w:rPr>
          <w:sz w:val="24"/>
          <w:lang w:val="sr-Latn-CS"/>
        </w:rPr>
        <w:t xml:space="preserve"> 20 μl. </w:t>
      </w:r>
      <w:r w:rsidR="00711D9E" w:rsidRPr="00711D9E">
        <w:rPr>
          <w:sz w:val="24"/>
          <w:lang w:val="sr-Latn-CS"/>
        </w:rPr>
        <w:t xml:space="preserve">The part with colone was at the temperature of </w:t>
      </w:r>
      <w:r w:rsidRPr="00711D9E">
        <w:rPr>
          <w:sz w:val="24"/>
          <w:lang w:val="sr-Latn-CS"/>
        </w:rPr>
        <w:t xml:space="preserve">20°C. </w:t>
      </w:r>
      <w:r w:rsidR="00711D9E" w:rsidRPr="00711D9E">
        <w:rPr>
          <w:sz w:val="24"/>
          <w:lang w:val="sr-Latn-CS"/>
        </w:rPr>
        <w:t>The</w:t>
      </w:r>
      <w:r w:rsidRPr="00711D9E">
        <w:rPr>
          <w:sz w:val="24"/>
          <w:lang w:val="sr-Latn-CS"/>
        </w:rPr>
        <w:t xml:space="preserve"> paracetamol </w:t>
      </w:r>
      <w:r w:rsidR="00711D9E" w:rsidRPr="00711D9E">
        <w:rPr>
          <w:sz w:val="24"/>
          <w:lang w:val="sr-Latn-CS"/>
        </w:rPr>
        <w:t xml:space="preserve"> wwas detected by detector UV DAD at the wave of </w:t>
      </w:r>
      <w:r w:rsidRPr="00711D9E">
        <w:rPr>
          <w:sz w:val="24"/>
          <w:lang w:val="sr-Latn-CS"/>
        </w:rPr>
        <w:t xml:space="preserve">λ=254 nm. </w:t>
      </w:r>
      <w:r w:rsidR="00711D9E" w:rsidRPr="00711D9E">
        <w:rPr>
          <w:sz w:val="24"/>
          <w:lang w:val="sr-Latn-CS"/>
        </w:rPr>
        <w:t>The time of retention of paracetamol in biological samples was</w:t>
      </w:r>
      <w:r w:rsidRPr="00711D9E">
        <w:rPr>
          <w:sz w:val="24"/>
          <w:lang w:val="sr-Latn-CS"/>
        </w:rPr>
        <w:t xml:space="preserve"> 2.2 minuta, a</w:t>
      </w:r>
      <w:r w:rsidR="00711D9E" w:rsidRPr="00711D9E">
        <w:rPr>
          <w:sz w:val="24"/>
          <w:lang w:val="sr-Latn-CS"/>
        </w:rPr>
        <w:t>nd the duration of analysis were 8 minutes</w:t>
      </w:r>
      <w:r w:rsidRPr="00711D9E">
        <w:rPr>
          <w:sz w:val="24"/>
          <w:lang w:val="sr-Latn-CS"/>
        </w:rPr>
        <w:t xml:space="preserve">. </w:t>
      </w:r>
    </w:p>
    <w:p w:rsidR="00BD5704" w:rsidRPr="00711D9E" w:rsidRDefault="00BD5704" w:rsidP="00E70F31">
      <w:pPr>
        <w:autoSpaceDE w:val="0"/>
        <w:autoSpaceDN w:val="0"/>
        <w:adjustRightInd w:val="0"/>
        <w:jc w:val="both"/>
        <w:rPr>
          <w:sz w:val="24"/>
          <w:lang w:val="sr-Latn-CS"/>
        </w:rPr>
      </w:pPr>
      <w:r w:rsidRPr="00BD5704">
        <w:rPr>
          <w:color w:val="FF0000"/>
          <w:sz w:val="24"/>
          <w:lang w:val="sr-Latn-CS"/>
        </w:rPr>
        <w:tab/>
      </w:r>
      <w:r w:rsidR="00711D9E" w:rsidRPr="00711D9E">
        <w:rPr>
          <w:sz w:val="24"/>
          <w:lang w:val="sr-Latn-CS"/>
        </w:rPr>
        <w:t>The control of the chromatografic systeme was done by progame</w:t>
      </w:r>
      <w:r w:rsidRPr="00711D9E">
        <w:rPr>
          <w:sz w:val="24"/>
          <w:lang w:val="sr-Latn-CS"/>
        </w:rPr>
        <w:t xml:space="preserve"> CHROMELEON v.6.70, Chromatography management syste, Dionex, 2005.</w:t>
      </w:r>
    </w:p>
    <w:p w:rsidR="00BD5704" w:rsidRPr="00711D9E" w:rsidRDefault="00711D9E" w:rsidP="00E70F31">
      <w:pPr>
        <w:autoSpaceDE w:val="0"/>
        <w:autoSpaceDN w:val="0"/>
        <w:adjustRightInd w:val="0"/>
        <w:jc w:val="both"/>
        <w:rPr>
          <w:sz w:val="24"/>
          <w:lang w:val="sr-Latn-CS"/>
        </w:rPr>
      </w:pPr>
      <w:r w:rsidRPr="00711D9E">
        <w:rPr>
          <w:sz w:val="24"/>
          <w:lang w:val="sr-Latn-CS"/>
        </w:rPr>
        <w:t xml:space="preserve">The concentration of paracetamol were calculated from the area under the curve of different </w:t>
      </w:r>
      <w:r w:rsidRPr="00711D9E">
        <w:rPr>
          <w:sz w:val="24"/>
          <w:lang w:val="sr-Latn-CS"/>
        </w:rPr>
        <w:lastRenderedPageBreak/>
        <w:t xml:space="preserve">concentration of </w:t>
      </w:r>
      <w:r w:rsidR="00DC79E9">
        <w:rPr>
          <w:sz w:val="24"/>
          <w:lang w:val="sr-Latn-CS"/>
        </w:rPr>
        <w:t xml:space="preserve">externes </w:t>
      </w:r>
      <w:r w:rsidRPr="00711D9E">
        <w:rPr>
          <w:sz w:val="24"/>
          <w:lang w:val="sr-Latn-CS"/>
        </w:rPr>
        <w:t xml:space="preserve">standards.  </w:t>
      </w:r>
    </w:p>
    <w:p w:rsidR="00AF4F5B" w:rsidRPr="00BD5704" w:rsidRDefault="005C4FB4" w:rsidP="007272A4">
      <w:pPr>
        <w:autoSpaceDE w:val="0"/>
        <w:autoSpaceDN w:val="0"/>
        <w:adjustRightInd w:val="0"/>
        <w:ind w:firstLine="720"/>
        <w:jc w:val="both"/>
        <w:rPr>
          <w:sz w:val="24"/>
          <w:lang w:val="sr-Latn-CS"/>
        </w:rPr>
      </w:pPr>
      <w:r w:rsidRPr="00711D9E">
        <w:rPr>
          <w:spacing w:val="-4"/>
          <w:sz w:val="24"/>
          <w:lang w:val="sr-Latn-CS"/>
        </w:rPr>
        <w:t>The parameters of pharmacokinetic were analyzed in blood samples obtained</w:t>
      </w:r>
      <w:r>
        <w:rPr>
          <w:spacing w:val="-4"/>
          <w:sz w:val="24"/>
          <w:lang w:val="sr-Latn-CS"/>
        </w:rPr>
        <w:t xml:space="preserve"> from rats tail veins. The HPLC method was used for measurement of concentration of paracetamol in blood samples. Those concentrations were used for calculation of the pharmacokinetic parameters.</w:t>
      </w:r>
    </w:p>
    <w:p w:rsidR="00A83DE8" w:rsidRPr="00BD5704" w:rsidRDefault="00A83DE8" w:rsidP="00BD5704">
      <w:pPr>
        <w:autoSpaceDE w:val="0"/>
        <w:autoSpaceDN w:val="0"/>
        <w:adjustRightInd w:val="0"/>
        <w:spacing w:before="120" w:after="120" w:line="360" w:lineRule="auto"/>
        <w:jc w:val="both"/>
        <w:rPr>
          <w:sz w:val="24"/>
          <w:lang w:val="sr-Latn-CS"/>
        </w:rPr>
      </w:pPr>
    </w:p>
    <w:p w:rsidR="00A83DE8" w:rsidRPr="00A83DE8" w:rsidRDefault="00A83DE8" w:rsidP="00A83DE8">
      <w:pPr>
        <w:jc w:val="both"/>
        <w:rPr>
          <w:b/>
          <w:sz w:val="24"/>
        </w:rPr>
      </w:pPr>
      <w:r w:rsidRPr="00A83DE8">
        <w:rPr>
          <w:b/>
          <w:sz w:val="24"/>
        </w:rPr>
        <w:t>Statistical analysis</w:t>
      </w:r>
    </w:p>
    <w:p w:rsidR="005F4BC6" w:rsidRPr="00A83DE8" w:rsidRDefault="00A83DE8" w:rsidP="007272A4">
      <w:pPr>
        <w:ind w:firstLine="720"/>
        <w:jc w:val="both"/>
        <w:rPr>
          <w:sz w:val="24"/>
        </w:rPr>
      </w:pPr>
      <w:r w:rsidRPr="00A2772D">
        <w:rPr>
          <w:sz w:val="24"/>
        </w:rPr>
        <w:t>The level of significance between the groups was assessed with the Student’s t-test for small independent samples using MedCalc 9.2.0.1 software. All data are expressed as a mean ± standard deviation (SD). A value of p &lt; 0.05 was considered to be statistically significant.</w:t>
      </w:r>
    </w:p>
    <w:p w:rsidR="005F4BC6" w:rsidRDefault="005F4BC6" w:rsidP="005F4BC6">
      <w:pPr>
        <w:jc w:val="both"/>
        <w:rPr>
          <w:sz w:val="24"/>
          <w:szCs w:val="24"/>
          <w:lang w:val="sr-Latn-BA"/>
        </w:rPr>
      </w:pPr>
    </w:p>
    <w:p w:rsidR="005F4BC6" w:rsidRDefault="005F4BC6" w:rsidP="005F4BC6">
      <w:pPr>
        <w:jc w:val="both"/>
        <w:rPr>
          <w:sz w:val="24"/>
          <w:szCs w:val="24"/>
          <w:lang w:val="sr-Latn-BA"/>
        </w:rPr>
      </w:pPr>
    </w:p>
    <w:p w:rsidR="005F4BC6" w:rsidRPr="00481E5B" w:rsidRDefault="005F4BC6" w:rsidP="005F4BC6">
      <w:pPr>
        <w:jc w:val="center"/>
        <w:rPr>
          <w:b/>
          <w:sz w:val="24"/>
          <w:szCs w:val="24"/>
          <w:lang w:val="sr-Latn-BA"/>
        </w:rPr>
      </w:pPr>
      <w:r w:rsidRPr="00481E5B">
        <w:rPr>
          <w:b/>
          <w:sz w:val="24"/>
          <w:szCs w:val="24"/>
          <w:lang w:val="sr-Latn-BA"/>
        </w:rPr>
        <w:t>RESULTS AND DISCUSSION</w:t>
      </w:r>
    </w:p>
    <w:p w:rsidR="005F4BC6" w:rsidRPr="00481E5B" w:rsidRDefault="005F4BC6" w:rsidP="005F4BC6">
      <w:pPr>
        <w:jc w:val="center"/>
        <w:rPr>
          <w:b/>
          <w:sz w:val="24"/>
          <w:szCs w:val="24"/>
          <w:lang w:val="sr-Cyrl-CS"/>
        </w:rPr>
      </w:pPr>
    </w:p>
    <w:p w:rsidR="002D0380" w:rsidRDefault="002D0380" w:rsidP="007272A4">
      <w:pPr>
        <w:ind w:firstLine="720"/>
        <w:jc w:val="both"/>
        <w:rPr>
          <w:sz w:val="24"/>
        </w:rPr>
      </w:pPr>
      <w:r w:rsidRPr="009A720B">
        <w:rPr>
          <w:sz w:val="24"/>
        </w:rPr>
        <w:t xml:space="preserve">The essential oil </w:t>
      </w:r>
      <w:r>
        <w:rPr>
          <w:sz w:val="24"/>
        </w:rPr>
        <w:t>obtained from</w:t>
      </w:r>
      <w:r w:rsidRPr="009A720B">
        <w:rPr>
          <w:sz w:val="24"/>
        </w:rPr>
        <w:t xml:space="preserve"> rosemary had a pale yellow color and a strong odor, and the obtained yield of the essential oil was 1.03% (v/w in dry matter). The total number of identified chemical constituents was 29, representing 99.87% of the total oil content. </w:t>
      </w:r>
      <w:r w:rsidR="004D2E83">
        <w:rPr>
          <w:sz w:val="24"/>
        </w:rPr>
        <w:t>As presented in Table 1.</w:t>
      </w:r>
      <w:r>
        <w:rPr>
          <w:sz w:val="24"/>
        </w:rPr>
        <w:t>, t</w:t>
      </w:r>
      <w:r w:rsidRPr="009A720B">
        <w:rPr>
          <w:sz w:val="24"/>
        </w:rPr>
        <w:t>he</w:t>
      </w:r>
      <w:r>
        <w:rPr>
          <w:sz w:val="24"/>
        </w:rPr>
        <w:t xml:space="preserve"> isolated</w:t>
      </w:r>
      <w:r w:rsidRPr="009A720B">
        <w:rPr>
          <w:sz w:val="24"/>
        </w:rPr>
        <w:t xml:space="preserve"> essential oil contains a complex mixture of 95.10% of monoterpenes and 4.77% of sesquiterpenes. It was found to be composed mainly of oxygenated monoterpenes (63.88%), followed by monoterpene hydrocarbons (31.22%) and sesquiterpene hydrocarbons (4.77%). The major compounds that were identified and quantitated by GC-FID and GC-MS were 1,8-cineole (43.77%), camphor (12.53%), α-pinene (11.51%), β-pinene (8.16%), camphene (4.55%), and β-caryophyllene (3.93%).</w:t>
      </w:r>
    </w:p>
    <w:p w:rsidR="002D0380" w:rsidRDefault="002D0380" w:rsidP="007272A4">
      <w:pPr>
        <w:ind w:firstLine="720"/>
        <w:jc w:val="both"/>
        <w:rPr>
          <w:sz w:val="24"/>
        </w:rPr>
      </w:pPr>
      <w:r>
        <w:rPr>
          <w:sz w:val="24"/>
        </w:rPr>
        <w:t>In our study, REO (20 mg/kg) increased significantly the latency time of animal response to heat-induced pain between 20th and 50th minute of the test, when compared to saline-treated group</w:t>
      </w:r>
      <w:r w:rsidR="00E70F31">
        <w:rPr>
          <w:sz w:val="24"/>
        </w:rPr>
        <w:t>.</w:t>
      </w:r>
      <w:r>
        <w:rPr>
          <w:sz w:val="24"/>
        </w:rPr>
        <w:t xml:space="preserve"> We showed that analgesic effect of REO was slightly higher than that of paracetamol.</w:t>
      </w:r>
    </w:p>
    <w:p w:rsidR="001B65F1" w:rsidRDefault="001B65F1" w:rsidP="002D0380">
      <w:pPr>
        <w:jc w:val="both"/>
        <w:rPr>
          <w:sz w:val="24"/>
        </w:rPr>
      </w:pPr>
    </w:p>
    <w:p w:rsidR="001B65F1" w:rsidRDefault="001B65F1" w:rsidP="002D0380">
      <w:pPr>
        <w:jc w:val="both"/>
        <w:rPr>
          <w:sz w:val="24"/>
        </w:rPr>
      </w:pPr>
    </w:p>
    <w:p w:rsidR="00E70F31" w:rsidRPr="007272A4" w:rsidRDefault="007272A4" w:rsidP="00E70F31">
      <w:pPr>
        <w:jc w:val="both"/>
        <w:rPr>
          <w:sz w:val="24"/>
          <w:lang w:val="sr-Latn-CS"/>
        </w:rPr>
      </w:pPr>
      <w:r w:rsidRPr="007272A4">
        <w:rPr>
          <w:b/>
          <w:sz w:val="24"/>
          <w:lang w:val="sr-Latn-CS"/>
        </w:rPr>
        <w:t>Table 1</w:t>
      </w:r>
      <w:r w:rsidR="00E70F31" w:rsidRPr="007272A4">
        <w:rPr>
          <w:b/>
          <w:sz w:val="24"/>
          <w:lang w:val="sr-Latn-CS"/>
        </w:rPr>
        <w:t xml:space="preserve">. </w:t>
      </w:r>
      <w:r w:rsidRPr="007272A4">
        <w:rPr>
          <w:sz w:val="24"/>
          <w:lang w:val="sr-Latn-CS"/>
        </w:rPr>
        <w:t>Total amount of identificated compounts in the examineted sample of essential oil of rosemary</w:t>
      </w:r>
      <w:r w:rsidR="00E70F31" w:rsidRPr="007272A4">
        <w:rPr>
          <w:sz w:val="24"/>
          <w:lang w:val="sr-Latn-CS"/>
        </w:rPr>
        <w:t xml:space="preserve"> (% m/m)</w:t>
      </w:r>
    </w:p>
    <w:p w:rsidR="00E70F31" w:rsidRDefault="00E70F31" w:rsidP="00E70F31">
      <w:pPr>
        <w:jc w:val="both"/>
        <w:rPr>
          <w:sz w:val="24"/>
          <w:lang w:val="sr-Latn-CS"/>
        </w:rPr>
      </w:pPr>
    </w:p>
    <w:tbl>
      <w:tblPr>
        <w:tblW w:w="0" w:type="auto"/>
        <w:jc w:val="center"/>
        <w:tblBorders>
          <w:top w:val="single" w:sz="8" w:space="0" w:color="000000"/>
          <w:bottom w:val="single" w:sz="8" w:space="0" w:color="000000"/>
        </w:tblBorders>
        <w:tblLayout w:type="fixed"/>
        <w:tblLook w:val="04A0" w:firstRow="1" w:lastRow="0" w:firstColumn="1" w:lastColumn="0" w:noHBand="0" w:noVBand="1"/>
      </w:tblPr>
      <w:tblGrid>
        <w:gridCol w:w="2898"/>
        <w:gridCol w:w="2430"/>
        <w:gridCol w:w="3060"/>
      </w:tblGrid>
      <w:tr w:rsidR="00E70F31" w:rsidTr="0064165B">
        <w:trPr>
          <w:jc w:val="center"/>
        </w:trPr>
        <w:tc>
          <w:tcPr>
            <w:tcW w:w="2898" w:type="dxa"/>
            <w:tcBorders>
              <w:top w:val="single" w:sz="8" w:space="0" w:color="000000"/>
              <w:left w:val="nil"/>
              <w:bottom w:val="single" w:sz="8" w:space="0" w:color="000000"/>
              <w:right w:val="nil"/>
            </w:tcBorders>
          </w:tcPr>
          <w:p w:rsidR="00E70F31" w:rsidRDefault="007272A4" w:rsidP="0064165B">
            <w:pPr>
              <w:spacing w:line="360" w:lineRule="auto"/>
              <w:rPr>
                <w:b/>
                <w:color w:val="000000"/>
                <w:lang w:val="sr-Latn-CS"/>
              </w:rPr>
            </w:pPr>
            <w:r>
              <w:rPr>
                <w:b/>
                <w:color w:val="000000"/>
                <w:lang w:val="sr-Latn-CS"/>
              </w:rPr>
              <w:t>Compounts</w:t>
            </w:r>
          </w:p>
        </w:tc>
        <w:tc>
          <w:tcPr>
            <w:tcW w:w="2430" w:type="dxa"/>
            <w:tcBorders>
              <w:top w:val="single" w:sz="8" w:space="0" w:color="000000"/>
              <w:left w:val="nil"/>
              <w:bottom w:val="single" w:sz="8" w:space="0" w:color="000000"/>
              <w:right w:val="nil"/>
            </w:tcBorders>
          </w:tcPr>
          <w:p w:rsidR="00E70F31" w:rsidRDefault="007272A4" w:rsidP="0064165B">
            <w:pPr>
              <w:spacing w:line="360" w:lineRule="auto"/>
              <w:rPr>
                <w:b/>
                <w:color w:val="000000"/>
                <w:lang w:val="sr-Latn-CS"/>
              </w:rPr>
            </w:pPr>
            <w:r>
              <w:rPr>
                <w:b/>
                <w:color w:val="000000"/>
                <w:lang w:val="sr-Latn-CS"/>
              </w:rPr>
              <w:t>The nomber of identificated compounts</w:t>
            </w:r>
          </w:p>
        </w:tc>
        <w:tc>
          <w:tcPr>
            <w:tcW w:w="3060" w:type="dxa"/>
            <w:tcBorders>
              <w:top w:val="single" w:sz="8" w:space="0" w:color="000000"/>
              <w:left w:val="nil"/>
              <w:bottom w:val="single" w:sz="8" w:space="0" w:color="000000"/>
              <w:right w:val="nil"/>
            </w:tcBorders>
          </w:tcPr>
          <w:p w:rsidR="00E70F31" w:rsidRDefault="007272A4" w:rsidP="0064165B">
            <w:pPr>
              <w:spacing w:line="360" w:lineRule="auto"/>
              <w:rPr>
                <w:b/>
                <w:color w:val="000000"/>
                <w:lang w:val="sr-Latn-CS"/>
              </w:rPr>
            </w:pPr>
            <w:r>
              <w:rPr>
                <w:b/>
                <w:color w:val="000000"/>
                <w:lang w:val="sr-Latn-CS"/>
              </w:rPr>
              <w:t>Total amount, percent</w:t>
            </w:r>
            <w:r w:rsidR="00E70F31">
              <w:rPr>
                <w:b/>
                <w:color w:val="000000"/>
                <w:lang w:val="sr-Latn-CS"/>
              </w:rPr>
              <w:t xml:space="preserve"> %(m/m)</w:t>
            </w:r>
          </w:p>
        </w:tc>
      </w:tr>
      <w:tr w:rsidR="00E70F31" w:rsidTr="0064165B">
        <w:trPr>
          <w:jc w:val="center"/>
        </w:trPr>
        <w:tc>
          <w:tcPr>
            <w:tcW w:w="2898" w:type="dxa"/>
            <w:tcBorders>
              <w:left w:val="nil"/>
              <w:right w:val="nil"/>
            </w:tcBorders>
            <w:shd w:val="clear" w:color="auto" w:fill="C0C0C0"/>
          </w:tcPr>
          <w:p w:rsidR="00E70F31" w:rsidRDefault="007272A4" w:rsidP="0064165B">
            <w:pPr>
              <w:spacing w:line="360" w:lineRule="auto"/>
              <w:rPr>
                <w:b/>
                <w:color w:val="000000"/>
                <w:lang w:val="sr-Latn-CS"/>
              </w:rPr>
            </w:pPr>
            <w:r>
              <w:rPr>
                <w:b/>
                <w:color w:val="000000"/>
                <w:lang w:val="sr-Latn-CS"/>
              </w:rPr>
              <w:t>Monotherpens</w:t>
            </w:r>
          </w:p>
        </w:tc>
        <w:tc>
          <w:tcPr>
            <w:tcW w:w="2430" w:type="dxa"/>
            <w:tcBorders>
              <w:left w:val="nil"/>
              <w:right w:val="nil"/>
            </w:tcBorders>
            <w:shd w:val="clear" w:color="auto" w:fill="C0C0C0"/>
          </w:tcPr>
          <w:p w:rsidR="00E70F31" w:rsidRDefault="00E70F31" w:rsidP="0064165B">
            <w:pPr>
              <w:spacing w:line="360" w:lineRule="auto"/>
              <w:jc w:val="center"/>
              <w:rPr>
                <w:color w:val="000000"/>
                <w:lang w:val="sr-Latn-CS"/>
              </w:rPr>
            </w:pPr>
            <w:r>
              <w:rPr>
                <w:color w:val="000000"/>
                <w:lang w:val="sr-Latn-CS"/>
              </w:rPr>
              <w:t>14</w:t>
            </w:r>
          </w:p>
        </w:tc>
        <w:tc>
          <w:tcPr>
            <w:tcW w:w="3060" w:type="dxa"/>
            <w:tcBorders>
              <w:left w:val="nil"/>
              <w:right w:val="nil"/>
            </w:tcBorders>
            <w:shd w:val="clear" w:color="auto" w:fill="C0C0C0"/>
          </w:tcPr>
          <w:p w:rsidR="00E70F31" w:rsidRDefault="00E70F31" w:rsidP="0064165B">
            <w:pPr>
              <w:spacing w:line="360" w:lineRule="auto"/>
              <w:jc w:val="center"/>
              <w:rPr>
                <w:color w:val="000000"/>
                <w:lang w:val="sr-Latn-CS"/>
              </w:rPr>
            </w:pPr>
            <w:r>
              <w:rPr>
                <w:color w:val="000000"/>
                <w:lang w:val="sr-Latn-CS"/>
              </w:rPr>
              <w:t>31.22</w:t>
            </w:r>
          </w:p>
        </w:tc>
      </w:tr>
      <w:tr w:rsidR="00E70F31" w:rsidTr="0064165B">
        <w:trPr>
          <w:jc w:val="center"/>
        </w:trPr>
        <w:tc>
          <w:tcPr>
            <w:tcW w:w="2898" w:type="dxa"/>
          </w:tcPr>
          <w:p w:rsidR="00E70F31" w:rsidRDefault="007272A4" w:rsidP="0064165B">
            <w:pPr>
              <w:spacing w:line="360" w:lineRule="auto"/>
              <w:rPr>
                <w:b/>
                <w:color w:val="000000"/>
                <w:lang w:val="sr-Latn-CS"/>
              </w:rPr>
            </w:pPr>
            <w:r>
              <w:rPr>
                <w:b/>
                <w:color w:val="000000"/>
                <w:lang w:val="sr-Latn-CS"/>
              </w:rPr>
              <w:t>Oxidated monotherpens</w:t>
            </w:r>
          </w:p>
        </w:tc>
        <w:tc>
          <w:tcPr>
            <w:tcW w:w="2430" w:type="dxa"/>
          </w:tcPr>
          <w:p w:rsidR="00E70F31" w:rsidRDefault="00E70F31" w:rsidP="0064165B">
            <w:pPr>
              <w:spacing w:line="360" w:lineRule="auto"/>
              <w:jc w:val="center"/>
              <w:rPr>
                <w:color w:val="000000"/>
                <w:lang w:val="sr-Latn-CS"/>
              </w:rPr>
            </w:pPr>
            <w:r>
              <w:rPr>
                <w:color w:val="000000"/>
                <w:lang w:val="sr-Latn-CS"/>
              </w:rPr>
              <w:t>9</w:t>
            </w:r>
          </w:p>
        </w:tc>
        <w:tc>
          <w:tcPr>
            <w:tcW w:w="3060" w:type="dxa"/>
          </w:tcPr>
          <w:p w:rsidR="00E70F31" w:rsidRDefault="00E70F31" w:rsidP="0064165B">
            <w:pPr>
              <w:spacing w:line="360" w:lineRule="auto"/>
              <w:jc w:val="center"/>
              <w:rPr>
                <w:color w:val="000000"/>
                <w:lang w:val="sr-Latn-CS"/>
              </w:rPr>
            </w:pPr>
            <w:r>
              <w:rPr>
                <w:color w:val="000000"/>
                <w:lang w:val="sr-Latn-CS"/>
              </w:rPr>
              <w:t>63.88</w:t>
            </w:r>
          </w:p>
        </w:tc>
      </w:tr>
      <w:tr w:rsidR="00E70F31" w:rsidTr="0064165B">
        <w:trPr>
          <w:jc w:val="center"/>
        </w:trPr>
        <w:tc>
          <w:tcPr>
            <w:tcW w:w="2898" w:type="dxa"/>
            <w:tcBorders>
              <w:left w:val="nil"/>
              <w:right w:val="nil"/>
            </w:tcBorders>
            <w:shd w:val="clear" w:color="auto" w:fill="C0C0C0"/>
          </w:tcPr>
          <w:p w:rsidR="00E70F31" w:rsidRDefault="007272A4" w:rsidP="0064165B">
            <w:pPr>
              <w:spacing w:line="360" w:lineRule="auto"/>
              <w:rPr>
                <w:b/>
                <w:color w:val="000000"/>
                <w:lang w:val="sr-Latn-CS"/>
              </w:rPr>
            </w:pPr>
            <w:r>
              <w:rPr>
                <w:b/>
                <w:color w:val="000000"/>
                <w:lang w:val="sr-Latn-CS"/>
              </w:rPr>
              <w:t>Sesquitherpens</w:t>
            </w:r>
          </w:p>
        </w:tc>
        <w:tc>
          <w:tcPr>
            <w:tcW w:w="2430" w:type="dxa"/>
            <w:tcBorders>
              <w:left w:val="nil"/>
              <w:right w:val="nil"/>
            </w:tcBorders>
            <w:shd w:val="clear" w:color="auto" w:fill="C0C0C0"/>
          </w:tcPr>
          <w:p w:rsidR="00E70F31" w:rsidRDefault="00E70F31" w:rsidP="0064165B">
            <w:pPr>
              <w:spacing w:line="360" w:lineRule="auto"/>
              <w:jc w:val="center"/>
              <w:rPr>
                <w:color w:val="000000"/>
                <w:lang w:val="sr-Latn-CS"/>
              </w:rPr>
            </w:pPr>
            <w:r>
              <w:rPr>
                <w:color w:val="000000"/>
                <w:lang w:val="sr-Latn-CS"/>
              </w:rPr>
              <w:t>6</w:t>
            </w:r>
          </w:p>
        </w:tc>
        <w:tc>
          <w:tcPr>
            <w:tcW w:w="3060" w:type="dxa"/>
            <w:tcBorders>
              <w:left w:val="nil"/>
              <w:right w:val="nil"/>
            </w:tcBorders>
            <w:shd w:val="clear" w:color="auto" w:fill="C0C0C0"/>
          </w:tcPr>
          <w:p w:rsidR="00E70F31" w:rsidRDefault="00E70F31" w:rsidP="0064165B">
            <w:pPr>
              <w:spacing w:line="360" w:lineRule="auto"/>
              <w:jc w:val="center"/>
              <w:rPr>
                <w:color w:val="000000"/>
                <w:lang w:val="sr-Latn-CS"/>
              </w:rPr>
            </w:pPr>
            <w:r>
              <w:rPr>
                <w:color w:val="000000"/>
                <w:lang w:val="sr-Latn-CS"/>
              </w:rPr>
              <w:t>4.77</w:t>
            </w:r>
          </w:p>
        </w:tc>
      </w:tr>
      <w:tr w:rsidR="00E70F31" w:rsidTr="0064165B">
        <w:trPr>
          <w:jc w:val="center"/>
        </w:trPr>
        <w:tc>
          <w:tcPr>
            <w:tcW w:w="2898" w:type="dxa"/>
          </w:tcPr>
          <w:p w:rsidR="00E70F31" w:rsidRDefault="004D2E83" w:rsidP="0064165B">
            <w:pPr>
              <w:spacing w:line="360" w:lineRule="auto"/>
              <w:rPr>
                <w:b/>
                <w:lang w:val="sr-Latn-CS"/>
              </w:rPr>
            </w:pPr>
            <w:r>
              <w:rPr>
                <w:b/>
                <w:lang w:val="sr-Latn-CS"/>
              </w:rPr>
              <w:t>Total nomber/amoutnts of identificated compounts</w:t>
            </w:r>
          </w:p>
        </w:tc>
        <w:tc>
          <w:tcPr>
            <w:tcW w:w="2430" w:type="dxa"/>
          </w:tcPr>
          <w:p w:rsidR="00E70F31" w:rsidRDefault="00E70F31" w:rsidP="0064165B">
            <w:pPr>
              <w:spacing w:line="360" w:lineRule="auto"/>
              <w:jc w:val="center"/>
              <w:rPr>
                <w:b/>
                <w:lang w:val="sr-Latn-CS"/>
              </w:rPr>
            </w:pPr>
            <w:r>
              <w:rPr>
                <w:b/>
                <w:lang w:val="sr-Latn-CS"/>
              </w:rPr>
              <w:t>29</w:t>
            </w:r>
          </w:p>
        </w:tc>
        <w:tc>
          <w:tcPr>
            <w:tcW w:w="3060" w:type="dxa"/>
          </w:tcPr>
          <w:p w:rsidR="00E70F31" w:rsidRDefault="00E70F31" w:rsidP="0064165B">
            <w:pPr>
              <w:spacing w:line="360" w:lineRule="auto"/>
              <w:jc w:val="center"/>
              <w:rPr>
                <w:b/>
                <w:lang w:val="sr-Latn-CS"/>
              </w:rPr>
            </w:pPr>
            <w:r>
              <w:rPr>
                <w:b/>
                <w:lang w:val="sr-Latn-CS"/>
              </w:rPr>
              <w:t>99.87</w:t>
            </w:r>
          </w:p>
        </w:tc>
      </w:tr>
      <w:tr w:rsidR="00E70F31" w:rsidTr="0064165B">
        <w:trPr>
          <w:jc w:val="center"/>
        </w:trPr>
        <w:tc>
          <w:tcPr>
            <w:tcW w:w="2898" w:type="dxa"/>
            <w:shd w:val="clear" w:color="auto" w:fill="C0C0C0"/>
          </w:tcPr>
          <w:p w:rsidR="00E70F31" w:rsidRDefault="004D2E83" w:rsidP="0064165B">
            <w:pPr>
              <w:spacing w:line="360" w:lineRule="auto"/>
              <w:rPr>
                <w:b/>
                <w:color w:val="000000"/>
                <w:lang w:val="sr-Latn-CS"/>
              </w:rPr>
            </w:pPr>
            <w:r>
              <w:rPr>
                <w:b/>
                <w:color w:val="000000"/>
                <w:lang w:val="sr-Latn-CS"/>
              </w:rPr>
              <w:t xml:space="preserve">Amount of non-identificated </w:t>
            </w:r>
          </w:p>
          <w:p w:rsidR="004D2E83" w:rsidRDefault="004D2E83" w:rsidP="0064165B">
            <w:pPr>
              <w:spacing w:line="360" w:lineRule="auto"/>
              <w:rPr>
                <w:b/>
                <w:color w:val="000000"/>
                <w:lang w:val="sr-Latn-CS"/>
              </w:rPr>
            </w:pPr>
            <w:r>
              <w:rPr>
                <w:b/>
                <w:color w:val="000000"/>
                <w:lang w:val="sr-Latn-CS"/>
              </w:rPr>
              <w:t>Compounts</w:t>
            </w:r>
          </w:p>
        </w:tc>
        <w:tc>
          <w:tcPr>
            <w:tcW w:w="2430" w:type="dxa"/>
            <w:shd w:val="clear" w:color="auto" w:fill="C0C0C0"/>
          </w:tcPr>
          <w:p w:rsidR="00E70F31" w:rsidRDefault="00E70F31" w:rsidP="0064165B">
            <w:pPr>
              <w:spacing w:line="360" w:lineRule="auto"/>
              <w:jc w:val="center"/>
              <w:rPr>
                <w:color w:val="000000"/>
                <w:lang w:val="sr-Latn-CS"/>
              </w:rPr>
            </w:pPr>
          </w:p>
        </w:tc>
        <w:tc>
          <w:tcPr>
            <w:tcW w:w="3060" w:type="dxa"/>
            <w:shd w:val="clear" w:color="auto" w:fill="C0C0C0"/>
          </w:tcPr>
          <w:p w:rsidR="00E70F31" w:rsidRDefault="00E70F31" w:rsidP="0064165B">
            <w:pPr>
              <w:spacing w:line="360" w:lineRule="auto"/>
              <w:jc w:val="center"/>
              <w:rPr>
                <w:color w:val="000000"/>
                <w:lang w:val="sr-Latn-CS"/>
              </w:rPr>
            </w:pPr>
            <w:r>
              <w:rPr>
                <w:color w:val="000000"/>
                <w:lang w:val="sr-Latn-CS"/>
              </w:rPr>
              <w:t>0.13</w:t>
            </w:r>
          </w:p>
        </w:tc>
      </w:tr>
    </w:tbl>
    <w:p w:rsidR="00E70F31" w:rsidRDefault="00E70F31" w:rsidP="00E70F31">
      <w:pPr>
        <w:spacing w:line="360" w:lineRule="auto"/>
        <w:jc w:val="both"/>
        <w:rPr>
          <w:sz w:val="24"/>
          <w:lang w:val="sr-Latn-CS"/>
        </w:rPr>
      </w:pPr>
    </w:p>
    <w:p w:rsidR="001B65F1" w:rsidRDefault="001B65F1" w:rsidP="002D0380">
      <w:pPr>
        <w:jc w:val="both"/>
        <w:rPr>
          <w:sz w:val="24"/>
        </w:rPr>
      </w:pPr>
    </w:p>
    <w:p w:rsidR="001B65F1" w:rsidRDefault="00504153" w:rsidP="002D0380">
      <w:pPr>
        <w:jc w:val="both"/>
        <w:rPr>
          <w:sz w:val="24"/>
        </w:rPr>
      </w:pPr>
      <w:r w:rsidRPr="00C20218">
        <w:rPr>
          <w:noProof/>
          <w:snapToGrid/>
          <w:sz w:val="24"/>
        </w:rPr>
        <w:lastRenderedPageBreak/>
        <w:drawing>
          <wp:inline distT="0" distB="0" distL="0" distR="0">
            <wp:extent cx="4568190" cy="2743200"/>
            <wp:effectExtent l="0" t="0" r="3810" b="0"/>
            <wp:docPr id="1"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B65F1" w:rsidRDefault="001B65F1" w:rsidP="002D0380">
      <w:pPr>
        <w:jc w:val="both"/>
        <w:rPr>
          <w:sz w:val="24"/>
        </w:rPr>
      </w:pPr>
    </w:p>
    <w:p w:rsidR="001B65F1" w:rsidRPr="004D2E83" w:rsidRDefault="001B65F1" w:rsidP="002D0380">
      <w:pPr>
        <w:jc w:val="both"/>
        <w:rPr>
          <w:sz w:val="24"/>
        </w:rPr>
      </w:pPr>
      <w:r w:rsidRPr="004D2E83">
        <w:rPr>
          <w:sz w:val="24"/>
        </w:rPr>
        <w:t>Figure 1</w:t>
      </w:r>
      <w:r w:rsidR="004D2E83" w:rsidRPr="004D2E83">
        <w:rPr>
          <w:sz w:val="24"/>
        </w:rPr>
        <w:t xml:space="preserve">. </w:t>
      </w:r>
      <w:r w:rsidR="004D2E83">
        <w:rPr>
          <w:sz w:val="24"/>
        </w:rPr>
        <w:t>Analgestic effect of essential oil of rosemary compared with those of paracetamol</w:t>
      </w:r>
    </w:p>
    <w:p w:rsidR="001B65F1" w:rsidRDefault="001B65F1" w:rsidP="002D0380">
      <w:pPr>
        <w:jc w:val="both"/>
        <w:rPr>
          <w:sz w:val="24"/>
        </w:rPr>
      </w:pPr>
    </w:p>
    <w:p w:rsidR="001B65F1" w:rsidRDefault="001B65F1" w:rsidP="002D0380">
      <w:pPr>
        <w:jc w:val="both"/>
        <w:rPr>
          <w:sz w:val="24"/>
        </w:rPr>
      </w:pPr>
    </w:p>
    <w:p w:rsidR="002D0380" w:rsidRDefault="002D0380" w:rsidP="007272A4">
      <w:pPr>
        <w:ind w:firstLine="720"/>
        <w:jc w:val="both"/>
        <w:rPr>
          <w:sz w:val="24"/>
        </w:rPr>
      </w:pPr>
      <w:r>
        <w:rPr>
          <w:sz w:val="24"/>
        </w:rPr>
        <w:t>We demonstrated that analgesic effect of REO was comparable to those of paracetamol, alone and in combinations with REO (</w:t>
      </w:r>
      <w:r w:rsidRPr="00C20218">
        <w:rPr>
          <w:sz w:val="24"/>
        </w:rPr>
        <w:t xml:space="preserve">Figure </w:t>
      </w:r>
      <w:r w:rsidR="00C20218" w:rsidRPr="00C20218">
        <w:rPr>
          <w:sz w:val="24"/>
        </w:rPr>
        <w:t>1</w:t>
      </w:r>
      <w:r>
        <w:rPr>
          <w:sz w:val="24"/>
        </w:rPr>
        <w:t>). The administration of REO in the dose of 20 mg/kg with paracetamol significantly prolonged the reaction time of animals provoked by heat stimuli, when compared to both saline- and paracetamol-treated group, with a maximal response observed between 30th and 50th minute of the test.</w:t>
      </w:r>
    </w:p>
    <w:p w:rsidR="002D0380" w:rsidRDefault="002D0380" w:rsidP="007272A4">
      <w:pPr>
        <w:ind w:firstLine="720"/>
        <w:jc w:val="both"/>
        <w:rPr>
          <w:sz w:val="24"/>
        </w:rPr>
      </w:pPr>
      <w:r>
        <w:rPr>
          <w:sz w:val="24"/>
        </w:rPr>
        <w:t xml:space="preserve">Two </w:t>
      </w:r>
      <w:r w:rsidRPr="00CE7F19">
        <w:rPr>
          <w:sz w:val="24"/>
        </w:rPr>
        <w:t>main chemotypes</w:t>
      </w:r>
      <w:r>
        <w:rPr>
          <w:sz w:val="24"/>
        </w:rPr>
        <w:t xml:space="preserve"> of </w:t>
      </w:r>
      <w:r w:rsidRPr="00CE7F19">
        <w:rPr>
          <w:sz w:val="24"/>
        </w:rPr>
        <w:t>essential oils isolated from rosemary</w:t>
      </w:r>
      <w:r>
        <w:rPr>
          <w:sz w:val="24"/>
        </w:rPr>
        <w:t xml:space="preserve"> have been reported considering the chemical composition. </w:t>
      </w:r>
      <w:r w:rsidRPr="00CE7F19">
        <w:rPr>
          <w:sz w:val="24"/>
        </w:rPr>
        <w:t>The main component of the Tunisian, Turkish, Moroccan and Italian oils is 1,8-cineole with usually over 40%, whereas most Spanish, French and Greek oils have 1,8-cineole, α-pinene and camphor with appr</w:t>
      </w:r>
      <w:r>
        <w:rPr>
          <w:sz w:val="24"/>
        </w:rPr>
        <w:t>oximately equal ratios (20-30%)</w:t>
      </w:r>
      <w:r w:rsidR="005D2B55">
        <w:rPr>
          <w:sz w:val="24"/>
        </w:rPr>
        <w:t xml:space="preserve"> [8]</w:t>
      </w:r>
      <w:r w:rsidRPr="00927FFD">
        <w:rPr>
          <w:sz w:val="24"/>
          <w:vertAlign w:val="superscript"/>
        </w:rPr>
        <w:t>8</w:t>
      </w:r>
      <w:r w:rsidRPr="00CE7F19">
        <w:rPr>
          <w:sz w:val="24"/>
        </w:rPr>
        <w:t xml:space="preserve">. The main constituents in the rosemary essential oil investigated in our study were 1,8-cineole (43.77%), camphor </w:t>
      </w:r>
      <w:r>
        <w:rPr>
          <w:sz w:val="24"/>
        </w:rPr>
        <w:t>(12.53%), and α-pinene (11.51%), and therefore</w:t>
      </w:r>
      <w:r w:rsidRPr="00CE7F19">
        <w:rPr>
          <w:sz w:val="24"/>
        </w:rPr>
        <w:t xml:space="preserve"> </w:t>
      </w:r>
      <w:r>
        <w:rPr>
          <w:sz w:val="24"/>
        </w:rPr>
        <w:t xml:space="preserve">it </w:t>
      </w:r>
      <w:r w:rsidRPr="00CE7F19">
        <w:rPr>
          <w:sz w:val="24"/>
        </w:rPr>
        <w:t xml:space="preserve">can be categorized in the Morocco/Tunisian type. It should be noted that </w:t>
      </w:r>
      <w:r>
        <w:rPr>
          <w:sz w:val="24"/>
        </w:rPr>
        <w:t xml:space="preserve">there are several factors that contribute to </w:t>
      </w:r>
      <w:r w:rsidRPr="00CE7F19">
        <w:rPr>
          <w:sz w:val="24"/>
        </w:rPr>
        <w:t>significant variations in the chemical composition of rosemary essential oils, including the geographic origin, part of the plant, season of harvesting, hence the phenological stage of the plant, and also the essential oil isolation method</w:t>
      </w:r>
      <w:r w:rsidR="005D2B55">
        <w:rPr>
          <w:sz w:val="24"/>
        </w:rPr>
        <w:t xml:space="preserve"> [19]</w:t>
      </w:r>
      <w:r w:rsidRPr="00927FFD">
        <w:rPr>
          <w:sz w:val="24"/>
          <w:vertAlign w:val="superscript"/>
        </w:rPr>
        <w:t>23</w:t>
      </w:r>
      <w:r w:rsidRPr="00CE7F19">
        <w:rPr>
          <w:sz w:val="24"/>
        </w:rPr>
        <w:t>. All effects of REO should be therefore carefully examined, considering the chemical composition of the investigated oil.</w:t>
      </w:r>
    </w:p>
    <w:p w:rsidR="002D0380" w:rsidRDefault="002D0380" w:rsidP="007272A4">
      <w:pPr>
        <w:ind w:firstLine="720"/>
        <w:jc w:val="both"/>
        <w:rPr>
          <w:sz w:val="24"/>
        </w:rPr>
      </w:pPr>
      <w:r>
        <w:rPr>
          <w:sz w:val="24"/>
        </w:rPr>
        <w:t xml:space="preserve">In hot plate assay, 7-day treatment with REO (20 mg/kg) induced significant analgesic effects in mice, which is in accordance with results of previous studies. Analgesic activity of REO was confirmed in different nociceptive experimental models.  </w:t>
      </w:r>
      <w:r w:rsidR="00BD5704">
        <w:rPr>
          <w:sz w:val="24"/>
        </w:rPr>
        <w:t>A</w:t>
      </w:r>
      <w:r>
        <w:rPr>
          <w:sz w:val="24"/>
        </w:rPr>
        <w:t xml:space="preserve">nalgesic effect </w:t>
      </w:r>
      <w:r w:rsidR="00BD5704">
        <w:rPr>
          <w:sz w:val="24"/>
        </w:rPr>
        <w:t xml:space="preserve">of REO </w:t>
      </w:r>
      <w:r>
        <w:rPr>
          <w:sz w:val="24"/>
        </w:rPr>
        <w:t>was confirmed for different monoterpenes that constitute more than 90% of the essential oils</w:t>
      </w:r>
      <w:r w:rsidR="0094673D">
        <w:rPr>
          <w:sz w:val="24"/>
        </w:rPr>
        <w:t xml:space="preserve"> [20]</w:t>
      </w:r>
      <w:r w:rsidRPr="00927FFD">
        <w:rPr>
          <w:sz w:val="24"/>
          <w:vertAlign w:val="superscript"/>
        </w:rPr>
        <w:t>26</w:t>
      </w:r>
      <w:r>
        <w:rPr>
          <w:sz w:val="24"/>
        </w:rPr>
        <w:t>, but also for the ethanol extract of rosemary</w:t>
      </w:r>
      <w:r w:rsidR="0094673D">
        <w:rPr>
          <w:sz w:val="24"/>
        </w:rPr>
        <w:t xml:space="preserve"> [21]</w:t>
      </w:r>
      <w:r w:rsidRPr="00927FFD">
        <w:rPr>
          <w:sz w:val="24"/>
          <w:vertAlign w:val="superscript"/>
        </w:rPr>
        <w:t>27</w:t>
      </w:r>
      <w:r>
        <w:rPr>
          <w:sz w:val="24"/>
        </w:rPr>
        <w:t xml:space="preserve"> and its major constituent carnosol</w:t>
      </w:r>
      <w:r w:rsidR="0094673D">
        <w:rPr>
          <w:sz w:val="24"/>
        </w:rPr>
        <w:t xml:space="preserve"> [22]</w:t>
      </w:r>
      <w:r w:rsidRPr="00927FFD">
        <w:rPr>
          <w:sz w:val="24"/>
          <w:vertAlign w:val="superscript"/>
        </w:rPr>
        <w:t>28</w:t>
      </w:r>
      <w:r>
        <w:rPr>
          <w:sz w:val="24"/>
        </w:rPr>
        <w:t>, and triterpenes fractionated from the rosemary extract</w:t>
      </w:r>
      <w:r w:rsidR="0094673D">
        <w:rPr>
          <w:sz w:val="24"/>
        </w:rPr>
        <w:t xml:space="preserve"> [23]</w:t>
      </w:r>
      <w:r w:rsidRPr="00927FFD">
        <w:rPr>
          <w:sz w:val="24"/>
          <w:vertAlign w:val="superscript"/>
        </w:rPr>
        <w:t>29</w:t>
      </w:r>
      <w:r>
        <w:rPr>
          <w:sz w:val="24"/>
        </w:rPr>
        <w:t>.</w:t>
      </w:r>
    </w:p>
    <w:p w:rsidR="002D0380" w:rsidRDefault="004D2E83" w:rsidP="002D0380">
      <w:pPr>
        <w:jc w:val="both"/>
        <w:rPr>
          <w:sz w:val="24"/>
        </w:rPr>
      </w:pPr>
      <w:r>
        <w:rPr>
          <w:sz w:val="24"/>
        </w:rPr>
        <w:t xml:space="preserve"> </w:t>
      </w:r>
      <w:r>
        <w:rPr>
          <w:sz w:val="24"/>
        </w:rPr>
        <w:tab/>
      </w:r>
      <w:r w:rsidR="002D0380">
        <w:rPr>
          <w:sz w:val="24"/>
        </w:rPr>
        <w:t xml:space="preserve">The observed analgesic effect of REO in hot plate test in our study indicates its central mechanism of analgesia, since both paw licking and jumping are </w:t>
      </w:r>
      <w:r w:rsidR="002D0380" w:rsidRPr="00D65BC8">
        <w:rPr>
          <w:sz w:val="24"/>
        </w:rPr>
        <w:t>supraspinally integrated responses</w:t>
      </w:r>
      <w:r w:rsidR="0094673D">
        <w:rPr>
          <w:sz w:val="24"/>
        </w:rPr>
        <w:t xml:space="preserve"> [24]</w:t>
      </w:r>
      <w:r w:rsidR="002D0380" w:rsidRPr="00927FFD">
        <w:rPr>
          <w:sz w:val="24"/>
          <w:vertAlign w:val="superscript"/>
        </w:rPr>
        <w:t>30</w:t>
      </w:r>
      <w:r w:rsidR="002D0380">
        <w:rPr>
          <w:sz w:val="24"/>
        </w:rPr>
        <w:t>. S</w:t>
      </w:r>
      <w:r w:rsidR="002D0380" w:rsidRPr="00EF6307">
        <w:rPr>
          <w:sz w:val="24"/>
        </w:rPr>
        <w:t>erotonergic and opioid endogenous systems</w:t>
      </w:r>
      <w:r w:rsidR="002D0380">
        <w:rPr>
          <w:sz w:val="24"/>
        </w:rPr>
        <w:t xml:space="preserve"> were suggested</w:t>
      </w:r>
      <w:r w:rsidR="002D0380" w:rsidRPr="00EF6307">
        <w:rPr>
          <w:sz w:val="24"/>
        </w:rPr>
        <w:t xml:space="preserve"> </w:t>
      </w:r>
      <w:r w:rsidR="002D0380">
        <w:rPr>
          <w:sz w:val="24"/>
        </w:rPr>
        <w:t>to</w:t>
      </w:r>
      <w:r w:rsidR="002D0380" w:rsidRPr="00EF6307">
        <w:rPr>
          <w:sz w:val="24"/>
        </w:rPr>
        <w:t xml:space="preserve"> be involved in </w:t>
      </w:r>
      <w:r w:rsidR="002D0380">
        <w:rPr>
          <w:sz w:val="24"/>
        </w:rPr>
        <w:t>the</w:t>
      </w:r>
      <w:r w:rsidR="002D0380" w:rsidRPr="00EF6307">
        <w:rPr>
          <w:sz w:val="24"/>
        </w:rPr>
        <w:t xml:space="preserve"> mechanism of action as an antinociceptive</w:t>
      </w:r>
      <w:r w:rsidR="002D0380">
        <w:rPr>
          <w:sz w:val="24"/>
        </w:rPr>
        <w:t xml:space="preserve"> of the essential oil isolated from rosemary</w:t>
      </w:r>
      <w:r w:rsidR="0094673D">
        <w:rPr>
          <w:sz w:val="24"/>
        </w:rPr>
        <w:t>[25]</w:t>
      </w:r>
      <w:r w:rsidR="002D0380" w:rsidRPr="00927FFD">
        <w:rPr>
          <w:sz w:val="24"/>
          <w:vertAlign w:val="superscript"/>
        </w:rPr>
        <w:t>25</w:t>
      </w:r>
      <w:r w:rsidR="002D0380">
        <w:rPr>
          <w:sz w:val="24"/>
        </w:rPr>
        <w:t xml:space="preserve">. Furthermore, </w:t>
      </w:r>
      <w:r w:rsidR="002D0380" w:rsidRPr="00EF6307">
        <w:rPr>
          <w:sz w:val="24"/>
          <w:szCs w:val="24"/>
        </w:rPr>
        <w:t>the GABAergic system may be another possible route involved in the pharmacological activity of rosemary</w:t>
      </w:r>
      <w:r w:rsidR="0094673D">
        <w:rPr>
          <w:sz w:val="24"/>
          <w:szCs w:val="24"/>
        </w:rPr>
        <w:t xml:space="preserve"> [21]</w:t>
      </w:r>
      <w:r w:rsidR="002D0380" w:rsidRPr="00927FFD">
        <w:rPr>
          <w:sz w:val="24"/>
          <w:szCs w:val="24"/>
          <w:vertAlign w:val="superscript"/>
        </w:rPr>
        <w:t>27</w:t>
      </w:r>
      <w:r w:rsidR="002D0380" w:rsidRPr="00EF6307">
        <w:rPr>
          <w:sz w:val="24"/>
          <w:szCs w:val="24"/>
        </w:rPr>
        <w:t>.</w:t>
      </w:r>
    </w:p>
    <w:p w:rsidR="002D0380" w:rsidRDefault="002D0380" w:rsidP="007272A4">
      <w:pPr>
        <w:ind w:firstLine="720"/>
        <w:jc w:val="both"/>
        <w:rPr>
          <w:sz w:val="24"/>
        </w:rPr>
      </w:pPr>
      <w:r>
        <w:rPr>
          <w:sz w:val="24"/>
        </w:rPr>
        <w:t>Several studies using different nociceptive in vivo models demonstrated analgesic activity of many monoterpenes</w:t>
      </w:r>
      <w:r w:rsidR="0094673D">
        <w:rPr>
          <w:sz w:val="24"/>
        </w:rPr>
        <w:t xml:space="preserve"> [26]</w:t>
      </w:r>
      <w:r w:rsidRPr="00927FFD">
        <w:rPr>
          <w:sz w:val="24"/>
          <w:vertAlign w:val="superscript"/>
        </w:rPr>
        <w:t>31</w:t>
      </w:r>
      <w:r>
        <w:rPr>
          <w:sz w:val="24"/>
        </w:rPr>
        <w:t xml:space="preserve">. The mechanisms of antinociceptive effects of </w:t>
      </w:r>
      <w:r>
        <w:rPr>
          <w:sz w:val="24"/>
        </w:rPr>
        <w:lastRenderedPageBreak/>
        <w:t xml:space="preserve">monoterpenes are still to be elucidated, but are suggested to involve </w:t>
      </w:r>
      <w:r w:rsidRPr="002F5326">
        <w:rPr>
          <w:sz w:val="24"/>
        </w:rPr>
        <w:t>different members of the TRP channel family</w:t>
      </w:r>
      <w:r>
        <w:rPr>
          <w:sz w:val="24"/>
        </w:rPr>
        <w:t>, as confirmed for camphor</w:t>
      </w:r>
      <w:r w:rsidR="0094673D">
        <w:rPr>
          <w:sz w:val="24"/>
        </w:rPr>
        <w:t xml:space="preserve"> [27]</w:t>
      </w:r>
      <w:r w:rsidRPr="00927FFD">
        <w:rPr>
          <w:sz w:val="24"/>
          <w:vertAlign w:val="superscript"/>
        </w:rPr>
        <w:t>33</w:t>
      </w:r>
      <w:r>
        <w:rPr>
          <w:sz w:val="24"/>
        </w:rPr>
        <w:t xml:space="preserve">. It is generally assumed that acyclic </w:t>
      </w:r>
      <w:r w:rsidRPr="00750E1B">
        <w:rPr>
          <w:sz w:val="24"/>
        </w:rPr>
        <w:t>monoterpenes modulate the opioid system</w:t>
      </w:r>
      <w:r>
        <w:rPr>
          <w:sz w:val="24"/>
        </w:rPr>
        <w:t>, while monocyclic and bicyclic monoterpenes produce analgesic effects mostly by peripheral pathways</w:t>
      </w:r>
      <w:r w:rsidR="0094673D">
        <w:rPr>
          <w:sz w:val="24"/>
        </w:rPr>
        <w:t xml:space="preserve"> [20]</w:t>
      </w:r>
      <w:r w:rsidRPr="00927FFD">
        <w:rPr>
          <w:sz w:val="24"/>
          <w:vertAlign w:val="superscript"/>
        </w:rPr>
        <w:t>26</w:t>
      </w:r>
      <w:r>
        <w:rPr>
          <w:sz w:val="24"/>
        </w:rPr>
        <w:t xml:space="preserve">. The potent analgesic and anti-inflammatory activity of 1,8-cineole, as a dominant component of REO, was shown to be mediated </w:t>
      </w:r>
      <w:r w:rsidRPr="00CE2BB3">
        <w:rPr>
          <w:sz w:val="24"/>
        </w:rPr>
        <w:t>through the inhibition of COX</w:t>
      </w:r>
      <w:r>
        <w:rPr>
          <w:sz w:val="24"/>
        </w:rPr>
        <w:t xml:space="preserve"> enzymes</w:t>
      </w:r>
      <w:r w:rsidRPr="00CE2BB3">
        <w:rPr>
          <w:sz w:val="24"/>
        </w:rPr>
        <w:t xml:space="preserve"> and suppression of </w:t>
      </w:r>
      <w:r>
        <w:rPr>
          <w:sz w:val="24"/>
        </w:rPr>
        <w:t>cytokines (TNF-α and IL-1β</w:t>
      </w:r>
      <w:r w:rsidRPr="00CE2BB3">
        <w:rPr>
          <w:sz w:val="24"/>
        </w:rPr>
        <w:t>) production</w:t>
      </w:r>
      <w:r>
        <w:rPr>
          <w:sz w:val="24"/>
        </w:rPr>
        <w:t xml:space="preserve"> as well</w:t>
      </w:r>
      <w:r w:rsidR="0094673D">
        <w:rPr>
          <w:sz w:val="24"/>
        </w:rPr>
        <w:t xml:space="preserve"> [28]</w:t>
      </w:r>
      <w:r w:rsidRPr="00927FFD">
        <w:rPr>
          <w:sz w:val="24"/>
          <w:vertAlign w:val="superscript"/>
        </w:rPr>
        <w:t>34</w:t>
      </w:r>
      <w:r>
        <w:rPr>
          <w:sz w:val="24"/>
        </w:rPr>
        <w:t>.</w:t>
      </w:r>
    </w:p>
    <w:p w:rsidR="002D0380" w:rsidRDefault="002D0380" w:rsidP="007272A4">
      <w:pPr>
        <w:ind w:firstLine="720"/>
        <w:jc w:val="both"/>
        <w:rPr>
          <w:sz w:val="24"/>
        </w:rPr>
      </w:pPr>
      <w:r>
        <w:rPr>
          <w:sz w:val="24"/>
        </w:rPr>
        <w:t xml:space="preserve">Although it possesses analgesic activity, REO can also influence catalytic activities of cytochromes and thus efficacy of other analgesic drugs. REO rich in 1,8-cineole was found to induce catalytic activities of microsomal enzymes, particularly CYP2B, but also slightly the activity of </w:t>
      </w:r>
      <w:r w:rsidRPr="00E24FAA">
        <w:rPr>
          <w:sz w:val="24"/>
        </w:rPr>
        <w:t>UDP-glucuronosyltransferase</w:t>
      </w:r>
      <w:r>
        <w:rPr>
          <w:sz w:val="24"/>
        </w:rPr>
        <w:t xml:space="preserve"> (UGT), and therefore may interact with codeine and paracetamol</w:t>
      </w:r>
      <w:r w:rsidR="0094673D">
        <w:rPr>
          <w:sz w:val="24"/>
        </w:rPr>
        <w:t xml:space="preserve"> [12]</w:t>
      </w:r>
      <w:r w:rsidRPr="00927FFD">
        <w:rPr>
          <w:sz w:val="24"/>
          <w:vertAlign w:val="superscript"/>
        </w:rPr>
        <w:t>14</w:t>
      </w:r>
      <w:r>
        <w:rPr>
          <w:sz w:val="24"/>
        </w:rPr>
        <w:t>. The main REO component 1,8-cineole also increased the levels of cytochromes CYP2B1 and 3A2</w:t>
      </w:r>
      <w:r w:rsidR="0094673D">
        <w:rPr>
          <w:sz w:val="24"/>
        </w:rPr>
        <w:t xml:space="preserve"> [11]</w:t>
      </w:r>
      <w:r w:rsidRPr="00927FFD">
        <w:rPr>
          <w:sz w:val="24"/>
          <w:vertAlign w:val="superscript"/>
        </w:rPr>
        <w:t>13</w:t>
      </w:r>
      <w:r>
        <w:rPr>
          <w:sz w:val="24"/>
        </w:rPr>
        <w:t>. It was demonstrated that water extracts of rosemary significantly increased activity of CYP2E1, 1A2 and 3A, which are involved in formation of hepatotoxic metabolite of paracetamol</w:t>
      </w:r>
      <w:r w:rsidR="0094673D">
        <w:rPr>
          <w:sz w:val="24"/>
        </w:rPr>
        <w:t xml:space="preserve"> [29,30]</w:t>
      </w:r>
      <w:r w:rsidRPr="00927FFD">
        <w:rPr>
          <w:sz w:val="24"/>
          <w:vertAlign w:val="superscript"/>
        </w:rPr>
        <w:t>35,36</w:t>
      </w:r>
      <w:r>
        <w:rPr>
          <w:sz w:val="24"/>
        </w:rPr>
        <w:t xml:space="preserve">. As shown in </w:t>
      </w:r>
      <w:r w:rsidRPr="00E70F31">
        <w:rPr>
          <w:sz w:val="24"/>
        </w:rPr>
        <w:t xml:space="preserve">Figures </w:t>
      </w:r>
      <w:r w:rsidR="00E70F31" w:rsidRPr="00E70F31">
        <w:rPr>
          <w:sz w:val="24"/>
        </w:rPr>
        <w:t>1</w:t>
      </w:r>
      <w:r>
        <w:rPr>
          <w:sz w:val="24"/>
        </w:rPr>
        <w:t xml:space="preserve">, the administration of REO in combination with paracetamol exerted distinct effects when applied in different doses. REO in the dose of 20 mg/kg was shown to be more efficient than in the dose of 10 mg/kg, in combinations with paracetamol, which suggests that dose determines whether REO will predominantly induce cytochromes or act as analgesic and have additive effect with administered antinociceptive drugs. This is in agreement with previous findings </w:t>
      </w:r>
      <w:r w:rsidRPr="006D6F8D">
        <w:rPr>
          <w:sz w:val="24"/>
        </w:rPr>
        <w:t>that many monoterpenes do not exhibit dose</w:t>
      </w:r>
      <w:r>
        <w:rPr>
          <w:sz w:val="24"/>
        </w:rPr>
        <w:t>-</w:t>
      </w:r>
      <w:r w:rsidRPr="006D6F8D">
        <w:rPr>
          <w:sz w:val="24"/>
        </w:rPr>
        <w:t>dependent effects</w:t>
      </w:r>
      <w:r>
        <w:rPr>
          <w:sz w:val="24"/>
        </w:rPr>
        <w:t xml:space="preserve"> and that </w:t>
      </w:r>
      <w:r w:rsidRPr="006D6F8D">
        <w:rPr>
          <w:sz w:val="24"/>
        </w:rPr>
        <w:t>it is necessary to find the most appropriate dose range that shows effectiveness</w:t>
      </w:r>
      <w:r w:rsidR="0094673D">
        <w:rPr>
          <w:sz w:val="24"/>
        </w:rPr>
        <w:t xml:space="preserve"> [31]</w:t>
      </w:r>
      <w:r w:rsidRPr="00927FFD">
        <w:rPr>
          <w:sz w:val="24"/>
          <w:vertAlign w:val="superscript"/>
        </w:rPr>
        <w:t>37</w:t>
      </w:r>
      <w:r>
        <w:rPr>
          <w:sz w:val="24"/>
        </w:rPr>
        <w:t>.</w:t>
      </w:r>
    </w:p>
    <w:p w:rsidR="002D0380" w:rsidRDefault="00825550" w:rsidP="002D0380">
      <w:pPr>
        <w:jc w:val="both"/>
        <w:rPr>
          <w:color w:val="FF0000"/>
          <w:sz w:val="24"/>
        </w:rPr>
      </w:pPr>
      <w:r>
        <w:rPr>
          <w:color w:val="FF0000"/>
          <w:sz w:val="24"/>
        </w:rPr>
        <w:t xml:space="preserve"> </w:t>
      </w:r>
    </w:p>
    <w:p w:rsidR="00825550" w:rsidRDefault="00825550" w:rsidP="002D0380">
      <w:pPr>
        <w:jc w:val="both"/>
        <w:rPr>
          <w:sz w:val="24"/>
          <w:szCs w:val="24"/>
        </w:rPr>
      </w:pPr>
    </w:p>
    <w:p w:rsidR="00E70F31" w:rsidRDefault="00554CBB" w:rsidP="00E70F31">
      <w:pPr>
        <w:jc w:val="both"/>
        <w:rPr>
          <w:sz w:val="24"/>
          <w:lang w:val="sr-Latn-CS"/>
        </w:rPr>
      </w:pPr>
      <w:r>
        <w:rPr>
          <w:b/>
          <w:sz w:val="24"/>
          <w:lang w:val="sr-Latn-CS"/>
        </w:rPr>
        <w:t>Table 2</w:t>
      </w:r>
      <w:r w:rsidR="00E70F31">
        <w:rPr>
          <w:sz w:val="24"/>
          <w:lang w:val="sr-Latn-CS"/>
        </w:rPr>
        <w:t xml:space="preserve">. </w:t>
      </w:r>
      <w:r w:rsidR="004D2E83">
        <w:rPr>
          <w:sz w:val="24"/>
          <w:lang w:val="sr-Latn-CS"/>
        </w:rPr>
        <w:t xml:space="preserve"> The influence of essential oil of rosemary applied per os, during seven days,</w:t>
      </w:r>
      <w:r w:rsidR="00E70F31">
        <w:rPr>
          <w:sz w:val="24"/>
          <w:lang w:val="sr-Latn-CS"/>
        </w:rPr>
        <w:t xml:space="preserve"> 5 i 10 µg/kg, </w:t>
      </w:r>
      <w:r w:rsidR="004D2E83">
        <w:rPr>
          <w:sz w:val="24"/>
          <w:lang w:val="sr-Latn-CS"/>
        </w:rPr>
        <w:t>on the pharmacokinetic parameters of paracetamol used intravenously,</w:t>
      </w:r>
      <w:r w:rsidR="00E70F31">
        <w:rPr>
          <w:sz w:val="24"/>
          <w:lang w:val="sr-Latn-CS"/>
        </w:rPr>
        <w:t xml:space="preserve"> 20 mg/kg, </w:t>
      </w:r>
      <w:r w:rsidR="004D2E83">
        <w:rPr>
          <w:sz w:val="24"/>
          <w:lang w:val="sr-Latn-CS"/>
        </w:rPr>
        <w:t xml:space="preserve">on white laboratory rats </w:t>
      </w:r>
      <w:r w:rsidR="00E70F31">
        <w:rPr>
          <w:sz w:val="24"/>
          <w:lang w:val="sr-Latn-CS"/>
        </w:rPr>
        <w:t>(m±Sd)</w:t>
      </w:r>
    </w:p>
    <w:p w:rsidR="00E70F31" w:rsidRDefault="00E70F31" w:rsidP="00E70F31">
      <w:pPr>
        <w:rPr>
          <w:sz w:val="24"/>
          <w:lang w:val="sr-Latn-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65"/>
        <w:gridCol w:w="2396"/>
        <w:gridCol w:w="2410"/>
        <w:gridCol w:w="2409"/>
      </w:tblGrid>
      <w:tr w:rsidR="00E70F31" w:rsidTr="0064165B">
        <w:tc>
          <w:tcPr>
            <w:tcW w:w="1965" w:type="dxa"/>
          </w:tcPr>
          <w:p w:rsidR="00E70F31" w:rsidRDefault="00E70F31" w:rsidP="0064165B">
            <w:pPr>
              <w:jc w:val="center"/>
              <w:rPr>
                <w:b/>
                <w:i/>
                <w:sz w:val="24"/>
                <w:lang w:val="sr-Latn-CS"/>
              </w:rPr>
            </w:pPr>
            <w:r>
              <w:rPr>
                <w:b/>
                <w:i/>
                <w:sz w:val="24"/>
                <w:lang w:val="sr-Latn-CS"/>
              </w:rPr>
              <w:t>Farmakokinetski parametri</w:t>
            </w:r>
          </w:p>
        </w:tc>
        <w:tc>
          <w:tcPr>
            <w:tcW w:w="2396" w:type="dxa"/>
          </w:tcPr>
          <w:p w:rsidR="00E70F31" w:rsidRDefault="00E70F31" w:rsidP="0064165B">
            <w:pPr>
              <w:jc w:val="center"/>
              <w:rPr>
                <w:b/>
                <w:sz w:val="24"/>
                <w:lang w:val="sr-Latn-CS"/>
              </w:rPr>
            </w:pPr>
            <w:r>
              <w:rPr>
                <w:b/>
                <w:sz w:val="24"/>
                <w:lang w:val="sr-Latn-CS"/>
              </w:rPr>
              <w:t>KON</w:t>
            </w:r>
            <w:r>
              <w:rPr>
                <w:b/>
                <w:sz w:val="24"/>
                <w:vertAlign w:val="subscript"/>
                <w:lang w:val="sr-Latn-CS"/>
              </w:rPr>
              <w:t>7</w:t>
            </w:r>
            <w:r>
              <w:rPr>
                <w:b/>
                <w:sz w:val="24"/>
                <w:lang w:val="sr-Latn-CS"/>
              </w:rPr>
              <w:t>+PAR</w:t>
            </w:r>
            <w:r>
              <w:rPr>
                <w:b/>
                <w:sz w:val="24"/>
                <w:vertAlign w:val="subscript"/>
                <w:lang w:val="sr-Latn-CS"/>
              </w:rPr>
              <w:t>i.v.</w:t>
            </w:r>
          </w:p>
        </w:tc>
        <w:tc>
          <w:tcPr>
            <w:tcW w:w="2410" w:type="dxa"/>
          </w:tcPr>
          <w:p w:rsidR="00E70F31" w:rsidRDefault="00E70F31" w:rsidP="0064165B">
            <w:pPr>
              <w:rPr>
                <w:b/>
                <w:sz w:val="24"/>
                <w:lang w:val="sr-Latn-CS"/>
              </w:rPr>
            </w:pPr>
            <w:r>
              <w:rPr>
                <w:b/>
                <w:sz w:val="24"/>
                <w:lang w:val="sr-Latn-CS"/>
              </w:rPr>
              <w:t xml:space="preserve">      Eur5</w:t>
            </w:r>
            <w:r>
              <w:rPr>
                <w:b/>
                <w:sz w:val="24"/>
                <w:vertAlign w:val="subscript"/>
                <w:lang w:val="sr-Latn-CS"/>
              </w:rPr>
              <w:t>7</w:t>
            </w:r>
            <w:r>
              <w:rPr>
                <w:b/>
                <w:sz w:val="24"/>
                <w:lang w:val="sr-Latn-CS"/>
              </w:rPr>
              <w:t>+PAR</w:t>
            </w:r>
            <w:r>
              <w:rPr>
                <w:b/>
                <w:sz w:val="24"/>
                <w:vertAlign w:val="subscript"/>
                <w:lang w:val="sr-Latn-CS"/>
              </w:rPr>
              <w:t>i.v.</w:t>
            </w:r>
          </w:p>
        </w:tc>
        <w:tc>
          <w:tcPr>
            <w:tcW w:w="2409" w:type="dxa"/>
          </w:tcPr>
          <w:p w:rsidR="00E70F31" w:rsidRDefault="00E70F31" w:rsidP="0064165B">
            <w:pPr>
              <w:rPr>
                <w:b/>
                <w:sz w:val="24"/>
                <w:lang w:val="sr-Latn-CS"/>
              </w:rPr>
            </w:pPr>
            <w:r>
              <w:rPr>
                <w:b/>
                <w:sz w:val="24"/>
                <w:lang w:val="sr-Latn-CS"/>
              </w:rPr>
              <w:t xml:space="preserve">      Eur10</w:t>
            </w:r>
            <w:r>
              <w:rPr>
                <w:b/>
                <w:sz w:val="24"/>
                <w:vertAlign w:val="subscript"/>
                <w:lang w:val="sr-Latn-CS"/>
              </w:rPr>
              <w:t>7</w:t>
            </w:r>
            <w:r>
              <w:rPr>
                <w:b/>
                <w:sz w:val="24"/>
                <w:lang w:val="sr-Latn-CS"/>
              </w:rPr>
              <w:t>+PAR</w:t>
            </w:r>
            <w:r>
              <w:rPr>
                <w:b/>
                <w:sz w:val="24"/>
                <w:vertAlign w:val="subscript"/>
                <w:lang w:val="sr-Latn-CS"/>
              </w:rPr>
              <w:t>i.v.</w:t>
            </w:r>
          </w:p>
        </w:tc>
      </w:tr>
      <w:tr w:rsidR="00E70F31" w:rsidTr="0064165B">
        <w:trPr>
          <w:trHeight w:val="606"/>
        </w:trPr>
        <w:tc>
          <w:tcPr>
            <w:tcW w:w="1965" w:type="dxa"/>
          </w:tcPr>
          <w:p w:rsidR="00E70F31" w:rsidRDefault="00E70F31" w:rsidP="0064165B">
            <w:pPr>
              <w:jc w:val="center"/>
              <w:rPr>
                <w:b/>
                <w:i/>
                <w:lang w:val="sr-Latn-CS"/>
              </w:rPr>
            </w:pPr>
            <w:r>
              <w:rPr>
                <w:b/>
                <w:i/>
                <w:lang w:val="sr-Latn-CS"/>
              </w:rPr>
              <w:t>konstanta 1/min</w:t>
            </w:r>
          </w:p>
        </w:tc>
        <w:tc>
          <w:tcPr>
            <w:tcW w:w="2396" w:type="dxa"/>
          </w:tcPr>
          <w:p w:rsidR="00E70F31" w:rsidRDefault="00E70F31" w:rsidP="0064165B">
            <w:pPr>
              <w:rPr>
                <w:lang w:val="sr-Latn-CS"/>
              </w:rPr>
            </w:pPr>
            <w:r>
              <w:rPr>
                <w:lang w:val="sr-Latn-CS"/>
              </w:rPr>
              <w:t xml:space="preserve">   15.92x10</w:t>
            </w:r>
            <w:r>
              <w:rPr>
                <w:vertAlign w:val="superscript"/>
                <w:lang w:val="sr-Latn-CS"/>
              </w:rPr>
              <w:t xml:space="preserve">-3 </w:t>
            </w:r>
            <w:r>
              <w:rPr>
                <w:lang w:val="sr-Latn-CS"/>
              </w:rPr>
              <w:t>±3.28x10</w:t>
            </w:r>
            <w:r>
              <w:rPr>
                <w:vertAlign w:val="superscript"/>
                <w:lang w:val="sr-Latn-CS"/>
              </w:rPr>
              <w:t>-3</w:t>
            </w:r>
            <w:r>
              <w:rPr>
                <w:lang w:val="sr-Latn-CS"/>
              </w:rPr>
              <w:t xml:space="preserve">  </w:t>
            </w:r>
          </w:p>
          <w:p w:rsidR="00E70F31" w:rsidRDefault="00E70F31" w:rsidP="0064165B">
            <w:pPr>
              <w:jc w:val="center"/>
              <w:rPr>
                <w:lang w:val="sr-Latn-CS"/>
              </w:rPr>
            </w:pPr>
          </w:p>
        </w:tc>
        <w:tc>
          <w:tcPr>
            <w:tcW w:w="2410" w:type="dxa"/>
          </w:tcPr>
          <w:p w:rsidR="00E70F31" w:rsidRDefault="00E70F31" w:rsidP="0064165B">
            <w:pPr>
              <w:rPr>
                <w:lang w:val="sr-Latn-CS"/>
              </w:rPr>
            </w:pPr>
            <w:r>
              <w:rPr>
                <w:lang w:val="sr-Latn-CS"/>
              </w:rPr>
              <w:t xml:space="preserve">   19.80x10</w:t>
            </w:r>
            <w:r>
              <w:rPr>
                <w:vertAlign w:val="superscript"/>
                <w:lang w:val="sr-Latn-CS"/>
              </w:rPr>
              <w:t>-3</w:t>
            </w:r>
            <w:r>
              <w:rPr>
                <w:lang w:val="sr-Latn-CS"/>
              </w:rPr>
              <w:t>±11.52x10</w:t>
            </w:r>
            <w:r>
              <w:rPr>
                <w:vertAlign w:val="superscript"/>
                <w:lang w:val="sr-Latn-CS"/>
              </w:rPr>
              <w:t>-3</w:t>
            </w:r>
            <w:r>
              <w:rPr>
                <w:lang w:val="sr-Latn-CS"/>
              </w:rPr>
              <w:t xml:space="preserve"> </w:t>
            </w:r>
          </w:p>
        </w:tc>
        <w:tc>
          <w:tcPr>
            <w:tcW w:w="2409" w:type="dxa"/>
          </w:tcPr>
          <w:p w:rsidR="00E70F31" w:rsidRDefault="00E70F31" w:rsidP="0064165B">
            <w:pPr>
              <w:rPr>
                <w:lang w:val="sr-Latn-CS"/>
              </w:rPr>
            </w:pPr>
            <w:r>
              <w:rPr>
                <w:lang w:val="sr-Latn-CS"/>
              </w:rPr>
              <w:t xml:space="preserve">   16.88x10</w:t>
            </w:r>
            <w:r>
              <w:rPr>
                <w:vertAlign w:val="superscript"/>
                <w:lang w:val="sr-Latn-CS"/>
              </w:rPr>
              <w:t>-3</w:t>
            </w:r>
            <w:r>
              <w:rPr>
                <w:lang w:val="sr-Latn-CS"/>
              </w:rPr>
              <w:t>±</w:t>
            </w:r>
            <w:r>
              <w:rPr>
                <w:vertAlign w:val="superscript"/>
                <w:lang w:val="sr-Latn-CS"/>
              </w:rPr>
              <w:t xml:space="preserve"> </w:t>
            </w:r>
            <w:r>
              <w:rPr>
                <w:lang w:val="sr-Latn-CS"/>
              </w:rPr>
              <w:t>2.82x10</w:t>
            </w:r>
            <w:r>
              <w:rPr>
                <w:vertAlign w:val="superscript"/>
                <w:lang w:val="sr-Latn-CS"/>
              </w:rPr>
              <w:t>-3</w:t>
            </w:r>
            <w:r>
              <w:rPr>
                <w:lang w:val="sr-Latn-CS"/>
              </w:rPr>
              <w:t xml:space="preserve">  </w:t>
            </w:r>
          </w:p>
        </w:tc>
      </w:tr>
      <w:tr w:rsidR="00E70F31" w:rsidTr="0064165B">
        <w:tc>
          <w:tcPr>
            <w:tcW w:w="1965" w:type="dxa"/>
          </w:tcPr>
          <w:p w:rsidR="00E70F31" w:rsidRDefault="00E70F31" w:rsidP="0064165B">
            <w:pPr>
              <w:jc w:val="center"/>
              <w:rPr>
                <w:b/>
                <w:i/>
                <w:lang w:val="sr-Latn-CS"/>
              </w:rPr>
            </w:pPr>
            <w:r>
              <w:rPr>
                <w:b/>
                <w:i/>
                <w:lang w:val="sr-Latn-CS"/>
              </w:rPr>
              <w:t xml:space="preserve">t </w:t>
            </w:r>
            <w:r w:rsidR="000C181A">
              <w:rPr>
                <w:b/>
                <w:i/>
                <w:lang w:val="sr-Latn-CS"/>
              </w:rPr>
              <w:t>½</w:t>
            </w:r>
          </w:p>
          <w:p w:rsidR="00E70F31" w:rsidRDefault="00E70F31" w:rsidP="0064165B">
            <w:pPr>
              <w:jc w:val="center"/>
              <w:rPr>
                <w:i/>
                <w:lang w:val="sr-Latn-CS"/>
              </w:rPr>
            </w:pPr>
            <w:r>
              <w:rPr>
                <w:i/>
                <w:lang w:val="sr-Latn-CS"/>
              </w:rPr>
              <w:t>min</w:t>
            </w:r>
          </w:p>
        </w:tc>
        <w:tc>
          <w:tcPr>
            <w:tcW w:w="2396" w:type="dxa"/>
          </w:tcPr>
          <w:p w:rsidR="00E70F31" w:rsidRDefault="00E70F31" w:rsidP="0064165B">
            <w:pPr>
              <w:jc w:val="center"/>
              <w:rPr>
                <w:lang w:val="sr-Latn-CS"/>
              </w:rPr>
            </w:pPr>
            <w:r>
              <w:rPr>
                <w:lang w:val="sr-Latn-CS"/>
              </w:rPr>
              <w:t>45.42±11.53</w:t>
            </w:r>
          </w:p>
          <w:p w:rsidR="00E70F31" w:rsidRDefault="00E70F31" w:rsidP="0064165B">
            <w:pPr>
              <w:jc w:val="center"/>
              <w:rPr>
                <w:lang w:val="sr-Latn-CS"/>
              </w:rPr>
            </w:pPr>
            <w:r>
              <w:rPr>
                <w:lang w:val="sr-Latn-CS"/>
              </w:rPr>
              <w:t xml:space="preserve"> </w:t>
            </w:r>
          </w:p>
        </w:tc>
        <w:tc>
          <w:tcPr>
            <w:tcW w:w="2410" w:type="dxa"/>
          </w:tcPr>
          <w:p w:rsidR="00E70F31" w:rsidRDefault="00E70F31" w:rsidP="0064165B">
            <w:pPr>
              <w:jc w:val="center"/>
              <w:rPr>
                <w:lang w:val="sr-Latn-CS"/>
              </w:rPr>
            </w:pPr>
            <w:r>
              <w:rPr>
                <w:lang w:val="sr-Latn-CS"/>
              </w:rPr>
              <w:t>43.55±19.69</w:t>
            </w:r>
          </w:p>
          <w:p w:rsidR="00E70F31" w:rsidRDefault="00E70F31" w:rsidP="0064165B">
            <w:pPr>
              <w:jc w:val="center"/>
              <w:rPr>
                <w:lang w:val="sr-Latn-CS"/>
              </w:rPr>
            </w:pPr>
            <w:r>
              <w:rPr>
                <w:lang w:val="sr-Latn-CS"/>
              </w:rPr>
              <w:t xml:space="preserve"> </w:t>
            </w:r>
          </w:p>
        </w:tc>
        <w:tc>
          <w:tcPr>
            <w:tcW w:w="2409" w:type="dxa"/>
          </w:tcPr>
          <w:p w:rsidR="00E70F31" w:rsidRDefault="00E70F31" w:rsidP="0064165B">
            <w:pPr>
              <w:jc w:val="center"/>
              <w:rPr>
                <w:lang w:val="sr-Latn-CS"/>
              </w:rPr>
            </w:pPr>
            <w:r>
              <w:rPr>
                <w:lang w:val="sr-Latn-CS"/>
              </w:rPr>
              <w:t>42.16±8.48</w:t>
            </w:r>
          </w:p>
          <w:p w:rsidR="00E70F31" w:rsidRDefault="00E70F31" w:rsidP="0064165B">
            <w:pPr>
              <w:jc w:val="center"/>
              <w:rPr>
                <w:lang w:val="sr-Latn-CS"/>
              </w:rPr>
            </w:pPr>
            <w:r>
              <w:rPr>
                <w:lang w:val="sr-Latn-CS"/>
              </w:rPr>
              <w:t xml:space="preserve">  </w:t>
            </w:r>
          </w:p>
        </w:tc>
      </w:tr>
      <w:tr w:rsidR="00E70F31" w:rsidTr="0064165B">
        <w:trPr>
          <w:trHeight w:val="584"/>
        </w:trPr>
        <w:tc>
          <w:tcPr>
            <w:tcW w:w="1965" w:type="dxa"/>
          </w:tcPr>
          <w:p w:rsidR="00E70F31" w:rsidRDefault="00E70F31" w:rsidP="0064165B">
            <w:pPr>
              <w:jc w:val="center"/>
              <w:rPr>
                <w:b/>
                <w:i/>
                <w:color w:val="000000"/>
                <w:vertAlign w:val="subscript"/>
                <w:lang w:val="sr-Latn-CS"/>
              </w:rPr>
            </w:pPr>
            <w:r>
              <w:rPr>
                <w:b/>
                <w:i/>
                <w:color w:val="000000"/>
                <w:lang w:val="sr-Latn-CS"/>
              </w:rPr>
              <w:t>C</w:t>
            </w:r>
            <w:r>
              <w:rPr>
                <w:b/>
                <w:i/>
                <w:color w:val="000000"/>
                <w:vertAlign w:val="subscript"/>
                <w:lang w:val="sr-Latn-CS"/>
              </w:rPr>
              <w:t xml:space="preserve">0   </w:t>
            </w:r>
          </w:p>
          <w:p w:rsidR="00E70F31" w:rsidRDefault="00E70F31" w:rsidP="0064165B">
            <w:pPr>
              <w:jc w:val="center"/>
              <w:rPr>
                <w:i/>
                <w:color w:val="FF0000"/>
                <w:lang w:val="sr-Latn-CS"/>
              </w:rPr>
            </w:pPr>
            <w:r>
              <w:rPr>
                <w:i/>
                <w:color w:val="000000"/>
                <w:lang w:val="sr-Latn-CS"/>
              </w:rPr>
              <w:t>μg /ml</w:t>
            </w:r>
          </w:p>
        </w:tc>
        <w:tc>
          <w:tcPr>
            <w:tcW w:w="2396" w:type="dxa"/>
          </w:tcPr>
          <w:p w:rsidR="00E70F31" w:rsidRDefault="00E70F31" w:rsidP="0064165B">
            <w:pPr>
              <w:jc w:val="center"/>
              <w:rPr>
                <w:color w:val="000000"/>
                <w:lang w:val="sr-Latn-CS"/>
              </w:rPr>
            </w:pPr>
            <w:r>
              <w:rPr>
                <w:color w:val="000000"/>
                <w:lang w:val="sr-Latn-CS"/>
              </w:rPr>
              <w:t>47.65±18.39</w:t>
            </w:r>
          </w:p>
          <w:p w:rsidR="00E70F31" w:rsidRDefault="00E70F31" w:rsidP="0064165B">
            <w:pPr>
              <w:jc w:val="center"/>
              <w:rPr>
                <w:color w:val="000000"/>
                <w:lang w:val="sr-Latn-CS"/>
              </w:rPr>
            </w:pPr>
            <w:r>
              <w:rPr>
                <w:color w:val="000000"/>
                <w:lang w:val="sr-Latn-CS"/>
              </w:rPr>
              <w:t xml:space="preserve"> </w:t>
            </w:r>
          </w:p>
        </w:tc>
        <w:tc>
          <w:tcPr>
            <w:tcW w:w="2410" w:type="dxa"/>
          </w:tcPr>
          <w:p w:rsidR="00E70F31" w:rsidRDefault="00E70F31" w:rsidP="0064165B">
            <w:pPr>
              <w:jc w:val="center"/>
              <w:rPr>
                <w:color w:val="000000"/>
                <w:lang w:val="sr-Latn-CS"/>
              </w:rPr>
            </w:pPr>
            <w:r>
              <w:rPr>
                <w:lang w:val="sr-Latn-CS"/>
              </w:rPr>
              <w:t>24.25±11.34</w:t>
            </w:r>
            <w:r>
              <w:rPr>
                <w:b/>
                <w:vertAlign w:val="superscript"/>
                <w:lang w:val="sr-Latn-CS"/>
              </w:rPr>
              <w:t>*</w:t>
            </w:r>
          </w:p>
          <w:p w:rsidR="00E70F31" w:rsidRDefault="00E70F31" w:rsidP="0064165B">
            <w:pPr>
              <w:jc w:val="center"/>
              <w:rPr>
                <w:color w:val="FF0000"/>
                <w:lang w:val="sr-Latn-CS"/>
              </w:rPr>
            </w:pPr>
            <w:r>
              <w:rPr>
                <w:color w:val="000000"/>
                <w:lang w:val="sr-Latn-CS"/>
              </w:rPr>
              <w:t xml:space="preserve"> </w:t>
            </w:r>
          </w:p>
        </w:tc>
        <w:tc>
          <w:tcPr>
            <w:tcW w:w="2409" w:type="dxa"/>
          </w:tcPr>
          <w:p w:rsidR="00E70F31" w:rsidRDefault="00E70F31" w:rsidP="0064165B">
            <w:pPr>
              <w:jc w:val="center"/>
              <w:rPr>
                <w:color w:val="000000"/>
                <w:lang w:val="sr-Latn-CS"/>
              </w:rPr>
            </w:pPr>
            <w:r>
              <w:rPr>
                <w:color w:val="000000"/>
                <w:lang w:val="sr-Latn-CS"/>
              </w:rPr>
              <w:t>27.63±12.81</w:t>
            </w:r>
          </w:p>
          <w:p w:rsidR="00E70F31" w:rsidRDefault="00E70F31" w:rsidP="0064165B">
            <w:pPr>
              <w:jc w:val="center"/>
              <w:rPr>
                <w:color w:val="FF0000"/>
                <w:lang w:val="sr-Latn-CS"/>
              </w:rPr>
            </w:pPr>
            <w:r>
              <w:rPr>
                <w:color w:val="000000"/>
                <w:lang w:val="sr-Latn-CS"/>
              </w:rPr>
              <w:t xml:space="preserve"> </w:t>
            </w:r>
          </w:p>
        </w:tc>
      </w:tr>
      <w:tr w:rsidR="00E70F31" w:rsidTr="0064165B">
        <w:tc>
          <w:tcPr>
            <w:tcW w:w="1965" w:type="dxa"/>
          </w:tcPr>
          <w:p w:rsidR="00E70F31" w:rsidRDefault="00E70F31" w:rsidP="0064165B">
            <w:pPr>
              <w:jc w:val="center"/>
              <w:rPr>
                <w:b/>
                <w:i/>
                <w:color w:val="000000"/>
                <w:lang w:val="sr-Latn-CS"/>
              </w:rPr>
            </w:pPr>
            <w:r>
              <w:rPr>
                <w:b/>
                <w:i/>
                <w:color w:val="000000"/>
                <w:lang w:val="sr-Latn-CS"/>
              </w:rPr>
              <w:t xml:space="preserve">AUC 0-t </w:t>
            </w:r>
          </w:p>
          <w:p w:rsidR="00E70F31" w:rsidRDefault="00E70F31" w:rsidP="0064165B">
            <w:pPr>
              <w:jc w:val="center"/>
              <w:rPr>
                <w:i/>
                <w:color w:val="FF0000"/>
                <w:lang w:val="sr-Latn-CS"/>
              </w:rPr>
            </w:pPr>
            <w:r>
              <w:rPr>
                <w:i/>
                <w:color w:val="000000"/>
                <w:lang w:val="sr-Latn-CS"/>
              </w:rPr>
              <w:t>min*ug/ml</w:t>
            </w:r>
          </w:p>
        </w:tc>
        <w:tc>
          <w:tcPr>
            <w:tcW w:w="2396" w:type="dxa"/>
          </w:tcPr>
          <w:p w:rsidR="00E70F31" w:rsidRDefault="00E70F31" w:rsidP="0064165B">
            <w:pPr>
              <w:jc w:val="center"/>
              <w:rPr>
                <w:color w:val="000000"/>
                <w:lang w:val="sr-Latn-CS"/>
              </w:rPr>
            </w:pPr>
            <w:r>
              <w:rPr>
                <w:color w:val="000000"/>
                <w:lang w:val="sr-Latn-CS"/>
              </w:rPr>
              <w:t xml:space="preserve">1256.69±441.40  </w:t>
            </w:r>
          </w:p>
          <w:p w:rsidR="00E70F31" w:rsidRDefault="00E70F31" w:rsidP="0064165B">
            <w:pPr>
              <w:jc w:val="center"/>
              <w:rPr>
                <w:color w:val="FF0000"/>
                <w:lang w:val="sr-Latn-CS"/>
              </w:rPr>
            </w:pPr>
          </w:p>
        </w:tc>
        <w:tc>
          <w:tcPr>
            <w:tcW w:w="2410" w:type="dxa"/>
          </w:tcPr>
          <w:p w:rsidR="00E70F31" w:rsidRDefault="00E70F31" w:rsidP="0064165B">
            <w:pPr>
              <w:jc w:val="center"/>
              <w:rPr>
                <w:color w:val="FF0000"/>
                <w:lang w:val="sr-Latn-CS"/>
              </w:rPr>
            </w:pPr>
            <w:r>
              <w:rPr>
                <w:color w:val="000000"/>
                <w:lang w:val="sr-Latn-CS"/>
              </w:rPr>
              <w:t xml:space="preserve">1001.36±428.62  </w:t>
            </w:r>
          </w:p>
        </w:tc>
        <w:tc>
          <w:tcPr>
            <w:tcW w:w="2409" w:type="dxa"/>
          </w:tcPr>
          <w:p w:rsidR="00E70F31" w:rsidRDefault="00E70F31" w:rsidP="0064165B">
            <w:pPr>
              <w:jc w:val="center"/>
              <w:rPr>
                <w:color w:val="FF0000"/>
                <w:lang w:val="sr-Latn-CS"/>
              </w:rPr>
            </w:pPr>
            <w:r>
              <w:rPr>
                <w:color w:val="000000"/>
                <w:lang w:val="sr-Latn-CS"/>
              </w:rPr>
              <w:t xml:space="preserve">982.58±502.44  </w:t>
            </w:r>
          </w:p>
        </w:tc>
      </w:tr>
    </w:tbl>
    <w:p w:rsidR="002D0380" w:rsidRDefault="002D0380" w:rsidP="002D0380">
      <w:pPr>
        <w:jc w:val="both"/>
        <w:rPr>
          <w:sz w:val="24"/>
          <w:szCs w:val="24"/>
        </w:rPr>
      </w:pPr>
    </w:p>
    <w:p w:rsidR="005F4BC6" w:rsidRPr="00E70F31" w:rsidRDefault="00E70F31" w:rsidP="005F4BC6">
      <w:pPr>
        <w:jc w:val="center"/>
        <w:rPr>
          <w:sz w:val="24"/>
          <w:szCs w:val="24"/>
          <w:lang w:val="sr-Latn-RS"/>
        </w:rPr>
      </w:pPr>
      <w:r>
        <w:rPr>
          <w:sz w:val="24"/>
          <w:szCs w:val="24"/>
          <w:lang w:val="sr-Latn-RS"/>
        </w:rPr>
        <w:t xml:space="preserve"> </w:t>
      </w: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sz w:val="24"/>
          <w:lang w:val="sr-Latn-CS"/>
        </w:rPr>
      </w:pPr>
      <w:r>
        <w:rPr>
          <w:b/>
          <w:sz w:val="24"/>
          <w:lang w:val="sr-Latn-CS"/>
        </w:rPr>
        <w:t>Table 3</w:t>
      </w:r>
      <w:r w:rsidR="00554CBB">
        <w:rPr>
          <w:b/>
          <w:sz w:val="24"/>
          <w:lang w:val="sr-Latn-CS"/>
        </w:rPr>
        <w:t xml:space="preserve">. </w:t>
      </w:r>
      <w:r>
        <w:rPr>
          <w:sz w:val="24"/>
          <w:lang w:val="sr-Latn-CS"/>
        </w:rPr>
        <w:t xml:space="preserve"> The influence of essential oil of rosemary applied per os, during seven days, 5 i 10 </w:t>
      </w:r>
      <w:r>
        <w:rPr>
          <w:sz w:val="24"/>
          <w:lang w:val="sr-Latn-CS"/>
        </w:rPr>
        <w:lastRenderedPageBreak/>
        <w:t>µg/kg, on the pharmacokinetic parameters of paracetamol used also per os, 20 mg/kg, on white laboratory rats (m±Sd)</w:t>
      </w:r>
    </w:p>
    <w:p w:rsidR="004D2E83" w:rsidRDefault="004D2E83" w:rsidP="004D2E83">
      <w:pPr>
        <w:rPr>
          <w:sz w:val="24"/>
          <w:lang w:val="sr-Latn-CS"/>
        </w:rPr>
      </w:pPr>
    </w:p>
    <w:p w:rsidR="00554CBB" w:rsidRDefault="00554CBB" w:rsidP="00554CBB">
      <w:pPr>
        <w:jc w:val="both"/>
        <w:rPr>
          <w:sz w:val="24"/>
          <w:lang w:val="sr-Latn-CS"/>
        </w:rPr>
      </w:pPr>
    </w:p>
    <w:p w:rsidR="00554CBB" w:rsidRDefault="00554CBB" w:rsidP="00554CBB">
      <w:pPr>
        <w:jc w:val="both"/>
        <w:rPr>
          <w:sz w:val="24"/>
          <w:lang w:val="sr-Latn-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6"/>
        <w:gridCol w:w="2410"/>
        <w:gridCol w:w="2410"/>
        <w:gridCol w:w="2693"/>
      </w:tblGrid>
      <w:tr w:rsidR="00554CBB" w:rsidTr="0064165B">
        <w:trPr>
          <w:jc w:val="center"/>
        </w:trPr>
        <w:tc>
          <w:tcPr>
            <w:tcW w:w="1546" w:type="dxa"/>
          </w:tcPr>
          <w:p w:rsidR="00554CBB" w:rsidRDefault="00554CBB" w:rsidP="0064165B">
            <w:pPr>
              <w:jc w:val="center"/>
              <w:rPr>
                <w:b/>
                <w:i/>
                <w:lang w:val="sr-Latn-CS"/>
              </w:rPr>
            </w:pPr>
            <w:r>
              <w:rPr>
                <w:b/>
                <w:i/>
                <w:lang w:val="sr-Latn-CS"/>
              </w:rPr>
              <w:t>Farmakokinetski parametri</w:t>
            </w:r>
          </w:p>
        </w:tc>
        <w:tc>
          <w:tcPr>
            <w:tcW w:w="2410" w:type="dxa"/>
          </w:tcPr>
          <w:p w:rsidR="00554CBB" w:rsidRDefault="00554CBB" w:rsidP="0064165B">
            <w:pPr>
              <w:jc w:val="center"/>
              <w:rPr>
                <w:b/>
                <w:lang w:val="sr-Latn-CS"/>
              </w:rPr>
            </w:pPr>
            <w:r>
              <w:rPr>
                <w:b/>
                <w:lang w:val="sr-Latn-CS"/>
              </w:rPr>
              <w:t>KON</w:t>
            </w:r>
            <w:r>
              <w:rPr>
                <w:b/>
                <w:vertAlign w:val="subscript"/>
                <w:lang w:val="sr-Latn-CS"/>
              </w:rPr>
              <w:t>7</w:t>
            </w:r>
            <w:r>
              <w:rPr>
                <w:b/>
                <w:lang w:val="sr-Latn-CS"/>
              </w:rPr>
              <w:t>+PAR</w:t>
            </w:r>
            <w:r>
              <w:rPr>
                <w:b/>
                <w:vertAlign w:val="subscript"/>
                <w:lang w:val="sr-Latn-CS"/>
              </w:rPr>
              <w:t>p.o.</w:t>
            </w:r>
          </w:p>
        </w:tc>
        <w:tc>
          <w:tcPr>
            <w:tcW w:w="2410" w:type="dxa"/>
          </w:tcPr>
          <w:p w:rsidR="00554CBB" w:rsidRDefault="00554CBB" w:rsidP="0064165B">
            <w:pPr>
              <w:jc w:val="center"/>
              <w:rPr>
                <w:b/>
                <w:lang w:val="sr-Latn-CS"/>
              </w:rPr>
            </w:pPr>
            <w:r>
              <w:rPr>
                <w:b/>
                <w:lang w:val="sr-Latn-CS"/>
              </w:rPr>
              <w:t>Eur5</w:t>
            </w:r>
            <w:r>
              <w:rPr>
                <w:b/>
                <w:vertAlign w:val="subscript"/>
                <w:lang w:val="sr-Latn-CS"/>
              </w:rPr>
              <w:t>7</w:t>
            </w:r>
            <w:r>
              <w:rPr>
                <w:b/>
                <w:lang w:val="sr-Latn-CS"/>
              </w:rPr>
              <w:t>+PAR</w:t>
            </w:r>
            <w:r>
              <w:rPr>
                <w:b/>
                <w:vertAlign w:val="subscript"/>
                <w:lang w:val="sr-Latn-CS"/>
              </w:rPr>
              <w:t>p.o.</w:t>
            </w:r>
          </w:p>
        </w:tc>
        <w:tc>
          <w:tcPr>
            <w:tcW w:w="2693" w:type="dxa"/>
          </w:tcPr>
          <w:p w:rsidR="00554CBB" w:rsidRDefault="00554CBB" w:rsidP="0064165B">
            <w:pPr>
              <w:jc w:val="center"/>
              <w:rPr>
                <w:b/>
                <w:lang w:val="sr-Latn-CS"/>
              </w:rPr>
            </w:pPr>
            <w:r>
              <w:rPr>
                <w:b/>
                <w:lang w:val="sr-Latn-CS"/>
              </w:rPr>
              <w:t>Eur10</w:t>
            </w:r>
            <w:r>
              <w:rPr>
                <w:b/>
                <w:vertAlign w:val="subscript"/>
                <w:lang w:val="sr-Latn-CS"/>
              </w:rPr>
              <w:t>7</w:t>
            </w:r>
            <w:r>
              <w:rPr>
                <w:b/>
                <w:lang w:val="sr-Latn-CS"/>
              </w:rPr>
              <w:t>+PAR</w:t>
            </w:r>
            <w:r>
              <w:rPr>
                <w:b/>
                <w:vertAlign w:val="subscript"/>
                <w:lang w:val="sr-Latn-CS"/>
              </w:rPr>
              <w:t>p.o.</w:t>
            </w:r>
          </w:p>
        </w:tc>
      </w:tr>
      <w:tr w:rsidR="00554CBB" w:rsidTr="0064165B">
        <w:trPr>
          <w:trHeight w:val="647"/>
          <w:jc w:val="center"/>
        </w:trPr>
        <w:tc>
          <w:tcPr>
            <w:tcW w:w="1546" w:type="dxa"/>
          </w:tcPr>
          <w:p w:rsidR="00554CBB" w:rsidRDefault="00554CBB" w:rsidP="0064165B">
            <w:pPr>
              <w:jc w:val="center"/>
              <w:rPr>
                <w:b/>
                <w:i/>
                <w:lang w:val="sr-Latn-CS"/>
              </w:rPr>
            </w:pPr>
            <w:r>
              <w:rPr>
                <w:b/>
                <w:i/>
                <w:lang w:val="sr-Latn-CS"/>
              </w:rPr>
              <w:t>konstanta 1/min</w:t>
            </w:r>
          </w:p>
        </w:tc>
        <w:tc>
          <w:tcPr>
            <w:tcW w:w="2410" w:type="dxa"/>
          </w:tcPr>
          <w:p w:rsidR="00554CBB" w:rsidRDefault="00554CBB" w:rsidP="0064165B">
            <w:pPr>
              <w:rPr>
                <w:lang w:val="sr-Latn-CS"/>
              </w:rPr>
            </w:pPr>
            <w:r>
              <w:rPr>
                <w:lang w:val="sr-Latn-CS"/>
              </w:rPr>
              <w:t xml:space="preserve">     9.10x10</w:t>
            </w:r>
            <w:r>
              <w:rPr>
                <w:vertAlign w:val="superscript"/>
                <w:lang w:val="sr-Latn-CS"/>
              </w:rPr>
              <w:t>-3</w:t>
            </w:r>
            <w:r>
              <w:rPr>
                <w:lang w:val="sr-Latn-CS"/>
              </w:rPr>
              <w:t>± 4.19x10</w:t>
            </w:r>
            <w:r>
              <w:rPr>
                <w:vertAlign w:val="superscript"/>
                <w:lang w:val="sr-Latn-CS"/>
              </w:rPr>
              <w:t>-3</w:t>
            </w:r>
            <w:r>
              <w:rPr>
                <w:lang w:val="sr-Latn-CS"/>
              </w:rPr>
              <w:t xml:space="preserve">  </w:t>
            </w:r>
          </w:p>
        </w:tc>
        <w:tc>
          <w:tcPr>
            <w:tcW w:w="2410" w:type="dxa"/>
          </w:tcPr>
          <w:p w:rsidR="00554CBB" w:rsidRDefault="00554CBB" w:rsidP="0064165B">
            <w:pPr>
              <w:rPr>
                <w:lang w:val="sr-Latn-CS"/>
              </w:rPr>
            </w:pPr>
            <w:r>
              <w:rPr>
                <w:lang w:val="sr-Latn-CS"/>
              </w:rPr>
              <w:t xml:space="preserve">    7.32x10</w:t>
            </w:r>
            <w:r>
              <w:rPr>
                <w:vertAlign w:val="superscript"/>
                <w:lang w:val="sr-Latn-CS"/>
              </w:rPr>
              <w:t>-3</w:t>
            </w:r>
            <w:r>
              <w:rPr>
                <w:lang w:val="sr-Latn-CS"/>
              </w:rPr>
              <w:t xml:space="preserve"> 1.87x10</w:t>
            </w:r>
            <w:r>
              <w:rPr>
                <w:vertAlign w:val="superscript"/>
                <w:lang w:val="sr-Latn-CS"/>
              </w:rPr>
              <w:t>-3</w:t>
            </w:r>
            <w:r>
              <w:rPr>
                <w:lang w:val="sr-Latn-CS"/>
              </w:rPr>
              <w:t xml:space="preserve">  </w:t>
            </w:r>
          </w:p>
        </w:tc>
        <w:tc>
          <w:tcPr>
            <w:tcW w:w="2693" w:type="dxa"/>
          </w:tcPr>
          <w:p w:rsidR="00554CBB" w:rsidRDefault="00554CBB" w:rsidP="0064165B">
            <w:pPr>
              <w:jc w:val="center"/>
              <w:rPr>
                <w:lang w:val="sr-Latn-CS"/>
              </w:rPr>
            </w:pPr>
            <w:r>
              <w:rPr>
                <w:lang w:val="sr-Latn-CS"/>
              </w:rPr>
              <w:t xml:space="preserve"> 10.13x10</w:t>
            </w:r>
            <w:r>
              <w:rPr>
                <w:vertAlign w:val="superscript"/>
                <w:lang w:val="sr-Latn-CS"/>
              </w:rPr>
              <w:t>-3</w:t>
            </w:r>
            <w:r>
              <w:rPr>
                <w:lang w:val="sr-Latn-CS"/>
              </w:rPr>
              <w:t>± 4.43x10</w:t>
            </w:r>
            <w:r>
              <w:rPr>
                <w:vertAlign w:val="superscript"/>
                <w:lang w:val="sr-Latn-CS"/>
              </w:rPr>
              <w:t>-3</w:t>
            </w:r>
            <w:r>
              <w:rPr>
                <w:lang w:val="sr-Latn-CS"/>
              </w:rPr>
              <w:t xml:space="preserve">  </w:t>
            </w:r>
          </w:p>
        </w:tc>
      </w:tr>
      <w:tr w:rsidR="00554CBB" w:rsidTr="0064165B">
        <w:trPr>
          <w:jc w:val="center"/>
        </w:trPr>
        <w:tc>
          <w:tcPr>
            <w:tcW w:w="1546" w:type="dxa"/>
          </w:tcPr>
          <w:p w:rsidR="00554CBB" w:rsidRDefault="00554CBB" w:rsidP="0064165B">
            <w:pPr>
              <w:jc w:val="center"/>
              <w:rPr>
                <w:b/>
                <w:i/>
                <w:lang w:val="sr-Latn-CS"/>
              </w:rPr>
            </w:pPr>
            <w:r>
              <w:rPr>
                <w:b/>
                <w:i/>
                <w:lang w:val="sr-Latn-CS"/>
              </w:rPr>
              <w:t xml:space="preserve">t 1/2 </w:t>
            </w:r>
          </w:p>
          <w:p w:rsidR="00554CBB" w:rsidRDefault="00554CBB" w:rsidP="0064165B">
            <w:pPr>
              <w:jc w:val="center"/>
              <w:rPr>
                <w:i/>
                <w:lang w:val="sr-Latn-CS"/>
              </w:rPr>
            </w:pPr>
            <w:r>
              <w:rPr>
                <w:i/>
                <w:lang w:val="sr-Latn-CS"/>
              </w:rPr>
              <w:t>min</w:t>
            </w:r>
          </w:p>
        </w:tc>
        <w:tc>
          <w:tcPr>
            <w:tcW w:w="2410" w:type="dxa"/>
          </w:tcPr>
          <w:p w:rsidR="00554CBB" w:rsidRDefault="00554CBB" w:rsidP="0064165B">
            <w:pPr>
              <w:jc w:val="center"/>
              <w:rPr>
                <w:color w:val="000000"/>
                <w:lang w:val="sr-Latn-CS"/>
              </w:rPr>
            </w:pPr>
            <w:r>
              <w:rPr>
                <w:color w:val="000000"/>
                <w:lang w:val="sr-Latn-CS"/>
              </w:rPr>
              <w:t>89.77±39.58</w:t>
            </w:r>
          </w:p>
          <w:p w:rsidR="00554CBB" w:rsidRDefault="00554CBB" w:rsidP="0064165B">
            <w:pPr>
              <w:jc w:val="center"/>
              <w:rPr>
                <w:color w:val="000000"/>
                <w:lang w:val="sr-Latn-CS"/>
              </w:rPr>
            </w:pPr>
            <w:r>
              <w:rPr>
                <w:color w:val="000000"/>
                <w:lang w:val="sr-Latn-CS"/>
              </w:rPr>
              <w:t xml:space="preserve"> </w:t>
            </w:r>
          </w:p>
          <w:p w:rsidR="00554CBB" w:rsidRDefault="00554CBB" w:rsidP="0064165B">
            <w:pPr>
              <w:jc w:val="center"/>
              <w:rPr>
                <w:color w:val="000000"/>
                <w:lang w:val="sr-Latn-CS"/>
              </w:rPr>
            </w:pPr>
          </w:p>
        </w:tc>
        <w:tc>
          <w:tcPr>
            <w:tcW w:w="2410" w:type="dxa"/>
          </w:tcPr>
          <w:p w:rsidR="00554CBB" w:rsidRDefault="00554CBB" w:rsidP="0064165B">
            <w:pPr>
              <w:jc w:val="center"/>
              <w:rPr>
                <w:color w:val="FF0000"/>
                <w:lang w:val="sr-Latn-CS"/>
              </w:rPr>
            </w:pPr>
            <w:r>
              <w:rPr>
                <w:color w:val="000000"/>
                <w:lang w:val="sr-Latn-CS"/>
              </w:rPr>
              <w:t xml:space="preserve">101.65±34.49  </w:t>
            </w:r>
          </w:p>
        </w:tc>
        <w:tc>
          <w:tcPr>
            <w:tcW w:w="2693" w:type="dxa"/>
          </w:tcPr>
          <w:p w:rsidR="00554CBB" w:rsidRDefault="00554CBB" w:rsidP="0064165B">
            <w:pPr>
              <w:jc w:val="center"/>
              <w:rPr>
                <w:color w:val="000000"/>
                <w:lang w:val="sr-Latn-CS"/>
              </w:rPr>
            </w:pPr>
            <w:r>
              <w:rPr>
                <w:color w:val="000000"/>
                <w:lang w:val="sr-Latn-CS"/>
              </w:rPr>
              <w:t>78.13±28.28</w:t>
            </w:r>
          </w:p>
          <w:p w:rsidR="00554CBB" w:rsidRDefault="00554CBB" w:rsidP="0064165B">
            <w:pPr>
              <w:jc w:val="center"/>
              <w:rPr>
                <w:color w:val="000000"/>
                <w:lang w:val="sr-Latn-CS"/>
              </w:rPr>
            </w:pPr>
            <w:r>
              <w:rPr>
                <w:color w:val="000000"/>
                <w:lang w:val="sr-Latn-CS"/>
              </w:rPr>
              <w:t xml:space="preserve"> </w:t>
            </w:r>
          </w:p>
        </w:tc>
      </w:tr>
      <w:tr w:rsidR="00554CBB" w:rsidTr="0064165B">
        <w:trPr>
          <w:jc w:val="center"/>
        </w:trPr>
        <w:tc>
          <w:tcPr>
            <w:tcW w:w="1546" w:type="dxa"/>
          </w:tcPr>
          <w:p w:rsidR="00554CBB" w:rsidRDefault="00554CBB" w:rsidP="0064165B">
            <w:pPr>
              <w:jc w:val="center"/>
              <w:rPr>
                <w:b/>
                <w:i/>
                <w:color w:val="000000"/>
                <w:lang w:val="sr-Latn-CS"/>
              </w:rPr>
            </w:pPr>
            <w:r>
              <w:rPr>
                <w:b/>
                <w:i/>
                <w:color w:val="000000"/>
                <w:lang w:val="sr-Latn-CS"/>
              </w:rPr>
              <w:t xml:space="preserve">t max </w:t>
            </w:r>
          </w:p>
          <w:p w:rsidR="00554CBB" w:rsidRDefault="00554CBB" w:rsidP="0064165B">
            <w:pPr>
              <w:jc w:val="center"/>
              <w:rPr>
                <w:i/>
                <w:color w:val="FF0000"/>
                <w:lang w:val="sr-Latn-CS"/>
              </w:rPr>
            </w:pPr>
            <w:r>
              <w:rPr>
                <w:i/>
                <w:color w:val="000000"/>
                <w:lang w:val="sr-Latn-CS"/>
              </w:rPr>
              <w:t>min</w:t>
            </w:r>
          </w:p>
        </w:tc>
        <w:tc>
          <w:tcPr>
            <w:tcW w:w="2410" w:type="dxa"/>
          </w:tcPr>
          <w:p w:rsidR="00554CBB" w:rsidRDefault="00554CBB" w:rsidP="0064165B">
            <w:pPr>
              <w:jc w:val="center"/>
              <w:rPr>
                <w:color w:val="000000"/>
                <w:lang w:val="sr-Latn-CS"/>
              </w:rPr>
            </w:pPr>
            <w:r>
              <w:rPr>
                <w:color w:val="000000"/>
                <w:lang w:val="sr-Latn-CS"/>
              </w:rPr>
              <w:t>41.25±18.87</w:t>
            </w:r>
          </w:p>
          <w:p w:rsidR="00554CBB" w:rsidRDefault="00554CBB" w:rsidP="0064165B">
            <w:pPr>
              <w:jc w:val="center"/>
              <w:rPr>
                <w:color w:val="000000"/>
                <w:lang w:val="sr-Latn-CS"/>
              </w:rPr>
            </w:pPr>
            <w:r>
              <w:rPr>
                <w:color w:val="000000"/>
                <w:lang w:val="sr-Latn-CS"/>
              </w:rPr>
              <w:t xml:space="preserve"> </w:t>
            </w:r>
          </w:p>
          <w:p w:rsidR="00554CBB" w:rsidRDefault="00554CBB" w:rsidP="0064165B">
            <w:pPr>
              <w:jc w:val="center"/>
              <w:rPr>
                <w:color w:val="FF0000"/>
                <w:lang w:val="sr-Latn-CS"/>
              </w:rPr>
            </w:pPr>
          </w:p>
        </w:tc>
        <w:tc>
          <w:tcPr>
            <w:tcW w:w="2410" w:type="dxa"/>
          </w:tcPr>
          <w:p w:rsidR="00554CBB" w:rsidRDefault="00554CBB" w:rsidP="0064165B">
            <w:pPr>
              <w:jc w:val="center"/>
              <w:rPr>
                <w:color w:val="000000"/>
                <w:lang w:val="sr-Latn-CS"/>
              </w:rPr>
            </w:pPr>
            <w:r>
              <w:rPr>
                <w:color w:val="000000"/>
                <w:lang w:val="sr-Latn-CS"/>
              </w:rPr>
              <w:t>36.00±8.22</w:t>
            </w:r>
          </w:p>
          <w:p w:rsidR="00554CBB" w:rsidRDefault="00554CBB" w:rsidP="0064165B">
            <w:pPr>
              <w:jc w:val="center"/>
              <w:rPr>
                <w:color w:val="FF0000"/>
                <w:lang w:val="sr-Latn-CS"/>
              </w:rPr>
            </w:pPr>
            <w:r>
              <w:rPr>
                <w:color w:val="000000"/>
                <w:lang w:val="sr-Latn-CS"/>
              </w:rPr>
              <w:t xml:space="preserve"> </w:t>
            </w:r>
          </w:p>
        </w:tc>
        <w:tc>
          <w:tcPr>
            <w:tcW w:w="2693" w:type="dxa"/>
          </w:tcPr>
          <w:p w:rsidR="00554CBB" w:rsidRDefault="00554CBB" w:rsidP="0064165B">
            <w:pPr>
              <w:jc w:val="center"/>
              <w:rPr>
                <w:color w:val="000000"/>
                <w:lang w:val="sr-Latn-CS"/>
              </w:rPr>
            </w:pPr>
            <w:r>
              <w:rPr>
                <w:color w:val="000000"/>
                <w:lang w:val="sr-Latn-CS"/>
              </w:rPr>
              <w:t>35.00±12.25</w:t>
            </w:r>
          </w:p>
          <w:p w:rsidR="00554CBB" w:rsidRDefault="00554CBB" w:rsidP="0064165B">
            <w:pPr>
              <w:jc w:val="center"/>
              <w:rPr>
                <w:color w:val="FF0000"/>
                <w:lang w:val="sr-Latn-CS"/>
              </w:rPr>
            </w:pPr>
            <w:r>
              <w:rPr>
                <w:color w:val="000000"/>
                <w:lang w:val="sr-Latn-CS"/>
              </w:rPr>
              <w:t xml:space="preserve"> </w:t>
            </w:r>
          </w:p>
        </w:tc>
      </w:tr>
      <w:tr w:rsidR="00554CBB" w:rsidTr="0064165B">
        <w:trPr>
          <w:jc w:val="center"/>
        </w:trPr>
        <w:tc>
          <w:tcPr>
            <w:tcW w:w="1546" w:type="dxa"/>
          </w:tcPr>
          <w:p w:rsidR="00554CBB" w:rsidRDefault="00554CBB" w:rsidP="0064165B">
            <w:pPr>
              <w:jc w:val="center"/>
              <w:rPr>
                <w:b/>
                <w:i/>
                <w:color w:val="000000"/>
                <w:lang w:val="sr-Latn-CS"/>
              </w:rPr>
            </w:pPr>
            <w:r>
              <w:rPr>
                <w:b/>
                <w:i/>
                <w:color w:val="000000"/>
                <w:lang w:val="sr-Latn-CS"/>
              </w:rPr>
              <w:t xml:space="preserve">Cmax </w:t>
            </w:r>
          </w:p>
          <w:p w:rsidR="00554CBB" w:rsidRDefault="00554CBB" w:rsidP="0064165B">
            <w:pPr>
              <w:jc w:val="center"/>
              <w:rPr>
                <w:i/>
                <w:color w:val="FF0000"/>
                <w:lang w:val="sr-Latn-CS"/>
              </w:rPr>
            </w:pPr>
            <w:r>
              <w:rPr>
                <w:i/>
                <w:color w:val="000000"/>
                <w:lang w:val="sr-Latn-CS"/>
              </w:rPr>
              <w:t>ug/ml</w:t>
            </w:r>
          </w:p>
        </w:tc>
        <w:tc>
          <w:tcPr>
            <w:tcW w:w="2410" w:type="dxa"/>
          </w:tcPr>
          <w:p w:rsidR="00554CBB" w:rsidRDefault="00554CBB" w:rsidP="0064165B">
            <w:pPr>
              <w:jc w:val="center"/>
              <w:rPr>
                <w:color w:val="000000"/>
                <w:lang w:val="sr-Latn-CS"/>
              </w:rPr>
            </w:pPr>
            <w:r>
              <w:rPr>
                <w:color w:val="000000"/>
                <w:lang w:val="sr-Latn-CS"/>
              </w:rPr>
              <w:t>3.20±0.44</w:t>
            </w:r>
          </w:p>
          <w:p w:rsidR="00554CBB" w:rsidRDefault="00554CBB" w:rsidP="0064165B">
            <w:pPr>
              <w:jc w:val="center"/>
              <w:rPr>
                <w:color w:val="000000"/>
                <w:lang w:val="sr-Latn-CS"/>
              </w:rPr>
            </w:pPr>
            <w:r>
              <w:rPr>
                <w:color w:val="000000"/>
                <w:lang w:val="sr-Latn-CS"/>
              </w:rPr>
              <w:t xml:space="preserve"> </w:t>
            </w:r>
          </w:p>
          <w:p w:rsidR="00554CBB" w:rsidRDefault="00554CBB" w:rsidP="0064165B">
            <w:pPr>
              <w:jc w:val="center"/>
              <w:rPr>
                <w:color w:val="FF0000"/>
                <w:lang w:val="sr-Latn-CS"/>
              </w:rPr>
            </w:pPr>
          </w:p>
        </w:tc>
        <w:tc>
          <w:tcPr>
            <w:tcW w:w="2410" w:type="dxa"/>
          </w:tcPr>
          <w:p w:rsidR="00554CBB" w:rsidRDefault="00554CBB" w:rsidP="0064165B">
            <w:pPr>
              <w:jc w:val="center"/>
              <w:rPr>
                <w:color w:val="000000"/>
                <w:lang w:val="sr-Latn-CS"/>
              </w:rPr>
            </w:pPr>
            <w:r>
              <w:rPr>
                <w:color w:val="000000"/>
                <w:lang w:val="sr-Latn-CS"/>
              </w:rPr>
              <w:t>2.38±0.86</w:t>
            </w:r>
          </w:p>
          <w:p w:rsidR="00554CBB" w:rsidRDefault="00554CBB" w:rsidP="0064165B">
            <w:pPr>
              <w:jc w:val="center"/>
              <w:rPr>
                <w:color w:val="FF0000"/>
                <w:lang w:val="sr-Latn-CS"/>
              </w:rPr>
            </w:pPr>
            <w:r>
              <w:rPr>
                <w:color w:val="000000"/>
                <w:lang w:val="sr-Latn-CS"/>
              </w:rPr>
              <w:t xml:space="preserve"> </w:t>
            </w:r>
          </w:p>
        </w:tc>
        <w:tc>
          <w:tcPr>
            <w:tcW w:w="2693" w:type="dxa"/>
          </w:tcPr>
          <w:p w:rsidR="00554CBB" w:rsidRDefault="00554CBB" w:rsidP="0064165B">
            <w:pPr>
              <w:jc w:val="center"/>
              <w:rPr>
                <w:color w:val="000000"/>
                <w:lang w:val="sr-Latn-CS"/>
              </w:rPr>
            </w:pPr>
            <w:r>
              <w:rPr>
                <w:color w:val="000000"/>
                <w:lang w:val="sr-Latn-CS"/>
              </w:rPr>
              <w:t>2.80±0.74</w:t>
            </w:r>
          </w:p>
          <w:p w:rsidR="00554CBB" w:rsidRDefault="00554CBB" w:rsidP="0064165B">
            <w:pPr>
              <w:jc w:val="center"/>
              <w:rPr>
                <w:color w:val="FF0000"/>
                <w:lang w:val="sr-Latn-CS"/>
              </w:rPr>
            </w:pPr>
            <w:r>
              <w:rPr>
                <w:color w:val="000000"/>
                <w:lang w:val="sr-Latn-CS"/>
              </w:rPr>
              <w:t xml:space="preserve"> </w:t>
            </w:r>
          </w:p>
        </w:tc>
      </w:tr>
      <w:tr w:rsidR="00554CBB" w:rsidTr="0064165B">
        <w:trPr>
          <w:jc w:val="center"/>
        </w:trPr>
        <w:tc>
          <w:tcPr>
            <w:tcW w:w="1546" w:type="dxa"/>
          </w:tcPr>
          <w:p w:rsidR="00554CBB" w:rsidRDefault="00554CBB" w:rsidP="0064165B">
            <w:pPr>
              <w:jc w:val="center"/>
              <w:rPr>
                <w:b/>
                <w:i/>
                <w:color w:val="000000"/>
                <w:lang w:val="sr-Latn-CS"/>
              </w:rPr>
            </w:pPr>
            <w:r>
              <w:rPr>
                <w:b/>
                <w:i/>
                <w:color w:val="000000"/>
                <w:lang w:val="sr-Latn-CS"/>
              </w:rPr>
              <w:t xml:space="preserve">AUC 0-t </w:t>
            </w:r>
          </w:p>
          <w:p w:rsidR="00554CBB" w:rsidRDefault="00554CBB" w:rsidP="0064165B">
            <w:pPr>
              <w:jc w:val="center"/>
              <w:rPr>
                <w:i/>
                <w:color w:val="FF0000"/>
                <w:lang w:val="sr-Latn-CS"/>
              </w:rPr>
            </w:pPr>
            <w:r>
              <w:rPr>
                <w:i/>
                <w:color w:val="000000"/>
                <w:lang w:val="sr-Latn-CS"/>
              </w:rPr>
              <w:t>min*ug/ml</w:t>
            </w:r>
          </w:p>
        </w:tc>
        <w:tc>
          <w:tcPr>
            <w:tcW w:w="2410" w:type="dxa"/>
          </w:tcPr>
          <w:p w:rsidR="00554CBB" w:rsidRDefault="00554CBB" w:rsidP="0064165B">
            <w:pPr>
              <w:jc w:val="center"/>
              <w:rPr>
                <w:color w:val="FF0000"/>
                <w:lang w:val="sr-Latn-CS"/>
              </w:rPr>
            </w:pPr>
            <w:r>
              <w:rPr>
                <w:color w:val="000000"/>
                <w:lang w:val="sr-Latn-CS"/>
              </w:rPr>
              <w:t xml:space="preserve">354.12±102.00  </w:t>
            </w:r>
          </w:p>
        </w:tc>
        <w:tc>
          <w:tcPr>
            <w:tcW w:w="2410" w:type="dxa"/>
          </w:tcPr>
          <w:p w:rsidR="00554CBB" w:rsidRDefault="00554CBB" w:rsidP="0064165B">
            <w:pPr>
              <w:jc w:val="center"/>
              <w:rPr>
                <w:color w:val="FF0000"/>
                <w:lang w:val="sr-Latn-CS"/>
              </w:rPr>
            </w:pPr>
            <w:r>
              <w:rPr>
                <w:color w:val="000000"/>
                <w:lang w:val="sr-Latn-CS"/>
              </w:rPr>
              <w:t xml:space="preserve">262.11±68.72  </w:t>
            </w:r>
          </w:p>
        </w:tc>
        <w:tc>
          <w:tcPr>
            <w:tcW w:w="2693" w:type="dxa"/>
          </w:tcPr>
          <w:p w:rsidR="00554CBB" w:rsidRDefault="00554CBB" w:rsidP="0064165B">
            <w:pPr>
              <w:jc w:val="center"/>
              <w:rPr>
                <w:color w:val="FF0000"/>
                <w:lang w:val="sr-Latn-CS"/>
              </w:rPr>
            </w:pPr>
            <w:r>
              <w:rPr>
                <w:color w:val="000000"/>
                <w:lang w:val="sr-Latn-CS"/>
              </w:rPr>
              <w:t xml:space="preserve">272.06±72.10  </w:t>
            </w:r>
          </w:p>
        </w:tc>
      </w:tr>
    </w:tbl>
    <w:p w:rsidR="005F4BC6" w:rsidRPr="00953E96" w:rsidRDefault="005F4BC6" w:rsidP="005F4BC6">
      <w:pPr>
        <w:jc w:val="center"/>
        <w:rPr>
          <w:sz w:val="24"/>
          <w:szCs w:val="24"/>
          <w:lang w:val="sr-Latn-CS"/>
        </w:rPr>
      </w:pPr>
    </w:p>
    <w:p w:rsidR="00DC79E9" w:rsidRPr="00825550" w:rsidRDefault="00DC79E9" w:rsidP="007272A4">
      <w:pPr>
        <w:ind w:firstLine="720"/>
        <w:jc w:val="both"/>
        <w:rPr>
          <w:sz w:val="24"/>
          <w:lang w:val="sr-Latn-CS"/>
        </w:rPr>
      </w:pPr>
      <w:r w:rsidRPr="00825550">
        <w:rPr>
          <w:sz w:val="24"/>
          <w:lang w:val="sr-Latn-CS"/>
        </w:rPr>
        <w:t>The influence of REO applied orally was seen trought the changes of parameters  of pharmacokinetic within experimental groups on one side and control group wich was  received paracetamol by intravenous route</w:t>
      </w:r>
      <w:r w:rsidR="004D2E83">
        <w:rPr>
          <w:sz w:val="24"/>
          <w:lang w:val="sr-Latn-CS"/>
        </w:rPr>
        <w:t xml:space="preserve"> (Table 2.)</w:t>
      </w:r>
      <w:r w:rsidRPr="00825550">
        <w:rPr>
          <w:sz w:val="24"/>
          <w:lang w:val="sr-Latn-CS"/>
        </w:rPr>
        <w:t>.</w:t>
      </w:r>
    </w:p>
    <w:p w:rsidR="00EC5E32" w:rsidRPr="00825550" w:rsidRDefault="00DC79E9" w:rsidP="000C181A">
      <w:pPr>
        <w:ind w:firstLine="720"/>
        <w:jc w:val="both"/>
        <w:rPr>
          <w:sz w:val="24"/>
          <w:lang w:val="sr-Latn-CS"/>
        </w:rPr>
      </w:pPr>
      <w:r w:rsidRPr="00825550">
        <w:rPr>
          <w:sz w:val="24"/>
          <w:lang w:val="sr-Latn-CS"/>
        </w:rPr>
        <w:t xml:space="preserve">The constants of elimination were increased in both experimental groups and the half time of life was decreased in both experimental groups. </w:t>
      </w:r>
      <w:r w:rsidR="00B9594E" w:rsidRPr="00825550">
        <w:rPr>
          <w:sz w:val="24"/>
          <w:lang w:val="sr-Latn-CS"/>
        </w:rPr>
        <w:t xml:space="preserve"> </w:t>
      </w:r>
      <w:r w:rsidRPr="00825550">
        <w:rPr>
          <w:sz w:val="24"/>
          <w:lang w:val="sr-Latn-CS"/>
        </w:rPr>
        <w:t>The first measured concetration was staisticaly lower then in control group.</w:t>
      </w:r>
      <w:r w:rsidR="00B9594E" w:rsidRPr="00825550">
        <w:rPr>
          <w:sz w:val="24"/>
          <w:lang w:val="sr-Latn-CS"/>
        </w:rPr>
        <w:t xml:space="preserve"> </w:t>
      </w:r>
      <w:r w:rsidRPr="00825550">
        <w:rPr>
          <w:sz w:val="24"/>
          <w:lang w:val="sr-Latn-CS"/>
        </w:rPr>
        <w:t xml:space="preserve"> </w:t>
      </w:r>
    </w:p>
    <w:p w:rsidR="00DC79E9" w:rsidRPr="00825550" w:rsidRDefault="00DC79E9" w:rsidP="005F4BC6">
      <w:pPr>
        <w:jc w:val="both"/>
        <w:rPr>
          <w:sz w:val="24"/>
          <w:lang w:val="sr-Latn-CS"/>
        </w:rPr>
      </w:pPr>
    </w:p>
    <w:p w:rsidR="00DC79E9" w:rsidRPr="00825550" w:rsidRDefault="00DC79E9" w:rsidP="007272A4">
      <w:pPr>
        <w:ind w:firstLine="720"/>
        <w:jc w:val="both"/>
        <w:rPr>
          <w:sz w:val="24"/>
          <w:lang w:val="sr-Latn-CS"/>
        </w:rPr>
      </w:pPr>
      <w:r w:rsidRPr="00825550">
        <w:rPr>
          <w:sz w:val="24"/>
          <w:lang w:val="sr-Latn-CS"/>
        </w:rPr>
        <w:t xml:space="preserve">In the control groupe where the paracetamol were applied orally </w:t>
      </w:r>
      <w:r w:rsidR="004D2E83">
        <w:rPr>
          <w:sz w:val="24"/>
          <w:lang w:val="sr-Latn-CS"/>
        </w:rPr>
        <w:t xml:space="preserve">(Table 3.), </w:t>
      </w:r>
      <w:r w:rsidRPr="00825550">
        <w:rPr>
          <w:sz w:val="24"/>
          <w:lang w:val="sr-Latn-CS"/>
        </w:rPr>
        <w:t xml:space="preserve">the changes of parameteres are different in association with dose wich was applied. </w:t>
      </w:r>
    </w:p>
    <w:p w:rsidR="00B9594E" w:rsidRPr="00825550" w:rsidRDefault="00825550" w:rsidP="005F4BC6">
      <w:pPr>
        <w:jc w:val="both"/>
        <w:rPr>
          <w:sz w:val="24"/>
          <w:lang w:val="sr-Latn-CS"/>
        </w:rPr>
      </w:pPr>
      <w:r w:rsidRPr="00825550">
        <w:rPr>
          <w:sz w:val="24"/>
          <w:lang w:val="sr-Latn-CS"/>
        </w:rPr>
        <w:t xml:space="preserve">In the group treated with 10 mg of REO the elimination was faster, and in the group treated with 5 mg the elimination of drug is lower then in the control groupe. The same was seen in the parameteres of half time of life of drug.  </w:t>
      </w:r>
    </w:p>
    <w:p w:rsidR="00825550" w:rsidRPr="00825550" w:rsidRDefault="00825550" w:rsidP="005F4BC6">
      <w:pPr>
        <w:jc w:val="both"/>
        <w:rPr>
          <w:sz w:val="24"/>
          <w:lang w:val="sr-Latn-CS"/>
        </w:rPr>
      </w:pPr>
    </w:p>
    <w:p w:rsidR="00AE2AFF" w:rsidRPr="007272A4" w:rsidRDefault="00825550" w:rsidP="000C181A">
      <w:pPr>
        <w:ind w:firstLine="720"/>
        <w:jc w:val="both"/>
        <w:rPr>
          <w:sz w:val="24"/>
          <w:lang w:val="sr-Latn-CS"/>
        </w:rPr>
      </w:pPr>
      <w:r w:rsidRPr="00825550">
        <w:rPr>
          <w:sz w:val="24"/>
          <w:lang w:val="sr-Latn-CS"/>
        </w:rPr>
        <w:t>There is no statisticaly significant differences beetween</w:t>
      </w:r>
      <w:r w:rsidR="004D2E83">
        <w:rPr>
          <w:sz w:val="24"/>
          <w:lang w:val="sr-Latn-CS"/>
        </w:rPr>
        <w:t xml:space="preserve"> bioavailability of paracetamol</w:t>
      </w:r>
      <w:r w:rsidRPr="00825550">
        <w:rPr>
          <w:sz w:val="24"/>
          <w:lang w:val="sr-Latn-CS"/>
        </w:rPr>
        <w:t xml:space="preserve">, but it is still lower in the group treated with 5 mg of REO (only 2% lower then in control groupe). This result can’t be taken as significant but it should be </w:t>
      </w:r>
      <w:r>
        <w:rPr>
          <w:sz w:val="24"/>
          <w:lang w:val="sr-Latn-CS"/>
        </w:rPr>
        <w:t xml:space="preserve">taken as reason for </w:t>
      </w:r>
      <w:r w:rsidR="007272A4" w:rsidRPr="007272A4">
        <w:rPr>
          <w:sz w:val="24"/>
          <w:lang w:val="sr-Latn-CS"/>
        </w:rPr>
        <w:t>precaution</w:t>
      </w:r>
      <w:r w:rsidRPr="007272A4">
        <w:rPr>
          <w:sz w:val="24"/>
          <w:lang w:val="sr-Latn-CS"/>
        </w:rPr>
        <w:t xml:space="preserve"> during use of clasical drugs and herbal drugs all together.</w:t>
      </w:r>
    </w:p>
    <w:p w:rsidR="005F4BC6" w:rsidRPr="00554CBB" w:rsidRDefault="00825550" w:rsidP="005F4BC6">
      <w:pPr>
        <w:jc w:val="both"/>
        <w:rPr>
          <w:rStyle w:val="FontStyle18"/>
          <w:color w:val="FF0000"/>
          <w:sz w:val="22"/>
          <w:szCs w:val="22"/>
          <w:lang w:val="sr-Latn-BA" w:eastAsia="hr-HR"/>
        </w:rPr>
      </w:pPr>
      <w:r>
        <w:rPr>
          <w:color w:val="FF0000"/>
          <w:sz w:val="24"/>
          <w:lang w:val="sr-Latn-CS"/>
        </w:rPr>
        <w:t xml:space="preserve"> </w:t>
      </w:r>
    </w:p>
    <w:p w:rsidR="004D2E83" w:rsidRPr="000C181A" w:rsidRDefault="000C181A" w:rsidP="000C181A">
      <w:pPr>
        <w:ind w:firstLine="720"/>
        <w:jc w:val="both"/>
        <w:rPr>
          <w:sz w:val="24"/>
          <w:lang w:val="sr-Latn-CS"/>
        </w:rPr>
      </w:pPr>
      <w:r>
        <w:rPr>
          <w:color w:val="FF0000"/>
          <w:sz w:val="24"/>
          <w:lang w:val="sr-Latn-CS"/>
        </w:rPr>
        <w:t xml:space="preserve"> </w:t>
      </w:r>
    </w:p>
    <w:p w:rsidR="005F4BC6" w:rsidRPr="00481E5B" w:rsidRDefault="005F4BC6" w:rsidP="005F4BC6">
      <w:pPr>
        <w:jc w:val="center"/>
        <w:rPr>
          <w:b/>
          <w:sz w:val="24"/>
          <w:szCs w:val="24"/>
          <w:lang w:val="sr-Latn-BA"/>
        </w:rPr>
      </w:pPr>
      <w:r w:rsidRPr="00481E5B">
        <w:rPr>
          <w:b/>
          <w:sz w:val="24"/>
          <w:szCs w:val="24"/>
          <w:lang w:val="sr-Latn-BA"/>
        </w:rPr>
        <w:t xml:space="preserve">CONCLUSIONS </w:t>
      </w:r>
    </w:p>
    <w:p w:rsidR="005F4BC6" w:rsidRPr="00481E5B" w:rsidRDefault="005F4BC6" w:rsidP="005F4BC6">
      <w:pPr>
        <w:jc w:val="both"/>
        <w:rPr>
          <w:sz w:val="24"/>
          <w:szCs w:val="24"/>
          <w:lang w:val="sr-Latn-BA"/>
        </w:rPr>
      </w:pPr>
    </w:p>
    <w:p w:rsidR="000C181A" w:rsidRPr="00554CBB" w:rsidRDefault="000C181A" w:rsidP="000C181A">
      <w:pPr>
        <w:jc w:val="both"/>
        <w:rPr>
          <w:rStyle w:val="FontStyle18"/>
          <w:color w:val="FF0000"/>
          <w:sz w:val="22"/>
          <w:szCs w:val="22"/>
          <w:lang w:val="sr-Latn-BA" w:eastAsia="hr-HR"/>
        </w:rPr>
      </w:pPr>
    </w:p>
    <w:p w:rsidR="000C181A" w:rsidRPr="00F01AC8" w:rsidRDefault="000C181A" w:rsidP="000C181A">
      <w:pPr>
        <w:ind w:firstLine="720"/>
        <w:jc w:val="both"/>
        <w:rPr>
          <w:sz w:val="24"/>
          <w:lang w:val="sr-Latn-CS"/>
        </w:rPr>
      </w:pPr>
      <w:r>
        <w:rPr>
          <w:color w:val="FF0000"/>
          <w:sz w:val="24"/>
          <w:lang w:val="sr-Latn-CS"/>
        </w:rPr>
        <w:t xml:space="preserve"> </w:t>
      </w:r>
      <w:r w:rsidRPr="00554CBB">
        <w:rPr>
          <w:color w:val="FF0000"/>
          <w:sz w:val="24"/>
          <w:lang w:val="sr-Latn-CS"/>
        </w:rPr>
        <w:t xml:space="preserve"> </w:t>
      </w:r>
      <w:r w:rsidRPr="00F01AC8">
        <w:rPr>
          <w:sz w:val="24"/>
          <w:lang w:val="sr-Latn-CS"/>
        </w:rPr>
        <w:t>The</w:t>
      </w:r>
      <w:r>
        <w:rPr>
          <w:sz w:val="24"/>
          <w:lang w:val="sr-Latn-CS"/>
        </w:rPr>
        <w:t xml:space="preserve">se results could be caused with </w:t>
      </w:r>
      <w:r w:rsidRPr="00F01AC8">
        <w:rPr>
          <w:sz w:val="24"/>
          <w:lang w:val="sr-Latn-CS"/>
        </w:rPr>
        <w:t>presistemic metabolism of paracetamol and of influence</w:t>
      </w:r>
      <w:r>
        <w:rPr>
          <w:sz w:val="24"/>
          <w:lang w:val="sr-Latn-CS"/>
        </w:rPr>
        <w:t xml:space="preserve"> </w:t>
      </w:r>
      <w:r w:rsidRPr="00F01AC8">
        <w:rPr>
          <w:sz w:val="24"/>
          <w:lang w:val="sr-Latn-CS"/>
        </w:rPr>
        <w:t>of REO at the r</w:t>
      </w:r>
      <w:r>
        <w:rPr>
          <w:sz w:val="24"/>
          <w:lang w:val="sr-Latn-CS"/>
        </w:rPr>
        <w:t xml:space="preserve">esorption of paracetamol. </w:t>
      </w:r>
      <w:r w:rsidRPr="00F01AC8">
        <w:rPr>
          <w:sz w:val="24"/>
          <w:lang w:val="sr-Latn-CS"/>
        </w:rPr>
        <w:t>The paracetamol is the supstrat P-glycoprotein, and extract</w:t>
      </w:r>
      <w:r>
        <w:rPr>
          <w:sz w:val="24"/>
          <w:lang w:val="sr-Latn-CS"/>
        </w:rPr>
        <w:t xml:space="preserve"> of rosemary shows influence to</w:t>
      </w:r>
      <w:r w:rsidRPr="00F01AC8">
        <w:rPr>
          <w:sz w:val="24"/>
          <w:lang w:val="sr-Latn-CS"/>
        </w:rPr>
        <w:t xml:space="preserve"> this tansport proteine</w:t>
      </w:r>
      <w:r>
        <w:rPr>
          <w:sz w:val="24"/>
          <w:lang w:val="sr-Latn-CS"/>
        </w:rPr>
        <w:t xml:space="preserve"> [32</w:t>
      </w:r>
      <w:r w:rsidRPr="00F01AC8">
        <w:rPr>
          <w:sz w:val="24"/>
          <w:lang w:val="sr-Latn-CS"/>
        </w:rPr>
        <w:t xml:space="preserve">].  </w:t>
      </w:r>
    </w:p>
    <w:p w:rsidR="000C181A" w:rsidRPr="00F01AC8" w:rsidRDefault="000C181A" w:rsidP="000C181A">
      <w:pPr>
        <w:ind w:firstLine="720"/>
        <w:jc w:val="both"/>
        <w:rPr>
          <w:sz w:val="24"/>
          <w:lang w:val="sr-Latn-CS"/>
        </w:rPr>
      </w:pPr>
      <w:r w:rsidRPr="00F01AC8">
        <w:rPr>
          <w:sz w:val="24"/>
          <w:lang w:val="sr-Latn-CS"/>
        </w:rPr>
        <w:t>The decrease of bioavailability of paracetamol after REO use could be explaned with the influence of monotherpene 1,8-cineole, wich is most p</w:t>
      </w:r>
      <w:r>
        <w:rPr>
          <w:sz w:val="24"/>
          <w:lang w:val="sr-Latn-CS"/>
        </w:rPr>
        <w:t xml:space="preserve">resent in our sample of REO. This </w:t>
      </w:r>
      <w:r w:rsidRPr="00F01AC8">
        <w:rPr>
          <w:sz w:val="24"/>
          <w:lang w:val="sr-Latn-CS"/>
        </w:rPr>
        <w:t xml:space="preserve">monotherpene could interact with microsomal enzymes, sulfur transferase, UDP-glucuronyl transferase and cytochromes CYP3A4, CYP1A2, CYP2D6, CYP2E1, </w:t>
      </w:r>
      <w:r>
        <w:rPr>
          <w:sz w:val="24"/>
          <w:lang w:val="sr-Latn-CS"/>
        </w:rPr>
        <w:t>wich</w:t>
      </w:r>
      <w:r w:rsidRPr="00F01AC8">
        <w:rPr>
          <w:sz w:val="24"/>
          <w:lang w:val="sr-Latn-CS"/>
        </w:rPr>
        <w:t xml:space="preserve"> are used in biotransformation of paracetamol</w:t>
      </w:r>
      <w:r>
        <w:rPr>
          <w:sz w:val="24"/>
          <w:lang w:val="sr-Latn-CS"/>
        </w:rPr>
        <w:t xml:space="preserve"> [7,22,33,34].</w:t>
      </w:r>
    </w:p>
    <w:p w:rsidR="000C181A" w:rsidRPr="00F01AC8" w:rsidRDefault="000C181A" w:rsidP="000C181A">
      <w:pPr>
        <w:jc w:val="both"/>
        <w:rPr>
          <w:sz w:val="24"/>
          <w:szCs w:val="24"/>
          <w:lang w:val="sr-Latn-BA"/>
        </w:rPr>
      </w:pPr>
    </w:p>
    <w:p w:rsidR="001B65F1" w:rsidRDefault="001B65F1" w:rsidP="007272A4">
      <w:pPr>
        <w:ind w:firstLine="720"/>
        <w:jc w:val="both"/>
        <w:rPr>
          <w:color w:val="FF0000"/>
          <w:sz w:val="24"/>
        </w:rPr>
      </w:pPr>
      <w:r w:rsidRPr="00D04A02">
        <w:rPr>
          <w:sz w:val="24"/>
        </w:rPr>
        <w:lastRenderedPageBreak/>
        <w:t>In summary, it can be concluded that</w:t>
      </w:r>
      <w:r>
        <w:rPr>
          <w:sz w:val="24"/>
        </w:rPr>
        <w:t xml:space="preserve"> REO possesses </w:t>
      </w:r>
      <w:r w:rsidRPr="00D04A02">
        <w:rPr>
          <w:sz w:val="24"/>
        </w:rPr>
        <w:t>centrally acting analgesic properties</w:t>
      </w:r>
      <w:r>
        <w:rPr>
          <w:sz w:val="24"/>
        </w:rPr>
        <w:t xml:space="preserve">, as determined in hot plate assay, although </w:t>
      </w:r>
      <w:r w:rsidRPr="00D04A02">
        <w:rPr>
          <w:sz w:val="24"/>
        </w:rPr>
        <w:t>a more in-depth evaluation of the mechanisms involved should be</w:t>
      </w:r>
      <w:r>
        <w:rPr>
          <w:sz w:val="24"/>
        </w:rPr>
        <w:t xml:space="preserve"> investigated. Our findings support the folkloric use of rosemary in </w:t>
      </w:r>
      <w:r w:rsidRPr="00D04A02">
        <w:rPr>
          <w:sz w:val="24"/>
        </w:rPr>
        <w:t>the management of pain</w:t>
      </w:r>
      <w:r>
        <w:rPr>
          <w:sz w:val="24"/>
        </w:rPr>
        <w:t xml:space="preserve">, but also indicate a </w:t>
      </w:r>
      <w:r w:rsidRPr="00D04A02">
        <w:rPr>
          <w:sz w:val="24"/>
        </w:rPr>
        <w:t>therapeutic potential</w:t>
      </w:r>
      <w:r>
        <w:rPr>
          <w:sz w:val="24"/>
        </w:rPr>
        <w:t xml:space="preserve"> of REO in combination with analgesic drugs. Considering nonlinear dose-response relationship of most monoterpenes, the appropriate dose of REO has to be determined in order to obtain an improved therapeutic effect without adverse reactions due to interaction</w:t>
      </w:r>
      <w:r w:rsidR="00CE0CD1">
        <w:rPr>
          <w:sz w:val="24"/>
        </w:rPr>
        <w:t>s.</w:t>
      </w:r>
    </w:p>
    <w:p w:rsidR="00554CBB" w:rsidRPr="007272A4" w:rsidRDefault="000C181A" w:rsidP="007272A4">
      <w:pPr>
        <w:ind w:firstLine="720"/>
        <w:jc w:val="both"/>
        <w:rPr>
          <w:sz w:val="24"/>
          <w:lang w:val="sr-Latn-CS"/>
        </w:rPr>
      </w:pPr>
      <w:r>
        <w:rPr>
          <w:sz w:val="24"/>
          <w:lang w:val="sr-Latn-CS"/>
        </w:rPr>
        <w:t xml:space="preserve"> </w:t>
      </w:r>
    </w:p>
    <w:p w:rsidR="00554CBB" w:rsidRDefault="00554CBB" w:rsidP="001B65F1">
      <w:pPr>
        <w:jc w:val="both"/>
        <w:rPr>
          <w:sz w:val="24"/>
        </w:rPr>
      </w:pPr>
    </w:p>
    <w:p w:rsidR="001B65F1" w:rsidRDefault="001B65F1" w:rsidP="005F4BC6">
      <w:pPr>
        <w:jc w:val="both"/>
        <w:rPr>
          <w:sz w:val="24"/>
          <w:szCs w:val="24"/>
        </w:rPr>
      </w:pPr>
    </w:p>
    <w:p w:rsidR="001B65F1" w:rsidRPr="001B65F1" w:rsidRDefault="001B65F1" w:rsidP="001B65F1">
      <w:pPr>
        <w:jc w:val="both"/>
      </w:pPr>
      <w:r w:rsidRPr="001B65F1">
        <w:t xml:space="preserve"> Acknowledgements</w:t>
      </w:r>
    </w:p>
    <w:p w:rsidR="001B65F1" w:rsidRPr="001B65F1" w:rsidRDefault="001B65F1" w:rsidP="001B65F1">
      <w:pPr>
        <w:jc w:val="both"/>
      </w:pPr>
      <w:r w:rsidRPr="001B65F1">
        <w:t>This study was funded by Ministry of Education, Science and Technological Development, Republic of Serbia (grant No 41012) and by Provincial Secretariat for Science and Technological Development, Autonomous Province of Vojvodina (grant No 114-451-3551/2013-02). The authors are grateful to Mr. Goran Anačkov, Department of Biology and Ecology, Faculty of Sciences, University of Novi Sad, for determination of plant material.</w:t>
      </w:r>
    </w:p>
    <w:p w:rsidR="001B65F1" w:rsidRPr="001B65F1" w:rsidRDefault="001B65F1" w:rsidP="001B65F1">
      <w:pPr>
        <w:jc w:val="both"/>
      </w:pPr>
    </w:p>
    <w:p w:rsidR="001B65F1" w:rsidRPr="001B65F1" w:rsidRDefault="001B65F1" w:rsidP="001B65F1">
      <w:pPr>
        <w:jc w:val="both"/>
      </w:pPr>
      <w:r w:rsidRPr="001B65F1">
        <w:t>Conflict of Interest</w:t>
      </w:r>
    </w:p>
    <w:p w:rsidR="001B65F1" w:rsidRPr="001B65F1" w:rsidRDefault="001B65F1" w:rsidP="001B65F1">
      <w:pPr>
        <w:jc w:val="both"/>
      </w:pPr>
      <w:r w:rsidRPr="001B65F1">
        <w:t>The Authors declare that they have no conflict of interests.</w:t>
      </w:r>
    </w:p>
    <w:p w:rsidR="005F4BC6" w:rsidRDefault="005F4BC6" w:rsidP="005F4BC6">
      <w:pPr>
        <w:spacing w:after="120"/>
        <w:jc w:val="both"/>
        <w:rPr>
          <w:sz w:val="24"/>
          <w:szCs w:val="24"/>
        </w:rPr>
      </w:pPr>
    </w:p>
    <w:p w:rsidR="005F4BC6" w:rsidRDefault="005F4BC6" w:rsidP="000C181A">
      <w:pPr>
        <w:jc w:val="center"/>
        <w:rPr>
          <w:b/>
          <w:sz w:val="24"/>
          <w:szCs w:val="24"/>
          <w:lang w:val="sr-Latn-BA"/>
        </w:rPr>
      </w:pPr>
      <w:r>
        <w:rPr>
          <w:b/>
          <w:sz w:val="24"/>
          <w:szCs w:val="24"/>
          <w:lang w:val="sr-Latn-BA"/>
        </w:rPr>
        <w:t>LITERATURE</w:t>
      </w:r>
    </w:p>
    <w:p w:rsidR="000C181A" w:rsidRPr="000C181A" w:rsidRDefault="000C181A" w:rsidP="000C181A">
      <w:pPr>
        <w:jc w:val="center"/>
        <w:rPr>
          <w:b/>
          <w:sz w:val="24"/>
          <w:szCs w:val="24"/>
          <w:lang w:val="sr-Latn-BA"/>
        </w:rPr>
      </w:pPr>
    </w:p>
    <w:p w:rsidR="004D2E83" w:rsidRPr="000C181A" w:rsidRDefault="001B65F1" w:rsidP="000C181A">
      <w:pPr>
        <w:widowControl/>
        <w:numPr>
          <w:ilvl w:val="0"/>
          <w:numId w:val="3"/>
        </w:numPr>
        <w:spacing w:after="200"/>
        <w:ind w:left="357" w:hanging="357"/>
        <w:contextualSpacing/>
        <w:jc w:val="both"/>
        <w:rPr>
          <w:sz w:val="24"/>
        </w:rPr>
      </w:pPr>
      <w:r w:rsidRPr="00F542C7">
        <w:rPr>
          <w:sz w:val="24"/>
        </w:rPr>
        <w:t>Wirth</w:t>
      </w:r>
      <w:r w:rsidR="004D2E83">
        <w:rPr>
          <w:sz w:val="24"/>
        </w:rPr>
        <w:t>,</w:t>
      </w:r>
      <w:r w:rsidRPr="00F542C7">
        <w:rPr>
          <w:sz w:val="24"/>
        </w:rPr>
        <w:t xml:space="preserve"> J</w:t>
      </w:r>
      <w:r w:rsidR="004D2E83">
        <w:rPr>
          <w:sz w:val="24"/>
        </w:rPr>
        <w:t>.</w:t>
      </w:r>
      <w:r w:rsidRPr="00F542C7">
        <w:rPr>
          <w:sz w:val="24"/>
        </w:rPr>
        <w:t>H</w:t>
      </w:r>
      <w:r w:rsidR="004D2E83">
        <w:rPr>
          <w:sz w:val="24"/>
        </w:rPr>
        <w:t>.</w:t>
      </w:r>
      <w:r w:rsidRPr="00F542C7">
        <w:rPr>
          <w:sz w:val="24"/>
        </w:rPr>
        <w:t>, Hudgins</w:t>
      </w:r>
      <w:r w:rsidR="004D2E83">
        <w:rPr>
          <w:sz w:val="24"/>
        </w:rPr>
        <w:t>,</w:t>
      </w:r>
      <w:r w:rsidRPr="00F542C7">
        <w:rPr>
          <w:sz w:val="24"/>
        </w:rPr>
        <w:t xml:space="preserve"> J</w:t>
      </w:r>
      <w:r w:rsidR="004D2E83">
        <w:rPr>
          <w:sz w:val="24"/>
        </w:rPr>
        <w:t>.</w:t>
      </w:r>
      <w:r w:rsidRPr="00F542C7">
        <w:rPr>
          <w:sz w:val="24"/>
        </w:rPr>
        <w:t>C</w:t>
      </w:r>
      <w:r w:rsidR="004D2E83">
        <w:rPr>
          <w:sz w:val="24"/>
        </w:rPr>
        <w:t>.</w:t>
      </w:r>
      <w:r w:rsidRPr="00F542C7">
        <w:rPr>
          <w:sz w:val="24"/>
        </w:rPr>
        <w:t>, Paice</w:t>
      </w:r>
      <w:r w:rsidR="004D2E83">
        <w:rPr>
          <w:sz w:val="24"/>
        </w:rPr>
        <w:t xml:space="preserve">, </w:t>
      </w:r>
      <w:r w:rsidRPr="00F542C7">
        <w:rPr>
          <w:sz w:val="24"/>
        </w:rPr>
        <w:t>J</w:t>
      </w:r>
      <w:r w:rsidR="004D2E83">
        <w:rPr>
          <w:sz w:val="24"/>
        </w:rPr>
        <w:t>.</w:t>
      </w:r>
      <w:r w:rsidRPr="00F542C7">
        <w:rPr>
          <w:sz w:val="24"/>
        </w:rPr>
        <w:t>A</w:t>
      </w:r>
      <w:r w:rsidR="004D2E83">
        <w:rPr>
          <w:sz w:val="24"/>
        </w:rPr>
        <w:t>.</w:t>
      </w:r>
      <w:r w:rsidRPr="00F542C7">
        <w:rPr>
          <w:sz w:val="24"/>
        </w:rPr>
        <w:t>. Use of herbal therapies to relieve pain: a review of efficacy and a</w:t>
      </w:r>
      <w:r>
        <w:rPr>
          <w:sz w:val="24"/>
        </w:rPr>
        <w:t>dverse effects. Pain Manag Nurs</w:t>
      </w:r>
      <w:r w:rsidR="004D2E83">
        <w:rPr>
          <w:sz w:val="24"/>
        </w:rPr>
        <w:t xml:space="preserve">, </w:t>
      </w:r>
      <w:r w:rsidR="004D2E83" w:rsidRPr="004D2E83">
        <w:rPr>
          <w:b/>
          <w:sz w:val="24"/>
        </w:rPr>
        <w:t>6</w:t>
      </w:r>
      <w:r w:rsidR="004D2E83">
        <w:rPr>
          <w:sz w:val="24"/>
        </w:rPr>
        <w:t>(4) (</w:t>
      </w:r>
      <w:r w:rsidRPr="00F542C7">
        <w:rPr>
          <w:sz w:val="24"/>
        </w:rPr>
        <w:t>2005</w:t>
      </w:r>
      <w:r w:rsidR="004D2E83">
        <w:rPr>
          <w:sz w:val="24"/>
        </w:rPr>
        <w:t>),</w:t>
      </w:r>
      <w:r w:rsidRPr="00F542C7">
        <w:rPr>
          <w:sz w:val="24"/>
        </w:rPr>
        <w:t>145-</w:t>
      </w:r>
      <w:r>
        <w:rPr>
          <w:sz w:val="24"/>
        </w:rPr>
        <w:t>1</w:t>
      </w:r>
      <w:r w:rsidRPr="00F542C7">
        <w:rPr>
          <w:sz w:val="24"/>
        </w:rPr>
        <w:t>67.</w:t>
      </w:r>
    </w:p>
    <w:p w:rsidR="001B65F1" w:rsidRDefault="001B65F1" w:rsidP="000C181A">
      <w:pPr>
        <w:widowControl/>
        <w:numPr>
          <w:ilvl w:val="0"/>
          <w:numId w:val="3"/>
        </w:numPr>
        <w:spacing w:after="200"/>
        <w:ind w:left="357" w:hanging="357"/>
        <w:contextualSpacing/>
        <w:jc w:val="both"/>
        <w:rPr>
          <w:sz w:val="24"/>
        </w:rPr>
      </w:pPr>
      <w:r w:rsidRPr="0006601A">
        <w:rPr>
          <w:sz w:val="24"/>
        </w:rPr>
        <w:t>Singh</w:t>
      </w:r>
      <w:r w:rsidR="000C181A">
        <w:rPr>
          <w:sz w:val="24"/>
        </w:rPr>
        <w:t>,</w:t>
      </w:r>
      <w:r w:rsidRPr="0006601A">
        <w:rPr>
          <w:sz w:val="24"/>
        </w:rPr>
        <w:t xml:space="preserve"> D</w:t>
      </w:r>
      <w:r w:rsidR="000C181A">
        <w:rPr>
          <w:sz w:val="24"/>
        </w:rPr>
        <w:t>.</w:t>
      </w:r>
      <w:r w:rsidRPr="0006601A">
        <w:rPr>
          <w:sz w:val="24"/>
        </w:rPr>
        <w:t>, Gupta</w:t>
      </w:r>
      <w:r w:rsidR="000C181A">
        <w:rPr>
          <w:sz w:val="24"/>
        </w:rPr>
        <w:t>,</w:t>
      </w:r>
      <w:r w:rsidRPr="0006601A">
        <w:rPr>
          <w:sz w:val="24"/>
        </w:rPr>
        <w:t xml:space="preserve"> R</w:t>
      </w:r>
      <w:r w:rsidR="000C181A">
        <w:rPr>
          <w:sz w:val="24"/>
        </w:rPr>
        <w:t>.</w:t>
      </w:r>
      <w:r w:rsidRPr="0006601A">
        <w:rPr>
          <w:sz w:val="24"/>
        </w:rPr>
        <w:t>, Saraf</w:t>
      </w:r>
      <w:r w:rsidR="000C181A">
        <w:rPr>
          <w:sz w:val="24"/>
        </w:rPr>
        <w:t>,</w:t>
      </w:r>
      <w:r w:rsidRPr="0006601A">
        <w:rPr>
          <w:sz w:val="24"/>
        </w:rPr>
        <w:t xml:space="preserve"> S</w:t>
      </w:r>
      <w:r w:rsidR="000C181A">
        <w:rPr>
          <w:sz w:val="24"/>
        </w:rPr>
        <w:t>.</w:t>
      </w:r>
      <w:r w:rsidRPr="0006601A">
        <w:rPr>
          <w:sz w:val="24"/>
        </w:rPr>
        <w:t>A.</w:t>
      </w:r>
      <w:r w:rsidR="000C181A">
        <w:rPr>
          <w:sz w:val="24"/>
        </w:rPr>
        <w:t>.</w:t>
      </w:r>
      <w:r w:rsidRPr="0006601A">
        <w:rPr>
          <w:sz w:val="24"/>
        </w:rPr>
        <w:t xml:space="preserve"> Herbs-are they safe enough? An o</w:t>
      </w:r>
      <w:r>
        <w:rPr>
          <w:sz w:val="24"/>
        </w:rPr>
        <w:t>verview. Crit Rev Food Sci Nutr</w:t>
      </w:r>
      <w:r w:rsidR="000C181A">
        <w:rPr>
          <w:sz w:val="24"/>
        </w:rPr>
        <w:t xml:space="preserve">. </w:t>
      </w:r>
      <w:r w:rsidRPr="000C181A">
        <w:rPr>
          <w:b/>
          <w:sz w:val="24"/>
        </w:rPr>
        <w:t>52</w:t>
      </w:r>
      <w:r w:rsidRPr="0006601A">
        <w:rPr>
          <w:sz w:val="24"/>
        </w:rPr>
        <w:t>(10)</w:t>
      </w:r>
      <w:r w:rsidR="000C181A">
        <w:rPr>
          <w:sz w:val="24"/>
        </w:rPr>
        <w:t xml:space="preserve"> (2012), </w:t>
      </w:r>
      <w:r w:rsidRPr="0006601A">
        <w:rPr>
          <w:sz w:val="24"/>
        </w:rPr>
        <w:t>876-</w:t>
      </w:r>
      <w:r>
        <w:rPr>
          <w:sz w:val="24"/>
        </w:rPr>
        <w:t>8</w:t>
      </w:r>
      <w:r w:rsidRPr="0006601A">
        <w:rPr>
          <w:sz w:val="24"/>
        </w:rPr>
        <w:t>98.</w:t>
      </w:r>
    </w:p>
    <w:p w:rsidR="001B65F1" w:rsidRDefault="001B65F1" w:rsidP="000C181A">
      <w:pPr>
        <w:widowControl/>
        <w:numPr>
          <w:ilvl w:val="0"/>
          <w:numId w:val="3"/>
        </w:numPr>
        <w:spacing w:after="200"/>
        <w:ind w:left="357" w:hanging="357"/>
        <w:contextualSpacing/>
        <w:jc w:val="both"/>
        <w:rPr>
          <w:sz w:val="24"/>
        </w:rPr>
      </w:pPr>
      <w:r w:rsidRPr="0006601A">
        <w:rPr>
          <w:sz w:val="24"/>
        </w:rPr>
        <w:t>Posadzki P, Watson L, Ernst E. Herb-drug interactions: an overview of systemat</w:t>
      </w:r>
      <w:r>
        <w:rPr>
          <w:sz w:val="24"/>
        </w:rPr>
        <w:t>ic reviews. Br J Clin Pharmacol</w:t>
      </w:r>
      <w:r w:rsidRPr="0006601A">
        <w:rPr>
          <w:sz w:val="24"/>
        </w:rPr>
        <w:t xml:space="preserve"> 2013;</w:t>
      </w:r>
      <w:r>
        <w:rPr>
          <w:sz w:val="24"/>
        </w:rPr>
        <w:t xml:space="preserve"> </w:t>
      </w:r>
      <w:r w:rsidRPr="0006601A">
        <w:rPr>
          <w:sz w:val="24"/>
        </w:rPr>
        <w:t>75(3):</w:t>
      </w:r>
      <w:r>
        <w:rPr>
          <w:sz w:val="24"/>
        </w:rPr>
        <w:t xml:space="preserve"> </w:t>
      </w:r>
      <w:r w:rsidRPr="0006601A">
        <w:rPr>
          <w:sz w:val="24"/>
        </w:rPr>
        <w:t>603-</w:t>
      </w:r>
      <w:r>
        <w:rPr>
          <w:sz w:val="24"/>
        </w:rPr>
        <w:t>6</w:t>
      </w:r>
      <w:r w:rsidRPr="0006601A">
        <w:rPr>
          <w:sz w:val="24"/>
        </w:rPr>
        <w:t>18.</w:t>
      </w:r>
    </w:p>
    <w:p w:rsidR="001B65F1" w:rsidRDefault="001B65F1" w:rsidP="000C181A">
      <w:pPr>
        <w:widowControl/>
        <w:numPr>
          <w:ilvl w:val="0"/>
          <w:numId w:val="3"/>
        </w:numPr>
        <w:spacing w:after="200"/>
        <w:ind w:left="357" w:hanging="357"/>
        <w:contextualSpacing/>
        <w:jc w:val="both"/>
        <w:rPr>
          <w:sz w:val="24"/>
        </w:rPr>
      </w:pPr>
      <w:r w:rsidRPr="0006601A">
        <w:rPr>
          <w:sz w:val="24"/>
        </w:rPr>
        <w:t>Belpaire FM, Bogaert MG. Cytochrome P450: genetic polymorphism and dr</w:t>
      </w:r>
      <w:r>
        <w:rPr>
          <w:sz w:val="24"/>
        </w:rPr>
        <w:t>ug interactions. Acta Clin Belg</w:t>
      </w:r>
      <w:r w:rsidRPr="0006601A">
        <w:rPr>
          <w:sz w:val="24"/>
        </w:rPr>
        <w:t xml:space="preserve"> 1996;</w:t>
      </w:r>
      <w:r>
        <w:rPr>
          <w:sz w:val="24"/>
        </w:rPr>
        <w:t xml:space="preserve"> </w:t>
      </w:r>
      <w:r w:rsidRPr="0006601A">
        <w:rPr>
          <w:sz w:val="24"/>
        </w:rPr>
        <w:t>51(4):</w:t>
      </w:r>
      <w:r>
        <w:rPr>
          <w:sz w:val="24"/>
        </w:rPr>
        <w:t xml:space="preserve"> </w:t>
      </w:r>
      <w:r w:rsidRPr="0006601A">
        <w:rPr>
          <w:sz w:val="24"/>
        </w:rPr>
        <w:t>254-</w:t>
      </w:r>
      <w:r>
        <w:rPr>
          <w:sz w:val="24"/>
        </w:rPr>
        <w:t>2</w:t>
      </w:r>
      <w:r w:rsidRPr="0006601A">
        <w:rPr>
          <w:sz w:val="24"/>
        </w:rPr>
        <w:t>60.</w:t>
      </w:r>
    </w:p>
    <w:p w:rsidR="001B65F1" w:rsidRDefault="001B65F1" w:rsidP="000C181A">
      <w:pPr>
        <w:widowControl/>
        <w:numPr>
          <w:ilvl w:val="0"/>
          <w:numId w:val="3"/>
        </w:numPr>
        <w:spacing w:after="200"/>
        <w:ind w:left="357" w:hanging="357"/>
        <w:contextualSpacing/>
        <w:jc w:val="both"/>
        <w:rPr>
          <w:sz w:val="24"/>
        </w:rPr>
      </w:pPr>
      <w:r w:rsidRPr="0006601A">
        <w:rPr>
          <w:sz w:val="24"/>
        </w:rPr>
        <w:t>Al-Sereiti MR, Abu-Amer KM, Sen P. Pharmacology of rosemary (Rosmarinus officinalis Linn.) and its therapeuti</w:t>
      </w:r>
      <w:r>
        <w:rPr>
          <w:sz w:val="24"/>
        </w:rPr>
        <w:t>c potentials. Indian J Exp Biol</w:t>
      </w:r>
      <w:r w:rsidRPr="0006601A">
        <w:rPr>
          <w:sz w:val="24"/>
        </w:rPr>
        <w:t xml:space="preserve"> 1999;</w:t>
      </w:r>
      <w:r>
        <w:rPr>
          <w:sz w:val="24"/>
        </w:rPr>
        <w:t xml:space="preserve"> </w:t>
      </w:r>
      <w:r w:rsidRPr="0006601A">
        <w:rPr>
          <w:sz w:val="24"/>
        </w:rPr>
        <w:t>37(2):</w:t>
      </w:r>
      <w:r>
        <w:rPr>
          <w:sz w:val="24"/>
        </w:rPr>
        <w:t xml:space="preserve"> </w:t>
      </w:r>
      <w:r w:rsidRPr="0006601A">
        <w:rPr>
          <w:sz w:val="24"/>
        </w:rPr>
        <w:t>124-</w:t>
      </w:r>
      <w:r>
        <w:rPr>
          <w:sz w:val="24"/>
        </w:rPr>
        <w:t>1</w:t>
      </w:r>
      <w:r w:rsidRPr="0006601A">
        <w:rPr>
          <w:sz w:val="24"/>
        </w:rPr>
        <w:t>30.</w:t>
      </w:r>
    </w:p>
    <w:p w:rsidR="001B65F1" w:rsidRDefault="001B65F1" w:rsidP="000C181A">
      <w:pPr>
        <w:widowControl/>
        <w:numPr>
          <w:ilvl w:val="0"/>
          <w:numId w:val="3"/>
        </w:numPr>
        <w:spacing w:after="200"/>
        <w:ind w:left="357" w:hanging="357"/>
        <w:contextualSpacing/>
        <w:jc w:val="both"/>
        <w:rPr>
          <w:sz w:val="24"/>
        </w:rPr>
      </w:pPr>
      <w:r w:rsidRPr="0006601A">
        <w:rPr>
          <w:sz w:val="24"/>
        </w:rPr>
        <w:t>Ngo SN, Williams DB, Head RJ. Rosemary and cancer prevention: preclinical persp</w:t>
      </w:r>
      <w:r>
        <w:rPr>
          <w:sz w:val="24"/>
        </w:rPr>
        <w:t>ectives. Crit Rev Food Sci Nutr</w:t>
      </w:r>
      <w:r w:rsidRPr="0006601A">
        <w:rPr>
          <w:sz w:val="24"/>
        </w:rPr>
        <w:t xml:space="preserve"> 2011;</w:t>
      </w:r>
      <w:r>
        <w:rPr>
          <w:sz w:val="24"/>
        </w:rPr>
        <w:t xml:space="preserve"> </w:t>
      </w:r>
      <w:r w:rsidRPr="0006601A">
        <w:rPr>
          <w:sz w:val="24"/>
        </w:rPr>
        <w:t>51(10):</w:t>
      </w:r>
      <w:r>
        <w:rPr>
          <w:sz w:val="24"/>
        </w:rPr>
        <w:t xml:space="preserve"> </w:t>
      </w:r>
      <w:r w:rsidRPr="0006601A">
        <w:rPr>
          <w:sz w:val="24"/>
        </w:rPr>
        <w:t>946-</w:t>
      </w:r>
      <w:r>
        <w:rPr>
          <w:sz w:val="24"/>
        </w:rPr>
        <w:t>9</w:t>
      </w:r>
      <w:r w:rsidRPr="0006601A">
        <w:rPr>
          <w:sz w:val="24"/>
        </w:rPr>
        <w:t>54.</w:t>
      </w:r>
    </w:p>
    <w:p w:rsidR="001B65F1" w:rsidRDefault="001B65F1" w:rsidP="000C181A">
      <w:pPr>
        <w:widowControl/>
        <w:numPr>
          <w:ilvl w:val="0"/>
          <w:numId w:val="3"/>
        </w:numPr>
        <w:spacing w:after="200"/>
        <w:ind w:left="357" w:hanging="357"/>
        <w:contextualSpacing/>
        <w:jc w:val="both"/>
        <w:rPr>
          <w:sz w:val="24"/>
        </w:rPr>
      </w:pPr>
      <w:r w:rsidRPr="0006601A">
        <w:rPr>
          <w:sz w:val="24"/>
        </w:rPr>
        <w:t xml:space="preserve">European Medicines Agency. Community herbal monograph on Rosmarinus officinalis L., aetheroleum, 2010. URL </w:t>
      </w:r>
      <w:r>
        <w:rPr>
          <w:sz w:val="24"/>
        </w:rPr>
        <w:t>http://www.ema.europa.eu/docs/en_GB/document_library/Herbal_-_Community_herbal_monograph/2011/01/WC500101493.pdf. Accessed 11.11.2013</w:t>
      </w:r>
      <w:r w:rsidRPr="0006601A">
        <w:rPr>
          <w:sz w:val="24"/>
        </w:rPr>
        <w:t>.</w:t>
      </w:r>
    </w:p>
    <w:p w:rsidR="001B65F1" w:rsidRDefault="001B65F1" w:rsidP="000C181A">
      <w:pPr>
        <w:widowControl/>
        <w:numPr>
          <w:ilvl w:val="0"/>
          <w:numId w:val="3"/>
        </w:numPr>
        <w:spacing w:after="200"/>
        <w:ind w:left="357" w:hanging="357"/>
        <w:contextualSpacing/>
        <w:jc w:val="both"/>
        <w:rPr>
          <w:sz w:val="24"/>
        </w:rPr>
      </w:pPr>
      <w:r w:rsidRPr="0006601A">
        <w:rPr>
          <w:sz w:val="24"/>
        </w:rPr>
        <w:t>Ojeda-Sana AM, van Baren CM, Elechosa MA, Juarez MA, Moreno S. New insights into antibacterial and antioxidant activities of rosemary essential oils and thei</w:t>
      </w:r>
      <w:r>
        <w:rPr>
          <w:sz w:val="24"/>
        </w:rPr>
        <w:t>r main components. Food Control</w:t>
      </w:r>
      <w:r w:rsidRPr="0006601A">
        <w:rPr>
          <w:sz w:val="24"/>
        </w:rPr>
        <w:t xml:space="preserve"> 2013;</w:t>
      </w:r>
      <w:r>
        <w:rPr>
          <w:sz w:val="24"/>
        </w:rPr>
        <w:t xml:space="preserve"> </w:t>
      </w:r>
      <w:r w:rsidRPr="0006601A">
        <w:rPr>
          <w:sz w:val="24"/>
        </w:rPr>
        <w:t>31(1):</w:t>
      </w:r>
      <w:r>
        <w:rPr>
          <w:sz w:val="24"/>
        </w:rPr>
        <w:t xml:space="preserve"> </w:t>
      </w:r>
      <w:r w:rsidRPr="0006601A">
        <w:rPr>
          <w:sz w:val="24"/>
        </w:rPr>
        <w:t>189-</w:t>
      </w:r>
      <w:r>
        <w:rPr>
          <w:sz w:val="24"/>
        </w:rPr>
        <w:t>1</w:t>
      </w:r>
      <w:r w:rsidRPr="0006601A">
        <w:rPr>
          <w:sz w:val="24"/>
        </w:rPr>
        <w:t>95.</w:t>
      </w:r>
    </w:p>
    <w:p w:rsidR="001B65F1" w:rsidRPr="005D2B55" w:rsidRDefault="001B65F1" w:rsidP="000C181A">
      <w:pPr>
        <w:widowControl/>
        <w:numPr>
          <w:ilvl w:val="0"/>
          <w:numId w:val="3"/>
        </w:numPr>
        <w:spacing w:after="200"/>
        <w:ind w:left="357" w:hanging="357"/>
        <w:contextualSpacing/>
        <w:jc w:val="both"/>
        <w:rPr>
          <w:sz w:val="24"/>
        </w:rPr>
      </w:pPr>
      <w:r w:rsidRPr="0006601A">
        <w:rPr>
          <w:sz w:val="24"/>
        </w:rPr>
        <w:t>Takaki I, Bersani-Amado LE, Vendruscolo A, Sartoretto SM, Diniz SP, Bersani-Amado CA, Cuman RK. Anti-inflammatory and antinociceptive effects of Rosmarinus officinalis L. essential oil in experim</w:t>
      </w:r>
      <w:r>
        <w:rPr>
          <w:sz w:val="24"/>
        </w:rPr>
        <w:t>ental animal models. J Med Food</w:t>
      </w:r>
      <w:r w:rsidRPr="0006601A">
        <w:rPr>
          <w:sz w:val="24"/>
        </w:rPr>
        <w:t xml:space="preserve"> 2008;</w:t>
      </w:r>
      <w:r>
        <w:rPr>
          <w:sz w:val="24"/>
        </w:rPr>
        <w:t xml:space="preserve"> </w:t>
      </w:r>
      <w:r w:rsidRPr="0006601A">
        <w:rPr>
          <w:sz w:val="24"/>
        </w:rPr>
        <w:t>11(4):</w:t>
      </w:r>
      <w:r>
        <w:rPr>
          <w:sz w:val="24"/>
        </w:rPr>
        <w:t xml:space="preserve"> </w:t>
      </w:r>
      <w:r w:rsidRPr="0006601A">
        <w:rPr>
          <w:sz w:val="24"/>
        </w:rPr>
        <w:t>741-</w:t>
      </w:r>
      <w:r>
        <w:rPr>
          <w:sz w:val="24"/>
        </w:rPr>
        <w:t>74</w:t>
      </w:r>
      <w:r w:rsidRPr="0006601A">
        <w:rPr>
          <w:sz w:val="24"/>
        </w:rPr>
        <w:t>6.</w:t>
      </w:r>
    </w:p>
    <w:p w:rsidR="001B65F1" w:rsidRDefault="001B65F1" w:rsidP="000C181A">
      <w:pPr>
        <w:widowControl/>
        <w:numPr>
          <w:ilvl w:val="0"/>
          <w:numId w:val="3"/>
        </w:numPr>
        <w:spacing w:after="200"/>
        <w:ind w:left="357" w:hanging="357"/>
        <w:contextualSpacing/>
        <w:jc w:val="both"/>
        <w:rPr>
          <w:sz w:val="24"/>
        </w:rPr>
      </w:pPr>
      <w:r w:rsidRPr="0006601A">
        <w:rPr>
          <w:sz w:val="24"/>
        </w:rPr>
        <w:t>Ulbricht C, Abrams TR, Brigham A, Ceurvels J, Clubb J, Curtiss W, Kirkwood CD, Giese N, Hoehn K, Iovin R, Isaac R, Rusie E, Serrano JM, Varghese M, Weissner W, Windsor RC. An evidence-based systematic review of rosemary (Rosmarinus officinalis) by the Natural Standard Resea</w:t>
      </w:r>
      <w:r>
        <w:rPr>
          <w:sz w:val="24"/>
        </w:rPr>
        <w:t>rch Collaboration. J Diet Suppl</w:t>
      </w:r>
      <w:r w:rsidRPr="0006601A">
        <w:rPr>
          <w:sz w:val="24"/>
        </w:rPr>
        <w:t xml:space="preserve"> 2010;</w:t>
      </w:r>
      <w:r>
        <w:rPr>
          <w:sz w:val="24"/>
        </w:rPr>
        <w:t xml:space="preserve"> </w:t>
      </w:r>
      <w:r w:rsidRPr="0006601A">
        <w:rPr>
          <w:sz w:val="24"/>
        </w:rPr>
        <w:t>7(4):</w:t>
      </w:r>
      <w:r>
        <w:rPr>
          <w:sz w:val="24"/>
        </w:rPr>
        <w:t xml:space="preserve"> </w:t>
      </w:r>
      <w:r w:rsidRPr="0006601A">
        <w:rPr>
          <w:sz w:val="24"/>
        </w:rPr>
        <w:t>351-413.</w:t>
      </w:r>
    </w:p>
    <w:p w:rsidR="001B65F1" w:rsidRDefault="001B65F1" w:rsidP="000C181A">
      <w:pPr>
        <w:widowControl/>
        <w:numPr>
          <w:ilvl w:val="0"/>
          <w:numId w:val="3"/>
        </w:numPr>
        <w:spacing w:after="200"/>
        <w:ind w:left="357" w:hanging="357"/>
        <w:contextualSpacing/>
        <w:jc w:val="both"/>
        <w:rPr>
          <w:sz w:val="24"/>
        </w:rPr>
      </w:pPr>
      <w:r w:rsidRPr="0006601A">
        <w:rPr>
          <w:sz w:val="24"/>
        </w:rPr>
        <w:t xml:space="preserve">Hiroi T, Miyazaki Y, Kobayashi Y, Imaoka S, Funae Y. Induction of hepatic P450s in rat by essential </w:t>
      </w:r>
      <w:r>
        <w:rPr>
          <w:sz w:val="24"/>
        </w:rPr>
        <w:t>wood and leaf oils. Xenobiotica</w:t>
      </w:r>
      <w:r w:rsidRPr="0006601A">
        <w:rPr>
          <w:sz w:val="24"/>
        </w:rPr>
        <w:t xml:space="preserve"> 1995;</w:t>
      </w:r>
      <w:r>
        <w:rPr>
          <w:sz w:val="24"/>
        </w:rPr>
        <w:t xml:space="preserve"> </w:t>
      </w:r>
      <w:r w:rsidRPr="0006601A">
        <w:rPr>
          <w:sz w:val="24"/>
        </w:rPr>
        <w:t>25(5):</w:t>
      </w:r>
      <w:r>
        <w:rPr>
          <w:sz w:val="24"/>
        </w:rPr>
        <w:t xml:space="preserve"> </w:t>
      </w:r>
      <w:r w:rsidRPr="0006601A">
        <w:rPr>
          <w:sz w:val="24"/>
        </w:rPr>
        <w:t>457-</w:t>
      </w:r>
      <w:r>
        <w:rPr>
          <w:sz w:val="24"/>
        </w:rPr>
        <w:t>4</w:t>
      </w:r>
      <w:r w:rsidRPr="0006601A">
        <w:rPr>
          <w:sz w:val="24"/>
        </w:rPr>
        <w:t>67.</w:t>
      </w:r>
    </w:p>
    <w:p w:rsidR="001B65F1" w:rsidRDefault="001B65F1" w:rsidP="000C181A">
      <w:pPr>
        <w:widowControl/>
        <w:numPr>
          <w:ilvl w:val="0"/>
          <w:numId w:val="3"/>
        </w:numPr>
        <w:spacing w:after="200"/>
        <w:ind w:left="357" w:hanging="357"/>
        <w:contextualSpacing/>
        <w:jc w:val="both"/>
        <w:rPr>
          <w:sz w:val="24"/>
        </w:rPr>
      </w:pPr>
      <w:r w:rsidRPr="0006601A">
        <w:rPr>
          <w:sz w:val="24"/>
        </w:rPr>
        <w:lastRenderedPageBreak/>
        <w:t>Debersac P, Heydel JM, Amiot MJ, Goudonnet H, Artur Y, Suschetet M, Siess MH. Induction of cytochrome P450 and/or detoxication enzymes by various extracts of rosemary: description of speci</w:t>
      </w:r>
      <w:r>
        <w:rPr>
          <w:sz w:val="24"/>
        </w:rPr>
        <w:t>fic patterns. Food Chem Toxicol</w:t>
      </w:r>
      <w:r w:rsidRPr="0006601A">
        <w:rPr>
          <w:sz w:val="24"/>
        </w:rPr>
        <w:t xml:space="preserve"> 2001;</w:t>
      </w:r>
      <w:r>
        <w:rPr>
          <w:sz w:val="24"/>
        </w:rPr>
        <w:t xml:space="preserve"> </w:t>
      </w:r>
      <w:r w:rsidRPr="0006601A">
        <w:rPr>
          <w:sz w:val="24"/>
        </w:rPr>
        <w:t>39(9):</w:t>
      </w:r>
      <w:r>
        <w:rPr>
          <w:sz w:val="24"/>
        </w:rPr>
        <w:t xml:space="preserve"> </w:t>
      </w:r>
      <w:r w:rsidRPr="0006601A">
        <w:rPr>
          <w:sz w:val="24"/>
        </w:rPr>
        <w:t>907-</w:t>
      </w:r>
      <w:r>
        <w:rPr>
          <w:sz w:val="24"/>
        </w:rPr>
        <w:t>9</w:t>
      </w:r>
      <w:r w:rsidRPr="0006601A">
        <w:rPr>
          <w:sz w:val="24"/>
        </w:rPr>
        <w:t>18.</w:t>
      </w:r>
    </w:p>
    <w:p w:rsidR="001B65F1" w:rsidRDefault="001B65F1" w:rsidP="000C181A">
      <w:pPr>
        <w:widowControl/>
        <w:numPr>
          <w:ilvl w:val="0"/>
          <w:numId w:val="3"/>
        </w:numPr>
        <w:spacing w:after="200"/>
        <w:ind w:left="357" w:hanging="357"/>
        <w:contextualSpacing/>
        <w:jc w:val="both"/>
        <w:rPr>
          <w:sz w:val="24"/>
        </w:rPr>
      </w:pPr>
      <w:r w:rsidRPr="0006601A">
        <w:rPr>
          <w:sz w:val="24"/>
        </w:rPr>
        <w:t>Mikus</w:t>
      </w:r>
      <w:r>
        <w:rPr>
          <w:sz w:val="24"/>
        </w:rPr>
        <w:t xml:space="preserve"> G, Weiss J. </w:t>
      </w:r>
      <w:r w:rsidRPr="0006601A">
        <w:rPr>
          <w:sz w:val="24"/>
        </w:rPr>
        <w:t xml:space="preserve">Influence of CYP2D6 genetics on opioid kinetics, </w:t>
      </w:r>
      <w:r>
        <w:rPr>
          <w:sz w:val="24"/>
        </w:rPr>
        <w:t xml:space="preserve">metabolism and response. Curr Pharmacogenomics 2005; 3: </w:t>
      </w:r>
      <w:r w:rsidRPr="0006601A">
        <w:rPr>
          <w:sz w:val="24"/>
        </w:rPr>
        <w:t>43-52.</w:t>
      </w:r>
    </w:p>
    <w:p w:rsidR="001B65F1" w:rsidRPr="005D2B55" w:rsidRDefault="001B65F1" w:rsidP="000C181A">
      <w:pPr>
        <w:widowControl/>
        <w:numPr>
          <w:ilvl w:val="0"/>
          <w:numId w:val="3"/>
        </w:numPr>
        <w:spacing w:after="200"/>
        <w:ind w:left="357" w:hanging="357"/>
        <w:contextualSpacing/>
        <w:jc w:val="both"/>
        <w:rPr>
          <w:sz w:val="24"/>
        </w:rPr>
      </w:pPr>
      <w:r w:rsidRPr="0006601A">
        <w:rPr>
          <w:sz w:val="24"/>
        </w:rPr>
        <w:t>Bibi Z. Role of cytochrome P450 i</w:t>
      </w:r>
      <w:r>
        <w:rPr>
          <w:sz w:val="24"/>
        </w:rPr>
        <w:t>n drug interactions. Nutr Metab</w:t>
      </w:r>
      <w:r w:rsidRPr="0006601A">
        <w:rPr>
          <w:sz w:val="24"/>
        </w:rPr>
        <w:t xml:space="preserve"> 2008;</w:t>
      </w:r>
      <w:r>
        <w:rPr>
          <w:sz w:val="24"/>
        </w:rPr>
        <w:t xml:space="preserve"> </w:t>
      </w:r>
      <w:r w:rsidRPr="0006601A">
        <w:rPr>
          <w:sz w:val="24"/>
        </w:rPr>
        <w:t>5:</w:t>
      </w:r>
      <w:r>
        <w:rPr>
          <w:sz w:val="24"/>
        </w:rPr>
        <w:t xml:space="preserve"> </w:t>
      </w:r>
      <w:r w:rsidRPr="0006601A">
        <w:rPr>
          <w:sz w:val="24"/>
        </w:rPr>
        <w:t>27.</w:t>
      </w:r>
    </w:p>
    <w:p w:rsidR="001B65F1" w:rsidRDefault="001B65F1" w:rsidP="000C181A">
      <w:pPr>
        <w:widowControl/>
        <w:numPr>
          <w:ilvl w:val="0"/>
          <w:numId w:val="3"/>
        </w:numPr>
        <w:spacing w:after="200"/>
        <w:ind w:left="357" w:hanging="357"/>
        <w:contextualSpacing/>
        <w:jc w:val="both"/>
        <w:rPr>
          <w:sz w:val="24"/>
        </w:rPr>
      </w:pPr>
      <w:r w:rsidRPr="0006601A">
        <w:rPr>
          <w:sz w:val="24"/>
        </w:rPr>
        <w:t>Bertolini A, Ferrari A, Ottani A, Guerzoni S, Tacchi R, Leone S. Paracetamol: new vist</w:t>
      </w:r>
      <w:r>
        <w:rPr>
          <w:sz w:val="24"/>
        </w:rPr>
        <w:t>as of an old drug. CNS Drug Rev</w:t>
      </w:r>
      <w:r w:rsidRPr="0006601A">
        <w:rPr>
          <w:sz w:val="24"/>
        </w:rPr>
        <w:t xml:space="preserve"> 2006;</w:t>
      </w:r>
      <w:r>
        <w:rPr>
          <w:sz w:val="24"/>
        </w:rPr>
        <w:t xml:space="preserve"> 12</w:t>
      </w:r>
      <w:r w:rsidRPr="0006601A">
        <w:rPr>
          <w:sz w:val="24"/>
        </w:rPr>
        <w:t>:</w:t>
      </w:r>
      <w:r>
        <w:rPr>
          <w:sz w:val="24"/>
        </w:rPr>
        <w:t xml:space="preserve"> </w:t>
      </w:r>
      <w:r w:rsidRPr="0006601A">
        <w:rPr>
          <w:sz w:val="24"/>
        </w:rPr>
        <w:t>250-</w:t>
      </w:r>
      <w:r>
        <w:rPr>
          <w:sz w:val="24"/>
        </w:rPr>
        <w:t>2</w:t>
      </w:r>
      <w:r w:rsidRPr="0006601A">
        <w:rPr>
          <w:sz w:val="24"/>
        </w:rPr>
        <w:t>75.</w:t>
      </w:r>
    </w:p>
    <w:p w:rsidR="001B65F1" w:rsidRDefault="001B65F1" w:rsidP="000C181A">
      <w:pPr>
        <w:widowControl/>
        <w:numPr>
          <w:ilvl w:val="0"/>
          <w:numId w:val="3"/>
        </w:numPr>
        <w:spacing w:after="200"/>
        <w:ind w:left="357" w:hanging="357"/>
        <w:contextualSpacing/>
        <w:jc w:val="both"/>
        <w:rPr>
          <w:sz w:val="24"/>
        </w:rPr>
      </w:pPr>
      <w:r>
        <w:rPr>
          <w:sz w:val="24"/>
        </w:rPr>
        <w:t>European Pharmacopeia</w:t>
      </w:r>
      <w:r w:rsidRPr="0006601A">
        <w:rPr>
          <w:sz w:val="24"/>
        </w:rPr>
        <w:t xml:space="preserve"> </w:t>
      </w:r>
      <w:r>
        <w:rPr>
          <w:sz w:val="24"/>
        </w:rPr>
        <w:t>(4th edition).</w:t>
      </w:r>
      <w:r w:rsidRPr="0006601A">
        <w:rPr>
          <w:sz w:val="24"/>
        </w:rPr>
        <w:t xml:space="preserve"> Council of E</w:t>
      </w:r>
      <w:r>
        <w:rPr>
          <w:sz w:val="24"/>
        </w:rPr>
        <w:t>urope: Strasbourg Cedex, France.</w:t>
      </w:r>
      <w:r w:rsidRPr="0006601A">
        <w:rPr>
          <w:sz w:val="24"/>
        </w:rPr>
        <w:t xml:space="preserve"> 2002; pp</w:t>
      </w:r>
      <w:r>
        <w:rPr>
          <w:sz w:val="24"/>
        </w:rPr>
        <w:t>.</w:t>
      </w:r>
      <w:r w:rsidRPr="0006601A">
        <w:rPr>
          <w:sz w:val="24"/>
        </w:rPr>
        <w:t xml:space="preserve"> 183-184.</w:t>
      </w:r>
    </w:p>
    <w:p w:rsidR="001B65F1" w:rsidRDefault="001B65F1" w:rsidP="000C181A">
      <w:pPr>
        <w:widowControl/>
        <w:numPr>
          <w:ilvl w:val="0"/>
          <w:numId w:val="3"/>
        </w:numPr>
        <w:spacing w:after="200"/>
        <w:ind w:left="357" w:hanging="357"/>
        <w:contextualSpacing/>
        <w:jc w:val="both"/>
        <w:rPr>
          <w:sz w:val="24"/>
        </w:rPr>
      </w:pPr>
      <w:r w:rsidRPr="00F9631B">
        <w:rPr>
          <w:sz w:val="24"/>
        </w:rPr>
        <w:t>Blumenthal M, Goldberg A, Brinckmann J, editors. Herbal Medicine: Expanded Commission E Monographs. Boston (MA): Integrative Medicine Communications; 2000.</w:t>
      </w:r>
    </w:p>
    <w:p w:rsidR="001B65F1" w:rsidRDefault="001B65F1" w:rsidP="000C181A">
      <w:pPr>
        <w:widowControl/>
        <w:numPr>
          <w:ilvl w:val="0"/>
          <w:numId w:val="3"/>
        </w:numPr>
        <w:spacing w:after="200"/>
        <w:ind w:left="357" w:hanging="357"/>
        <w:contextualSpacing/>
        <w:jc w:val="both"/>
        <w:rPr>
          <w:sz w:val="24"/>
        </w:rPr>
      </w:pPr>
      <w:r w:rsidRPr="001755C9">
        <w:rPr>
          <w:sz w:val="24"/>
        </w:rPr>
        <w:t>Horvat O, Raskovic A, Jakovljevic V, Sabo J, Berenji J.</w:t>
      </w:r>
      <w:r>
        <w:rPr>
          <w:sz w:val="24"/>
        </w:rPr>
        <w:t xml:space="preserve"> </w:t>
      </w:r>
      <w:r w:rsidRPr="001755C9">
        <w:rPr>
          <w:sz w:val="24"/>
        </w:rPr>
        <w:t>Interaction of alcoholic extracts of hops with c</w:t>
      </w:r>
      <w:r>
        <w:rPr>
          <w:sz w:val="24"/>
        </w:rPr>
        <w:t xml:space="preserve">ocaine and paracetamol in mice. </w:t>
      </w:r>
      <w:r w:rsidRPr="001755C9">
        <w:rPr>
          <w:sz w:val="24"/>
        </w:rPr>
        <w:t>Eur J Drug Metab Pharmacok</w:t>
      </w:r>
      <w:r>
        <w:rPr>
          <w:sz w:val="24"/>
        </w:rPr>
        <w:t>inet 2007; 32(1): 39-44.</w:t>
      </w:r>
    </w:p>
    <w:p w:rsidR="001B65F1" w:rsidRDefault="001B65F1" w:rsidP="000C181A">
      <w:pPr>
        <w:widowControl/>
        <w:numPr>
          <w:ilvl w:val="0"/>
          <w:numId w:val="3"/>
        </w:numPr>
        <w:spacing w:after="200"/>
        <w:ind w:left="357" w:hanging="357"/>
        <w:contextualSpacing/>
        <w:jc w:val="both"/>
        <w:rPr>
          <w:sz w:val="24"/>
        </w:rPr>
      </w:pPr>
      <w:r w:rsidRPr="0006601A">
        <w:rPr>
          <w:sz w:val="24"/>
        </w:rPr>
        <w:t>Teixeira B, Marques A, Ramos C, Neng NR, Nogueira JMF, Saraiva JA, Nunes ML. Chemical composition and antibacterial and antioxidant properties of commercia</w:t>
      </w:r>
      <w:r>
        <w:rPr>
          <w:sz w:val="24"/>
        </w:rPr>
        <w:t>l essential oils. Ind Crop Prod</w:t>
      </w:r>
      <w:r w:rsidRPr="0006601A">
        <w:rPr>
          <w:sz w:val="24"/>
        </w:rPr>
        <w:t xml:space="preserve"> 2013;</w:t>
      </w:r>
      <w:r>
        <w:rPr>
          <w:sz w:val="24"/>
        </w:rPr>
        <w:t xml:space="preserve"> </w:t>
      </w:r>
      <w:r w:rsidRPr="0006601A">
        <w:rPr>
          <w:sz w:val="24"/>
        </w:rPr>
        <w:t>43:</w:t>
      </w:r>
      <w:r>
        <w:rPr>
          <w:sz w:val="24"/>
        </w:rPr>
        <w:t xml:space="preserve"> </w:t>
      </w:r>
      <w:r w:rsidRPr="0006601A">
        <w:rPr>
          <w:sz w:val="24"/>
        </w:rPr>
        <w:t>587-</w:t>
      </w:r>
      <w:r>
        <w:rPr>
          <w:sz w:val="24"/>
        </w:rPr>
        <w:t>5</w:t>
      </w:r>
      <w:r w:rsidRPr="0006601A">
        <w:rPr>
          <w:sz w:val="24"/>
        </w:rPr>
        <w:t>95.</w:t>
      </w:r>
    </w:p>
    <w:p w:rsidR="001B65F1" w:rsidRDefault="001B65F1" w:rsidP="000C181A">
      <w:pPr>
        <w:widowControl/>
        <w:numPr>
          <w:ilvl w:val="0"/>
          <w:numId w:val="3"/>
        </w:numPr>
        <w:spacing w:after="200"/>
        <w:ind w:left="357" w:hanging="357"/>
        <w:contextualSpacing/>
        <w:jc w:val="both"/>
        <w:rPr>
          <w:sz w:val="24"/>
        </w:rPr>
      </w:pPr>
      <w:r w:rsidRPr="0006601A">
        <w:rPr>
          <w:sz w:val="24"/>
        </w:rPr>
        <w:t>de Faria LRD, Lima CS, Perazzo FF, Carvalho JCT. Anti-inflammatory and antinociceptive activities of the essential oil from Rosmarinus officinalis L. (Lamiaceae). Int</w:t>
      </w:r>
      <w:r>
        <w:rPr>
          <w:sz w:val="24"/>
        </w:rPr>
        <w:t xml:space="preserve"> J Pharm Sci Rev Res 2011; 7:</w:t>
      </w:r>
      <w:r w:rsidRPr="0006601A">
        <w:rPr>
          <w:sz w:val="24"/>
        </w:rPr>
        <w:t xml:space="preserve"> 1-8.</w:t>
      </w:r>
    </w:p>
    <w:p w:rsidR="001B65F1" w:rsidRDefault="001B65F1" w:rsidP="000C181A">
      <w:pPr>
        <w:widowControl/>
        <w:numPr>
          <w:ilvl w:val="0"/>
          <w:numId w:val="3"/>
        </w:numPr>
        <w:spacing w:after="200"/>
        <w:ind w:left="357" w:hanging="357"/>
        <w:contextualSpacing/>
        <w:jc w:val="both"/>
        <w:rPr>
          <w:sz w:val="24"/>
        </w:rPr>
      </w:pPr>
      <w:r w:rsidRPr="0006601A">
        <w:rPr>
          <w:sz w:val="24"/>
        </w:rPr>
        <w:t>Martínez AL, González-Trujano ME, Pellicer F, López-Muñoz FJ, Navarrete A. Antinociceptive effect and GC/MS analysis of Rosmarinus officinalis L. essential oil fr</w:t>
      </w:r>
      <w:r>
        <w:rPr>
          <w:sz w:val="24"/>
        </w:rPr>
        <w:t>om its aerial parts. Planta Med</w:t>
      </w:r>
      <w:r w:rsidRPr="0006601A">
        <w:rPr>
          <w:sz w:val="24"/>
        </w:rPr>
        <w:t xml:space="preserve"> 2009;</w:t>
      </w:r>
      <w:r>
        <w:rPr>
          <w:sz w:val="24"/>
        </w:rPr>
        <w:t xml:space="preserve"> </w:t>
      </w:r>
      <w:r w:rsidRPr="0006601A">
        <w:rPr>
          <w:sz w:val="24"/>
        </w:rPr>
        <w:t>75(5):</w:t>
      </w:r>
      <w:r>
        <w:rPr>
          <w:sz w:val="24"/>
        </w:rPr>
        <w:t xml:space="preserve"> </w:t>
      </w:r>
      <w:r w:rsidRPr="0006601A">
        <w:rPr>
          <w:sz w:val="24"/>
        </w:rPr>
        <w:t>508-</w:t>
      </w:r>
      <w:r>
        <w:rPr>
          <w:sz w:val="24"/>
        </w:rPr>
        <w:t>5</w:t>
      </w:r>
      <w:r w:rsidRPr="0006601A">
        <w:rPr>
          <w:sz w:val="24"/>
        </w:rPr>
        <w:t>11.</w:t>
      </w:r>
    </w:p>
    <w:p w:rsidR="001B65F1" w:rsidRDefault="001B65F1" w:rsidP="000C181A">
      <w:pPr>
        <w:widowControl/>
        <w:numPr>
          <w:ilvl w:val="0"/>
          <w:numId w:val="3"/>
        </w:numPr>
        <w:spacing w:after="200"/>
        <w:ind w:left="357" w:hanging="357"/>
        <w:contextualSpacing/>
        <w:jc w:val="both"/>
        <w:rPr>
          <w:sz w:val="24"/>
        </w:rPr>
      </w:pPr>
      <w:r w:rsidRPr="0006601A">
        <w:rPr>
          <w:sz w:val="24"/>
        </w:rPr>
        <w:t>Guimarães AG, Quintans JS, Quintans LJ Jr. Monoterpenes with analgesic activity--a s</w:t>
      </w:r>
      <w:r>
        <w:rPr>
          <w:sz w:val="24"/>
        </w:rPr>
        <w:t>ystematic review. Phytother Res</w:t>
      </w:r>
      <w:r w:rsidRPr="0006601A">
        <w:rPr>
          <w:sz w:val="24"/>
        </w:rPr>
        <w:t xml:space="preserve"> 2013;</w:t>
      </w:r>
      <w:r>
        <w:rPr>
          <w:sz w:val="24"/>
        </w:rPr>
        <w:t xml:space="preserve"> </w:t>
      </w:r>
      <w:r w:rsidRPr="0006601A">
        <w:rPr>
          <w:sz w:val="24"/>
        </w:rPr>
        <w:t>27(1):</w:t>
      </w:r>
      <w:r>
        <w:rPr>
          <w:sz w:val="24"/>
        </w:rPr>
        <w:t xml:space="preserve"> </w:t>
      </w:r>
      <w:r w:rsidRPr="0006601A">
        <w:rPr>
          <w:sz w:val="24"/>
        </w:rPr>
        <w:t>1-15.</w:t>
      </w:r>
    </w:p>
    <w:p w:rsidR="001B65F1" w:rsidRPr="005D2B55" w:rsidRDefault="001B65F1" w:rsidP="000C181A">
      <w:pPr>
        <w:widowControl/>
        <w:numPr>
          <w:ilvl w:val="0"/>
          <w:numId w:val="3"/>
        </w:numPr>
        <w:spacing w:after="200"/>
        <w:ind w:left="357" w:hanging="357"/>
        <w:contextualSpacing/>
        <w:jc w:val="both"/>
        <w:rPr>
          <w:sz w:val="24"/>
        </w:rPr>
      </w:pPr>
      <w:r w:rsidRPr="0006601A">
        <w:rPr>
          <w:sz w:val="24"/>
        </w:rPr>
        <w:t>González-Trujano ME, Peña EI, Martínez AL, Moreno J, Guevara-Fefer P, Déciga-Campos M, López-Muñoz FJ. Evaluation of the antinociceptive effect of Rosmarinus officinalis L. using three different experimental mode</w:t>
      </w:r>
      <w:r>
        <w:rPr>
          <w:sz w:val="24"/>
        </w:rPr>
        <w:t>ls in rodents. J Ethnopharmacol</w:t>
      </w:r>
      <w:r w:rsidRPr="0006601A">
        <w:rPr>
          <w:sz w:val="24"/>
        </w:rPr>
        <w:t xml:space="preserve"> 2007;</w:t>
      </w:r>
      <w:r>
        <w:rPr>
          <w:sz w:val="24"/>
        </w:rPr>
        <w:t xml:space="preserve"> </w:t>
      </w:r>
      <w:r w:rsidRPr="0006601A">
        <w:rPr>
          <w:sz w:val="24"/>
        </w:rPr>
        <w:t>111(3):</w:t>
      </w:r>
      <w:r>
        <w:rPr>
          <w:sz w:val="24"/>
        </w:rPr>
        <w:t xml:space="preserve"> </w:t>
      </w:r>
      <w:r w:rsidRPr="0006601A">
        <w:rPr>
          <w:sz w:val="24"/>
        </w:rPr>
        <w:t>476-</w:t>
      </w:r>
      <w:r>
        <w:rPr>
          <w:sz w:val="24"/>
        </w:rPr>
        <w:t>4</w:t>
      </w:r>
      <w:r w:rsidRPr="0006601A">
        <w:rPr>
          <w:sz w:val="24"/>
        </w:rPr>
        <w:t>82.</w:t>
      </w:r>
    </w:p>
    <w:p w:rsidR="001B65F1" w:rsidRDefault="001B65F1" w:rsidP="000C181A">
      <w:pPr>
        <w:widowControl/>
        <w:numPr>
          <w:ilvl w:val="0"/>
          <w:numId w:val="3"/>
        </w:numPr>
        <w:spacing w:after="200"/>
        <w:ind w:left="357" w:hanging="357"/>
        <w:contextualSpacing/>
        <w:jc w:val="both"/>
        <w:rPr>
          <w:sz w:val="24"/>
        </w:rPr>
      </w:pPr>
      <w:r w:rsidRPr="00D67D13">
        <w:rPr>
          <w:sz w:val="24"/>
        </w:rPr>
        <w:t>Le Bars D, Gozariu M, Cadden SW. Animal model</w:t>
      </w:r>
      <w:r>
        <w:rPr>
          <w:sz w:val="24"/>
        </w:rPr>
        <w:t>s of nociception. Pharmacol Rev</w:t>
      </w:r>
      <w:r w:rsidRPr="00D67D13">
        <w:rPr>
          <w:sz w:val="24"/>
        </w:rPr>
        <w:t xml:space="preserve"> 2001;</w:t>
      </w:r>
      <w:r>
        <w:rPr>
          <w:sz w:val="24"/>
        </w:rPr>
        <w:t xml:space="preserve"> </w:t>
      </w:r>
      <w:r w:rsidRPr="00D67D13">
        <w:rPr>
          <w:sz w:val="24"/>
        </w:rPr>
        <w:t>53(4):</w:t>
      </w:r>
      <w:r>
        <w:rPr>
          <w:sz w:val="24"/>
        </w:rPr>
        <w:t xml:space="preserve"> </w:t>
      </w:r>
      <w:r w:rsidRPr="00D67D13">
        <w:rPr>
          <w:sz w:val="24"/>
        </w:rPr>
        <w:t>597-652.</w:t>
      </w:r>
    </w:p>
    <w:p w:rsidR="0094673D" w:rsidRPr="0094673D" w:rsidRDefault="0094673D" w:rsidP="000C181A">
      <w:pPr>
        <w:widowControl/>
        <w:numPr>
          <w:ilvl w:val="0"/>
          <w:numId w:val="3"/>
        </w:numPr>
        <w:spacing w:after="200"/>
        <w:ind w:left="357" w:hanging="357"/>
        <w:contextualSpacing/>
        <w:jc w:val="both"/>
        <w:rPr>
          <w:sz w:val="24"/>
        </w:rPr>
      </w:pPr>
      <w:r w:rsidRPr="0006601A">
        <w:rPr>
          <w:sz w:val="24"/>
        </w:rPr>
        <w:t>Martínez AL, González-Trujano ME, Chávez M, Pellicer F. Antinociceptive effectiveness of triterpenes from rosemary in viscera</w:t>
      </w:r>
      <w:r>
        <w:rPr>
          <w:sz w:val="24"/>
        </w:rPr>
        <w:t>l nociception. J Ethnopharmacol</w:t>
      </w:r>
      <w:r w:rsidRPr="0006601A">
        <w:rPr>
          <w:sz w:val="24"/>
        </w:rPr>
        <w:t xml:space="preserve"> 2012;</w:t>
      </w:r>
      <w:r>
        <w:rPr>
          <w:sz w:val="24"/>
        </w:rPr>
        <w:t xml:space="preserve"> 142</w:t>
      </w:r>
      <w:r w:rsidRPr="0006601A">
        <w:rPr>
          <w:sz w:val="24"/>
        </w:rPr>
        <w:t>:</w:t>
      </w:r>
      <w:r>
        <w:rPr>
          <w:sz w:val="24"/>
        </w:rPr>
        <w:t xml:space="preserve"> </w:t>
      </w:r>
      <w:r w:rsidRPr="0006601A">
        <w:rPr>
          <w:sz w:val="24"/>
        </w:rPr>
        <w:t>28-34.</w:t>
      </w:r>
    </w:p>
    <w:p w:rsidR="001B65F1" w:rsidRDefault="001B65F1" w:rsidP="000C181A">
      <w:pPr>
        <w:widowControl/>
        <w:numPr>
          <w:ilvl w:val="0"/>
          <w:numId w:val="3"/>
        </w:numPr>
        <w:spacing w:after="200"/>
        <w:ind w:left="357" w:hanging="357"/>
        <w:contextualSpacing/>
        <w:jc w:val="both"/>
        <w:rPr>
          <w:sz w:val="24"/>
        </w:rPr>
      </w:pPr>
      <w:r w:rsidRPr="0009307B">
        <w:rPr>
          <w:sz w:val="24"/>
        </w:rPr>
        <w:t xml:space="preserve">de Sousa DP. Analgesic-like activity of essential </w:t>
      </w:r>
      <w:r>
        <w:rPr>
          <w:sz w:val="24"/>
        </w:rPr>
        <w:t>oils constituents. Molecules</w:t>
      </w:r>
      <w:r w:rsidRPr="0009307B">
        <w:rPr>
          <w:sz w:val="24"/>
        </w:rPr>
        <w:t xml:space="preserve"> 2011;</w:t>
      </w:r>
      <w:r>
        <w:rPr>
          <w:sz w:val="24"/>
        </w:rPr>
        <w:t xml:space="preserve"> </w:t>
      </w:r>
      <w:r w:rsidRPr="0009307B">
        <w:rPr>
          <w:sz w:val="24"/>
        </w:rPr>
        <w:t>16(3):</w:t>
      </w:r>
      <w:r>
        <w:rPr>
          <w:sz w:val="24"/>
        </w:rPr>
        <w:t xml:space="preserve"> </w:t>
      </w:r>
      <w:r w:rsidRPr="0009307B">
        <w:rPr>
          <w:sz w:val="24"/>
        </w:rPr>
        <w:t>2233-</w:t>
      </w:r>
      <w:r>
        <w:rPr>
          <w:sz w:val="24"/>
        </w:rPr>
        <w:t>22</w:t>
      </w:r>
      <w:r w:rsidRPr="0009307B">
        <w:rPr>
          <w:sz w:val="24"/>
        </w:rPr>
        <w:t>52.</w:t>
      </w:r>
    </w:p>
    <w:p w:rsidR="001B65F1" w:rsidRDefault="001B65F1" w:rsidP="000C181A">
      <w:pPr>
        <w:widowControl/>
        <w:numPr>
          <w:ilvl w:val="0"/>
          <w:numId w:val="3"/>
        </w:numPr>
        <w:spacing w:after="200"/>
        <w:ind w:left="357" w:hanging="357"/>
        <w:contextualSpacing/>
        <w:jc w:val="both"/>
        <w:rPr>
          <w:sz w:val="24"/>
        </w:rPr>
      </w:pPr>
      <w:r w:rsidRPr="0009307B">
        <w:rPr>
          <w:sz w:val="24"/>
        </w:rPr>
        <w:t xml:space="preserve">Radulović NS, Randjelović PJ, Stojanović NM, Blagojević PD, Stojanović-Radić ZZ, Ilić IR, Djordjević VB. Toxic essential oils. Part II: chemical, toxicological, pharmacological and microbiological profiles of Artemisia annua </w:t>
      </w:r>
      <w:r>
        <w:rPr>
          <w:sz w:val="24"/>
        </w:rPr>
        <w:t>L. volatiles. Food Chem Toxicol</w:t>
      </w:r>
      <w:r w:rsidRPr="0009307B">
        <w:rPr>
          <w:sz w:val="24"/>
        </w:rPr>
        <w:t xml:space="preserve"> 2013;</w:t>
      </w:r>
      <w:r>
        <w:rPr>
          <w:sz w:val="24"/>
        </w:rPr>
        <w:t xml:space="preserve"> </w:t>
      </w:r>
      <w:r w:rsidRPr="0009307B">
        <w:rPr>
          <w:sz w:val="24"/>
        </w:rPr>
        <w:t>58:</w:t>
      </w:r>
      <w:r>
        <w:rPr>
          <w:sz w:val="24"/>
        </w:rPr>
        <w:t xml:space="preserve"> </w:t>
      </w:r>
      <w:r w:rsidRPr="0009307B">
        <w:rPr>
          <w:sz w:val="24"/>
        </w:rPr>
        <w:t>37-49.</w:t>
      </w:r>
    </w:p>
    <w:p w:rsidR="001B65F1" w:rsidRDefault="001B65F1" w:rsidP="000C181A">
      <w:pPr>
        <w:widowControl/>
        <w:numPr>
          <w:ilvl w:val="0"/>
          <w:numId w:val="3"/>
        </w:numPr>
        <w:spacing w:after="200"/>
        <w:ind w:left="357" w:hanging="357"/>
        <w:contextualSpacing/>
        <w:jc w:val="both"/>
        <w:rPr>
          <w:sz w:val="24"/>
        </w:rPr>
      </w:pPr>
      <w:r w:rsidRPr="0009307B">
        <w:rPr>
          <w:sz w:val="24"/>
        </w:rPr>
        <w:t>Xu H, Blair NT, Clapham DE. Camphor activates and strongly desensitizes the transient receptor potential vanilloid subtype 1 channel in a vanilloid-in</w:t>
      </w:r>
      <w:r>
        <w:rPr>
          <w:sz w:val="24"/>
        </w:rPr>
        <w:t>dependent mechanism. J Neurosci</w:t>
      </w:r>
      <w:r w:rsidRPr="0009307B">
        <w:rPr>
          <w:sz w:val="24"/>
        </w:rPr>
        <w:t xml:space="preserve"> 2005;</w:t>
      </w:r>
      <w:r>
        <w:rPr>
          <w:sz w:val="24"/>
        </w:rPr>
        <w:t xml:space="preserve"> </w:t>
      </w:r>
      <w:r w:rsidRPr="0009307B">
        <w:rPr>
          <w:sz w:val="24"/>
        </w:rPr>
        <w:t>2</w:t>
      </w:r>
      <w:r>
        <w:rPr>
          <w:sz w:val="24"/>
        </w:rPr>
        <w:t>5</w:t>
      </w:r>
      <w:r w:rsidRPr="0009307B">
        <w:rPr>
          <w:sz w:val="24"/>
        </w:rPr>
        <w:t>:</w:t>
      </w:r>
      <w:r>
        <w:rPr>
          <w:sz w:val="24"/>
        </w:rPr>
        <w:t xml:space="preserve"> </w:t>
      </w:r>
      <w:r w:rsidRPr="0009307B">
        <w:rPr>
          <w:sz w:val="24"/>
        </w:rPr>
        <w:t>8924-</w:t>
      </w:r>
      <w:r>
        <w:rPr>
          <w:sz w:val="24"/>
        </w:rPr>
        <w:t>89</w:t>
      </w:r>
      <w:r w:rsidRPr="0009307B">
        <w:rPr>
          <w:sz w:val="24"/>
        </w:rPr>
        <w:t>37.</w:t>
      </w:r>
    </w:p>
    <w:p w:rsidR="001B65F1" w:rsidRDefault="001B65F1" w:rsidP="000C181A">
      <w:pPr>
        <w:widowControl/>
        <w:numPr>
          <w:ilvl w:val="0"/>
          <w:numId w:val="3"/>
        </w:numPr>
        <w:spacing w:after="200"/>
        <w:ind w:left="357" w:hanging="357"/>
        <w:contextualSpacing/>
        <w:jc w:val="both"/>
        <w:rPr>
          <w:sz w:val="24"/>
        </w:rPr>
      </w:pPr>
      <w:r w:rsidRPr="0009307B">
        <w:rPr>
          <w:sz w:val="24"/>
        </w:rPr>
        <w:t>Santos FA, Rao VS. Antiinflammatory and antinociceptive effects of 1,8-cineole a terpenoid oxide present in many plan</w:t>
      </w:r>
      <w:r>
        <w:rPr>
          <w:sz w:val="24"/>
        </w:rPr>
        <w:t>t essential oils. Phytother Res</w:t>
      </w:r>
      <w:r w:rsidRPr="0009307B">
        <w:rPr>
          <w:sz w:val="24"/>
        </w:rPr>
        <w:t xml:space="preserve"> 2000;</w:t>
      </w:r>
      <w:r>
        <w:rPr>
          <w:sz w:val="24"/>
        </w:rPr>
        <w:t xml:space="preserve"> 14</w:t>
      </w:r>
      <w:r w:rsidRPr="0009307B">
        <w:rPr>
          <w:sz w:val="24"/>
        </w:rPr>
        <w:t>:</w:t>
      </w:r>
      <w:r>
        <w:rPr>
          <w:sz w:val="24"/>
        </w:rPr>
        <w:t xml:space="preserve"> </w:t>
      </w:r>
      <w:r w:rsidRPr="0009307B">
        <w:rPr>
          <w:sz w:val="24"/>
        </w:rPr>
        <w:t>240-</w:t>
      </w:r>
      <w:r>
        <w:rPr>
          <w:sz w:val="24"/>
        </w:rPr>
        <w:t>24</w:t>
      </w:r>
      <w:r w:rsidRPr="0009307B">
        <w:rPr>
          <w:sz w:val="24"/>
        </w:rPr>
        <w:t>4.</w:t>
      </w:r>
    </w:p>
    <w:p w:rsidR="001B65F1" w:rsidRPr="00F9631B" w:rsidRDefault="001B65F1" w:rsidP="000C181A">
      <w:pPr>
        <w:widowControl/>
        <w:numPr>
          <w:ilvl w:val="0"/>
          <w:numId w:val="3"/>
        </w:numPr>
        <w:spacing w:after="200"/>
        <w:ind w:left="357" w:hanging="357"/>
        <w:contextualSpacing/>
        <w:jc w:val="both"/>
        <w:rPr>
          <w:sz w:val="24"/>
        </w:rPr>
      </w:pPr>
      <w:r w:rsidRPr="00F9631B">
        <w:rPr>
          <w:sz w:val="24"/>
        </w:rPr>
        <w:t xml:space="preserve">Debersac P, Vernevaut MF, Amiot MJ, Suschetet M, Siess MH. Effects of a water-soluble extract of rosemary and its purified component rosmarinic acid on xenobiotic-metabolizing enzymes </w:t>
      </w:r>
      <w:r>
        <w:rPr>
          <w:sz w:val="24"/>
        </w:rPr>
        <w:t>in rat liver. Food Chem Toxicol</w:t>
      </w:r>
      <w:r w:rsidRPr="00F9631B">
        <w:rPr>
          <w:sz w:val="24"/>
        </w:rPr>
        <w:t xml:space="preserve"> 2001;</w:t>
      </w:r>
      <w:r>
        <w:rPr>
          <w:sz w:val="24"/>
        </w:rPr>
        <w:t xml:space="preserve"> </w:t>
      </w:r>
      <w:r w:rsidRPr="00F9631B">
        <w:rPr>
          <w:sz w:val="24"/>
        </w:rPr>
        <w:t>39(2):</w:t>
      </w:r>
      <w:r>
        <w:rPr>
          <w:sz w:val="24"/>
        </w:rPr>
        <w:t xml:space="preserve"> </w:t>
      </w:r>
      <w:r w:rsidRPr="00F9631B">
        <w:rPr>
          <w:sz w:val="24"/>
        </w:rPr>
        <w:t>109-</w:t>
      </w:r>
      <w:r>
        <w:rPr>
          <w:sz w:val="24"/>
        </w:rPr>
        <w:t>1</w:t>
      </w:r>
      <w:r w:rsidRPr="00F9631B">
        <w:rPr>
          <w:sz w:val="24"/>
        </w:rPr>
        <w:t>17.</w:t>
      </w:r>
    </w:p>
    <w:p w:rsidR="000C181A" w:rsidRDefault="001B65F1" w:rsidP="000C181A">
      <w:pPr>
        <w:widowControl/>
        <w:numPr>
          <w:ilvl w:val="0"/>
          <w:numId w:val="3"/>
        </w:numPr>
        <w:spacing w:after="200"/>
        <w:ind w:left="357" w:hanging="357"/>
        <w:contextualSpacing/>
        <w:jc w:val="both"/>
        <w:rPr>
          <w:sz w:val="24"/>
        </w:rPr>
      </w:pPr>
      <w:r w:rsidRPr="00F9631B">
        <w:rPr>
          <w:sz w:val="24"/>
        </w:rPr>
        <w:t>Metwally NS, Hamed MA, Ahmed SA. Association between efficiency of certain medicinal plants and severity of renal disorders in rats. Int</w:t>
      </w:r>
      <w:r>
        <w:rPr>
          <w:sz w:val="24"/>
        </w:rPr>
        <w:t xml:space="preserve"> J Pharm Pharm Sci 2012; 4:</w:t>
      </w:r>
      <w:r w:rsidRPr="00F9631B">
        <w:rPr>
          <w:sz w:val="24"/>
        </w:rPr>
        <w:t xml:space="preserve"> 432-438.</w:t>
      </w:r>
    </w:p>
    <w:p w:rsidR="000C181A" w:rsidRDefault="000C181A" w:rsidP="000C181A">
      <w:pPr>
        <w:widowControl/>
        <w:numPr>
          <w:ilvl w:val="0"/>
          <w:numId w:val="3"/>
        </w:numPr>
        <w:spacing w:after="200"/>
        <w:ind w:left="357" w:hanging="357"/>
        <w:contextualSpacing/>
        <w:jc w:val="both"/>
        <w:rPr>
          <w:sz w:val="24"/>
        </w:rPr>
      </w:pPr>
      <w:r w:rsidRPr="000C181A">
        <w:rPr>
          <w:sz w:val="24"/>
          <w:lang w:val="sr-Latn-CS"/>
        </w:rPr>
        <w:t xml:space="preserve">Plouzek CA, Ciolino HP. Inhibition of P-Glycoprotein activity and reversal of multidrug resistance in vitro by rosemary extract. </w:t>
      </w:r>
      <w:r w:rsidRPr="000C181A">
        <w:rPr>
          <w:i/>
          <w:sz w:val="24"/>
          <w:lang w:val="sr-Latn-CS"/>
        </w:rPr>
        <w:t>Eur J Cancer</w:t>
      </w:r>
      <w:r w:rsidRPr="000C181A">
        <w:rPr>
          <w:sz w:val="24"/>
          <w:lang w:val="sr-Latn-CS"/>
        </w:rPr>
        <w:t>. 1999;35(10):1541-45.</w:t>
      </w:r>
    </w:p>
    <w:p w:rsidR="000C181A" w:rsidRPr="000C181A" w:rsidRDefault="000C181A" w:rsidP="000C181A">
      <w:pPr>
        <w:widowControl/>
        <w:numPr>
          <w:ilvl w:val="0"/>
          <w:numId w:val="3"/>
        </w:numPr>
        <w:spacing w:after="200"/>
        <w:ind w:left="357" w:hanging="357"/>
        <w:contextualSpacing/>
        <w:jc w:val="both"/>
        <w:rPr>
          <w:sz w:val="24"/>
        </w:rPr>
      </w:pPr>
      <w:r w:rsidRPr="000C181A">
        <w:rPr>
          <w:sz w:val="24"/>
          <w:lang w:val="sr-Latn-CS"/>
        </w:rPr>
        <w:t xml:space="preserve">Tanikawa K, Torimura  T. Studies on oxidative stress in liver diseases: important future trends in liver research. </w:t>
      </w:r>
      <w:r w:rsidRPr="000C181A">
        <w:rPr>
          <w:i/>
          <w:sz w:val="24"/>
          <w:lang w:val="sr-Latn-CS"/>
        </w:rPr>
        <w:t>Medical Molecular Morphology</w:t>
      </w:r>
      <w:r w:rsidRPr="000C181A">
        <w:rPr>
          <w:sz w:val="24"/>
          <w:lang w:val="sr-Latn-CS"/>
        </w:rPr>
        <w:t>. 2006;39:22-27.</w:t>
      </w:r>
    </w:p>
    <w:p w:rsidR="000C181A" w:rsidRPr="000C181A" w:rsidRDefault="000C181A" w:rsidP="000C181A">
      <w:pPr>
        <w:widowControl/>
        <w:numPr>
          <w:ilvl w:val="0"/>
          <w:numId w:val="3"/>
        </w:numPr>
        <w:spacing w:after="200"/>
        <w:ind w:left="357" w:hanging="357"/>
        <w:contextualSpacing/>
        <w:jc w:val="both"/>
        <w:rPr>
          <w:sz w:val="24"/>
        </w:rPr>
      </w:pPr>
      <w:r w:rsidRPr="000C181A">
        <w:rPr>
          <w:sz w:val="24"/>
          <w:lang w:val="sr-Latn-CS"/>
        </w:rPr>
        <w:t xml:space="preserve"> Zhu R, Wang Y, Zhang L, Guo Q.  Oxidative stress and liver disease.  </w:t>
      </w:r>
      <w:r w:rsidRPr="000C181A">
        <w:rPr>
          <w:i/>
          <w:sz w:val="24"/>
          <w:lang w:val="sr-Latn-CS"/>
        </w:rPr>
        <w:t>Hepatology Research</w:t>
      </w:r>
      <w:r w:rsidRPr="000C181A">
        <w:rPr>
          <w:sz w:val="24"/>
          <w:lang w:val="sr-Latn-CS"/>
        </w:rPr>
        <w:t>. 2012;42:741-749</w:t>
      </w:r>
    </w:p>
    <w:p w:rsidR="001B65F1" w:rsidRDefault="001B65F1" w:rsidP="000C181A">
      <w:pPr>
        <w:jc w:val="both"/>
        <w:rPr>
          <w:sz w:val="24"/>
        </w:rPr>
      </w:pPr>
    </w:p>
    <w:p w:rsidR="005D2B55" w:rsidRDefault="000C181A" w:rsidP="000C181A">
      <w:pPr>
        <w:widowControl/>
        <w:spacing w:after="200"/>
        <w:contextualSpacing/>
        <w:jc w:val="both"/>
        <w:rPr>
          <w:sz w:val="24"/>
        </w:rPr>
      </w:pPr>
      <w:r>
        <w:rPr>
          <w:sz w:val="24"/>
        </w:rPr>
        <w:t xml:space="preserve"> </w:t>
      </w:r>
    </w:p>
    <w:p w:rsidR="00F51C5C" w:rsidRDefault="00F51C5C"/>
    <w:sectPr w:rsidR="00F51C5C" w:rsidSect="005F4BC6">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D77" w:rsidRDefault="002D1D77">
      <w:r>
        <w:separator/>
      </w:r>
    </w:p>
  </w:endnote>
  <w:endnote w:type="continuationSeparator" w:id="0">
    <w:p w:rsidR="002D1D77" w:rsidRDefault="002D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D77" w:rsidRDefault="002D1D77">
      <w:r>
        <w:separator/>
      </w:r>
    </w:p>
  </w:footnote>
  <w:footnote w:type="continuationSeparator" w:id="0">
    <w:p w:rsidR="002D1D77" w:rsidRDefault="002D1D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BC6" w:rsidRPr="00ED09E2" w:rsidRDefault="005F4BC6"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664D2"/>
    <w:multiLevelType w:val="hybridMultilevel"/>
    <w:tmpl w:val="0E0AE034"/>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7B1C62"/>
    <w:multiLevelType w:val="multilevel"/>
    <w:tmpl w:val="E034AFB8"/>
    <w:lvl w:ilvl="0">
      <w:start w:val="1"/>
      <w:numFmt w:val="decimal"/>
      <w:lvlText w:val="%1."/>
      <w:lvlJc w:val="right"/>
      <w:pPr>
        <w:tabs>
          <w:tab w:val="num" w:pos="720"/>
        </w:tabs>
        <w:ind w:left="720" w:hanging="144"/>
      </w:pPr>
      <w:rPr>
        <w:rFonts w:hint="default"/>
        <w:b w:val="0"/>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57CB544F"/>
    <w:multiLevelType w:val="hybridMultilevel"/>
    <w:tmpl w:val="1A0A3446"/>
    <w:lvl w:ilvl="0" w:tplc="D126327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1D2565"/>
    <w:multiLevelType w:val="hybridMultilevel"/>
    <w:tmpl w:val="ADB6B6F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BC6"/>
    <w:rsid w:val="00010D8B"/>
    <w:rsid w:val="000970F5"/>
    <w:rsid w:val="000C181A"/>
    <w:rsid w:val="001B65F1"/>
    <w:rsid w:val="002C4EC9"/>
    <w:rsid w:val="002D0380"/>
    <w:rsid w:val="002D1D77"/>
    <w:rsid w:val="00377063"/>
    <w:rsid w:val="003A2423"/>
    <w:rsid w:val="003F32A2"/>
    <w:rsid w:val="00403D26"/>
    <w:rsid w:val="004D2E83"/>
    <w:rsid w:val="004F3148"/>
    <w:rsid w:val="00503C0C"/>
    <w:rsid w:val="00504153"/>
    <w:rsid w:val="00511B06"/>
    <w:rsid w:val="00554CBB"/>
    <w:rsid w:val="005C4FB4"/>
    <w:rsid w:val="005D2B55"/>
    <w:rsid w:val="005D387F"/>
    <w:rsid w:val="005F4BC6"/>
    <w:rsid w:val="0061030C"/>
    <w:rsid w:val="0064165B"/>
    <w:rsid w:val="0067378A"/>
    <w:rsid w:val="00697FD9"/>
    <w:rsid w:val="006C130C"/>
    <w:rsid w:val="00711D9E"/>
    <w:rsid w:val="007272A4"/>
    <w:rsid w:val="00802DDA"/>
    <w:rsid w:val="00825550"/>
    <w:rsid w:val="0087789E"/>
    <w:rsid w:val="00890E07"/>
    <w:rsid w:val="0094673D"/>
    <w:rsid w:val="009571B9"/>
    <w:rsid w:val="00977C04"/>
    <w:rsid w:val="0098799C"/>
    <w:rsid w:val="00A83DE8"/>
    <w:rsid w:val="00A85D6B"/>
    <w:rsid w:val="00AE2AFF"/>
    <w:rsid w:val="00AF4F5B"/>
    <w:rsid w:val="00B61F5C"/>
    <w:rsid w:val="00B9594E"/>
    <w:rsid w:val="00BD5704"/>
    <w:rsid w:val="00C031F6"/>
    <w:rsid w:val="00C20218"/>
    <w:rsid w:val="00CE0CD1"/>
    <w:rsid w:val="00CE39F1"/>
    <w:rsid w:val="00D74E62"/>
    <w:rsid w:val="00DC79E9"/>
    <w:rsid w:val="00E70F31"/>
    <w:rsid w:val="00EC5E32"/>
    <w:rsid w:val="00F01AC8"/>
    <w:rsid w:val="00F51C5C"/>
    <w:rsid w:val="00F718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8A9288-8456-4E5F-A04B-C1598295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lang w:val="x-none" w:eastAsia="x-none"/>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CE39F1"/>
    <w:rPr>
      <w:rFonts w:ascii="Tahoma" w:hAnsi="Tahoma" w:cs="Tahoma"/>
      <w:sz w:val="16"/>
      <w:szCs w:val="16"/>
    </w:rPr>
  </w:style>
  <w:style w:type="character" w:customStyle="1" w:styleId="BalloonTextChar">
    <w:name w:val="Balloon Text Char"/>
    <w:basedOn w:val="DefaultParagraphFont"/>
    <w:link w:val="BalloonText"/>
    <w:uiPriority w:val="99"/>
    <w:semiHidden/>
    <w:rsid w:val="00CE39F1"/>
    <w:rPr>
      <w:rFonts w:ascii="Tahoma" w:eastAsia="Times New Roman"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ebojsa\Desktop\hotplate%2027.10.2013..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lineChart>
        <c:grouping val="standard"/>
        <c:varyColors val="1"/>
        <c:ser>
          <c:idx val="0"/>
          <c:order val="0"/>
          <c:tx>
            <c:strRef>
              <c:f>Sheet1!$J$15</c:f>
              <c:strCache>
                <c:ptCount val="1"/>
                <c:pt idx="0">
                  <c:v>ConS</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Sheet1!$J$16:$J$24</c:f>
              <c:numCache>
                <c:formatCode>General</c:formatCode>
                <c:ptCount val="9"/>
                <c:pt idx="0">
                  <c:v>0</c:v>
                </c:pt>
                <c:pt idx="1">
                  <c:v>1.8331805682859699</c:v>
                </c:pt>
                <c:pt idx="2">
                  <c:v>-9.5325389550870856</c:v>
                </c:pt>
                <c:pt idx="3">
                  <c:v>5.1329055912007373</c:v>
                </c:pt>
                <c:pt idx="4">
                  <c:v>-7.7910174152153964</c:v>
                </c:pt>
                <c:pt idx="5">
                  <c:v>0</c:v>
                </c:pt>
                <c:pt idx="6">
                  <c:v>-5.8661778185151281</c:v>
                </c:pt>
                <c:pt idx="7">
                  <c:v>6.141154903758018</c:v>
                </c:pt>
                <c:pt idx="8">
                  <c:v>8.8909257561869897</c:v>
                </c:pt>
              </c:numCache>
            </c:numRef>
          </c:val>
          <c:smooth val="1"/>
          <c:extLst>
            <c:ext xmlns:c16="http://schemas.microsoft.com/office/drawing/2014/chart" uri="{C3380CC4-5D6E-409C-BE32-E72D297353CC}">
              <c16:uniqueId val="{00000000-7243-4E9F-B4B5-D6BD1BC9B9FB}"/>
            </c:ext>
          </c:extLst>
        </c:ser>
        <c:ser>
          <c:idx val="1"/>
          <c:order val="1"/>
          <c:tx>
            <c:strRef>
              <c:f>Sheet1!$K$15</c:f>
              <c:strCache>
                <c:ptCount val="1"/>
                <c:pt idx="0">
                  <c:v>REO</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Sheet1!$K$16:$K$24</c:f>
              <c:numCache>
                <c:formatCode>General</c:formatCode>
                <c:ptCount val="9"/>
                <c:pt idx="0">
                  <c:v>0</c:v>
                </c:pt>
                <c:pt idx="1">
                  <c:v>18.423464711274061</c:v>
                </c:pt>
                <c:pt idx="2">
                  <c:v>26.947754353803841</c:v>
                </c:pt>
                <c:pt idx="3">
                  <c:v>39.413382218148499</c:v>
                </c:pt>
                <c:pt idx="4">
                  <c:v>29.880843263061404</c:v>
                </c:pt>
                <c:pt idx="5">
                  <c:v>34.372135655362044</c:v>
                </c:pt>
                <c:pt idx="6">
                  <c:v>30.522456461961504</c:v>
                </c:pt>
                <c:pt idx="7">
                  <c:v>42.804766269477533</c:v>
                </c:pt>
                <c:pt idx="8">
                  <c:v>32.355637030247458</c:v>
                </c:pt>
              </c:numCache>
            </c:numRef>
          </c:val>
          <c:smooth val="1"/>
          <c:extLst>
            <c:ext xmlns:c16="http://schemas.microsoft.com/office/drawing/2014/chart" uri="{C3380CC4-5D6E-409C-BE32-E72D297353CC}">
              <c16:uniqueId val="{00000001-7243-4E9F-B4B5-D6BD1BC9B9FB}"/>
            </c:ext>
          </c:extLst>
        </c:ser>
        <c:ser>
          <c:idx val="2"/>
          <c:order val="2"/>
          <c:tx>
            <c:strRef>
              <c:f>Sheet1!$L$15</c:f>
              <c:strCache>
                <c:ptCount val="1"/>
                <c:pt idx="0">
                  <c:v>Par</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Sheet1!$L$16:$L$24</c:f>
              <c:numCache>
                <c:formatCode>General</c:formatCode>
                <c:ptCount val="9"/>
                <c:pt idx="0">
                  <c:v>0</c:v>
                </c:pt>
                <c:pt idx="1">
                  <c:v>-5.2245646196150339</c:v>
                </c:pt>
                <c:pt idx="2">
                  <c:v>13.473877176901929</c:v>
                </c:pt>
                <c:pt idx="3">
                  <c:v>7.5160403299725056</c:v>
                </c:pt>
                <c:pt idx="4">
                  <c:v>1.5582034830430791</c:v>
                </c:pt>
                <c:pt idx="5">
                  <c:v>5.9578368469294247</c:v>
                </c:pt>
                <c:pt idx="6">
                  <c:v>13.840513290559119</c:v>
                </c:pt>
                <c:pt idx="7">
                  <c:v>22.089825847846015</c:v>
                </c:pt>
                <c:pt idx="8">
                  <c:v>10.907424381301553</c:v>
                </c:pt>
              </c:numCache>
            </c:numRef>
          </c:val>
          <c:smooth val="1"/>
          <c:extLst>
            <c:ext xmlns:c16="http://schemas.microsoft.com/office/drawing/2014/chart" uri="{C3380CC4-5D6E-409C-BE32-E72D297353CC}">
              <c16:uniqueId val="{00000002-7243-4E9F-B4B5-D6BD1BC9B9FB}"/>
            </c:ext>
          </c:extLst>
        </c:ser>
        <c:ser>
          <c:idx val="3"/>
          <c:order val="3"/>
          <c:tx>
            <c:strRef>
              <c:f>Sheet1!$M$15</c:f>
              <c:strCache>
                <c:ptCount val="1"/>
                <c:pt idx="0">
                  <c:v>ParR10</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Sheet1!$M$16:$M$24</c:f>
              <c:numCache>
                <c:formatCode>General</c:formatCode>
                <c:ptCount val="9"/>
                <c:pt idx="0">
                  <c:v>0</c:v>
                </c:pt>
                <c:pt idx="1">
                  <c:v>-9.1659028414296892E-2</c:v>
                </c:pt>
                <c:pt idx="2">
                  <c:v>9.7158570119156806</c:v>
                </c:pt>
                <c:pt idx="3">
                  <c:v>19.890009165902843</c:v>
                </c:pt>
                <c:pt idx="4">
                  <c:v>15.765352887259402</c:v>
                </c:pt>
                <c:pt idx="5">
                  <c:v>11.824014665444537</c:v>
                </c:pt>
                <c:pt idx="6">
                  <c:v>25.389550870760758</c:v>
                </c:pt>
                <c:pt idx="7">
                  <c:v>9.3492208982584728</c:v>
                </c:pt>
                <c:pt idx="8">
                  <c:v>22.914757103574701</c:v>
                </c:pt>
              </c:numCache>
            </c:numRef>
          </c:val>
          <c:smooth val="1"/>
          <c:extLst>
            <c:ext xmlns:c16="http://schemas.microsoft.com/office/drawing/2014/chart" uri="{C3380CC4-5D6E-409C-BE32-E72D297353CC}">
              <c16:uniqueId val="{00000003-7243-4E9F-B4B5-D6BD1BC9B9FB}"/>
            </c:ext>
          </c:extLst>
        </c:ser>
        <c:ser>
          <c:idx val="4"/>
          <c:order val="4"/>
          <c:tx>
            <c:strRef>
              <c:f>Sheet1!$N$15</c:f>
              <c:strCache>
                <c:ptCount val="1"/>
                <c:pt idx="0">
                  <c:v>ParR20</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Sheet1!$N$16:$N$24</c:f>
              <c:numCache>
                <c:formatCode>General</c:formatCode>
                <c:ptCount val="9"/>
                <c:pt idx="0">
                  <c:v>0</c:v>
                </c:pt>
                <c:pt idx="1">
                  <c:v>20.714940421631532</c:v>
                </c:pt>
                <c:pt idx="2">
                  <c:v>5.682859761686518</c:v>
                </c:pt>
                <c:pt idx="3">
                  <c:v>32.447296058661763</c:v>
                </c:pt>
                <c:pt idx="4">
                  <c:v>21.448212648945912</c:v>
                </c:pt>
                <c:pt idx="5">
                  <c:v>51.512373968835938</c:v>
                </c:pt>
                <c:pt idx="6">
                  <c:v>41.888175985334556</c:v>
                </c:pt>
                <c:pt idx="7">
                  <c:v>69.569202566452788</c:v>
                </c:pt>
                <c:pt idx="8">
                  <c:v>17.140238313473873</c:v>
                </c:pt>
              </c:numCache>
            </c:numRef>
          </c:val>
          <c:smooth val="1"/>
          <c:extLst>
            <c:ext xmlns:c16="http://schemas.microsoft.com/office/drawing/2014/chart" uri="{C3380CC4-5D6E-409C-BE32-E72D297353CC}">
              <c16:uniqueId val="{00000004-7243-4E9F-B4B5-D6BD1BC9B9FB}"/>
            </c:ext>
          </c:extLst>
        </c:ser>
        <c:dLbls>
          <c:showLegendKey val="0"/>
          <c:showVal val="0"/>
          <c:showCatName val="0"/>
          <c:showSerName val="0"/>
          <c:showPercent val="0"/>
          <c:showBubbleSize val="0"/>
        </c:dLbls>
        <c:marker val="1"/>
        <c:smooth val="0"/>
        <c:axId val="83711488"/>
        <c:axId val="85768832"/>
      </c:lineChart>
      <c:catAx>
        <c:axId val="83711488"/>
        <c:scaling>
          <c:orientation val="minMax"/>
        </c:scaling>
        <c:delete val="1"/>
        <c:axPos val="b"/>
        <c:title>
          <c:tx>
            <c:rich>
              <a:bodyPr/>
              <a:lstStyle/>
              <a:p>
                <a:pPr>
                  <a:defRPr lang="sr-Latn-CS"/>
                </a:pPr>
                <a:r>
                  <a:rPr lang="en-US"/>
                  <a:t>time [min]</a:t>
                </a:r>
              </a:p>
            </c:rich>
          </c:tx>
          <c:overlay val="1"/>
        </c:title>
        <c:numFmt formatCode="General" sourceLinked="1"/>
        <c:majorTickMark val="none"/>
        <c:minorTickMark val="cross"/>
        <c:tickLblPos val="nextTo"/>
        <c:crossAx val="85768832"/>
        <c:crosses val="autoZero"/>
        <c:auto val="1"/>
        <c:lblAlgn val="ctr"/>
        <c:lblOffset val="100"/>
        <c:noMultiLvlLbl val="1"/>
      </c:catAx>
      <c:valAx>
        <c:axId val="85768832"/>
        <c:scaling>
          <c:orientation val="minMax"/>
        </c:scaling>
        <c:delete val="1"/>
        <c:axPos val="l"/>
        <c:majorGridlines/>
        <c:title>
          <c:tx>
            <c:rich>
              <a:bodyPr/>
              <a:lstStyle/>
              <a:p>
                <a:pPr>
                  <a:defRPr lang="sr-Latn-CS"/>
                </a:pPr>
                <a:r>
                  <a:rPr lang="en-US"/>
                  <a:t>Analgesic effect [%]</a:t>
                </a:r>
              </a:p>
            </c:rich>
          </c:tx>
          <c:overlay val="1"/>
        </c:title>
        <c:numFmt formatCode="General" sourceLinked="1"/>
        <c:majorTickMark val="cross"/>
        <c:minorTickMark val="cross"/>
        <c:tickLblPos val="nextTo"/>
        <c:crossAx val="83711488"/>
        <c:crosses val="autoZero"/>
        <c:crossBetween val="between"/>
      </c:valAx>
    </c:plotArea>
    <c:legend>
      <c:legendPos val="r"/>
      <c:overlay val="1"/>
      <c:txPr>
        <a:bodyPr/>
        <a:lstStyle/>
        <a:p>
          <a:pPr>
            <a:defRPr lang="sr-Latn-CS"/>
          </a:pPr>
          <a:endParaRPr lang="en-US"/>
        </a:p>
      </c:txPr>
    </c:legend>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4648</Words>
  <Characters>26499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dcterms:created xsi:type="dcterms:W3CDTF">2016-10-07T10:45:00Z</dcterms:created>
  <dcterms:modified xsi:type="dcterms:W3CDTF">2016-10-07T10:45:00Z</dcterms:modified>
</cp:coreProperties>
</file>