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F6B" w:rsidRPr="006D64D7" w:rsidRDefault="007B0F6B" w:rsidP="007B0F6B">
      <w:r w:rsidRPr="006D64D7">
        <w:pict>
          <v:shapetype id="_x0000_t202" coordsize="21600,21600" o:spt="202" path="m,l,21600r21600,l21600,xe">
            <v:stroke joinstyle="miter"/>
            <v:path gradientshapeok="t" o:connecttype="rect"/>
          </v:shapetype>
          <v:shape id="_x0000_s1036" type="#_x0000_t202" style="position:absolute;margin-left:1in;margin-top:18pt;width:243pt;height:20.2pt;z-index:251657728" filled="f" stroked="f">
            <v:textbox style="mso-next-textbox:#_x0000_s1036">
              <w:txbxContent>
                <w:p w:rsidR="007B0F6B" w:rsidRPr="001424C8" w:rsidRDefault="00133AB9" w:rsidP="007B0F6B">
                  <w:pPr>
                    <w:jc w:val="center"/>
                    <w:rPr>
                      <w:rFonts w:ascii="Arial" w:hAnsi="Arial" w:cs="Arial"/>
                      <w:lang w:val="sr-Latn-CS"/>
                    </w:rPr>
                  </w:pPr>
                  <w:r>
                    <w:rPr>
                      <w:rFonts w:ascii="Arial" w:hAnsi="Arial" w:cs="Arial"/>
                      <w:lang w:val="sr-Latn-CS"/>
                    </w:rPr>
                    <w:t xml:space="preserve">LOGO </w:t>
                  </w:r>
                  <w:r w:rsidR="007B0F6B">
                    <w:rPr>
                      <w:rFonts w:ascii="Arial" w:hAnsi="Arial" w:cs="Arial"/>
                      <w:lang w:val="sr-Latn-CS"/>
                    </w:rPr>
                    <w:t xml:space="preserve">WILL BE </w:t>
                  </w:r>
                  <w:r>
                    <w:rPr>
                      <w:rFonts w:ascii="Arial" w:hAnsi="Arial" w:cs="Arial"/>
                      <w:lang w:val="sr-Latn-CS"/>
                    </w:rPr>
                    <w:t>HERE</w:t>
                  </w:r>
                </w:p>
              </w:txbxContent>
            </v:textbox>
          </v:shape>
        </w:pict>
      </w:r>
      <w:r w:rsidR="007D46DA" w:rsidRPr="006D64D7">
        <w:drawing>
          <wp:inline distT="0" distB="0" distL="0" distR="0">
            <wp:extent cx="4914900" cy="1079500"/>
            <wp:effectExtent l="19050" t="0" r="0" b="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8"/>
                    <a:srcRect/>
                    <a:stretch>
                      <a:fillRect/>
                    </a:stretch>
                  </pic:blipFill>
                  <pic:spPr bwMode="auto">
                    <a:xfrm>
                      <a:off x="0" y="0"/>
                      <a:ext cx="4914900" cy="1079500"/>
                    </a:xfrm>
                    <a:prstGeom prst="rect">
                      <a:avLst/>
                    </a:prstGeom>
                    <a:noFill/>
                    <a:ln w="9525">
                      <a:noFill/>
                      <a:miter lim="800000"/>
                      <a:headEnd/>
                      <a:tailEnd/>
                    </a:ln>
                  </pic:spPr>
                </pic:pic>
              </a:graphicData>
            </a:graphic>
          </wp:inline>
        </w:drawing>
      </w:r>
    </w:p>
    <w:p w:rsidR="009D5B83" w:rsidRPr="006D64D7" w:rsidRDefault="009D5B83" w:rsidP="009D5B83">
      <w:pPr>
        <w:pStyle w:val="NASLOV"/>
        <w:spacing w:after="0"/>
        <w:rPr>
          <w:lang w:val="en-GB"/>
        </w:rPr>
      </w:pPr>
      <w:r w:rsidRPr="006D64D7">
        <w:rPr>
          <w:lang w:val="en-GB"/>
        </w:rPr>
        <w:t>MODELLING AND FINITE ELEMENT ANALYSIS</w:t>
      </w:r>
    </w:p>
    <w:p w:rsidR="00CB1960" w:rsidRPr="006D64D7" w:rsidRDefault="009D5B83" w:rsidP="009D5B83">
      <w:pPr>
        <w:pStyle w:val="NASLOV"/>
        <w:spacing w:before="0"/>
        <w:rPr>
          <w:szCs w:val="20"/>
          <w:lang w:val="en-GB"/>
        </w:rPr>
      </w:pPr>
      <w:r w:rsidRPr="006D64D7">
        <w:rPr>
          <w:lang w:val="en-GB"/>
        </w:rPr>
        <w:t>OF ELEVATOR BUCKETS</w:t>
      </w:r>
    </w:p>
    <w:p w:rsidR="00CB1960" w:rsidRPr="006D64D7" w:rsidRDefault="005A2883" w:rsidP="007B0F6B">
      <w:pPr>
        <w:pStyle w:val="imeautoraikoautora"/>
        <w:rPr>
          <w:szCs w:val="20"/>
          <w:lang w:val="en-GB"/>
        </w:rPr>
      </w:pPr>
      <w:r w:rsidRPr="006D64D7">
        <w:rPr>
          <w:lang w:val="en-GB"/>
        </w:rPr>
        <w:t>Nenad Miloradović</w:t>
      </w:r>
      <w:r w:rsidR="00813024" w:rsidRPr="006D64D7">
        <w:rPr>
          <w:rStyle w:val="FootnoteReference"/>
          <w:lang w:val="en-GB"/>
        </w:rPr>
        <w:footnoteReference w:id="2"/>
      </w:r>
      <w:r w:rsidR="00CB1960" w:rsidRPr="006D64D7">
        <w:rPr>
          <w:lang w:val="en-GB"/>
        </w:rPr>
        <w:t xml:space="preserve">, </w:t>
      </w:r>
      <w:r w:rsidRPr="006D64D7">
        <w:rPr>
          <w:lang w:val="en-GB"/>
        </w:rPr>
        <w:t>Slobodan Garić</w:t>
      </w:r>
      <w:r w:rsidR="00813024" w:rsidRPr="006D64D7">
        <w:rPr>
          <w:rStyle w:val="FootnoteReference"/>
          <w:lang w:val="en-GB"/>
        </w:rPr>
        <w:footnoteReference w:id="3"/>
      </w:r>
      <w:r w:rsidRPr="006D64D7">
        <w:rPr>
          <w:lang w:val="en-GB"/>
        </w:rPr>
        <w:t>, Rodoljub Vujanac</w:t>
      </w:r>
      <w:r w:rsidRPr="006D64D7">
        <w:rPr>
          <w:rStyle w:val="FootnoteReference"/>
          <w:lang w:val="en-GB"/>
        </w:rPr>
        <w:footnoteReference w:id="4"/>
      </w:r>
    </w:p>
    <w:p w:rsidR="00CB1960" w:rsidRPr="006D64D7" w:rsidRDefault="00CB1960" w:rsidP="007B0F6B">
      <w:pPr>
        <w:pStyle w:val="rezime"/>
        <w:rPr>
          <w:szCs w:val="20"/>
          <w:lang w:val="en-GB"/>
        </w:rPr>
      </w:pPr>
      <w:r w:rsidRPr="006D64D7">
        <w:rPr>
          <w:b/>
          <w:lang w:val="en-GB"/>
        </w:rPr>
        <w:t>Summary:</w:t>
      </w:r>
      <w:r w:rsidRPr="006D64D7">
        <w:rPr>
          <w:lang w:val="en-GB"/>
        </w:rPr>
        <w:t xml:space="preserve"> </w:t>
      </w:r>
      <w:r w:rsidR="009D5B83" w:rsidRPr="006D64D7">
        <w:rPr>
          <w:lang w:val="en-GB"/>
        </w:rPr>
        <w:t>The bucket elevator with centrifugal discharge designed for transport of grains is analysed in the paper. Operation, main characteristics and major elements of bucket elevator are described in the paper. Essential elements of calculation of the drive mechanism are presented, bucket discharge type is adopted and main elements of transport device are selected. A rubber belt is selected as traction device. Available transport capacity ranged from 15 t/h to 45 t/h, while lifting height was 18 m. Based on initial data and calculations, a spatial 3D model of the elevator is formed. Static finite element analysis (FEA) of the elevator bucket was conducted based on previously formed model. A modified version of the bucket was made in order to show the influence of design change on mass, deformation and the stress states of the elevator buckets. Modelling of the elevator bucket was conducted using 3D Autodesk Inventor software</w:t>
      </w:r>
      <w:r w:rsidRPr="006D64D7">
        <w:rPr>
          <w:lang w:val="en-GB"/>
        </w:rPr>
        <w:t>.</w:t>
      </w:r>
    </w:p>
    <w:p w:rsidR="00CB1960" w:rsidRPr="006D64D7" w:rsidRDefault="00CB1960" w:rsidP="007B0F6B">
      <w:pPr>
        <w:pStyle w:val="rezime"/>
        <w:rPr>
          <w:lang w:val="en-GB"/>
        </w:rPr>
      </w:pPr>
      <w:r w:rsidRPr="006D64D7">
        <w:rPr>
          <w:lang w:val="en-GB"/>
        </w:rPr>
        <w:t xml:space="preserve">Key words: </w:t>
      </w:r>
      <w:r w:rsidR="005A2883" w:rsidRPr="006D64D7">
        <w:rPr>
          <w:lang w:val="en-GB"/>
        </w:rPr>
        <w:t>bucket elevator, bulk materials, buckets, FEA</w:t>
      </w:r>
    </w:p>
    <w:p w:rsidR="00CB1960" w:rsidRPr="006D64D7" w:rsidRDefault="00CB1960" w:rsidP="00E34AAF">
      <w:pPr>
        <w:pStyle w:val="podnaslov"/>
        <w:spacing w:before="360"/>
        <w:rPr>
          <w:lang w:val="en-GB"/>
        </w:rPr>
      </w:pPr>
      <w:r w:rsidRPr="006D64D7">
        <w:rPr>
          <w:lang w:val="en-GB"/>
        </w:rPr>
        <w:t>INTRODUCTION</w:t>
      </w:r>
    </w:p>
    <w:p w:rsidR="00CB1960" w:rsidRPr="006D64D7" w:rsidRDefault="00FB1C47" w:rsidP="007B0F6B">
      <w:pPr>
        <w:pStyle w:val="paragraf"/>
        <w:rPr>
          <w:lang w:val="en-GB"/>
        </w:rPr>
      </w:pPr>
      <w:r w:rsidRPr="006D64D7">
        <w:rPr>
          <w:lang w:val="en-GB"/>
        </w:rPr>
        <w:t>Bucket elevators belong to a group of vertical or inclined transport equipment that efficiently moves goods between floors, vessels or other structures.</w:t>
      </w:r>
      <w:r w:rsidR="00CB1960" w:rsidRPr="006D64D7">
        <w:rPr>
          <w:lang w:val="en-GB"/>
        </w:rPr>
        <w:t xml:space="preserve"> </w:t>
      </w:r>
    </w:p>
    <w:p w:rsidR="00FB1C47" w:rsidRPr="003744FB" w:rsidRDefault="00FB1C47" w:rsidP="007B0F6B">
      <w:pPr>
        <w:pStyle w:val="paragraf"/>
        <w:rPr>
          <w:lang w:val="en-GB"/>
        </w:rPr>
      </w:pPr>
      <w:r w:rsidRPr="006D64D7">
        <w:rPr>
          <w:lang w:val="en-GB"/>
        </w:rPr>
        <w:t xml:space="preserve">These are the simplest and the most dependable units for performing vertical lifting. They are available in a wide range of capacities and may operate entirely in the open or be totally enclosed. The trend is toward highly standardized units, but for special materials and high capacities, it is wise to use specially engineered equipment. </w:t>
      </w:r>
      <w:r w:rsidRPr="003744FB">
        <w:rPr>
          <w:lang w:val="en-GB"/>
        </w:rPr>
        <w:t>Main design variations are found in: casing thickness, bucket thickness, belt or chain quality and drive equipment</w:t>
      </w:r>
      <w:r w:rsidR="00762C85" w:rsidRPr="003744FB">
        <w:rPr>
          <w:lang w:val="en-GB"/>
        </w:rPr>
        <w:t xml:space="preserve"> [1]</w:t>
      </w:r>
      <w:r w:rsidRPr="003744FB">
        <w:rPr>
          <w:lang w:val="en-GB"/>
        </w:rPr>
        <w:t>.</w:t>
      </w:r>
    </w:p>
    <w:p w:rsidR="00FB1C47" w:rsidRPr="006D64D7" w:rsidRDefault="00FB1C47" w:rsidP="007B0F6B">
      <w:pPr>
        <w:pStyle w:val="paragraf"/>
        <w:rPr>
          <w:lang w:val="en-GB"/>
        </w:rPr>
      </w:pPr>
      <w:r w:rsidRPr="003744FB">
        <w:rPr>
          <w:lang w:val="en-GB"/>
        </w:rPr>
        <w:t xml:space="preserve">Major elements of a bucket elevator </w:t>
      </w:r>
      <w:r w:rsidR="00D164B0" w:rsidRPr="003744FB">
        <w:rPr>
          <w:snapToGrid w:val="0"/>
          <w:lang w:val="en-GB"/>
        </w:rPr>
        <w:t>are</w:t>
      </w:r>
      <w:r w:rsidR="00A56115" w:rsidRPr="003744FB">
        <w:rPr>
          <w:snapToGrid w:val="0"/>
          <w:lang w:val="en-GB"/>
        </w:rPr>
        <w:t>:</w:t>
      </w:r>
    </w:p>
    <w:p w:rsidR="00B93468" w:rsidRPr="006D64D7" w:rsidRDefault="00B93468" w:rsidP="00B93468">
      <w:pPr>
        <w:pStyle w:val="paragraf"/>
        <w:numPr>
          <w:ilvl w:val="0"/>
          <w:numId w:val="32"/>
        </w:numPr>
        <w:ind w:left="964" w:hanging="284"/>
        <w:rPr>
          <w:lang w:val="en-GB"/>
        </w:rPr>
      </w:pPr>
      <w:r w:rsidRPr="006D64D7">
        <w:rPr>
          <w:lang w:val="en-GB"/>
        </w:rPr>
        <w:t xml:space="preserve">buckets </w:t>
      </w:r>
      <w:r w:rsidR="00D164B0" w:rsidRPr="006D64D7">
        <w:rPr>
          <w:lang w:val="en-GB"/>
        </w:rPr>
        <w:t>that</w:t>
      </w:r>
      <w:r w:rsidRPr="006D64D7">
        <w:rPr>
          <w:lang w:val="en-GB"/>
        </w:rPr>
        <w:t xml:space="preserve"> contain the material; </w:t>
      </w:r>
    </w:p>
    <w:p w:rsidR="00B93468" w:rsidRPr="006D64D7" w:rsidRDefault="00B93468" w:rsidP="00B93468">
      <w:pPr>
        <w:pStyle w:val="paragraf"/>
        <w:numPr>
          <w:ilvl w:val="0"/>
          <w:numId w:val="32"/>
        </w:numPr>
        <w:ind w:left="964" w:hanging="284"/>
        <w:rPr>
          <w:lang w:val="en-GB"/>
        </w:rPr>
      </w:pPr>
      <w:r w:rsidRPr="006D64D7">
        <w:rPr>
          <w:lang w:val="en-GB"/>
        </w:rPr>
        <w:t xml:space="preserve">belt </w:t>
      </w:r>
      <w:r w:rsidR="00D164B0" w:rsidRPr="006D64D7">
        <w:rPr>
          <w:lang w:val="en-GB"/>
        </w:rPr>
        <w:t>that</w:t>
      </w:r>
      <w:r w:rsidRPr="006D64D7">
        <w:rPr>
          <w:lang w:val="en-GB"/>
        </w:rPr>
        <w:t xml:space="preserve"> carry the buckets and transmit the pull;</w:t>
      </w:r>
    </w:p>
    <w:p w:rsidR="00B93468" w:rsidRPr="006D64D7" w:rsidRDefault="00B93468" w:rsidP="00B93468">
      <w:pPr>
        <w:pStyle w:val="paragraf"/>
        <w:numPr>
          <w:ilvl w:val="0"/>
          <w:numId w:val="32"/>
        </w:numPr>
        <w:ind w:left="964" w:hanging="284"/>
        <w:rPr>
          <w:lang w:val="en-GB"/>
        </w:rPr>
      </w:pPr>
      <w:r w:rsidRPr="006D64D7">
        <w:rPr>
          <w:lang w:val="en-GB"/>
        </w:rPr>
        <w:lastRenderedPageBreak/>
        <w:t>devices t</w:t>
      </w:r>
      <w:r w:rsidR="00D164B0" w:rsidRPr="006D64D7">
        <w:rPr>
          <w:lang w:val="en-GB"/>
        </w:rPr>
        <w:t>hat drive the belt and</w:t>
      </w:r>
    </w:p>
    <w:p w:rsidR="00B93468" w:rsidRPr="003744FB" w:rsidRDefault="00B93468" w:rsidP="00B93468">
      <w:pPr>
        <w:pStyle w:val="paragraf"/>
        <w:numPr>
          <w:ilvl w:val="0"/>
          <w:numId w:val="32"/>
        </w:numPr>
        <w:ind w:left="964" w:hanging="284"/>
        <w:rPr>
          <w:lang w:val="en-GB"/>
        </w:rPr>
      </w:pPr>
      <w:r w:rsidRPr="006D64D7">
        <w:rPr>
          <w:lang w:val="en-GB"/>
        </w:rPr>
        <w:t xml:space="preserve">accessories for loading the buckets or picking up the material, for receiving </w:t>
      </w:r>
      <w:r w:rsidRPr="003744FB">
        <w:rPr>
          <w:lang w:val="en-GB"/>
        </w:rPr>
        <w:t>the discharged material, for maintaining the belt tension and for enclosing and protecting the elevator [2].</w:t>
      </w:r>
    </w:p>
    <w:p w:rsidR="00FB1C47" w:rsidRPr="003744FB" w:rsidRDefault="00B93468" w:rsidP="007B0F6B">
      <w:pPr>
        <w:pStyle w:val="paragraf"/>
        <w:rPr>
          <w:lang w:val="en-GB"/>
        </w:rPr>
      </w:pPr>
      <w:r w:rsidRPr="003744FB">
        <w:rPr>
          <w:lang w:val="en-GB"/>
        </w:rPr>
        <w:t>A bucket elevator can elevate a variety of bulk materials, from light to heavy and from fine to large lumps.</w:t>
      </w:r>
      <w:r w:rsidR="00D164B0" w:rsidRPr="003744FB">
        <w:rPr>
          <w:lang w:val="en-GB"/>
        </w:rPr>
        <w:t xml:space="preserve"> There are </w:t>
      </w:r>
      <w:r w:rsidR="00D164B0" w:rsidRPr="003744FB">
        <w:rPr>
          <w:bCs/>
          <w:lang w:val="en-GB"/>
        </w:rPr>
        <w:t>three</w:t>
      </w:r>
      <w:r w:rsidR="00D164B0" w:rsidRPr="003744FB">
        <w:rPr>
          <w:lang w:val="en-GB"/>
        </w:rPr>
        <w:t xml:space="preserve"> common bucket elevator designs in bulk material handling facilities worldwide: centrifugal, continuous and positive discharge elevators.</w:t>
      </w:r>
      <w:r w:rsidR="00BC59AF" w:rsidRPr="003744FB">
        <w:rPr>
          <w:lang w:val="en-GB"/>
        </w:rPr>
        <w:t xml:space="preserve"> </w:t>
      </w:r>
      <w:r w:rsidRPr="003744FB">
        <w:rPr>
          <w:lang w:val="en-GB"/>
        </w:rPr>
        <w:t>A centrifugal discharge elevator may be vertical or inclined. Vertical elevators depend entirely on the action of centrifugal force to get the material into the discharge chute and must be run at relatively high speeds. Inclined elevators with buckets spaced apart or set close together may have the discharge chute set partly under the head pulley. Since they do not depend entirely on the centrifugal force to put the material into the chute, the speed may be relatively lower [3].</w:t>
      </w:r>
    </w:p>
    <w:p w:rsidR="00B93468" w:rsidRPr="006D64D7" w:rsidRDefault="00B93468" w:rsidP="007B0F6B">
      <w:pPr>
        <w:pStyle w:val="paragraf"/>
        <w:rPr>
          <w:lang w:val="en-GB"/>
        </w:rPr>
      </w:pPr>
      <w:r w:rsidRPr="003744FB">
        <w:rPr>
          <w:lang w:val="en-GB"/>
        </w:rPr>
        <w:t>Most of the centrifugal discharge elevators have spaced buckets with rounded bottoms. They pick up their load from a boot, a pit, or a pile of material at the foot pulley. The buckets can have triangular cross sections and may be set close on the belt with little or no clearance between them</w:t>
      </w:r>
      <w:r w:rsidR="00781A95" w:rsidRPr="003744FB">
        <w:rPr>
          <w:lang w:val="en-GB"/>
        </w:rPr>
        <w:t xml:space="preserve"> [4]</w:t>
      </w:r>
      <w:r w:rsidRPr="003744FB">
        <w:rPr>
          <w:lang w:val="en-GB"/>
        </w:rPr>
        <w:t>.</w:t>
      </w:r>
      <w:r w:rsidR="00BC59AF" w:rsidRPr="003744FB">
        <w:rPr>
          <w:lang w:val="en-GB"/>
        </w:rPr>
        <w:t xml:space="preserve"> </w:t>
      </w:r>
      <w:r w:rsidRPr="003744FB">
        <w:rPr>
          <w:lang w:val="en-GB"/>
        </w:rPr>
        <w:t>Early bucket elevators used a flat</w:t>
      </w:r>
      <w:r w:rsidRPr="006D64D7">
        <w:rPr>
          <w:lang w:val="en-GB"/>
        </w:rPr>
        <w:t xml:space="preserve"> chain with small, steel buckets attached at every few inches. Current designs use a rubber belt with plastic buckets.</w:t>
      </w:r>
    </w:p>
    <w:p w:rsidR="00CB1960" w:rsidRPr="006D64D7" w:rsidRDefault="00DB0816" w:rsidP="00E34AAF">
      <w:pPr>
        <w:pStyle w:val="podnaslov"/>
        <w:spacing w:before="360"/>
        <w:rPr>
          <w:lang w:val="en-GB"/>
        </w:rPr>
      </w:pPr>
      <w:r w:rsidRPr="006D64D7">
        <w:rPr>
          <w:lang w:val="en-GB"/>
        </w:rPr>
        <w:t>MODELLING OF BUCKET ELEVATOR</w:t>
      </w:r>
    </w:p>
    <w:p w:rsidR="00CB1960" w:rsidRPr="006D64D7" w:rsidRDefault="00BF5166" w:rsidP="00C85241">
      <w:pPr>
        <w:pStyle w:val="paragraf"/>
        <w:rPr>
          <w:lang w:val="en-GB"/>
        </w:rPr>
      </w:pPr>
      <w:r w:rsidRPr="006D64D7">
        <w:rPr>
          <w:lang w:val="en-GB"/>
        </w:rPr>
        <w:t xml:space="preserve">Based on given material - grain, which determines the speed of the elevator of v=1.5 m/s and on elevator type - high speed elevator for centrifugal discharge, the type of the bucket can be selected. For selected material and type of elevator, the deep </w:t>
      </w:r>
      <w:r w:rsidRPr="003744FB">
        <w:rPr>
          <w:lang w:val="en-GB"/>
        </w:rPr>
        <w:t>bucket is assessed as the most adequate [</w:t>
      </w:r>
      <w:r w:rsidR="00781A95" w:rsidRPr="003744FB">
        <w:rPr>
          <w:lang w:val="en-GB"/>
        </w:rPr>
        <w:t>1</w:t>
      </w:r>
      <w:r w:rsidRPr="003744FB">
        <w:rPr>
          <w:lang w:val="en-GB"/>
        </w:rPr>
        <w:t xml:space="preserve">]. Volume of the bucket, </w:t>
      </w:r>
      <w:r w:rsidRPr="003744FB">
        <w:rPr>
          <w:i/>
          <w:lang w:val="en-GB"/>
        </w:rPr>
        <w:t>i</w:t>
      </w:r>
      <w:r w:rsidRPr="003744FB">
        <w:rPr>
          <w:i/>
          <w:vertAlign w:val="subscript"/>
          <w:lang w:val="en-GB"/>
        </w:rPr>
        <w:t>0</w:t>
      </w:r>
      <w:r w:rsidRPr="003744FB">
        <w:rPr>
          <w:lang w:val="en-GB"/>
        </w:rPr>
        <w:t>, can be</w:t>
      </w:r>
      <w:r w:rsidRPr="006D64D7">
        <w:rPr>
          <w:lang w:val="en-GB"/>
        </w:rPr>
        <w:t xml:space="preserve"> calculated using the following equation:</w:t>
      </w:r>
      <w:r w:rsidR="00CB1960" w:rsidRPr="006D64D7">
        <w:rPr>
          <w:lang w:val="en-GB"/>
        </w:rPr>
        <w:t xml:space="preserve"> </w:t>
      </w:r>
    </w:p>
    <w:p w:rsidR="00861AB9" w:rsidRPr="006D64D7" w:rsidRDefault="00861AB9" w:rsidP="00861AB9">
      <w:pPr>
        <w:pStyle w:val="paragraf"/>
        <w:ind w:firstLine="0"/>
        <w:rPr>
          <w:sz w:val="6"/>
          <w:szCs w:val="6"/>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912"/>
        <w:gridCol w:w="1014"/>
      </w:tblGrid>
      <w:tr w:rsidR="00861AB9" w:rsidRPr="006D64D7" w:rsidTr="00861AB9">
        <w:tc>
          <w:tcPr>
            <w:tcW w:w="6912" w:type="dxa"/>
            <w:vAlign w:val="center"/>
          </w:tcPr>
          <w:p w:rsidR="00861AB9" w:rsidRPr="006D64D7" w:rsidRDefault="009837D6" w:rsidP="00861AB9">
            <w:pPr>
              <w:pStyle w:val="paragraf"/>
              <w:ind w:firstLine="0"/>
              <w:jc w:val="center"/>
              <w:rPr>
                <w:lang w:val="en-GB"/>
              </w:rPr>
            </w:pPr>
            <w:r w:rsidRPr="006D64D7">
              <w:rPr>
                <w:lang w:val="en-GB"/>
              </w:rPr>
              <w:t xml:space="preserve"> </w:t>
            </w:r>
            <m:oMath>
              <m:f>
                <m:fPr>
                  <m:ctrlPr>
                    <w:rPr>
                      <w:rFonts w:ascii="Cambria Math"/>
                      <w:i/>
                      <w:sz w:val="24"/>
                      <w:szCs w:val="24"/>
                      <w:lang w:val="en-GB"/>
                    </w:rPr>
                  </m:ctrlPr>
                </m:fPr>
                <m:num>
                  <m:sSub>
                    <m:sSubPr>
                      <m:ctrlPr>
                        <w:rPr>
                          <w:rFonts w:ascii="Cambria Math"/>
                          <w:i/>
                          <w:sz w:val="24"/>
                          <w:szCs w:val="24"/>
                          <w:lang w:val="en-GB"/>
                        </w:rPr>
                      </m:ctrlPr>
                    </m:sSubPr>
                    <m:e>
                      <m:r>
                        <w:rPr>
                          <w:rFonts w:ascii="Cambria Math" w:hAnsi="Cambria Math"/>
                          <w:sz w:val="24"/>
                          <w:szCs w:val="24"/>
                          <w:lang w:val="en-GB"/>
                        </w:rPr>
                        <m:t>i</m:t>
                      </m:r>
                    </m:e>
                    <m:sub>
                      <m:r>
                        <w:rPr>
                          <w:rFonts w:ascii="Cambria Math"/>
                          <w:sz w:val="24"/>
                          <w:szCs w:val="24"/>
                          <w:lang w:val="en-GB"/>
                        </w:rPr>
                        <m:t>0</m:t>
                      </m:r>
                    </m:sub>
                  </m:sSub>
                </m:num>
                <m:den>
                  <m:sSub>
                    <m:sSubPr>
                      <m:ctrlPr>
                        <w:rPr>
                          <w:rFonts w:ascii="Cambria Math"/>
                          <w:i/>
                          <w:sz w:val="24"/>
                          <w:szCs w:val="24"/>
                          <w:lang w:val="en-GB"/>
                        </w:rPr>
                      </m:ctrlPr>
                    </m:sSubPr>
                    <m:e>
                      <m:r>
                        <w:rPr>
                          <w:rFonts w:ascii="Cambria Math" w:hAnsi="Cambria Math"/>
                          <w:sz w:val="24"/>
                          <w:szCs w:val="24"/>
                          <w:lang w:val="en-GB"/>
                        </w:rPr>
                        <m:t>t</m:t>
                      </m:r>
                    </m:e>
                    <m:sub>
                      <m:r>
                        <w:rPr>
                          <w:rFonts w:ascii="Cambria Math" w:hAnsi="Cambria Math"/>
                          <w:sz w:val="24"/>
                          <w:szCs w:val="24"/>
                          <w:lang w:val="en-GB"/>
                        </w:rPr>
                        <m:t>k</m:t>
                      </m:r>
                    </m:sub>
                  </m:sSub>
                </m:den>
              </m:f>
              <m:r>
                <w:rPr>
                  <w:rFonts w:ascii="Cambria Math"/>
                  <w:sz w:val="24"/>
                  <w:szCs w:val="24"/>
                  <w:lang w:val="en-GB"/>
                </w:rPr>
                <m:t>=</m:t>
              </m:r>
              <m:f>
                <m:fPr>
                  <m:ctrlPr>
                    <w:rPr>
                      <w:rFonts w:ascii="Cambria Math"/>
                      <w:i/>
                      <w:sz w:val="24"/>
                      <w:szCs w:val="24"/>
                      <w:lang w:val="en-GB"/>
                    </w:rPr>
                  </m:ctrlPr>
                </m:fPr>
                <m:num>
                  <m:sSub>
                    <m:sSubPr>
                      <m:ctrlPr>
                        <w:rPr>
                          <w:rFonts w:ascii="Cambria Math"/>
                          <w:i/>
                          <w:sz w:val="24"/>
                          <w:szCs w:val="24"/>
                          <w:lang w:val="en-GB"/>
                        </w:rPr>
                      </m:ctrlPr>
                    </m:sSubPr>
                    <m:e>
                      <m:r>
                        <w:rPr>
                          <w:rFonts w:ascii="Cambria Math" w:hAnsi="Cambria Math"/>
                          <w:sz w:val="24"/>
                          <w:szCs w:val="24"/>
                          <w:lang w:val="en-GB"/>
                        </w:rPr>
                        <m:t>Q</m:t>
                      </m:r>
                    </m:e>
                    <m:sub>
                      <m:r>
                        <w:rPr>
                          <w:rFonts w:ascii="Cambria Math" w:hAnsi="Cambria Math"/>
                          <w:sz w:val="24"/>
                          <w:szCs w:val="24"/>
                          <w:lang w:val="en-GB"/>
                        </w:rPr>
                        <m:t>m</m:t>
                      </m:r>
                    </m:sub>
                  </m:sSub>
                </m:num>
                <m:den>
                  <m:r>
                    <w:rPr>
                      <w:rFonts w:ascii="Cambria Math"/>
                      <w:sz w:val="24"/>
                      <w:szCs w:val="24"/>
                      <w:lang w:val="en-GB"/>
                    </w:rPr>
                    <m:t>3.6</m:t>
                  </m:r>
                  <m:r>
                    <w:rPr>
                      <w:rFonts w:ascii="Cambria Math"/>
                      <w:i/>
                      <w:sz w:val="24"/>
                      <w:szCs w:val="24"/>
                      <w:lang w:val="en-GB"/>
                    </w:rPr>
                    <w:sym w:font="Symbol" w:char="F0D7"/>
                  </m:r>
                  <m:r>
                    <w:rPr>
                      <w:rFonts w:ascii="Cambria Math" w:hAnsi="Cambria Math"/>
                      <w:sz w:val="24"/>
                      <w:szCs w:val="24"/>
                      <w:lang w:val="en-GB"/>
                    </w:rPr>
                    <m:t>v</m:t>
                  </m:r>
                  <m:r>
                    <w:rPr>
                      <w:rFonts w:ascii="Cambria Math"/>
                      <w:i/>
                      <w:sz w:val="24"/>
                      <w:szCs w:val="24"/>
                      <w:lang w:val="en-GB"/>
                    </w:rPr>
                    <w:sym w:font="Symbol" w:char="F0D7"/>
                  </m:r>
                  <m:r>
                    <w:rPr>
                      <w:rFonts w:ascii="Cambria Math"/>
                      <w:i/>
                      <w:sz w:val="24"/>
                      <w:szCs w:val="24"/>
                      <w:lang w:val="en-GB"/>
                    </w:rPr>
                    <w:sym w:font="Symbol" w:char="F072"/>
                  </m:r>
                  <m:r>
                    <w:rPr>
                      <w:rFonts w:ascii="Cambria Math"/>
                      <w:i/>
                      <w:sz w:val="24"/>
                      <w:szCs w:val="24"/>
                      <w:lang w:val="en-GB"/>
                    </w:rPr>
                    <w:sym w:font="Symbol" w:char="F0D7"/>
                  </m:r>
                  <m:r>
                    <w:rPr>
                      <w:rFonts w:ascii="Cambria Math"/>
                      <w:i/>
                      <w:sz w:val="24"/>
                      <w:szCs w:val="24"/>
                      <w:lang w:val="en-GB"/>
                    </w:rPr>
                    <w:sym w:font="Symbol" w:char="F079"/>
                  </m:r>
                </m:den>
              </m:f>
            </m:oMath>
          </w:p>
        </w:tc>
        <w:tc>
          <w:tcPr>
            <w:tcW w:w="1014" w:type="dxa"/>
            <w:vAlign w:val="center"/>
          </w:tcPr>
          <w:p w:rsidR="00861AB9" w:rsidRPr="006D64D7" w:rsidRDefault="00861AB9" w:rsidP="00861AB9">
            <w:pPr>
              <w:pStyle w:val="paragraf"/>
              <w:ind w:firstLine="0"/>
              <w:jc w:val="center"/>
              <w:rPr>
                <w:lang w:val="en-GB"/>
              </w:rPr>
            </w:pPr>
            <w:r w:rsidRPr="006D64D7">
              <w:rPr>
                <w:lang w:val="en-GB"/>
              </w:rPr>
              <w:t>(1)</w:t>
            </w:r>
          </w:p>
        </w:tc>
      </w:tr>
    </w:tbl>
    <w:p w:rsidR="00861AB9" w:rsidRPr="006D64D7" w:rsidRDefault="00861AB9" w:rsidP="00861AB9">
      <w:pPr>
        <w:pStyle w:val="paragraf"/>
        <w:ind w:firstLine="0"/>
        <w:rPr>
          <w:sz w:val="6"/>
          <w:szCs w:val="6"/>
          <w:lang w:val="en-GB"/>
        </w:rPr>
      </w:pPr>
    </w:p>
    <w:p w:rsidR="00CB1960" w:rsidRPr="006D64D7" w:rsidRDefault="00F657DD" w:rsidP="00F657DD">
      <w:pPr>
        <w:pStyle w:val="paragraf"/>
        <w:ind w:firstLine="0"/>
        <w:rPr>
          <w:lang w:val="en-GB"/>
        </w:rPr>
      </w:pPr>
      <w:r w:rsidRPr="006D64D7">
        <w:rPr>
          <w:lang w:val="en-GB"/>
        </w:rPr>
        <w:t xml:space="preserve">where values for bucket pitch, </w:t>
      </w:r>
      <w:r w:rsidRPr="006D64D7">
        <w:rPr>
          <w:i/>
          <w:lang w:val="en-GB"/>
        </w:rPr>
        <w:t>t</w:t>
      </w:r>
      <w:r w:rsidR="006D64D7" w:rsidRPr="006D64D7">
        <w:rPr>
          <w:i/>
          <w:vertAlign w:val="subscript"/>
          <w:lang w:val="en-GB"/>
        </w:rPr>
        <w:t>k</w:t>
      </w:r>
      <w:r w:rsidRPr="006D64D7">
        <w:rPr>
          <w:lang w:val="en-GB"/>
        </w:rPr>
        <w:t xml:space="preserve">, elevator speed, </w:t>
      </w:r>
      <w:r w:rsidRPr="006D64D7">
        <w:rPr>
          <w:i/>
          <w:lang w:val="en-GB"/>
        </w:rPr>
        <w:t>v</w:t>
      </w:r>
      <w:r w:rsidRPr="006D64D7">
        <w:rPr>
          <w:lang w:val="en-GB"/>
        </w:rPr>
        <w:t xml:space="preserve">, material density, </w:t>
      </w:r>
      <w:r w:rsidRPr="006D64D7">
        <w:rPr>
          <w:i/>
          <w:lang w:val="en-GB"/>
        </w:rPr>
        <w:t>ρ</w:t>
      </w:r>
      <w:r w:rsidRPr="006D64D7">
        <w:rPr>
          <w:lang w:val="en-GB"/>
        </w:rPr>
        <w:t xml:space="preserve">, average coefficient of bucket filling, </w:t>
      </w:r>
      <w:r w:rsidRPr="006D64D7">
        <w:rPr>
          <w:i/>
          <w:lang w:val="en-GB"/>
        </w:rPr>
        <w:t>ψ,</w:t>
      </w:r>
      <w:r w:rsidRPr="006D64D7">
        <w:rPr>
          <w:lang w:val="en-GB"/>
        </w:rPr>
        <w:t xml:space="preserve"> and capacity, </w:t>
      </w:r>
      <m:oMath>
        <m:sSub>
          <m:sSubPr>
            <m:ctrlPr>
              <w:rPr>
                <w:rFonts w:ascii="Cambria Math" w:hAnsi="Cambria Math"/>
                <w:i/>
                <w:lang w:val="en-GB"/>
              </w:rPr>
            </m:ctrlPr>
          </m:sSubPr>
          <m:e>
            <m:r>
              <w:rPr>
                <w:rFonts w:ascii="Cambria Math" w:hAnsi="Cambria Math"/>
                <w:lang w:val="en-GB"/>
              </w:rPr>
              <m:t>Q</m:t>
            </m:r>
          </m:e>
          <m:sub>
            <m:r>
              <w:rPr>
                <w:rFonts w:ascii="Cambria Math" w:hAnsi="Cambria Math"/>
                <w:lang w:val="en-GB"/>
              </w:rPr>
              <m:t>m</m:t>
            </m:r>
          </m:sub>
        </m:sSub>
      </m:oMath>
      <w:r w:rsidRPr="006D64D7">
        <w:rPr>
          <w:lang w:val="en-GB"/>
        </w:rPr>
        <w:t>, are given in advance</w:t>
      </w:r>
      <w:r w:rsidR="00CB1960" w:rsidRPr="006D64D7">
        <w:rPr>
          <w:lang w:val="en-GB"/>
        </w:rPr>
        <w:t>.</w:t>
      </w:r>
    </w:p>
    <w:p w:rsidR="00F464EC" w:rsidRPr="006D64D7" w:rsidRDefault="00123287" w:rsidP="00C85241">
      <w:pPr>
        <w:pStyle w:val="paragraf"/>
        <w:rPr>
          <w:lang w:val="en-GB"/>
        </w:rPr>
      </w:pPr>
      <w:r w:rsidRPr="003744FB">
        <w:rPr>
          <w:lang w:val="en-GB"/>
        </w:rPr>
        <w:t xml:space="preserve">Figure </w:t>
      </w:r>
      <w:r w:rsidR="00E910BC" w:rsidRPr="003744FB">
        <w:rPr>
          <w:lang w:val="en-GB"/>
        </w:rPr>
        <w:t>1</w:t>
      </w:r>
      <w:r w:rsidRPr="003744FB">
        <w:rPr>
          <w:lang w:val="en-GB"/>
        </w:rPr>
        <w:t xml:space="preserve"> presents the CAD model of the elevator bucket</w:t>
      </w:r>
      <w:r w:rsidR="00BC59AF" w:rsidRPr="003744FB">
        <w:rPr>
          <w:lang w:val="en-GB"/>
        </w:rPr>
        <w:t xml:space="preserve">, </w:t>
      </w:r>
      <w:r w:rsidR="006D64D7" w:rsidRPr="003744FB">
        <w:rPr>
          <w:lang w:val="en-GB"/>
        </w:rPr>
        <w:t>and figure 2 shows a</w:t>
      </w:r>
      <w:r w:rsidR="006D64D7" w:rsidRPr="006D64D7">
        <w:rPr>
          <w:lang w:val="en-GB"/>
        </w:rPr>
        <w:t xml:space="preserve"> drive unit</w:t>
      </w:r>
      <w:r w:rsidRPr="006D64D7">
        <w:rPr>
          <w:lang w:val="en-GB"/>
        </w:rPr>
        <w:t>.</w:t>
      </w:r>
    </w:p>
    <w:p w:rsidR="00123287" w:rsidRPr="006D64D7" w:rsidRDefault="00123287" w:rsidP="00123287">
      <w:pPr>
        <w:pStyle w:val="paragraf"/>
        <w:ind w:firstLine="0"/>
        <w:rPr>
          <w:sz w:val="10"/>
          <w:szCs w:val="10"/>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63"/>
        <w:gridCol w:w="3963"/>
      </w:tblGrid>
      <w:tr w:rsidR="00123287" w:rsidRPr="006D64D7" w:rsidTr="006D36FF">
        <w:tc>
          <w:tcPr>
            <w:tcW w:w="3963" w:type="dxa"/>
          </w:tcPr>
          <w:p w:rsidR="00123287" w:rsidRPr="006D64D7" w:rsidRDefault="00123287" w:rsidP="00123287">
            <w:pPr>
              <w:pStyle w:val="paragraf"/>
              <w:spacing w:after="60"/>
              <w:ind w:firstLine="0"/>
              <w:jc w:val="center"/>
              <w:rPr>
                <w:lang w:val="en-GB"/>
              </w:rPr>
            </w:pPr>
            <w:r w:rsidRPr="006D64D7">
              <w:rPr>
                <w:lang w:val="en-GB"/>
              </w:rPr>
              <w:drawing>
                <wp:inline distT="0" distB="0" distL="0" distR="0">
                  <wp:extent cx="2044193" cy="1620000"/>
                  <wp:effectExtent l="1905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 cstate="print"/>
                          <a:srcRect/>
                          <a:stretch>
                            <a:fillRect/>
                          </a:stretch>
                        </pic:blipFill>
                        <pic:spPr bwMode="auto">
                          <a:xfrm>
                            <a:off x="0" y="0"/>
                            <a:ext cx="2044193" cy="1620000"/>
                          </a:xfrm>
                          <a:prstGeom prst="rect">
                            <a:avLst/>
                          </a:prstGeom>
                          <a:noFill/>
                          <a:ln w="9525">
                            <a:noFill/>
                            <a:miter lim="800000"/>
                            <a:headEnd/>
                            <a:tailEnd/>
                          </a:ln>
                        </pic:spPr>
                      </pic:pic>
                    </a:graphicData>
                  </a:graphic>
                </wp:inline>
              </w:drawing>
            </w:r>
          </w:p>
        </w:tc>
        <w:tc>
          <w:tcPr>
            <w:tcW w:w="3963" w:type="dxa"/>
          </w:tcPr>
          <w:p w:rsidR="00123287" w:rsidRPr="006D64D7" w:rsidRDefault="00123287" w:rsidP="00123287">
            <w:pPr>
              <w:pStyle w:val="paragraf"/>
              <w:spacing w:after="60"/>
              <w:ind w:firstLine="0"/>
              <w:jc w:val="center"/>
              <w:rPr>
                <w:lang w:val="en-GB"/>
              </w:rPr>
            </w:pPr>
            <w:r w:rsidRPr="006D64D7">
              <w:rPr>
                <w:lang w:val="en-GB"/>
              </w:rPr>
              <w:drawing>
                <wp:inline distT="0" distB="0" distL="0" distR="0">
                  <wp:extent cx="2023448" cy="1620000"/>
                  <wp:effectExtent l="1905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 cstate="print"/>
                          <a:srcRect r="6883"/>
                          <a:stretch>
                            <a:fillRect/>
                          </a:stretch>
                        </pic:blipFill>
                        <pic:spPr bwMode="auto">
                          <a:xfrm>
                            <a:off x="0" y="0"/>
                            <a:ext cx="2023448" cy="1620000"/>
                          </a:xfrm>
                          <a:prstGeom prst="rect">
                            <a:avLst/>
                          </a:prstGeom>
                          <a:noFill/>
                          <a:ln w="9525">
                            <a:noFill/>
                            <a:miter lim="800000"/>
                            <a:headEnd/>
                            <a:tailEnd/>
                          </a:ln>
                        </pic:spPr>
                      </pic:pic>
                    </a:graphicData>
                  </a:graphic>
                </wp:inline>
              </w:drawing>
            </w:r>
          </w:p>
        </w:tc>
      </w:tr>
      <w:tr w:rsidR="00123287" w:rsidRPr="006D64D7" w:rsidTr="006D36FF">
        <w:tc>
          <w:tcPr>
            <w:tcW w:w="3963" w:type="dxa"/>
          </w:tcPr>
          <w:p w:rsidR="00123287" w:rsidRPr="006D64D7" w:rsidRDefault="00123287" w:rsidP="00123287">
            <w:pPr>
              <w:pStyle w:val="paragraf"/>
              <w:ind w:firstLine="0"/>
              <w:jc w:val="center"/>
              <w:rPr>
                <w:i/>
                <w:lang w:val="en-GB"/>
              </w:rPr>
            </w:pPr>
            <w:r w:rsidRPr="006D64D7">
              <w:rPr>
                <w:lang w:val="en-GB"/>
              </w:rPr>
              <w:t xml:space="preserve">Fig. </w:t>
            </w:r>
            <w:r w:rsidR="00E910BC" w:rsidRPr="006D64D7">
              <w:rPr>
                <w:lang w:val="en-GB"/>
              </w:rPr>
              <w:t>1</w:t>
            </w:r>
            <w:r w:rsidRPr="006D64D7">
              <w:rPr>
                <w:lang w:val="en-GB"/>
              </w:rPr>
              <w:t xml:space="preserve"> </w:t>
            </w:r>
            <w:r w:rsidRPr="006D64D7">
              <w:rPr>
                <w:i/>
                <w:lang w:val="en-GB"/>
              </w:rPr>
              <w:t>CAD model of chosen</w:t>
            </w:r>
          </w:p>
          <w:p w:rsidR="00123287" w:rsidRPr="006D64D7" w:rsidRDefault="00123287" w:rsidP="00123287">
            <w:pPr>
              <w:pStyle w:val="paragraf"/>
              <w:ind w:firstLine="0"/>
              <w:jc w:val="center"/>
              <w:rPr>
                <w:lang w:val="en-GB"/>
              </w:rPr>
            </w:pPr>
            <w:r w:rsidRPr="006D64D7">
              <w:rPr>
                <w:i/>
                <w:lang w:val="en-GB"/>
              </w:rPr>
              <w:t>elevator bucket</w:t>
            </w:r>
          </w:p>
        </w:tc>
        <w:tc>
          <w:tcPr>
            <w:tcW w:w="3963" w:type="dxa"/>
          </w:tcPr>
          <w:p w:rsidR="00123287" w:rsidRPr="006D64D7" w:rsidRDefault="00123287" w:rsidP="00E910BC">
            <w:pPr>
              <w:pStyle w:val="paragraf"/>
              <w:ind w:firstLine="0"/>
              <w:jc w:val="center"/>
              <w:rPr>
                <w:lang w:val="en-GB"/>
              </w:rPr>
            </w:pPr>
            <w:r w:rsidRPr="006D64D7">
              <w:rPr>
                <w:lang w:val="en-GB"/>
              </w:rPr>
              <w:t xml:space="preserve">Fig. </w:t>
            </w:r>
            <w:r w:rsidR="00E910BC" w:rsidRPr="006D64D7">
              <w:rPr>
                <w:lang w:val="en-GB"/>
              </w:rPr>
              <w:t>2</w:t>
            </w:r>
            <w:r w:rsidRPr="006D64D7">
              <w:rPr>
                <w:lang w:val="en-GB"/>
              </w:rPr>
              <w:t xml:space="preserve"> </w:t>
            </w:r>
            <w:r w:rsidRPr="006D64D7">
              <w:rPr>
                <w:i/>
                <w:lang w:val="en-GB"/>
              </w:rPr>
              <w:t>Model of electromotor – reducer unit</w:t>
            </w:r>
          </w:p>
        </w:tc>
      </w:tr>
    </w:tbl>
    <w:p w:rsidR="00123287" w:rsidRPr="006D64D7" w:rsidRDefault="00123287" w:rsidP="00123287">
      <w:pPr>
        <w:pStyle w:val="paragraf"/>
        <w:ind w:firstLine="0"/>
        <w:rPr>
          <w:sz w:val="10"/>
          <w:szCs w:val="10"/>
          <w:lang w:val="en-GB"/>
        </w:rPr>
      </w:pPr>
    </w:p>
    <w:p w:rsidR="00E5732A" w:rsidRPr="006D64D7" w:rsidRDefault="00E5732A" w:rsidP="00E5732A">
      <w:pPr>
        <w:pStyle w:val="paragraf"/>
        <w:rPr>
          <w:sz w:val="10"/>
          <w:szCs w:val="10"/>
          <w:lang w:val="en-GB"/>
        </w:rPr>
      </w:pPr>
      <w:r w:rsidRPr="006D64D7">
        <w:rPr>
          <w:lang w:val="en-GB"/>
        </w:rPr>
        <w:lastRenderedPageBreak/>
        <w:t>From the above, the parameters of the bucket may be adopted: bucket volume i</w:t>
      </w:r>
      <w:r w:rsidRPr="006D64D7">
        <w:rPr>
          <w:vertAlign w:val="subscript"/>
          <w:lang w:val="en-GB"/>
        </w:rPr>
        <w:t>0</w:t>
      </w:r>
      <w:r w:rsidRPr="006D64D7">
        <w:rPr>
          <w:lang w:val="en-GB"/>
        </w:rPr>
        <w:t>=6,3 l, bucket width B</w:t>
      </w:r>
      <w:r w:rsidRPr="006D64D7">
        <w:rPr>
          <w:vertAlign w:val="subscript"/>
          <w:lang w:val="en-GB"/>
        </w:rPr>
        <w:t>k</w:t>
      </w:r>
      <w:r w:rsidRPr="006D64D7">
        <w:rPr>
          <w:lang w:val="en-GB"/>
        </w:rPr>
        <w:t>=400 mm, mass of the bucket m</w:t>
      </w:r>
      <w:r w:rsidRPr="006D64D7">
        <w:rPr>
          <w:vertAlign w:val="subscript"/>
          <w:lang w:val="en-GB"/>
        </w:rPr>
        <w:t>k</w:t>
      </w:r>
      <w:r w:rsidRPr="006D64D7">
        <w:rPr>
          <w:lang w:val="en-GB"/>
        </w:rPr>
        <w:t>=9 kg and width of the bucket wall b</w:t>
      </w:r>
      <w:r w:rsidRPr="006D64D7">
        <w:rPr>
          <w:vertAlign w:val="subscript"/>
          <w:lang w:val="en-GB"/>
        </w:rPr>
        <w:t>k</w:t>
      </w:r>
      <w:r w:rsidRPr="006D64D7">
        <w:rPr>
          <w:lang w:val="en-GB"/>
        </w:rPr>
        <w:t xml:space="preserve">=4mm. Adequate electromotor and reducer </w:t>
      </w:r>
      <w:r w:rsidR="006D64D7" w:rsidRPr="006D64D7">
        <w:rPr>
          <w:lang w:val="en-GB"/>
        </w:rPr>
        <w:t>were</w:t>
      </w:r>
      <w:r w:rsidRPr="006D64D7">
        <w:rPr>
          <w:lang w:val="en-GB"/>
        </w:rPr>
        <w:t xml:space="preserve"> chosen </w:t>
      </w:r>
      <w:r w:rsidR="006D64D7" w:rsidRPr="006D64D7">
        <w:rPr>
          <w:lang w:val="en-GB"/>
        </w:rPr>
        <w:t>and geometry of the elements was defined</w:t>
      </w:r>
      <w:r w:rsidRPr="006D64D7">
        <w:rPr>
          <w:lang w:val="en-GB"/>
        </w:rPr>
        <w:t>.</w:t>
      </w:r>
    </w:p>
    <w:p w:rsidR="00F464EC" w:rsidRPr="006D64D7" w:rsidRDefault="00E910BC" w:rsidP="00C85241">
      <w:pPr>
        <w:pStyle w:val="paragraf"/>
        <w:rPr>
          <w:lang w:val="en-GB"/>
        </w:rPr>
      </w:pPr>
      <w:r w:rsidRPr="006D64D7">
        <w:rPr>
          <w:lang w:val="en-GB"/>
        </w:rPr>
        <w:t>Figure 3 presents the CAD model of a drive head of the elevator located at</w:t>
      </w:r>
      <w:r w:rsidR="006D64D7" w:rsidRPr="006D64D7">
        <w:rPr>
          <w:lang w:val="en-GB"/>
        </w:rPr>
        <w:t xml:space="preserve"> the</w:t>
      </w:r>
      <w:r w:rsidRPr="006D64D7">
        <w:rPr>
          <w:lang w:val="en-GB"/>
        </w:rPr>
        <w:t xml:space="preserve"> top of the elevator. </w:t>
      </w:r>
      <w:r w:rsidR="006D64D7" w:rsidRPr="006D64D7">
        <w:rPr>
          <w:lang w:val="en-GB"/>
        </w:rPr>
        <w:t>Selected elements are:</w:t>
      </w:r>
      <w:r w:rsidRPr="006D64D7">
        <w:rPr>
          <w:lang w:val="en-GB"/>
        </w:rPr>
        <w:t xml:space="preserve"> 1) the upper subassembly, 2) lower subassembly, 3) electric motor with reduction gearbox, 4) carrier of electric motor and gearbox, 5) slide bearings. The lower return casing is located at the bottom head of the elevator and is shown in figure 4.</w:t>
      </w:r>
    </w:p>
    <w:p w:rsidR="00F3186E" w:rsidRPr="006D64D7" w:rsidRDefault="00F3186E" w:rsidP="00F3186E">
      <w:pPr>
        <w:pStyle w:val="paragraf"/>
        <w:ind w:firstLine="0"/>
        <w:rPr>
          <w:sz w:val="10"/>
          <w:szCs w:val="10"/>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63"/>
        <w:gridCol w:w="3963"/>
      </w:tblGrid>
      <w:tr w:rsidR="00F3186E" w:rsidRPr="006D64D7" w:rsidTr="006D36FF">
        <w:tc>
          <w:tcPr>
            <w:tcW w:w="3963" w:type="dxa"/>
          </w:tcPr>
          <w:p w:rsidR="00F3186E" w:rsidRPr="006D64D7" w:rsidRDefault="00F3186E" w:rsidP="006D36FF">
            <w:pPr>
              <w:pStyle w:val="paragraf"/>
              <w:spacing w:after="60"/>
              <w:ind w:firstLine="0"/>
              <w:jc w:val="center"/>
              <w:rPr>
                <w:lang w:val="en-GB"/>
              </w:rPr>
            </w:pPr>
            <w:r w:rsidRPr="006D64D7">
              <w:rPr>
                <w:lang w:val="en-GB"/>
              </w:rPr>
              <w:drawing>
                <wp:inline distT="0" distB="0" distL="0" distR="0">
                  <wp:extent cx="2033438" cy="1620000"/>
                  <wp:effectExtent l="19050" t="0" r="4912"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 cstate="print"/>
                          <a:srcRect/>
                          <a:stretch>
                            <a:fillRect/>
                          </a:stretch>
                        </pic:blipFill>
                        <pic:spPr bwMode="auto">
                          <a:xfrm>
                            <a:off x="0" y="0"/>
                            <a:ext cx="2033438" cy="1620000"/>
                          </a:xfrm>
                          <a:prstGeom prst="rect">
                            <a:avLst/>
                          </a:prstGeom>
                          <a:noFill/>
                          <a:ln w="9525">
                            <a:noFill/>
                            <a:miter lim="800000"/>
                            <a:headEnd/>
                            <a:tailEnd/>
                          </a:ln>
                        </pic:spPr>
                      </pic:pic>
                    </a:graphicData>
                  </a:graphic>
                </wp:inline>
              </w:drawing>
            </w:r>
          </w:p>
        </w:tc>
        <w:tc>
          <w:tcPr>
            <w:tcW w:w="3963" w:type="dxa"/>
          </w:tcPr>
          <w:p w:rsidR="00F3186E" w:rsidRPr="006D64D7" w:rsidRDefault="00F3186E" w:rsidP="006D36FF">
            <w:pPr>
              <w:pStyle w:val="paragraf"/>
              <w:spacing w:after="60"/>
              <w:ind w:firstLine="0"/>
              <w:jc w:val="center"/>
              <w:rPr>
                <w:lang w:val="en-GB"/>
              </w:rPr>
            </w:pPr>
            <w:r w:rsidRPr="006D64D7">
              <w:rPr>
                <w:lang w:val="en-GB"/>
              </w:rPr>
              <w:drawing>
                <wp:inline distT="0" distB="0" distL="0" distR="0">
                  <wp:extent cx="2029384" cy="1617259"/>
                  <wp:effectExtent l="19050" t="0" r="8966"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 cstate="print"/>
                          <a:srcRect l="3466" r="2885"/>
                          <a:stretch>
                            <a:fillRect/>
                          </a:stretch>
                        </pic:blipFill>
                        <pic:spPr bwMode="auto">
                          <a:xfrm>
                            <a:off x="0" y="0"/>
                            <a:ext cx="2029384" cy="1617259"/>
                          </a:xfrm>
                          <a:prstGeom prst="rect">
                            <a:avLst/>
                          </a:prstGeom>
                          <a:noFill/>
                          <a:ln w="9525">
                            <a:noFill/>
                            <a:miter lim="800000"/>
                            <a:headEnd/>
                            <a:tailEnd/>
                          </a:ln>
                        </pic:spPr>
                      </pic:pic>
                    </a:graphicData>
                  </a:graphic>
                </wp:inline>
              </w:drawing>
            </w:r>
          </w:p>
        </w:tc>
      </w:tr>
      <w:tr w:rsidR="00F3186E" w:rsidRPr="006D64D7" w:rsidTr="006D36FF">
        <w:tc>
          <w:tcPr>
            <w:tcW w:w="3963" w:type="dxa"/>
          </w:tcPr>
          <w:p w:rsidR="00F3186E" w:rsidRPr="006D64D7" w:rsidRDefault="00F3186E" w:rsidP="00E910BC">
            <w:pPr>
              <w:pStyle w:val="paragraf"/>
              <w:ind w:firstLine="0"/>
              <w:jc w:val="center"/>
              <w:rPr>
                <w:lang w:val="en-GB"/>
              </w:rPr>
            </w:pPr>
            <w:r w:rsidRPr="006D64D7">
              <w:rPr>
                <w:lang w:val="en-GB"/>
              </w:rPr>
              <w:t xml:space="preserve">Fig. </w:t>
            </w:r>
            <w:r w:rsidR="00E910BC" w:rsidRPr="006D64D7">
              <w:rPr>
                <w:lang w:val="en-GB"/>
              </w:rPr>
              <w:t>3</w:t>
            </w:r>
            <w:r w:rsidRPr="006D64D7">
              <w:rPr>
                <w:lang w:val="en-GB"/>
              </w:rPr>
              <w:t xml:space="preserve"> </w:t>
            </w:r>
            <w:r w:rsidR="00CD1EF0" w:rsidRPr="006D64D7">
              <w:rPr>
                <w:i/>
                <w:lang w:val="en-GB"/>
              </w:rPr>
              <w:t>Drive head of the elevator</w:t>
            </w:r>
          </w:p>
        </w:tc>
        <w:tc>
          <w:tcPr>
            <w:tcW w:w="3963" w:type="dxa"/>
          </w:tcPr>
          <w:p w:rsidR="00F3186E" w:rsidRPr="006D64D7" w:rsidRDefault="00F3186E" w:rsidP="00E910BC">
            <w:pPr>
              <w:pStyle w:val="paragraf"/>
              <w:ind w:firstLine="0"/>
              <w:jc w:val="center"/>
              <w:rPr>
                <w:lang w:val="en-GB"/>
              </w:rPr>
            </w:pPr>
            <w:r w:rsidRPr="006D64D7">
              <w:rPr>
                <w:lang w:val="en-GB"/>
              </w:rPr>
              <w:t xml:space="preserve">Fig. </w:t>
            </w:r>
            <w:r w:rsidR="00E910BC" w:rsidRPr="006D64D7">
              <w:rPr>
                <w:lang w:val="en-GB"/>
              </w:rPr>
              <w:t>4</w:t>
            </w:r>
            <w:r w:rsidRPr="006D64D7">
              <w:rPr>
                <w:lang w:val="en-GB"/>
              </w:rPr>
              <w:t xml:space="preserve"> </w:t>
            </w:r>
            <w:r w:rsidR="00CD1EF0" w:rsidRPr="006D64D7">
              <w:rPr>
                <w:i/>
                <w:lang w:val="en-GB"/>
              </w:rPr>
              <w:t>The lower return casing of the elevator</w:t>
            </w:r>
          </w:p>
        </w:tc>
      </w:tr>
    </w:tbl>
    <w:p w:rsidR="00F3186E" w:rsidRPr="006D64D7" w:rsidRDefault="00F3186E" w:rsidP="00F3186E">
      <w:pPr>
        <w:pStyle w:val="paragraf"/>
        <w:ind w:firstLine="0"/>
        <w:rPr>
          <w:sz w:val="10"/>
          <w:szCs w:val="10"/>
          <w:lang w:val="en-GB"/>
        </w:rPr>
      </w:pPr>
    </w:p>
    <w:p w:rsidR="00CD1EF0" w:rsidRPr="006D64D7" w:rsidRDefault="00E910BC" w:rsidP="00C85241">
      <w:pPr>
        <w:pStyle w:val="paragraf"/>
        <w:rPr>
          <w:lang w:val="en-GB"/>
        </w:rPr>
      </w:pPr>
      <w:r w:rsidRPr="006D64D7">
        <w:rPr>
          <w:lang w:val="en-GB"/>
        </w:rPr>
        <w:t>Figure 5 presents the complete model of elevator with all its parts and assemblies</w:t>
      </w:r>
      <w:r w:rsidR="006D64D7" w:rsidRPr="006D64D7">
        <w:rPr>
          <w:lang w:val="en-GB"/>
        </w:rPr>
        <w:t>.</w:t>
      </w:r>
    </w:p>
    <w:p w:rsidR="00716A16" w:rsidRPr="006D64D7" w:rsidRDefault="00716A16" w:rsidP="00716A16">
      <w:pPr>
        <w:pStyle w:val="podnaslov"/>
        <w:spacing w:before="360"/>
        <w:rPr>
          <w:lang w:val="en-GB"/>
        </w:rPr>
      </w:pPr>
      <w:r w:rsidRPr="006D64D7">
        <w:rPr>
          <w:lang w:val="en-GB"/>
        </w:rPr>
        <w:t>FEA ANALYSIS</w:t>
      </w:r>
    </w:p>
    <w:p w:rsidR="00716A16" w:rsidRPr="006D64D7" w:rsidRDefault="00716A16" w:rsidP="00716A16">
      <w:pPr>
        <w:pStyle w:val="paragraf"/>
        <w:rPr>
          <w:lang w:val="en-GB"/>
        </w:rPr>
      </w:pPr>
      <w:r w:rsidRPr="006D64D7">
        <w:rPr>
          <w:lang w:val="en-GB"/>
        </w:rPr>
        <w:t>Since the bucket is the part of elevator which are used to transport grain, this part carry the most load and impact sow bucket must be construct with boundaries of that influence on them. They must carry the load and to have a long life of exploiting. In this paper has been analyzed bucket elevator who carries output capacity of 15 t/h to 45 t/h, where 45 t/h is a required capacity of elevator.</w:t>
      </w:r>
    </w:p>
    <w:p w:rsidR="00C2081C" w:rsidRPr="006D64D7" w:rsidRDefault="00C2081C" w:rsidP="006D64D7">
      <w:pPr>
        <w:pStyle w:val="paragraf"/>
        <w:rPr>
          <w:lang w:val="en-GB"/>
        </w:rPr>
      </w:pPr>
      <w:r w:rsidRPr="006D64D7">
        <w:rPr>
          <w:lang w:val="en-GB"/>
        </w:rPr>
        <w:t>The following material (steel) properties have been used in analysis of a bucket under static conditions [</w:t>
      </w:r>
      <w:r w:rsidR="00781A95" w:rsidRPr="006D64D7">
        <w:rPr>
          <w:lang w:val="en-GB"/>
        </w:rPr>
        <w:t>5</w:t>
      </w:r>
      <w:r w:rsidRPr="006D64D7">
        <w:rPr>
          <w:lang w:val="en-GB"/>
        </w:rPr>
        <w:t>]: Young’s modulus 200 GPa, Poisson’s ratio 0.3, density 7850 kg/m</w:t>
      </w:r>
      <w:r w:rsidRPr="006D64D7">
        <w:rPr>
          <w:vertAlign w:val="superscript"/>
          <w:lang w:val="en-GB"/>
        </w:rPr>
        <w:t xml:space="preserve">3 </w:t>
      </w:r>
      <w:r w:rsidRPr="006D64D7">
        <w:rPr>
          <w:lang w:val="en-GB"/>
        </w:rPr>
        <w:t>, yield strength 250 MPa.</w:t>
      </w:r>
    </w:p>
    <w:p w:rsidR="00C2081C" w:rsidRPr="006D64D7" w:rsidRDefault="00C2081C" w:rsidP="00C2081C">
      <w:pPr>
        <w:pStyle w:val="paragraf"/>
        <w:rPr>
          <w:lang w:val="en-GB"/>
        </w:rPr>
      </w:pPr>
      <w:r w:rsidRPr="006D64D7">
        <w:rPr>
          <w:lang w:val="en-GB"/>
        </w:rPr>
        <w:t xml:space="preserve">The 3D model was analysed using Autodesk Inventor software stress analyses module. Fixed conditions were imposed at the screw connectors of the bucket </w:t>
      </w:r>
      <w:r w:rsidRPr="004A563A">
        <w:rPr>
          <w:lang w:val="en-GB"/>
        </w:rPr>
        <w:t>structure and the belt connection with the bucket throw screw. Figure 6 shows the load</w:t>
      </w:r>
      <w:r w:rsidRPr="006D64D7">
        <w:rPr>
          <w:lang w:val="en-GB"/>
        </w:rPr>
        <w:t xml:space="preserve"> pressure of material, gravity influence and the meshed view of the bucket body. The total tonnage is divided between the buckets and the obtained value is distributed on the surface of the bucket.</w:t>
      </w:r>
    </w:p>
    <w:p w:rsidR="00C2081C" w:rsidRPr="006D64D7" w:rsidRDefault="00C2081C" w:rsidP="00C2081C">
      <w:pPr>
        <w:pStyle w:val="paragraf"/>
        <w:rPr>
          <w:lang w:val="en-GB"/>
        </w:rPr>
      </w:pPr>
      <w:r w:rsidRPr="006D64D7">
        <w:rPr>
          <w:lang w:val="en-GB"/>
        </w:rPr>
        <w:t>The results obtained by simulation are shown in figures 7 and 8. Figure 7 shows the deformation of the bucket, which is found to be 1.313 mm, maximally. Figure 8 shows the stress distribution and the maximum stress of 61.47 </w:t>
      </w:r>
      <w:r w:rsidR="00E84A6D" w:rsidRPr="006D64D7">
        <w:rPr>
          <w:lang w:val="en-GB"/>
        </w:rPr>
        <w:t>M</w:t>
      </w:r>
      <w:r w:rsidRPr="006D64D7">
        <w:rPr>
          <w:lang w:val="en-GB"/>
        </w:rPr>
        <w:t>Pa. As the buckets are made of mild steel, the developed static stress is within the permissible limits.</w:t>
      </w:r>
    </w:p>
    <w:p w:rsidR="00C2081C" w:rsidRPr="006D64D7" w:rsidRDefault="00C2081C">
      <w:pPr>
        <w:rPr>
          <w:rFonts w:ascii="Arial" w:hAnsi="Arial" w:cs="Arial"/>
          <w:sz w:val="10"/>
          <w:szCs w:val="10"/>
        </w:rPr>
      </w:pPr>
      <w:r w:rsidRPr="006D64D7">
        <w:rPr>
          <w:sz w:val="10"/>
          <w:szCs w:val="10"/>
        </w:rPr>
        <w:br w:type="page"/>
      </w:r>
    </w:p>
    <w:p w:rsidR="00C2081C" w:rsidRPr="006D64D7" w:rsidRDefault="00C2081C" w:rsidP="008C1BB3">
      <w:pPr>
        <w:pStyle w:val="paragraf"/>
        <w:ind w:firstLine="0"/>
        <w:rPr>
          <w:sz w:val="10"/>
          <w:szCs w:val="10"/>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802"/>
        <w:gridCol w:w="5124"/>
      </w:tblGrid>
      <w:tr w:rsidR="008C1BB3" w:rsidRPr="006D64D7" w:rsidTr="00A56115">
        <w:tc>
          <w:tcPr>
            <w:tcW w:w="2802" w:type="dxa"/>
            <w:vMerge w:val="restart"/>
          </w:tcPr>
          <w:p w:rsidR="008C1BB3" w:rsidRPr="006D64D7" w:rsidRDefault="008C1BB3" w:rsidP="005E3B6B">
            <w:pPr>
              <w:pStyle w:val="paragraf"/>
              <w:ind w:firstLine="0"/>
              <w:jc w:val="center"/>
              <w:rPr>
                <w:lang w:val="en-GB"/>
              </w:rPr>
            </w:pPr>
            <w:r w:rsidRPr="006D64D7">
              <w:rPr>
                <w:lang w:val="en-GB"/>
              </w:rPr>
              <w:drawing>
                <wp:inline distT="0" distB="0" distL="0" distR="0">
                  <wp:extent cx="915211" cy="3420000"/>
                  <wp:effectExtent l="19050" t="0" r="0" b="0"/>
                  <wp:docPr id="16"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 cstate="print"/>
                          <a:srcRect/>
                          <a:stretch>
                            <a:fillRect/>
                          </a:stretch>
                        </pic:blipFill>
                        <pic:spPr bwMode="auto">
                          <a:xfrm>
                            <a:off x="0" y="0"/>
                            <a:ext cx="915211" cy="3420000"/>
                          </a:xfrm>
                          <a:prstGeom prst="rect">
                            <a:avLst/>
                          </a:prstGeom>
                          <a:noFill/>
                          <a:ln w="9525">
                            <a:noFill/>
                            <a:miter lim="800000"/>
                            <a:headEnd/>
                            <a:tailEnd/>
                          </a:ln>
                        </pic:spPr>
                      </pic:pic>
                    </a:graphicData>
                  </a:graphic>
                </wp:inline>
              </w:drawing>
            </w:r>
          </w:p>
        </w:tc>
        <w:tc>
          <w:tcPr>
            <w:tcW w:w="5124" w:type="dxa"/>
          </w:tcPr>
          <w:p w:rsidR="005E3B6B" w:rsidRPr="006D64D7" w:rsidRDefault="00A56115" w:rsidP="00C2081C">
            <w:pPr>
              <w:pStyle w:val="paragraf"/>
              <w:ind w:firstLine="0"/>
              <w:rPr>
                <w:lang w:val="en-GB"/>
              </w:rPr>
            </w:pPr>
            <w:r w:rsidRPr="006D64D7">
              <w:rPr>
                <w:lang w:val="en-GB"/>
              </w:rPr>
              <w:tab/>
            </w:r>
            <w:r w:rsidR="00C2081C" w:rsidRPr="006D64D7">
              <w:rPr>
                <w:lang w:val="en-GB"/>
              </w:rPr>
              <w:t xml:space="preserve">Similarly, the static analysis was carried out for outputs of 15 t/h and 30 t/h to show the influence of lower output levels on stresses of the bucket. Respective results are included in Table 1. </w:t>
            </w:r>
          </w:p>
          <w:p w:rsidR="00C2081C" w:rsidRPr="006D64D7" w:rsidRDefault="005E3B6B" w:rsidP="00C2081C">
            <w:pPr>
              <w:pStyle w:val="paragraf"/>
              <w:ind w:firstLine="0"/>
              <w:rPr>
                <w:lang w:val="en-GB"/>
              </w:rPr>
            </w:pPr>
            <w:r w:rsidRPr="006D64D7">
              <w:rPr>
                <w:lang w:val="en-GB"/>
              </w:rPr>
              <w:tab/>
            </w:r>
            <w:r w:rsidR="00C2081C" w:rsidRPr="006D64D7">
              <w:rPr>
                <w:lang w:val="en-GB"/>
              </w:rPr>
              <w:t>Maximal levels of stress and deformation for all designs of buckets are situated at the same spot.</w:t>
            </w:r>
          </w:p>
          <w:p w:rsidR="00A56115" w:rsidRPr="006D64D7" w:rsidRDefault="005E3B6B" w:rsidP="00E910BC">
            <w:pPr>
              <w:pStyle w:val="paragraf"/>
              <w:rPr>
                <w:lang w:val="en-GB"/>
              </w:rPr>
            </w:pPr>
            <w:r w:rsidRPr="006D64D7">
              <w:rPr>
                <w:lang w:val="en-GB"/>
              </w:rPr>
              <w:t>The results show that all maximal stresses are within the maximal limits for the given material. The high values are obtained for factors of safety, but when the values of deformation are observed, there can be possible small changes in buckets in order for deformation and tension to stay within the limits.</w:t>
            </w:r>
          </w:p>
        </w:tc>
      </w:tr>
      <w:tr w:rsidR="008C1BB3" w:rsidRPr="006D64D7" w:rsidTr="00C2081C">
        <w:tc>
          <w:tcPr>
            <w:tcW w:w="2802" w:type="dxa"/>
            <w:vMerge/>
          </w:tcPr>
          <w:p w:rsidR="008C1BB3" w:rsidRPr="006D64D7" w:rsidRDefault="008C1BB3" w:rsidP="006D36FF">
            <w:pPr>
              <w:pStyle w:val="paragraf"/>
              <w:ind w:firstLine="0"/>
              <w:jc w:val="center"/>
              <w:rPr>
                <w:lang w:val="en-GB"/>
              </w:rPr>
            </w:pPr>
          </w:p>
        </w:tc>
        <w:tc>
          <w:tcPr>
            <w:tcW w:w="5124" w:type="dxa"/>
            <w:vAlign w:val="bottom"/>
          </w:tcPr>
          <w:p w:rsidR="00A56115" w:rsidRPr="006D64D7" w:rsidRDefault="00A56115" w:rsidP="00C2081C">
            <w:pPr>
              <w:pStyle w:val="paragraf"/>
              <w:ind w:firstLine="0"/>
              <w:jc w:val="center"/>
              <w:rPr>
                <w:sz w:val="6"/>
                <w:szCs w:val="6"/>
                <w:lang w:val="en-GB"/>
              </w:rPr>
            </w:pPr>
          </w:p>
          <w:p w:rsidR="00C2081C" w:rsidRPr="006D64D7" w:rsidRDefault="00C2081C" w:rsidP="00C2081C">
            <w:pPr>
              <w:pStyle w:val="paragraf"/>
              <w:ind w:firstLine="0"/>
              <w:jc w:val="center"/>
              <w:rPr>
                <w:sz w:val="6"/>
                <w:szCs w:val="6"/>
                <w:lang w:val="en-GB"/>
              </w:rPr>
            </w:pPr>
          </w:p>
          <w:p w:rsidR="008C1BB3" w:rsidRPr="006D64D7" w:rsidRDefault="008C1BB3" w:rsidP="00C2081C">
            <w:pPr>
              <w:pStyle w:val="paragraf"/>
              <w:ind w:firstLine="0"/>
              <w:jc w:val="center"/>
              <w:rPr>
                <w:lang w:val="en-GB"/>
              </w:rPr>
            </w:pPr>
            <w:r w:rsidRPr="006D64D7">
              <w:rPr>
                <w:lang w:val="en-GB"/>
              </w:rPr>
              <w:drawing>
                <wp:inline distT="0" distB="0" distL="0" distR="0">
                  <wp:extent cx="2610580" cy="1584000"/>
                  <wp:effectExtent l="1905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
                          <a:srcRect/>
                          <a:stretch>
                            <a:fillRect/>
                          </a:stretch>
                        </pic:blipFill>
                        <pic:spPr bwMode="auto">
                          <a:xfrm>
                            <a:off x="0" y="0"/>
                            <a:ext cx="2610580" cy="1584000"/>
                          </a:xfrm>
                          <a:prstGeom prst="rect">
                            <a:avLst/>
                          </a:prstGeom>
                          <a:noFill/>
                          <a:ln w="9525">
                            <a:noFill/>
                            <a:miter lim="800000"/>
                            <a:headEnd/>
                            <a:tailEnd/>
                          </a:ln>
                        </pic:spPr>
                      </pic:pic>
                    </a:graphicData>
                  </a:graphic>
                </wp:inline>
              </w:drawing>
            </w:r>
          </w:p>
        </w:tc>
      </w:tr>
      <w:tr w:rsidR="008C1BB3" w:rsidRPr="006D64D7" w:rsidTr="00A56115">
        <w:tc>
          <w:tcPr>
            <w:tcW w:w="2802" w:type="dxa"/>
          </w:tcPr>
          <w:p w:rsidR="008C1BB3" w:rsidRPr="006D64D7" w:rsidRDefault="008C1BB3" w:rsidP="00E910BC">
            <w:pPr>
              <w:pStyle w:val="paragraf"/>
              <w:spacing w:before="60"/>
              <w:ind w:firstLine="0"/>
              <w:jc w:val="center"/>
              <w:rPr>
                <w:lang w:val="en-GB"/>
              </w:rPr>
            </w:pPr>
            <w:r w:rsidRPr="006D64D7">
              <w:rPr>
                <w:lang w:val="en-GB"/>
              </w:rPr>
              <w:t xml:space="preserve">Fig. </w:t>
            </w:r>
            <w:r w:rsidR="00E910BC" w:rsidRPr="006D64D7">
              <w:rPr>
                <w:lang w:val="en-GB"/>
              </w:rPr>
              <w:t>5</w:t>
            </w:r>
            <w:r w:rsidRPr="006D64D7">
              <w:rPr>
                <w:lang w:val="en-GB"/>
              </w:rPr>
              <w:t xml:space="preserve"> </w:t>
            </w:r>
            <w:r w:rsidRPr="006D64D7">
              <w:rPr>
                <w:i/>
                <w:lang w:val="en-GB"/>
              </w:rPr>
              <w:t>Model of the elevator</w:t>
            </w:r>
          </w:p>
        </w:tc>
        <w:tc>
          <w:tcPr>
            <w:tcW w:w="5124" w:type="dxa"/>
          </w:tcPr>
          <w:p w:rsidR="008C1BB3" w:rsidRPr="006D64D7" w:rsidRDefault="008C1BB3" w:rsidP="00E910BC">
            <w:pPr>
              <w:pStyle w:val="paragraf"/>
              <w:spacing w:before="60"/>
              <w:ind w:firstLine="0"/>
              <w:jc w:val="center"/>
              <w:rPr>
                <w:lang w:val="en-GB"/>
              </w:rPr>
            </w:pPr>
            <w:r w:rsidRPr="006D64D7">
              <w:rPr>
                <w:lang w:val="en-GB"/>
              </w:rPr>
              <w:t xml:space="preserve">Fig. </w:t>
            </w:r>
            <w:r w:rsidR="00E910BC" w:rsidRPr="006D64D7">
              <w:rPr>
                <w:lang w:val="en-GB"/>
              </w:rPr>
              <w:t>6</w:t>
            </w:r>
            <w:r w:rsidRPr="006D64D7">
              <w:rPr>
                <w:lang w:val="en-GB"/>
              </w:rPr>
              <w:t xml:space="preserve"> </w:t>
            </w:r>
            <w:r w:rsidRPr="006D64D7">
              <w:rPr>
                <w:i/>
                <w:lang w:val="en-GB"/>
              </w:rPr>
              <w:t>Meshed view of the bucket</w:t>
            </w:r>
          </w:p>
        </w:tc>
      </w:tr>
    </w:tbl>
    <w:p w:rsidR="002C2268" w:rsidRPr="006D64D7" w:rsidRDefault="002C2268" w:rsidP="002C2268">
      <w:pPr>
        <w:pStyle w:val="paragraf"/>
        <w:ind w:firstLine="0"/>
        <w:rPr>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73"/>
        <w:gridCol w:w="3953"/>
      </w:tblGrid>
      <w:tr w:rsidR="002C2268" w:rsidRPr="006D64D7" w:rsidTr="006D36FF">
        <w:tc>
          <w:tcPr>
            <w:tcW w:w="3963" w:type="dxa"/>
          </w:tcPr>
          <w:p w:rsidR="002C2268" w:rsidRPr="006D64D7" w:rsidRDefault="002C2268" w:rsidP="006D36FF">
            <w:pPr>
              <w:pStyle w:val="paragraf"/>
              <w:spacing w:after="60"/>
              <w:ind w:firstLine="0"/>
              <w:jc w:val="center"/>
              <w:rPr>
                <w:lang w:val="en-GB"/>
              </w:rPr>
            </w:pPr>
            <w:r w:rsidRPr="006D64D7">
              <w:rPr>
                <w:lang w:val="en-GB"/>
              </w:rPr>
              <w:drawing>
                <wp:inline distT="0" distB="0" distL="0" distR="0">
                  <wp:extent cx="2375492" cy="1620000"/>
                  <wp:effectExtent l="19050" t="0" r="5758"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
                          <a:srcRect/>
                          <a:stretch>
                            <a:fillRect/>
                          </a:stretch>
                        </pic:blipFill>
                        <pic:spPr bwMode="auto">
                          <a:xfrm>
                            <a:off x="0" y="0"/>
                            <a:ext cx="2375492" cy="1620000"/>
                          </a:xfrm>
                          <a:prstGeom prst="rect">
                            <a:avLst/>
                          </a:prstGeom>
                          <a:noFill/>
                          <a:ln w="9525">
                            <a:noFill/>
                            <a:miter lim="800000"/>
                            <a:headEnd/>
                            <a:tailEnd/>
                          </a:ln>
                        </pic:spPr>
                      </pic:pic>
                    </a:graphicData>
                  </a:graphic>
                </wp:inline>
              </w:drawing>
            </w:r>
          </w:p>
        </w:tc>
        <w:tc>
          <w:tcPr>
            <w:tcW w:w="3963" w:type="dxa"/>
          </w:tcPr>
          <w:p w:rsidR="002C2268" w:rsidRPr="006D64D7" w:rsidRDefault="002C2268" w:rsidP="006D36FF">
            <w:pPr>
              <w:pStyle w:val="paragraf"/>
              <w:spacing w:after="60"/>
              <w:ind w:firstLine="0"/>
              <w:jc w:val="center"/>
              <w:rPr>
                <w:lang w:val="en-GB"/>
              </w:rPr>
            </w:pPr>
            <w:r w:rsidRPr="006D64D7">
              <w:rPr>
                <w:lang w:val="en-GB"/>
              </w:rPr>
              <w:drawing>
                <wp:inline distT="0" distB="0" distL="0" distR="0">
                  <wp:extent cx="2368324" cy="1620000"/>
                  <wp:effectExtent l="1905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6"/>
                          <a:srcRect/>
                          <a:stretch>
                            <a:fillRect/>
                          </a:stretch>
                        </pic:blipFill>
                        <pic:spPr bwMode="auto">
                          <a:xfrm>
                            <a:off x="0" y="0"/>
                            <a:ext cx="2368324" cy="1620000"/>
                          </a:xfrm>
                          <a:prstGeom prst="rect">
                            <a:avLst/>
                          </a:prstGeom>
                          <a:noFill/>
                          <a:ln w="9525">
                            <a:noFill/>
                            <a:miter lim="800000"/>
                            <a:headEnd/>
                            <a:tailEnd/>
                          </a:ln>
                        </pic:spPr>
                      </pic:pic>
                    </a:graphicData>
                  </a:graphic>
                </wp:inline>
              </w:drawing>
            </w:r>
          </w:p>
        </w:tc>
      </w:tr>
      <w:tr w:rsidR="002C2268" w:rsidRPr="006D64D7" w:rsidTr="006D36FF">
        <w:tc>
          <w:tcPr>
            <w:tcW w:w="3963" w:type="dxa"/>
          </w:tcPr>
          <w:p w:rsidR="002C2268" w:rsidRPr="003744FB" w:rsidRDefault="002C2268" w:rsidP="00E910BC">
            <w:pPr>
              <w:pStyle w:val="paragraf"/>
              <w:ind w:firstLine="0"/>
              <w:jc w:val="center"/>
              <w:rPr>
                <w:lang w:val="en-GB"/>
              </w:rPr>
            </w:pPr>
            <w:r w:rsidRPr="003744FB">
              <w:rPr>
                <w:lang w:val="en-GB"/>
              </w:rPr>
              <w:t xml:space="preserve">Fig. </w:t>
            </w:r>
            <w:r w:rsidR="00E910BC" w:rsidRPr="003744FB">
              <w:rPr>
                <w:lang w:val="en-GB"/>
              </w:rPr>
              <w:t>7</w:t>
            </w:r>
            <w:r w:rsidRPr="003744FB">
              <w:rPr>
                <w:lang w:val="en-GB"/>
              </w:rPr>
              <w:t xml:space="preserve"> </w:t>
            </w:r>
            <w:r w:rsidRPr="003744FB">
              <w:rPr>
                <w:i/>
                <w:lang w:val="en-GB"/>
              </w:rPr>
              <w:t>Deformation of the bucket</w:t>
            </w:r>
          </w:p>
        </w:tc>
        <w:tc>
          <w:tcPr>
            <w:tcW w:w="3963" w:type="dxa"/>
          </w:tcPr>
          <w:p w:rsidR="002C2268" w:rsidRPr="006D64D7" w:rsidRDefault="002C2268" w:rsidP="00E910BC">
            <w:pPr>
              <w:pStyle w:val="paragraf"/>
              <w:ind w:firstLine="0"/>
              <w:jc w:val="center"/>
              <w:rPr>
                <w:lang w:val="en-GB"/>
              </w:rPr>
            </w:pPr>
            <w:r w:rsidRPr="003744FB">
              <w:rPr>
                <w:lang w:val="en-GB"/>
              </w:rPr>
              <w:t xml:space="preserve">Fig. </w:t>
            </w:r>
            <w:r w:rsidR="00E910BC" w:rsidRPr="003744FB">
              <w:rPr>
                <w:lang w:val="en-GB"/>
              </w:rPr>
              <w:t>8</w:t>
            </w:r>
            <w:r w:rsidRPr="003744FB">
              <w:rPr>
                <w:lang w:val="en-GB"/>
              </w:rPr>
              <w:t xml:space="preserve"> </w:t>
            </w:r>
            <w:r w:rsidRPr="003744FB">
              <w:rPr>
                <w:i/>
                <w:lang w:val="en-GB"/>
              </w:rPr>
              <w:t>Von Mises stresses of the bucket</w:t>
            </w:r>
          </w:p>
        </w:tc>
      </w:tr>
    </w:tbl>
    <w:p w:rsidR="002C2268" w:rsidRPr="006D64D7" w:rsidRDefault="002C2268" w:rsidP="002C2268">
      <w:pPr>
        <w:pStyle w:val="paragraf"/>
        <w:ind w:firstLine="0"/>
        <w:rPr>
          <w:sz w:val="10"/>
          <w:szCs w:val="10"/>
          <w:lang w:val="en-GB"/>
        </w:rPr>
      </w:pPr>
    </w:p>
    <w:p w:rsidR="000F13A2" w:rsidRPr="006D64D7" w:rsidRDefault="000F13A2" w:rsidP="000F13A2">
      <w:pPr>
        <w:pStyle w:val="nazivslike"/>
        <w:numPr>
          <w:ilvl w:val="0"/>
          <w:numId w:val="0"/>
        </w:numPr>
        <w:spacing w:before="240"/>
        <w:jc w:val="left"/>
        <w:rPr>
          <w:lang w:val="en-GB"/>
        </w:rPr>
      </w:pPr>
      <w:r w:rsidRPr="003744FB">
        <w:rPr>
          <w:i w:val="0"/>
          <w:lang w:val="en-GB"/>
        </w:rPr>
        <w:t>Table 1</w:t>
      </w:r>
      <w:r w:rsidRPr="003744FB">
        <w:rPr>
          <w:lang w:val="en-GB"/>
        </w:rPr>
        <w:t xml:space="preserve"> Results obtained for different output levels</w:t>
      </w:r>
    </w:p>
    <w:tbl>
      <w:tblPr>
        <w:tblW w:w="77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20"/>
        <w:gridCol w:w="1934"/>
        <w:gridCol w:w="1924"/>
        <w:gridCol w:w="1933"/>
      </w:tblGrid>
      <w:tr w:rsidR="000F13A2" w:rsidRPr="006D64D7" w:rsidTr="000F13A2">
        <w:tc>
          <w:tcPr>
            <w:tcW w:w="1920" w:type="dxa"/>
            <w:tcBorders>
              <w:bottom w:val="single" w:sz="4" w:space="0" w:color="auto"/>
            </w:tcBorders>
            <w:shd w:val="clear" w:color="auto" w:fill="D9D9D9" w:themeFill="background1" w:themeFillShade="D9"/>
          </w:tcPr>
          <w:p w:rsidR="000F13A2" w:rsidRPr="006D64D7" w:rsidRDefault="000F13A2" w:rsidP="006D36FF">
            <w:pPr>
              <w:pStyle w:val="nazivslike"/>
              <w:numPr>
                <w:ilvl w:val="0"/>
                <w:numId w:val="0"/>
              </w:numPr>
              <w:spacing w:after="0"/>
              <w:jc w:val="left"/>
              <w:rPr>
                <w:lang w:val="en-GB"/>
              </w:rPr>
            </w:pPr>
            <w:r w:rsidRPr="006D64D7">
              <w:rPr>
                <w:lang w:val="en-GB"/>
              </w:rPr>
              <w:t>No.</w:t>
            </w:r>
          </w:p>
        </w:tc>
        <w:tc>
          <w:tcPr>
            <w:tcW w:w="1934" w:type="dxa"/>
            <w:shd w:val="clear" w:color="auto" w:fill="D9D9D9" w:themeFill="background1" w:themeFillShade="D9"/>
          </w:tcPr>
          <w:p w:rsidR="000F13A2" w:rsidRPr="006D64D7" w:rsidRDefault="000F13A2" w:rsidP="006D36FF">
            <w:pPr>
              <w:pStyle w:val="nazivslike"/>
              <w:numPr>
                <w:ilvl w:val="0"/>
                <w:numId w:val="0"/>
              </w:numPr>
              <w:spacing w:after="0"/>
              <w:jc w:val="left"/>
              <w:rPr>
                <w:lang w:val="en-GB"/>
              </w:rPr>
            </w:pPr>
            <w:r w:rsidRPr="006D64D7">
              <w:rPr>
                <w:lang w:val="en-GB"/>
              </w:rPr>
              <w:t>Output, t/h</w:t>
            </w:r>
          </w:p>
        </w:tc>
        <w:tc>
          <w:tcPr>
            <w:tcW w:w="1924" w:type="dxa"/>
            <w:shd w:val="clear" w:color="auto" w:fill="D9D9D9" w:themeFill="background1" w:themeFillShade="D9"/>
          </w:tcPr>
          <w:p w:rsidR="000F13A2" w:rsidRPr="006D64D7" w:rsidRDefault="000F13A2" w:rsidP="006D36FF">
            <w:pPr>
              <w:pStyle w:val="nazivslike"/>
              <w:numPr>
                <w:ilvl w:val="0"/>
                <w:numId w:val="0"/>
              </w:numPr>
              <w:spacing w:after="0"/>
              <w:jc w:val="left"/>
              <w:rPr>
                <w:lang w:val="en-GB"/>
              </w:rPr>
            </w:pPr>
            <w:r w:rsidRPr="006D64D7">
              <w:rPr>
                <w:lang w:val="en-GB"/>
              </w:rPr>
              <w:t>Max</w:t>
            </w:r>
            <w:r w:rsidR="005930AB" w:rsidRPr="006D64D7">
              <w:rPr>
                <w:lang w:val="en-GB"/>
              </w:rPr>
              <w:t>.</w:t>
            </w:r>
            <w:r w:rsidRPr="006D64D7">
              <w:rPr>
                <w:lang w:val="en-GB"/>
              </w:rPr>
              <w:t xml:space="preserve"> def., mm</w:t>
            </w:r>
          </w:p>
        </w:tc>
        <w:tc>
          <w:tcPr>
            <w:tcW w:w="1933" w:type="dxa"/>
            <w:shd w:val="clear" w:color="auto" w:fill="D9D9D9" w:themeFill="background1" w:themeFillShade="D9"/>
          </w:tcPr>
          <w:p w:rsidR="000F13A2" w:rsidRPr="006D64D7" w:rsidRDefault="000F13A2" w:rsidP="000F13A2">
            <w:pPr>
              <w:pStyle w:val="nazivslike"/>
              <w:numPr>
                <w:ilvl w:val="0"/>
                <w:numId w:val="0"/>
              </w:numPr>
              <w:spacing w:after="0"/>
              <w:jc w:val="left"/>
              <w:rPr>
                <w:lang w:val="en-GB"/>
              </w:rPr>
            </w:pPr>
            <w:r w:rsidRPr="006D64D7">
              <w:rPr>
                <w:lang w:val="en-GB"/>
              </w:rPr>
              <w:t>Max. stress, MPa</w:t>
            </w:r>
          </w:p>
        </w:tc>
      </w:tr>
      <w:tr w:rsidR="000F13A2" w:rsidRPr="006D64D7" w:rsidTr="000F13A2">
        <w:tc>
          <w:tcPr>
            <w:tcW w:w="1920" w:type="dxa"/>
            <w:shd w:val="clear" w:color="auto" w:fill="D9D9D9" w:themeFill="background1" w:themeFillShade="D9"/>
          </w:tcPr>
          <w:p w:rsidR="000F13A2" w:rsidRPr="006D64D7" w:rsidRDefault="000F13A2" w:rsidP="006D36FF">
            <w:pPr>
              <w:pStyle w:val="nazivslike"/>
              <w:numPr>
                <w:ilvl w:val="0"/>
                <w:numId w:val="0"/>
              </w:numPr>
              <w:spacing w:after="0"/>
              <w:jc w:val="left"/>
              <w:rPr>
                <w:lang w:val="en-GB"/>
              </w:rPr>
            </w:pPr>
            <w:r w:rsidRPr="006D64D7">
              <w:rPr>
                <w:lang w:val="en-GB"/>
              </w:rPr>
              <w:t>Casing-1</w:t>
            </w:r>
          </w:p>
        </w:tc>
        <w:tc>
          <w:tcPr>
            <w:tcW w:w="1934" w:type="dxa"/>
            <w:shd w:val="clear" w:color="auto" w:fill="auto"/>
          </w:tcPr>
          <w:p w:rsidR="000F13A2" w:rsidRPr="006D64D7" w:rsidRDefault="000F13A2" w:rsidP="006D36FF">
            <w:pPr>
              <w:pStyle w:val="nazivslike"/>
              <w:numPr>
                <w:ilvl w:val="0"/>
                <w:numId w:val="0"/>
              </w:numPr>
              <w:spacing w:after="0"/>
              <w:jc w:val="left"/>
              <w:rPr>
                <w:lang w:val="en-GB"/>
              </w:rPr>
            </w:pPr>
            <w:r w:rsidRPr="006D64D7">
              <w:rPr>
                <w:lang w:val="en-GB"/>
              </w:rPr>
              <w:t>15</w:t>
            </w:r>
          </w:p>
        </w:tc>
        <w:tc>
          <w:tcPr>
            <w:tcW w:w="1924" w:type="dxa"/>
            <w:shd w:val="clear" w:color="auto" w:fill="auto"/>
          </w:tcPr>
          <w:p w:rsidR="000F13A2" w:rsidRPr="006D64D7" w:rsidRDefault="000F13A2" w:rsidP="006D36FF">
            <w:pPr>
              <w:pStyle w:val="nazivslike"/>
              <w:numPr>
                <w:ilvl w:val="0"/>
                <w:numId w:val="0"/>
              </w:numPr>
              <w:spacing w:after="0"/>
              <w:jc w:val="left"/>
              <w:rPr>
                <w:lang w:val="en-GB"/>
              </w:rPr>
            </w:pPr>
            <w:r w:rsidRPr="006D64D7">
              <w:rPr>
                <w:lang w:val="en-GB"/>
              </w:rPr>
              <w:t>0.4448</w:t>
            </w:r>
          </w:p>
        </w:tc>
        <w:tc>
          <w:tcPr>
            <w:tcW w:w="1933" w:type="dxa"/>
            <w:shd w:val="clear" w:color="auto" w:fill="auto"/>
          </w:tcPr>
          <w:p w:rsidR="000F13A2" w:rsidRPr="006D64D7" w:rsidRDefault="000F13A2" w:rsidP="006D36FF">
            <w:pPr>
              <w:pStyle w:val="nazivslike"/>
              <w:numPr>
                <w:ilvl w:val="0"/>
                <w:numId w:val="0"/>
              </w:numPr>
              <w:spacing w:after="0"/>
              <w:jc w:val="left"/>
              <w:rPr>
                <w:lang w:val="en-GB"/>
              </w:rPr>
            </w:pPr>
            <w:r w:rsidRPr="006D64D7">
              <w:rPr>
                <w:lang w:val="en-GB"/>
              </w:rPr>
              <w:t>20.79</w:t>
            </w:r>
          </w:p>
        </w:tc>
      </w:tr>
      <w:tr w:rsidR="000F13A2" w:rsidRPr="006D64D7" w:rsidTr="000F13A2">
        <w:tc>
          <w:tcPr>
            <w:tcW w:w="1920" w:type="dxa"/>
            <w:shd w:val="clear" w:color="auto" w:fill="D9D9D9" w:themeFill="background1" w:themeFillShade="D9"/>
          </w:tcPr>
          <w:p w:rsidR="000F13A2" w:rsidRPr="006D64D7" w:rsidRDefault="000F13A2" w:rsidP="004A563A">
            <w:pPr>
              <w:pStyle w:val="nazivslike"/>
              <w:numPr>
                <w:ilvl w:val="0"/>
                <w:numId w:val="0"/>
              </w:numPr>
              <w:spacing w:after="0"/>
              <w:jc w:val="left"/>
              <w:rPr>
                <w:lang w:val="en-GB"/>
              </w:rPr>
            </w:pPr>
            <w:r w:rsidRPr="006D64D7">
              <w:rPr>
                <w:lang w:val="en-GB"/>
              </w:rPr>
              <w:t>Casing-</w:t>
            </w:r>
            <w:r w:rsidR="004A563A">
              <w:rPr>
                <w:lang w:val="en-GB"/>
              </w:rPr>
              <w:t>2</w:t>
            </w:r>
          </w:p>
        </w:tc>
        <w:tc>
          <w:tcPr>
            <w:tcW w:w="1934" w:type="dxa"/>
            <w:shd w:val="clear" w:color="auto" w:fill="auto"/>
          </w:tcPr>
          <w:p w:rsidR="000F13A2" w:rsidRPr="006D64D7" w:rsidRDefault="000F13A2" w:rsidP="006D36FF">
            <w:pPr>
              <w:pStyle w:val="nazivslike"/>
              <w:numPr>
                <w:ilvl w:val="0"/>
                <w:numId w:val="0"/>
              </w:numPr>
              <w:spacing w:after="0"/>
              <w:jc w:val="left"/>
              <w:rPr>
                <w:lang w:val="en-GB"/>
              </w:rPr>
            </w:pPr>
            <w:r w:rsidRPr="006D64D7">
              <w:rPr>
                <w:lang w:val="en-GB"/>
              </w:rPr>
              <w:t>30</w:t>
            </w:r>
          </w:p>
        </w:tc>
        <w:tc>
          <w:tcPr>
            <w:tcW w:w="1924" w:type="dxa"/>
            <w:shd w:val="clear" w:color="auto" w:fill="auto"/>
          </w:tcPr>
          <w:p w:rsidR="000F13A2" w:rsidRPr="006D64D7" w:rsidRDefault="000F13A2" w:rsidP="006D36FF">
            <w:pPr>
              <w:pStyle w:val="nazivslike"/>
              <w:numPr>
                <w:ilvl w:val="0"/>
                <w:numId w:val="0"/>
              </w:numPr>
              <w:spacing w:after="0"/>
              <w:jc w:val="left"/>
              <w:rPr>
                <w:lang w:val="en-GB"/>
              </w:rPr>
            </w:pPr>
            <w:r w:rsidRPr="006D64D7">
              <w:rPr>
                <w:lang w:val="en-GB"/>
              </w:rPr>
              <w:t>0.8789</w:t>
            </w:r>
          </w:p>
        </w:tc>
        <w:tc>
          <w:tcPr>
            <w:tcW w:w="1933" w:type="dxa"/>
            <w:shd w:val="clear" w:color="auto" w:fill="auto"/>
          </w:tcPr>
          <w:p w:rsidR="000F13A2" w:rsidRPr="006D64D7" w:rsidRDefault="000F13A2" w:rsidP="006D36FF">
            <w:pPr>
              <w:pStyle w:val="nazivslike"/>
              <w:numPr>
                <w:ilvl w:val="0"/>
                <w:numId w:val="0"/>
              </w:numPr>
              <w:spacing w:after="0"/>
              <w:jc w:val="left"/>
              <w:rPr>
                <w:lang w:val="en-GB"/>
              </w:rPr>
            </w:pPr>
            <w:r w:rsidRPr="006D64D7">
              <w:rPr>
                <w:lang w:val="en-GB"/>
              </w:rPr>
              <w:t>41.12</w:t>
            </w:r>
          </w:p>
        </w:tc>
      </w:tr>
      <w:tr w:rsidR="000F13A2" w:rsidRPr="006D64D7" w:rsidTr="000F13A2">
        <w:tc>
          <w:tcPr>
            <w:tcW w:w="1920" w:type="dxa"/>
            <w:shd w:val="clear" w:color="auto" w:fill="D9D9D9" w:themeFill="background1" w:themeFillShade="D9"/>
          </w:tcPr>
          <w:p w:rsidR="000F13A2" w:rsidRPr="006D64D7" w:rsidRDefault="000F13A2" w:rsidP="004A563A">
            <w:pPr>
              <w:pStyle w:val="nazivslike"/>
              <w:numPr>
                <w:ilvl w:val="0"/>
                <w:numId w:val="0"/>
              </w:numPr>
              <w:spacing w:after="0"/>
              <w:jc w:val="left"/>
              <w:rPr>
                <w:lang w:val="en-GB"/>
              </w:rPr>
            </w:pPr>
            <w:r w:rsidRPr="006D64D7">
              <w:rPr>
                <w:lang w:val="en-GB"/>
              </w:rPr>
              <w:t>Casing-</w:t>
            </w:r>
            <w:r w:rsidR="004A563A">
              <w:rPr>
                <w:lang w:val="en-GB"/>
              </w:rPr>
              <w:t>3</w:t>
            </w:r>
          </w:p>
        </w:tc>
        <w:tc>
          <w:tcPr>
            <w:tcW w:w="1934" w:type="dxa"/>
            <w:shd w:val="clear" w:color="auto" w:fill="auto"/>
          </w:tcPr>
          <w:p w:rsidR="000F13A2" w:rsidRPr="006D64D7" w:rsidRDefault="000F13A2" w:rsidP="006D36FF">
            <w:pPr>
              <w:pStyle w:val="nazivslike"/>
              <w:numPr>
                <w:ilvl w:val="0"/>
                <w:numId w:val="0"/>
              </w:numPr>
              <w:spacing w:after="0"/>
              <w:jc w:val="left"/>
              <w:rPr>
                <w:lang w:val="en-GB"/>
              </w:rPr>
            </w:pPr>
            <w:r w:rsidRPr="006D64D7">
              <w:rPr>
                <w:lang w:val="en-GB"/>
              </w:rPr>
              <w:t>45</w:t>
            </w:r>
          </w:p>
        </w:tc>
        <w:tc>
          <w:tcPr>
            <w:tcW w:w="1924" w:type="dxa"/>
            <w:shd w:val="clear" w:color="auto" w:fill="auto"/>
          </w:tcPr>
          <w:p w:rsidR="000F13A2" w:rsidRPr="006D64D7" w:rsidRDefault="000F13A2" w:rsidP="006D36FF">
            <w:pPr>
              <w:pStyle w:val="nazivslike"/>
              <w:numPr>
                <w:ilvl w:val="0"/>
                <w:numId w:val="0"/>
              </w:numPr>
              <w:spacing w:after="0"/>
              <w:jc w:val="left"/>
              <w:rPr>
                <w:lang w:val="en-GB"/>
              </w:rPr>
            </w:pPr>
            <w:r w:rsidRPr="006D64D7">
              <w:rPr>
                <w:lang w:val="en-GB"/>
              </w:rPr>
              <w:t>1.313</w:t>
            </w:r>
          </w:p>
        </w:tc>
        <w:tc>
          <w:tcPr>
            <w:tcW w:w="1933" w:type="dxa"/>
            <w:shd w:val="clear" w:color="auto" w:fill="auto"/>
          </w:tcPr>
          <w:p w:rsidR="000F13A2" w:rsidRPr="006D64D7" w:rsidRDefault="000F13A2" w:rsidP="006D36FF">
            <w:pPr>
              <w:pStyle w:val="nazivslike"/>
              <w:numPr>
                <w:ilvl w:val="0"/>
                <w:numId w:val="0"/>
              </w:numPr>
              <w:spacing w:after="0"/>
              <w:jc w:val="left"/>
              <w:rPr>
                <w:lang w:val="en-GB"/>
              </w:rPr>
            </w:pPr>
            <w:r w:rsidRPr="006D64D7">
              <w:rPr>
                <w:lang w:val="en-GB"/>
              </w:rPr>
              <w:t>61.47</w:t>
            </w:r>
          </w:p>
        </w:tc>
      </w:tr>
    </w:tbl>
    <w:p w:rsidR="005E3B6B" w:rsidRPr="006D64D7" w:rsidRDefault="005E3B6B">
      <w:pPr>
        <w:rPr>
          <w:rFonts w:ascii="Arial" w:hAnsi="Arial" w:cs="Arial"/>
          <w:b/>
          <w:bCs/>
          <w:sz w:val="20"/>
        </w:rPr>
      </w:pPr>
      <w:r w:rsidRPr="006D64D7">
        <w:br w:type="page"/>
      </w:r>
    </w:p>
    <w:p w:rsidR="005930AB" w:rsidRPr="006D64D7" w:rsidRDefault="005930AB" w:rsidP="005930AB">
      <w:pPr>
        <w:pStyle w:val="podnaslov"/>
        <w:numPr>
          <w:ilvl w:val="0"/>
          <w:numId w:val="0"/>
        </w:numPr>
        <w:spacing w:before="240"/>
        <w:rPr>
          <w:lang w:val="en-GB"/>
        </w:rPr>
      </w:pPr>
      <w:r w:rsidRPr="006D64D7">
        <w:rPr>
          <w:lang w:val="en-GB"/>
        </w:rPr>
        <w:lastRenderedPageBreak/>
        <w:t>3.1 Modification of the bucket</w:t>
      </w:r>
    </w:p>
    <w:p w:rsidR="00F44130" w:rsidRPr="006D64D7" w:rsidRDefault="005930AB" w:rsidP="005930AB">
      <w:pPr>
        <w:pStyle w:val="paragraf"/>
        <w:rPr>
          <w:lang w:val="en-GB"/>
        </w:rPr>
      </w:pPr>
      <w:r w:rsidRPr="006D64D7">
        <w:rPr>
          <w:lang w:val="en-GB"/>
        </w:rPr>
        <w:t>In order to obtain a lighter bucket while stress and deformations stay within allowed boundary values, some changes were proposed and simulated: thickness of the bucket have been decreased from 4 mm to 3 mm, reinforcements of the upper edges of the buckets were added in places where the highest stress values appear and more rounded edges were applied.</w:t>
      </w:r>
    </w:p>
    <w:p w:rsidR="005930AB" w:rsidRPr="006D64D7" w:rsidRDefault="005930AB" w:rsidP="005E3B6B">
      <w:pPr>
        <w:pStyle w:val="nazivslike"/>
        <w:numPr>
          <w:ilvl w:val="0"/>
          <w:numId w:val="0"/>
        </w:numPr>
        <w:spacing w:before="200"/>
        <w:jc w:val="left"/>
        <w:rPr>
          <w:lang w:val="en-GB"/>
        </w:rPr>
      </w:pPr>
      <w:r w:rsidRPr="006D64D7">
        <w:rPr>
          <w:i w:val="0"/>
          <w:lang w:val="en-GB"/>
        </w:rPr>
        <w:t>Table 2</w:t>
      </w:r>
      <w:r w:rsidRPr="006D64D7">
        <w:rPr>
          <w:lang w:val="en-GB"/>
        </w:rPr>
        <w:t xml:space="preserve"> </w:t>
      </w:r>
      <w:r w:rsidR="004A563A">
        <w:rPr>
          <w:lang w:val="en-GB"/>
        </w:rPr>
        <w:t>R</w:t>
      </w:r>
      <w:r w:rsidRPr="006D64D7">
        <w:rPr>
          <w:lang w:val="en-GB"/>
        </w:rPr>
        <w:t>esults obtained for reinforced bucket</w:t>
      </w:r>
    </w:p>
    <w:tbl>
      <w:tblPr>
        <w:tblW w:w="77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20"/>
        <w:gridCol w:w="1934"/>
        <w:gridCol w:w="1924"/>
        <w:gridCol w:w="1933"/>
      </w:tblGrid>
      <w:tr w:rsidR="005930AB" w:rsidRPr="006D64D7" w:rsidTr="006D36FF">
        <w:tc>
          <w:tcPr>
            <w:tcW w:w="1920" w:type="dxa"/>
            <w:tcBorders>
              <w:bottom w:val="single" w:sz="4" w:space="0" w:color="auto"/>
            </w:tcBorders>
            <w:shd w:val="clear" w:color="auto" w:fill="D9D9D9" w:themeFill="background1" w:themeFillShade="D9"/>
          </w:tcPr>
          <w:p w:rsidR="005930AB" w:rsidRPr="006D64D7" w:rsidRDefault="005930AB" w:rsidP="006D36FF">
            <w:pPr>
              <w:pStyle w:val="nazivslike"/>
              <w:numPr>
                <w:ilvl w:val="0"/>
                <w:numId w:val="0"/>
              </w:numPr>
              <w:spacing w:after="0"/>
              <w:jc w:val="left"/>
              <w:rPr>
                <w:lang w:val="en-GB"/>
              </w:rPr>
            </w:pPr>
            <w:r w:rsidRPr="006D64D7">
              <w:rPr>
                <w:lang w:val="en-GB"/>
              </w:rPr>
              <w:t>No.</w:t>
            </w:r>
          </w:p>
        </w:tc>
        <w:tc>
          <w:tcPr>
            <w:tcW w:w="1934" w:type="dxa"/>
            <w:shd w:val="clear" w:color="auto" w:fill="D9D9D9" w:themeFill="background1" w:themeFillShade="D9"/>
          </w:tcPr>
          <w:p w:rsidR="005930AB" w:rsidRPr="006D64D7" w:rsidRDefault="005930AB" w:rsidP="006D36FF">
            <w:pPr>
              <w:pStyle w:val="nazivslike"/>
              <w:numPr>
                <w:ilvl w:val="0"/>
                <w:numId w:val="0"/>
              </w:numPr>
              <w:spacing w:after="0"/>
              <w:jc w:val="left"/>
              <w:rPr>
                <w:lang w:val="en-GB"/>
              </w:rPr>
            </w:pPr>
            <w:r w:rsidRPr="006D64D7">
              <w:rPr>
                <w:lang w:val="en-GB"/>
              </w:rPr>
              <w:t>Output, t/h</w:t>
            </w:r>
          </w:p>
        </w:tc>
        <w:tc>
          <w:tcPr>
            <w:tcW w:w="1924" w:type="dxa"/>
            <w:shd w:val="clear" w:color="auto" w:fill="D9D9D9" w:themeFill="background1" w:themeFillShade="D9"/>
          </w:tcPr>
          <w:p w:rsidR="005930AB" w:rsidRPr="006D64D7" w:rsidRDefault="005930AB" w:rsidP="006D36FF">
            <w:pPr>
              <w:pStyle w:val="nazivslike"/>
              <w:numPr>
                <w:ilvl w:val="0"/>
                <w:numId w:val="0"/>
              </w:numPr>
              <w:spacing w:after="0"/>
              <w:jc w:val="left"/>
              <w:rPr>
                <w:lang w:val="en-GB"/>
              </w:rPr>
            </w:pPr>
            <w:r w:rsidRPr="006D64D7">
              <w:rPr>
                <w:lang w:val="en-GB"/>
              </w:rPr>
              <w:t>Max. def., mm</w:t>
            </w:r>
          </w:p>
        </w:tc>
        <w:tc>
          <w:tcPr>
            <w:tcW w:w="1933" w:type="dxa"/>
            <w:shd w:val="clear" w:color="auto" w:fill="D9D9D9" w:themeFill="background1" w:themeFillShade="D9"/>
          </w:tcPr>
          <w:p w:rsidR="005930AB" w:rsidRPr="006D64D7" w:rsidRDefault="005930AB" w:rsidP="006D36FF">
            <w:pPr>
              <w:pStyle w:val="nazivslike"/>
              <w:numPr>
                <w:ilvl w:val="0"/>
                <w:numId w:val="0"/>
              </w:numPr>
              <w:spacing w:after="0"/>
              <w:jc w:val="left"/>
              <w:rPr>
                <w:lang w:val="en-GB"/>
              </w:rPr>
            </w:pPr>
            <w:r w:rsidRPr="006D64D7">
              <w:rPr>
                <w:lang w:val="en-GB"/>
              </w:rPr>
              <w:t>Max. stress, MPa</w:t>
            </w:r>
          </w:p>
        </w:tc>
      </w:tr>
      <w:tr w:rsidR="005930AB" w:rsidRPr="006D64D7" w:rsidTr="006D36FF">
        <w:tc>
          <w:tcPr>
            <w:tcW w:w="1920" w:type="dxa"/>
            <w:shd w:val="clear" w:color="auto" w:fill="D9D9D9" w:themeFill="background1" w:themeFillShade="D9"/>
          </w:tcPr>
          <w:p w:rsidR="005930AB" w:rsidRPr="006D64D7" w:rsidRDefault="005930AB" w:rsidP="006D36FF">
            <w:pPr>
              <w:pStyle w:val="nazivslike"/>
              <w:numPr>
                <w:ilvl w:val="0"/>
                <w:numId w:val="0"/>
              </w:numPr>
              <w:spacing w:after="0"/>
              <w:jc w:val="left"/>
              <w:rPr>
                <w:lang w:val="en-GB"/>
              </w:rPr>
            </w:pPr>
            <w:r w:rsidRPr="006D64D7">
              <w:rPr>
                <w:lang w:val="en-GB"/>
              </w:rPr>
              <w:t>Casing-1</w:t>
            </w:r>
          </w:p>
        </w:tc>
        <w:tc>
          <w:tcPr>
            <w:tcW w:w="1934" w:type="dxa"/>
            <w:shd w:val="clear" w:color="auto" w:fill="auto"/>
          </w:tcPr>
          <w:p w:rsidR="005930AB" w:rsidRPr="006D64D7" w:rsidRDefault="005930AB" w:rsidP="006D36FF">
            <w:pPr>
              <w:pStyle w:val="nazivslike"/>
              <w:numPr>
                <w:ilvl w:val="0"/>
                <w:numId w:val="0"/>
              </w:numPr>
              <w:spacing w:after="0"/>
              <w:jc w:val="left"/>
              <w:rPr>
                <w:lang w:val="en-GB"/>
              </w:rPr>
            </w:pPr>
            <w:r w:rsidRPr="006D64D7">
              <w:rPr>
                <w:lang w:val="en-GB"/>
              </w:rPr>
              <w:t>15</w:t>
            </w:r>
          </w:p>
        </w:tc>
        <w:tc>
          <w:tcPr>
            <w:tcW w:w="1924" w:type="dxa"/>
            <w:shd w:val="clear" w:color="auto" w:fill="auto"/>
          </w:tcPr>
          <w:p w:rsidR="005930AB" w:rsidRPr="006D64D7" w:rsidRDefault="005930AB" w:rsidP="006D36FF">
            <w:pPr>
              <w:pStyle w:val="nazivslike"/>
              <w:numPr>
                <w:ilvl w:val="0"/>
                <w:numId w:val="0"/>
              </w:numPr>
              <w:spacing w:after="0"/>
              <w:jc w:val="left"/>
              <w:rPr>
                <w:lang w:val="en-GB"/>
              </w:rPr>
            </w:pPr>
            <w:r w:rsidRPr="006D64D7">
              <w:rPr>
                <w:lang w:val="en-GB"/>
              </w:rPr>
              <w:t>0.345</w:t>
            </w:r>
          </w:p>
        </w:tc>
        <w:tc>
          <w:tcPr>
            <w:tcW w:w="1933" w:type="dxa"/>
            <w:shd w:val="clear" w:color="auto" w:fill="auto"/>
          </w:tcPr>
          <w:p w:rsidR="005930AB" w:rsidRPr="006D64D7" w:rsidRDefault="005930AB" w:rsidP="006D36FF">
            <w:pPr>
              <w:pStyle w:val="nazivslike"/>
              <w:numPr>
                <w:ilvl w:val="0"/>
                <w:numId w:val="0"/>
              </w:numPr>
              <w:spacing w:after="0"/>
              <w:jc w:val="left"/>
              <w:rPr>
                <w:lang w:val="en-GB"/>
              </w:rPr>
            </w:pPr>
            <w:r w:rsidRPr="006D64D7">
              <w:rPr>
                <w:lang w:val="en-GB"/>
              </w:rPr>
              <w:t>19.76</w:t>
            </w:r>
          </w:p>
        </w:tc>
      </w:tr>
      <w:tr w:rsidR="005930AB" w:rsidRPr="006D64D7" w:rsidTr="006D36FF">
        <w:tc>
          <w:tcPr>
            <w:tcW w:w="1920" w:type="dxa"/>
            <w:shd w:val="clear" w:color="auto" w:fill="D9D9D9" w:themeFill="background1" w:themeFillShade="D9"/>
          </w:tcPr>
          <w:p w:rsidR="005930AB" w:rsidRPr="006D64D7" w:rsidRDefault="005930AB" w:rsidP="006D36FF">
            <w:pPr>
              <w:pStyle w:val="nazivslike"/>
              <w:numPr>
                <w:ilvl w:val="0"/>
                <w:numId w:val="0"/>
              </w:numPr>
              <w:spacing w:after="0"/>
              <w:jc w:val="left"/>
              <w:rPr>
                <w:lang w:val="en-GB"/>
              </w:rPr>
            </w:pPr>
            <w:r w:rsidRPr="006D64D7">
              <w:rPr>
                <w:lang w:val="en-GB"/>
              </w:rPr>
              <w:t>Casing-1</w:t>
            </w:r>
          </w:p>
        </w:tc>
        <w:tc>
          <w:tcPr>
            <w:tcW w:w="1934" w:type="dxa"/>
            <w:shd w:val="clear" w:color="auto" w:fill="auto"/>
          </w:tcPr>
          <w:p w:rsidR="005930AB" w:rsidRPr="006D64D7" w:rsidRDefault="005930AB" w:rsidP="006D36FF">
            <w:pPr>
              <w:pStyle w:val="nazivslike"/>
              <w:numPr>
                <w:ilvl w:val="0"/>
                <w:numId w:val="0"/>
              </w:numPr>
              <w:spacing w:after="0"/>
              <w:jc w:val="left"/>
              <w:rPr>
                <w:lang w:val="en-GB"/>
              </w:rPr>
            </w:pPr>
            <w:r w:rsidRPr="006D64D7">
              <w:rPr>
                <w:lang w:val="en-GB"/>
              </w:rPr>
              <w:t>30</w:t>
            </w:r>
          </w:p>
        </w:tc>
        <w:tc>
          <w:tcPr>
            <w:tcW w:w="1924" w:type="dxa"/>
            <w:shd w:val="clear" w:color="auto" w:fill="auto"/>
          </w:tcPr>
          <w:p w:rsidR="005930AB" w:rsidRPr="006D64D7" w:rsidRDefault="005930AB" w:rsidP="006D36FF">
            <w:pPr>
              <w:pStyle w:val="nazivslike"/>
              <w:numPr>
                <w:ilvl w:val="0"/>
                <w:numId w:val="0"/>
              </w:numPr>
              <w:spacing w:after="0"/>
              <w:jc w:val="left"/>
              <w:rPr>
                <w:lang w:val="en-GB"/>
              </w:rPr>
            </w:pPr>
            <w:r w:rsidRPr="006D64D7">
              <w:rPr>
                <w:lang w:val="en-GB"/>
              </w:rPr>
              <w:t>0.6812</w:t>
            </w:r>
          </w:p>
        </w:tc>
        <w:tc>
          <w:tcPr>
            <w:tcW w:w="1933" w:type="dxa"/>
            <w:shd w:val="clear" w:color="auto" w:fill="auto"/>
          </w:tcPr>
          <w:p w:rsidR="005930AB" w:rsidRPr="006D64D7" w:rsidRDefault="005930AB" w:rsidP="006D36FF">
            <w:pPr>
              <w:pStyle w:val="nazivslike"/>
              <w:numPr>
                <w:ilvl w:val="0"/>
                <w:numId w:val="0"/>
              </w:numPr>
              <w:spacing w:after="0"/>
              <w:jc w:val="left"/>
              <w:rPr>
                <w:lang w:val="en-GB"/>
              </w:rPr>
            </w:pPr>
            <w:r w:rsidRPr="006D64D7">
              <w:rPr>
                <w:lang w:val="en-GB"/>
              </w:rPr>
              <w:t>39.04</w:t>
            </w:r>
          </w:p>
        </w:tc>
      </w:tr>
      <w:tr w:rsidR="005930AB" w:rsidRPr="006D64D7" w:rsidTr="006D36FF">
        <w:tc>
          <w:tcPr>
            <w:tcW w:w="1920" w:type="dxa"/>
            <w:shd w:val="clear" w:color="auto" w:fill="D9D9D9" w:themeFill="background1" w:themeFillShade="D9"/>
          </w:tcPr>
          <w:p w:rsidR="005930AB" w:rsidRPr="006D64D7" w:rsidRDefault="005930AB" w:rsidP="006D36FF">
            <w:pPr>
              <w:pStyle w:val="nazivslike"/>
              <w:numPr>
                <w:ilvl w:val="0"/>
                <w:numId w:val="0"/>
              </w:numPr>
              <w:spacing w:after="0"/>
              <w:jc w:val="left"/>
              <w:rPr>
                <w:lang w:val="en-GB"/>
              </w:rPr>
            </w:pPr>
            <w:r w:rsidRPr="006D64D7">
              <w:rPr>
                <w:lang w:val="en-GB"/>
              </w:rPr>
              <w:t>Casing-1</w:t>
            </w:r>
          </w:p>
        </w:tc>
        <w:tc>
          <w:tcPr>
            <w:tcW w:w="1934" w:type="dxa"/>
            <w:shd w:val="clear" w:color="auto" w:fill="auto"/>
          </w:tcPr>
          <w:p w:rsidR="005930AB" w:rsidRPr="006D64D7" w:rsidRDefault="005930AB" w:rsidP="006D36FF">
            <w:pPr>
              <w:pStyle w:val="nazivslike"/>
              <w:numPr>
                <w:ilvl w:val="0"/>
                <w:numId w:val="0"/>
              </w:numPr>
              <w:spacing w:after="0"/>
              <w:jc w:val="left"/>
              <w:rPr>
                <w:lang w:val="en-GB"/>
              </w:rPr>
            </w:pPr>
            <w:r w:rsidRPr="006D64D7">
              <w:rPr>
                <w:lang w:val="en-GB"/>
              </w:rPr>
              <w:t>45</w:t>
            </w:r>
          </w:p>
        </w:tc>
        <w:tc>
          <w:tcPr>
            <w:tcW w:w="1924" w:type="dxa"/>
            <w:shd w:val="clear" w:color="auto" w:fill="auto"/>
          </w:tcPr>
          <w:p w:rsidR="005930AB" w:rsidRPr="006D64D7" w:rsidRDefault="005930AB" w:rsidP="006D36FF">
            <w:pPr>
              <w:pStyle w:val="nazivslike"/>
              <w:numPr>
                <w:ilvl w:val="0"/>
                <w:numId w:val="0"/>
              </w:numPr>
              <w:spacing w:after="0"/>
              <w:jc w:val="left"/>
              <w:rPr>
                <w:lang w:val="en-GB"/>
              </w:rPr>
            </w:pPr>
            <w:r w:rsidRPr="006D64D7">
              <w:rPr>
                <w:lang w:val="en-GB"/>
              </w:rPr>
              <w:t>1.017</w:t>
            </w:r>
          </w:p>
        </w:tc>
        <w:tc>
          <w:tcPr>
            <w:tcW w:w="1933" w:type="dxa"/>
            <w:shd w:val="clear" w:color="auto" w:fill="auto"/>
          </w:tcPr>
          <w:p w:rsidR="005930AB" w:rsidRPr="006D64D7" w:rsidRDefault="005930AB" w:rsidP="006D36FF">
            <w:pPr>
              <w:pStyle w:val="nazivslike"/>
              <w:numPr>
                <w:ilvl w:val="0"/>
                <w:numId w:val="0"/>
              </w:numPr>
              <w:spacing w:after="0"/>
              <w:jc w:val="left"/>
              <w:rPr>
                <w:lang w:val="en-GB"/>
              </w:rPr>
            </w:pPr>
            <w:r w:rsidRPr="006D64D7">
              <w:rPr>
                <w:lang w:val="en-GB"/>
              </w:rPr>
              <w:t>58.31</w:t>
            </w:r>
          </w:p>
        </w:tc>
      </w:tr>
    </w:tbl>
    <w:p w:rsidR="005930AB" w:rsidRPr="006D64D7" w:rsidRDefault="005930AB" w:rsidP="005930AB">
      <w:pPr>
        <w:pStyle w:val="paragraf"/>
        <w:rPr>
          <w:sz w:val="16"/>
          <w:szCs w:val="16"/>
          <w:lang w:val="en-GB"/>
        </w:rPr>
      </w:pPr>
    </w:p>
    <w:p w:rsidR="005930AB" w:rsidRPr="006D64D7" w:rsidRDefault="005930AB" w:rsidP="005930AB">
      <w:pPr>
        <w:pStyle w:val="paragraf"/>
        <w:rPr>
          <w:lang w:val="en-GB"/>
        </w:rPr>
      </w:pPr>
      <w:r w:rsidRPr="006D64D7">
        <w:rPr>
          <w:lang w:val="en-GB"/>
        </w:rPr>
        <w:t>This results show that all stresses are within the maximal limits for given material. It is obvious that the stresses obtained on reinforced buckets are smaller than stresses obtained on original bucket.</w:t>
      </w:r>
    </w:p>
    <w:p w:rsidR="00F44130" w:rsidRPr="006D64D7" w:rsidRDefault="00F44130" w:rsidP="00F44130">
      <w:pPr>
        <w:pStyle w:val="podnaslov"/>
        <w:spacing w:before="360"/>
        <w:rPr>
          <w:lang w:val="en-GB"/>
        </w:rPr>
      </w:pPr>
      <w:r w:rsidRPr="006D64D7">
        <w:rPr>
          <w:lang w:val="en-GB"/>
        </w:rPr>
        <w:t>RESULTS AND DISCUSSION</w:t>
      </w:r>
    </w:p>
    <w:p w:rsidR="00F44130" w:rsidRPr="006D64D7" w:rsidRDefault="00F44130" w:rsidP="00F44130">
      <w:pPr>
        <w:pStyle w:val="paragraf"/>
        <w:rPr>
          <w:lang w:val="en-GB"/>
        </w:rPr>
      </w:pPr>
      <w:r w:rsidRPr="006D64D7">
        <w:rPr>
          <w:lang w:val="en-GB"/>
        </w:rPr>
        <w:t xml:space="preserve">Results of simulation of the reinforced bucket show that the mass of the bucket </w:t>
      </w:r>
      <w:r w:rsidR="004A563A">
        <w:rPr>
          <w:lang w:val="en-GB"/>
        </w:rPr>
        <w:t>was reduced</w:t>
      </w:r>
      <w:r w:rsidRPr="006D64D7">
        <w:rPr>
          <w:lang w:val="en-GB"/>
        </w:rPr>
        <w:t xml:space="preserve">. The original mass was 5.5 kg and the mass of the new bucket </w:t>
      </w:r>
      <w:r w:rsidR="004A563A">
        <w:rPr>
          <w:lang w:val="en-GB"/>
        </w:rPr>
        <w:t>was</w:t>
      </w:r>
      <w:r w:rsidRPr="006D64D7">
        <w:rPr>
          <w:lang w:val="en-GB"/>
        </w:rPr>
        <w:t xml:space="preserve"> 4.7 kg.</w:t>
      </w:r>
      <w:r w:rsidR="005930AB" w:rsidRPr="006D64D7">
        <w:rPr>
          <w:lang w:val="en-GB"/>
        </w:rPr>
        <w:t xml:space="preserve"> </w:t>
      </w:r>
      <w:r w:rsidRPr="006D64D7">
        <w:rPr>
          <w:lang w:val="en-GB"/>
        </w:rPr>
        <w:t>Comparison of Von Mises stresses obtained f</w:t>
      </w:r>
      <w:r w:rsidR="004A563A">
        <w:rPr>
          <w:lang w:val="en-GB"/>
        </w:rPr>
        <w:t>or original and modified bucket</w:t>
      </w:r>
      <w:r w:rsidRPr="006D64D7">
        <w:rPr>
          <w:lang w:val="en-GB"/>
        </w:rPr>
        <w:t xml:space="preserve"> </w:t>
      </w:r>
      <w:r w:rsidR="004A563A">
        <w:rPr>
          <w:lang w:val="en-GB"/>
        </w:rPr>
        <w:t>is</w:t>
      </w:r>
      <w:r w:rsidR="004A563A" w:rsidRPr="006D64D7">
        <w:rPr>
          <w:lang w:val="en-GB"/>
        </w:rPr>
        <w:t xml:space="preserve"> </w:t>
      </w:r>
      <w:r w:rsidR="004A563A" w:rsidRPr="003744FB">
        <w:rPr>
          <w:lang w:val="en-GB"/>
        </w:rPr>
        <w:t xml:space="preserve">shown in figure 9 </w:t>
      </w:r>
      <w:r w:rsidRPr="003744FB">
        <w:rPr>
          <w:lang w:val="en-GB"/>
        </w:rPr>
        <w:t>for differe</w:t>
      </w:r>
      <w:r w:rsidR="004A563A" w:rsidRPr="003744FB">
        <w:rPr>
          <w:lang w:val="en-GB"/>
        </w:rPr>
        <w:t>nt outputs</w:t>
      </w:r>
      <w:r w:rsidRPr="003744FB">
        <w:rPr>
          <w:lang w:val="en-GB"/>
        </w:rPr>
        <w:t>.</w:t>
      </w:r>
    </w:p>
    <w:p w:rsidR="00045D41" w:rsidRPr="006D64D7" w:rsidRDefault="00045D41" w:rsidP="00045D41">
      <w:pPr>
        <w:pStyle w:val="paragraf"/>
        <w:ind w:firstLine="0"/>
        <w:rPr>
          <w:sz w:val="6"/>
          <w:szCs w:val="6"/>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42"/>
        <w:gridCol w:w="2642"/>
        <w:gridCol w:w="2642"/>
      </w:tblGrid>
      <w:tr w:rsidR="00F44130" w:rsidRPr="006D64D7" w:rsidTr="00045D41">
        <w:tc>
          <w:tcPr>
            <w:tcW w:w="2642" w:type="dxa"/>
          </w:tcPr>
          <w:p w:rsidR="00F44130" w:rsidRPr="006D64D7" w:rsidRDefault="00F44130" w:rsidP="00045D41">
            <w:pPr>
              <w:pStyle w:val="paragraf"/>
              <w:ind w:firstLine="0"/>
              <w:rPr>
                <w:lang w:val="en-GB"/>
              </w:rPr>
            </w:pPr>
            <w:r w:rsidRPr="006D64D7">
              <w:rPr>
                <w:lang w:val="en-GB"/>
              </w:rPr>
              <w:drawing>
                <wp:inline distT="0" distB="0" distL="0" distR="0">
                  <wp:extent cx="1584000" cy="1042740"/>
                  <wp:effectExtent l="1905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7"/>
                          <a:srcRect l="7780" t="9328" r="5044" b="15520"/>
                          <a:stretch>
                            <a:fillRect/>
                          </a:stretch>
                        </pic:blipFill>
                        <pic:spPr bwMode="auto">
                          <a:xfrm>
                            <a:off x="0" y="0"/>
                            <a:ext cx="1584000" cy="1042740"/>
                          </a:xfrm>
                          <a:prstGeom prst="rect">
                            <a:avLst/>
                          </a:prstGeom>
                          <a:noFill/>
                          <a:ln w="9525">
                            <a:noFill/>
                            <a:miter lim="800000"/>
                            <a:headEnd/>
                            <a:tailEnd/>
                          </a:ln>
                        </pic:spPr>
                      </pic:pic>
                    </a:graphicData>
                  </a:graphic>
                </wp:inline>
              </w:drawing>
            </w:r>
          </w:p>
        </w:tc>
        <w:tc>
          <w:tcPr>
            <w:tcW w:w="2642" w:type="dxa"/>
          </w:tcPr>
          <w:p w:rsidR="00F44130" w:rsidRPr="006D64D7" w:rsidRDefault="00F44130" w:rsidP="00045D41">
            <w:pPr>
              <w:pStyle w:val="paragraf"/>
              <w:ind w:firstLine="0"/>
              <w:jc w:val="center"/>
              <w:rPr>
                <w:lang w:val="en-GB"/>
              </w:rPr>
            </w:pPr>
            <w:r w:rsidRPr="006D64D7">
              <w:rPr>
                <w:lang w:val="en-GB"/>
              </w:rPr>
              <w:drawing>
                <wp:inline distT="0" distB="0" distL="0" distR="0">
                  <wp:extent cx="1584000" cy="1038766"/>
                  <wp:effectExtent l="1905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8"/>
                          <a:srcRect l="5978" t="9172" r="5118" b="15712"/>
                          <a:stretch>
                            <a:fillRect/>
                          </a:stretch>
                        </pic:blipFill>
                        <pic:spPr bwMode="auto">
                          <a:xfrm>
                            <a:off x="0" y="0"/>
                            <a:ext cx="1584000" cy="1038766"/>
                          </a:xfrm>
                          <a:prstGeom prst="rect">
                            <a:avLst/>
                          </a:prstGeom>
                          <a:noFill/>
                          <a:ln w="9525">
                            <a:noFill/>
                            <a:miter lim="800000"/>
                            <a:headEnd/>
                            <a:tailEnd/>
                          </a:ln>
                        </pic:spPr>
                      </pic:pic>
                    </a:graphicData>
                  </a:graphic>
                </wp:inline>
              </w:drawing>
            </w:r>
          </w:p>
        </w:tc>
        <w:tc>
          <w:tcPr>
            <w:tcW w:w="2642" w:type="dxa"/>
          </w:tcPr>
          <w:p w:rsidR="00F44130" w:rsidRPr="006D64D7" w:rsidRDefault="00F44130" w:rsidP="00045D41">
            <w:pPr>
              <w:pStyle w:val="paragraf"/>
              <w:ind w:firstLine="0"/>
              <w:jc w:val="center"/>
              <w:rPr>
                <w:lang w:val="en-GB"/>
              </w:rPr>
            </w:pPr>
            <w:r w:rsidRPr="006D64D7">
              <w:rPr>
                <w:lang w:val="en-GB"/>
              </w:rPr>
              <w:drawing>
                <wp:inline distT="0" distB="0" distL="0" distR="0">
                  <wp:extent cx="1584000" cy="1075264"/>
                  <wp:effectExtent l="1905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9"/>
                          <a:srcRect l="6481" t="9734" r="5031" b="13119"/>
                          <a:stretch>
                            <a:fillRect/>
                          </a:stretch>
                        </pic:blipFill>
                        <pic:spPr bwMode="auto">
                          <a:xfrm>
                            <a:off x="0" y="0"/>
                            <a:ext cx="1584000" cy="1075264"/>
                          </a:xfrm>
                          <a:prstGeom prst="rect">
                            <a:avLst/>
                          </a:prstGeom>
                          <a:noFill/>
                          <a:ln w="9525">
                            <a:noFill/>
                            <a:miter lim="800000"/>
                            <a:headEnd/>
                            <a:tailEnd/>
                          </a:ln>
                        </pic:spPr>
                      </pic:pic>
                    </a:graphicData>
                  </a:graphic>
                </wp:inline>
              </w:drawing>
            </w:r>
          </w:p>
        </w:tc>
      </w:tr>
      <w:tr w:rsidR="00F44130" w:rsidRPr="006D64D7" w:rsidTr="00045D41">
        <w:tc>
          <w:tcPr>
            <w:tcW w:w="2642" w:type="dxa"/>
          </w:tcPr>
          <w:p w:rsidR="00F44130" w:rsidRPr="006D64D7" w:rsidRDefault="00F44130" w:rsidP="00F44130">
            <w:pPr>
              <w:pStyle w:val="paragraf"/>
              <w:ind w:firstLine="0"/>
              <w:jc w:val="center"/>
              <w:rPr>
                <w:lang w:val="en-GB"/>
              </w:rPr>
            </w:pPr>
            <w:r w:rsidRPr="006D64D7">
              <w:rPr>
                <w:lang w:val="en-GB"/>
              </w:rPr>
              <w:t>a)</w:t>
            </w:r>
          </w:p>
        </w:tc>
        <w:tc>
          <w:tcPr>
            <w:tcW w:w="2642" w:type="dxa"/>
          </w:tcPr>
          <w:p w:rsidR="00F44130" w:rsidRPr="006D64D7" w:rsidRDefault="00F44130" w:rsidP="00F44130">
            <w:pPr>
              <w:pStyle w:val="paragraf"/>
              <w:ind w:firstLine="0"/>
              <w:jc w:val="center"/>
              <w:rPr>
                <w:lang w:val="en-GB"/>
              </w:rPr>
            </w:pPr>
            <w:r w:rsidRPr="006D64D7">
              <w:rPr>
                <w:lang w:val="en-GB"/>
              </w:rPr>
              <w:t>b)</w:t>
            </w:r>
          </w:p>
        </w:tc>
        <w:tc>
          <w:tcPr>
            <w:tcW w:w="2642" w:type="dxa"/>
          </w:tcPr>
          <w:p w:rsidR="00F44130" w:rsidRPr="006D64D7" w:rsidRDefault="00F44130" w:rsidP="00F44130">
            <w:pPr>
              <w:pStyle w:val="paragraf"/>
              <w:ind w:firstLine="0"/>
              <w:jc w:val="center"/>
              <w:rPr>
                <w:lang w:val="en-GB"/>
              </w:rPr>
            </w:pPr>
            <w:r w:rsidRPr="006D64D7">
              <w:rPr>
                <w:lang w:val="en-GB"/>
              </w:rPr>
              <w:t>c)</w:t>
            </w:r>
          </w:p>
        </w:tc>
      </w:tr>
      <w:tr w:rsidR="00F44130" w:rsidRPr="006D64D7" w:rsidTr="00045D41">
        <w:tc>
          <w:tcPr>
            <w:tcW w:w="7926" w:type="dxa"/>
            <w:gridSpan w:val="3"/>
          </w:tcPr>
          <w:p w:rsidR="00F44130" w:rsidRPr="003744FB" w:rsidRDefault="00F44130" w:rsidP="00F44130">
            <w:pPr>
              <w:pStyle w:val="paragraf"/>
              <w:ind w:firstLine="0"/>
              <w:jc w:val="center"/>
              <w:rPr>
                <w:i/>
                <w:lang w:val="en-GB"/>
              </w:rPr>
            </w:pPr>
            <w:r w:rsidRPr="003744FB">
              <w:rPr>
                <w:lang w:val="en-GB"/>
              </w:rPr>
              <w:t xml:space="preserve">Fig. </w:t>
            </w:r>
            <w:r w:rsidR="005930AB" w:rsidRPr="003744FB">
              <w:rPr>
                <w:lang w:val="en-GB"/>
              </w:rPr>
              <w:t>9</w:t>
            </w:r>
            <w:r w:rsidRPr="003744FB">
              <w:rPr>
                <w:lang w:val="en-GB"/>
              </w:rPr>
              <w:t xml:space="preserve"> </w:t>
            </w:r>
            <w:r w:rsidRPr="003744FB">
              <w:rPr>
                <w:i/>
                <w:lang w:val="en-GB"/>
              </w:rPr>
              <w:t xml:space="preserve">Maximal stresses of original and modified bucket under load of </w:t>
            </w:r>
          </w:p>
          <w:p w:rsidR="00F44130" w:rsidRPr="006D64D7" w:rsidRDefault="00F44130" w:rsidP="00F44130">
            <w:pPr>
              <w:pStyle w:val="paragraf"/>
              <w:ind w:firstLine="0"/>
              <w:jc w:val="center"/>
              <w:rPr>
                <w:lang w:val="en-GB"/>
              </w:rPr>
            </w:pPr>
            <w:r w:rsidRPr="003744FB">
              <w:rPr>
                <w:i/>
                <w:lang w:val="en-GB"/>
              </w:rPr>
              <w:t>a)</w:t>
            </w:r>
            <w:r w:rsidR="00E84A6D" w:rsidRPr="003744FB">
              <w:rPr>
                <w:i/>
                <w:lang w:val="en-GB"/>
              </w:rPr>
              <w:t xml:space="preserve"> </w:t>
            </w:r>
            <w:r w:rsidRPr="003744FB">
              <w:rPr>
                <w:i/>
                <w:lang w:val="en-GB"/>
              </w:rPr>
              <w:t>15 t/h, b)</w:t>
            </w:r>
            <w:r w:rsidR="00E84A6D" w:rsidRPr="003744FB">
              <w:rPr>
                <w:i/>
                <w:lang w:val="en-GB"/>
              </w:rPr>
              <w:t xml:space="preserve"> </w:t>
            </w:r>
            <w:r w:rsidRPr="003744FB">
              <w:rPr>
                <w:i/>
                <w:lang w:val="en-GB"/>
              </w:rPr>
              <w:t>30 t/h, c)</w:t>
            </w:r>
            <w:r w:rsidR="00E84A6D" w:rsidRPr="003744FB">
              <w:rPr>
                <w:i/>
                <w:lang w:val="en-GB"/>
              </w:rPr>
              <w:t xml:space="preserve"> </w:t>
            </w:r>
            <w:r w:rsidRPr="003744FB">
              <w:rPr>
                <w:i/>
                <w:lang w:val="en-GB"/>
              </w:rPr>
              <w:t>45 t/h,</w:t>
            </w:r>
            <w:r w:rsidRPr="006D64D7">
              <w:rPr>
                <w:i/>
                <w:lang w:val="en-GB"/>
              </w:rPr>
              <w:t xml:space="preserve"> </w:t>
            </w:r>
          </w:p>
        </w:tc>
      </w:tr>
    </w:tbl>
    <w:p w:rsidR="00F44130" w:rsidRPr="006D64D7" w:rsidRDefault="00F44130" w:rsidP="00F44130">
      <w:pPr>
        <w:pStyle w:val="paragraf"/>
        <w:ind w:firstLine="0"/>
        <w:rPr>
          <w:sz w:val="10"/>
          <w:szCs w:val="10"/>
          <w:lang w:val="en-GB"/>
        </w:rPr>
      </w:pPr>
    </w:p>
    <w:p w:rsidR="00F44130" w:rsidRPr="006D64D7" w:rsidRDefault="00045D41" w:rsidP="00F44130">
      <w:pPr>
        <w:pStyle w:val="paragraf"/>
        <w:rPr>
          <w:lang w:val="en-GB"/>
        </w:rPr>
      </w:pPr>
      <w:r w:rsidRPr="006D64D7">
        <w:rPr>
          <w:lang w:val="en-GB"/>
        </w:rPr>
        <w:t>Comparison of deformations obtained f</w:t>
      </w:r>
      <w:r w:rsidR="004A563A">
        <w:rPr>
          <w:lang w:val="en-GB"/>
        </w:rPr>
        <w:t>or original and modified bucket is</w:t>
      </w:r>
      <w:r w:rsidR="004A563A" w:rsidRPr="006D64D7">
        <w:rPr>
          <w:lang w:val="en-GB"/>
        </w:rPr>
        <w:t xml:space="preserve"> shown </w:t>
      </w:r>
      <w:r w:rsidR="004A563A" w:rsidRPr="003744FB">
        <w:rPr>
          <w:lang w:val="en-GB"/>
        </w:rPr>
        <w:t>in figure 10</w:t>
      </w:r>
      <w:r w:rsidRPr="003744FB">
        <w:rPr>
          <w:lang w:val="en-GB"/>
        </w:rPr>
        <w:t xml:space="preserve"> for differe</w:t>
      </w:r>
      <w:r w:rsidR="004A563A" w:rsidRPr="003744FB">
        <w:rPr>
          <w:lang w:val="en-GB"/>
        </w:rPr>
        <w:t>nt outputs</w:t>
      </w:r>
      <w:r w:rsidRPr="003744FB">
        <w:rPr>
          <w:lang w:val="en-GB"/>
        </w:rPr>
        <w:t>.</w:t>
      </w:r>
    </w:p>
    <w:p w:rsidR="00045D41" w:rsidRPr="006D64D7" w:rsidRDefault="00045D41" w:rsidP="00045D41">
      <w:pPr>
        <w:pStyle w:val="paragraf"/>
        <w:ind w:firstLine="0"/>
        <w:rPr>
          <w:sz w:val="6"/>
          <w:szCs w:val="6"/>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42"/>
        <w:gridCol w:w="2642"/>
        <w:gridCol w:w="2642"/>
      </w:tblGrid>
      <w:tr w:rsidR="00045D41" w:rsidRPr="006D64D7" w:rsidTr="008C1BB3">
        <w:tc>
          <w:tcPr>
            <w:tcW w:w="2642" w:type="dxa"/>
          </w:tcPr>
          <w:p w:rsidR="00045D41" w:rsidRPr="006D64D7" w:rsidRDefault="00045D41" w:rsidP="00045D41">
            <w:pPr>
              <w:pStyle w:val="paragraf"/>
              <w:ind w:firstLine="0"/>
              <w:jc w:val="center"/>
              <w:rPr>
                <w:lang w:val="en-GB"/>
              </w:rPr>
            </w:pPr>
            <w:r w:rsidRPr="006D64D7">
              <w:rPr>
                <w:lang w:val="en-GB"/>
              </w:rPr>
              <w:drawing>
                <wp:inline distT="0" distB="0" distL="0" distR="0">
                  <wp:extent cx="1584000" cy="1065429"/>
                  <wp:effectExtent l="1905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0"/>
                          <a:srcRect l="6084" t="9060" r="5026" b="15101"/>
                          <a:stretch>
                            <a:fillRect/>
                          </a:stretch>
                        </pic:blipFill>
                        <pic:spPr bwMode="auto">
                          <a:xfrm>
                            <a:off x="0" y="0"/>
                            <a:ext cx="1584000" cy="1065429"/>
                          </a:xfrm>
                          <a:prstGeom prst="rect">
                            <a:avLst/>
                          </a:prstGeom>
                          <a:noFill/>
                          <a:ln w="9525">
                            <a:noFill/>
                            <a:miter lim="800000"/>
                            <a:headEnd/>
                            <a:tailEnd/>
                          </a:ln>
                        </pic:spPr>
                      </pic:pic>
                    </a:graphicData>
                  </a:graphic>
                </wp:inline>
              </w:drawing>
            </w:r>
          </w:p>
        </w:tc>
        <w:tc>
          <w:tcPr>
            <w:tcW w:w="2642" w:type="dxa"/>
          </w:tcPr>
          <w:p w:rsidR="00045D41" w:rsidRPr="006D64D7" w:rsidRDefault="00045D41" w:rsidP="00045D41">
            <w:pPr>
              <w:pStyle w:val="paragraf"/>
              <w:ind w:firstLine="0"/>
              <w:jc w:val="center"/>
              <w:rPr>
                <w:lang w:val="en-GB"/>
              </w:rPr>
            </w:pPr>
            <w:r w:rsidRPr="006D64D7">
              <w:rPr>
                <w:lang w:val="en-GB"/>
              </w:rPr>
              <w:drawing>
                <wp:inline distT="0" distB="0" distL="0" distR="0">
                  <wp:extent cx="1584000" cy="1043576"/>
                  <wp:effectExtent l="1905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1"/>
                          <a:srcRect l="5026" t="12013" r="4233" b="14610"/>
                          <a:stretch>
                            <a:fillRect/>
                          </a:stretch>
                        </pic:blipFill>
                        <pic:spPr bwMode="auto">
                          <a:xfrm>
                            <a:off x="0" y="0"/>
                            <a:ext cx="1584000" cy="1043576"/>
                          </a:xfrm>
                          <a:prstGeom prst="rect">
                            <a:avLst/>
                          </a:prstGeom>
                          <a:noFill/>
                          <a:ln w="9525">
                            <a:noFill/>
                            <a:miter lim="800000"/>
                            <a:headEnd/>
                            <a:tailEnd/>
                          </a:ln>
                        </pic:spPr>
                      </pic:pic>
                    </a:graphicData>
                  </a:graphic>
                </wp:inline>
              </w:drawing>
            </w:r>
          </w:p>
        </w:tc>
        <w:tc>
          <w:tcPr>
            <w:tcW w:w="2642" w:type="dxa"/>
          </w:tcPr>
          <w:p w:rsidR="00045D41" w:rsidRPr="006D64D7" w:rsidRDefault="00045D41" w:rsidP="00045D41">
            <w:pPr>
              <w:pStyle w:val="paragraf"/>
              <w:ind w:firstLine="0"/>
              <w:jc w:val="center"/>
              <w:rPr>
                <w:lang w:val="en-GB"/>
              </w:rPr>
            </w:pPr>
            <w:r w:rsidRPr="006D64D7">
              <w:rPr>
                <w:lang w:val="en-GB"/>
              </w:rPr>
              <w:drawing>
                <wp:inline distT="0" distB="0" distL="0" distR="0">
                  <wp:extent cx="1584000" cy="1029600"/>
                  <wp:effectExtent l="1905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2"/>
                          <a:srcRect l="4233" t="9060" r="3704" b="15101"/>
                          <a:stretch>
                            <a:fillRect/>
                          </a:stretch>
                        </pic:blipFill>
                        <pic:spPr bwMode="auto">
                          <a:xfrm>
                            <a:off x="0" y="0"/>
                            <a:ext cx="1584000" cy="1029600"/>
                          </a:xfrm>
                          <a:prstGeom prst="rect">
                            <a:avLst/>
                          </a:prstGeom>
                          <a:noFill/>
                          <a:ln w="9525">
                            <a:noFill/>
                            <a:miter lim="800000"/>
                            <a:headEnd/>
                            <a:tailEnd/>
                          </a:ln>
                        </pic:spPr>
                      </pic:pic>
                    </a:graphicData>
                  </a:graphic>
                </wp:inline>
              </w:drawing>
            </w:r>
          </w:p>
        </w:tc>
      </w:tr>
      <w:tr w:rsidR="00045D41" w:rsidRPr="006D64D7" w:rsidTr="006D36FF">
        <w:tc>
          <w:tcPr>
            <w:tcW w:w="2642" w:type="dxa"/>
          </w:tcPr>
          <w:p w:rsidR="00045D41" w:rsidRPr="006D64D7" w:rsidRDefault="00045D41" w:rsidP="006D36FF">
            <w:pPr>
              <w:pStyle w:val="paragraf"/>
              <w:ind w:firstLine="0"/>
              <w:jc w:val="center"/>
              <w:rPr>
                <w:lang w:val="en-GB"/>
              </w:rPr>
            </w:pPr>
            <w:r w:rsidRPr="006D64D7">
              <w:rPr>
                <w:lang w:val="en-GB"/>
              </w:rPr>
              <w:t>a)</w:t>
            </w:r>
          </w:p>
        </w:tc>
        <w:tc>
          <w:tcPr>
            <w:tcW w:w="2642" w:type="dxa"/>
          </w:tcPr>
          <w:p w:rsidR="00045D41" w:rsidRPr="006D64D7" w:rsidRDefault="00045D41" w:rsidP="006D36FF">
            <w:pPr>
              <w:pStyle w:val="paragraf"/>
              <w:ind w:firstLine="0"/>
              <w:jc w:val="center"/>
              <w:rPr>
                <w:lang w:val="en-GB"/>
              </w:rPr>
            </w:pPr>
            <w:r w:rsidRPr="006D64D7">
              <w:rPr>
                <w:lang w:val="en-GB"/>
              </w:rPr>
              <w:t>b)</w:t>
            </w:r>
          </w:p>
        </w:tc>
        <w:tc>
          <w:tcPr>
            <w:tcW w:w="2642" w:type="dxa"/>
          </w:tcPr>
          <w:p w:rsidR="00045D41" w:rsidRPr="006D64D7" w:rsidRDefault="00045D41" w:rsidP="006D36FF">
            <w:pPr>
              <w:pStyle w:val="paragraf"/>
              <w:ind w:firstLine="0"/>
              <w:jc w:val="center"/>
              <w:rPr>
                <w:lang w:val="en-GB"/>
              </w:rPr>
            </w:pPr>
            <w:r w:rsidRPr="006D64D7">
              <w:rPr>
                <w:lang w:val="en-GB"/>
              </w:rPr>
              <w:t>c)</w:t>
            </w:r>
          </w:p>
        </w:tc>
      </w:tr>
      <w:tr w:rsidR="00045D41" w:rsidRPr="006D64D7" w:rsidTr="006D36FF">
        <w:tc>
          <w:tcPr>
            <w:tcW w:w="7926" w:type="dxa"/>
            <w:gridSpan w:val="3"/>
          </w:tcPr>
          <w:p w:rsidR="00045D41" w:rsidRPr="003744FB" w:rsidRDefault="00045D41" w:rsidP="006D36FF">
            <w:pPr>
              <w:pStyle w:val="paragraf"/>
              <w:ind w:firstLine="0"/>
              <w:jc w:val="center"/>
              <w:rPr>
                <w:i/>
                <w:lang w:val="en-GB"/>
              </w:rPr>
            </w:pPr>
            <w:r w:rsidRPr="003744FB">
              <w:rPr>
                <w:lang w:val="en-GB"/>
              </w:rPr>
              <w:t xml:space="preserve">Fig. </w:t>
            </w:r>
            <w:r w:rsidR="005930AB" w:rsidRPr="003744FB">
              <w:rPr>
                <w:lang w:val="en-GB"/>
              </w:rPr>
              <w:t>10</w:t>
            </w:r>
            <w:r w:rsidRPr="003744FB">
              <w:rPr>
                <w:lang w:val="en-GB"/>
              </w:rPr>
              <w:t xml:space="preserve"> </w:t>
            </w:r>
            <w:r w:rsidRPr="003744FB">
              <w:rPr>
                <w:i/>
                <w:lang w:val="en-GB"/>
              </w:rPr>
              <w:t xml:space="preserve">Maximal deformations of original and modified bucket under load </w:t>
            </w:r>
            <w:r w:rsidRPr="003744FB">
              <w:rPr>
                <w:i/>
                <w:lang w:val="en-GB"/>
              </w:rPr>
              <w:t xml:space="preserve">of </w:t>
            </w:r>
          </w:p>
          <w:p w:rsidR="00045D41" w:rsidRPr="006D64D7" w:rsidRDefault="00045D41" w:rsidP="006D36FF">
            <w:pPr>
              <w:pStyle w:val="paragraf"/>
              <w:ind w:firstLine="0"/>
              <w:jc w:val="center"/>
              <w:rPr>
                <w:lang w:val="en-GB"/>
              </w:rPr>
            </w:pPr>
            <w:r w:rsidRPr="003744FB">
              <w:rPr>
                <w:i/>
                <w:lang w:val="en-GB"/>
              </w:rPr>
              <w:t>a)</w:t>
            </w:r>
            <w:r w:rsidR="00E84A6D" w:rsidRPr="003744FB">
              <w:rPr>
                <w:i/>
                <w:lang w:val="en-GB"/>
              </w:rPr>
              <w:t xml:space="preserve"> </w:t>
            </w:r>
            <w:r w:rsidRPr="003744FB">
              <w:rPr>
                <w:i/>
                <w:lang w:val="en-GB"/>
              </w:rPr>
              <w:t>15 t/h, b)</w:t>
            </w:r>
            <w:r w:rsidR="00E84A6D" w:rsidRPr="003744FB">
              <w:rPr>
                <w:i/>
                <w:lang w:val="en-GB"/>
              </w:rPr>
              <w:t xml:space="preserve"> </w:t>
            </w:r>
            <w:r w:rsidRPr="003744FB">
              <w:rPr>
                <w:i/>
                <w:lang w:val="en-GB"/>
              </w:rPr>
              <w:t>30 t/h, c)</w:t>
            </w:r>
            <w:r w:rsidR="00E84A6D" w:rsidRPr="003744FB">
              <w:rPr>
                <w:i/>
                <w:lang w:val="en-GB"/>
              </w:rPr>
              <w:t xml:space="preserve"> </w:t>
            </w:r>
            <w:r w:rsidRPr="003744FB">
              <w:rPr>
                <w:i/>
                <w:lang w:val="en-GB"/>
              </w:rPr>
              <w:t>45 t/h,</w:t>
            </w:r>
            <w:r w:rsidRPr="006D64D7">
              <w:rPr>
                <w:i/>
                <w:lang w:val="en-GB"/>
              </w:rPr>
              <w:t xml:space="preserve"> </w:t>
            </w:r>
          </w:p>
        </w:tc>
      </w:tr>
    </w:tbl>
    <w:p w:rsidR="00CB1960" w:rsidRPr="006D64D7" w:rsidRDefault="00CB1960" w:rsidP="00FB3BEC">
      <w:pPr>
        <w:pStyle w:val="podnaslov"/>
        <w:spacing w:before="360"/>
        <w:rPr>
          <w:lang w:val="en-GB"/>
        </w:rPr>
      </w:pPr>
      <w:r w:rsidRPr="006D64D7">
        <w:rPr>
          <w:lang w:val="en-GB"/>
        </w:rPr>
        <w:lastRenderedPageBreak/>
        <w:t>CONCLUSION</w:t>
      </w:r>
    </w:p>
    <w:p w:rsidR="00041805" w:rsidRPr="006D64D7" w:rsidRDefault="00041805" w:rsidP="00342513">
      <w:pPr>
        <w:pStyle w:val="paragraf"/>
        <w:rPr>
          <w:lang w:val="en-GB"/>
        </w:rPr>
      </w:pPr>
      <w:r w:rsidRPr="006D64D7">
        <w:rPr>
          <w:lang w:val="en-GB"/>
        </w:rPr>
        <w:t>In this paper, simulation studies of the original bucket and modified bucket of the belt bucket elevator were performed. Static structural analysis for different components of the bucket elevator has been performed with FEA tools under standard operating conditions. The original and modified buckets were observed for outputs ranging from 15 t/h to 45 t/h.</w:t>
      </w:r>
    </w:p>
    <w:p w:rsidR="00041805" w:rsidRPr="006D64D7" w:rsidRDefault="00041805" w:rsidP="00342513">
      <w:pPr>
        <w:pStyle w:val="paragraf"/>
        <w:rPr>
          <w:lang w:val="en-GB"/>
        </w:rPr>
      </w:pPr>
      <w:r w:rsidRPr="006D64D7">
        <w:rPr>
          <w:lang w:val="en-GB"/>
        </w:rPr>
        <w:t>The analysis have shown that both the original and the modified bucket meet the requirement of mass, stress and deformation, but that the modified bucket has 5% less stress results and 22,5% less deformation results. In addition, the modified bucket is 15% lighter than original bucket.</w:t>
      </w:r>
    </w:p>
    <w:p w:rsidR="00041805" w:rsidRPr="006D64D7" w:rsidRDefault="00041805" w:rsidP="00342513">
      <w:pPr>
        <w:pStyle w:val="paragraf"/>
        <w:rPr>
          <w:lang w:val="en-GB"/>
        </w:rPr>
      </w:pPr>
      <w:r w:rsidRPr="006D64D7">
        <w:rPr>
          <w:lang w:val="en-GB"/>
        </w:rPr>
        <w:t>After the analysis, it may be concluded that the new modified bucket meets given load conditions and operates within the allowed zones of stress and deformation states.</w:t>
      </w:r>
    </w:p>
    <w:p w:rsidR="00041805" w:rsidRPr="006D64D7" w:rsidRDefault="00041805" w:rsidP="00342513">
      <w:pPr>
        <w:pStyle w:val="paragraf"/>
        <w:rPr>
          <w:lang w:val="en-GB"/>
        </w:rPr>
      </w:pPr>
      <w:r w:rsidRPr="006D64D7">
        <w:rPr>
          <w:lang w:val="en-GB"/>
        </w:rPr>
        <w:t>Considering the previous simulation results, it may be concluded that the modified bucket has been improved in all aspects. This improvement can contribute to better performance of the bucket elevator and significantly decrease the weight of the elevator in cases when they operate on higher altitudes.</w:t>
      </w:r>
    </w:p>
    <w:p w:rsidR="00041805" w:rsidRPr="006D64D7" w:rsidRDefault="00041805" w:rsidP="00342513">
      <w:pPr>
        <w:pStyle w:val="paragraf"/>
        <w:rPr>
          <w:lang w:val="en-GB"/>
        </w:rPr>
      </w:pPr>
      <w:r w:rsidRPr="006D64D7">
        <w:rPr>
          <w:lang w:val="en-GB"/>
        </w:rPr>
        <w:t>More detailed inspection of the bucket elevator elements may be performed using diagnostic tools and methods.</w:t>
      </w:r>
    </w:p>
    <w:p w:rsidR="00CB1960" w:rsidRPr="006D64D7" w:rsidRDefault="00DE4D0B" w:rsidP="0077537C">
      <w:pPr>
        <w:pStyle w:val="LITERATURA0"/>
        <w:spacing w:before="360"/>
        <w:rPr>
          <w:lang w:val="en-GB"/>
        </w:rPr>
      </w:pPr>
      <w:r w:rsidRPr="006D64D7">
        <w:rPr>
          <w:lang w:val="en-GB"/>
        </w:rPr>
        <w:t>REFERENCES</w:t>
      </w:r>
    </w:p>
    <w:p w:rsidR="00AA092B" w:rsidRPr="006D64D7" w:rsidRDefault="00AA092B" w:rsidP="0018136C">
      <w:pPr>
        <w:numPr>
          <w:ilvl w:val="0"/>
          <w:numId w:val="33"/>
        </w:numPr>
        <w:autoSpaceDE w:val="0"/>
        <w:autoSpaceDN w:val="0"/>
        <w:adjustRightInd w:val="0"/>
        <w:rPr>
          <w:rFonts w:ascii="Arial" w:hAnsi="Arial" w:cs="Arial"/>
          <w:sz w:val="20"/>
          <w:szCs w:val="20"/>
        </w:rPr>
      </w:pPr>
      <w:r w:rsidRPr="006D64D7">
        <w:rPr>
          <w:rFonts w:ascii="Arial" w:hAnsi="Arial" w:cs="Arial"/>
          <w:sz w:val="20"/>
          <w:szCs w:val="20"/>
        </w:rPr>
        <w:t>Garić, S. (2015). Elevators with buckets for grain transport, Master thesis, Faculty of Engineering, University of Kragujevac, Serbia.</w:t>
      </w:r>
    </w:p>
    <w:p w:rsidR="007569F6" w:rsidRPr="006D64D7" w:rsidRDefault="007569F6" w:rsidP="0018136C">
      <w:pPr>
        <w:numPr>
          <w:ilvl w:val="0"/>
          <w:numId w:val="33"/>
        </w:numPr>
        <w:autoSpaceDE w:val="0"/>
        <w:autoSpaceDN w:val="0"/>
        <w:adjustRightInd w:val="0"/>
        <w:rPr>
          <w:rFonts w:ascii="Arial" w:hAnsi="Arial" w:cs="Arial"/>
          <w:sz w:val="20"/>
          <w:szCs w:val="20"/>
        </w:rPr>
      </w:pPr>
      <w:r w:rsidRPr="006D64D7">
        <w:rPr>
          <w:rFonts w:ascii="Arial" w:hAnsi="Arial" w:cs="Arial"/>
          <w:sz w:val="20"/>
          <w:szCs w:val="20"/>
        </w:rPr>
        <w:t xml:space="preserve">Yashaswini, N., Raju, B., Purushottham A. (2014). Design and optimisation of bucket elevator throught finite element analysis. </w:t>
      </w:r>
      <w:r w:rsidRPr="006D64D7">
        <w:rPr>
          <w:rFonts w:ascii="Arial" w:hAnsi="Arial" w:cs="Arial"/>
          <w:i/>
          <w:sz w:val="20"/>
          <w:szCs w:val="20"/>
        </w:rPr>
        <w:t>IPASJ International Journal of Mechanical Engineering</w:t>
      </w:r>
      <w:r w:rsidRPr="006D64D7">
        <w:rPr>
          <w:rFonts w:ascii="Arial" w:hAnsi="Arial" w:cs="Arial"/>
          <w:sz w:val="20"/>
          <w:szCs w:val="20"/>
        </w:rPr>
        <w:t>, vol. 2, no. 9, p. 73-78.</w:t>
      </w:r>
    </w:p>
    <w:p w:rsidR="00A74DA1" w:rsidRPr="006D64D7" w:rsidRDefault="00A74DA1" w:rsidP="00AA092B">
      <w:pPr>
        <w:numPr>
          <w:ilvl w:val="0"/>
          <w:numId w:val="33"/>
        </w:numPr>
        <w:autoSpaceDE w:val="0"/>
        <w:autoSpaceDN w:val="0"/>
        <w:adjustRightInd w:val="0"/>
        <w:rPr>
          <w:rFonts w:ascii="Arial" w:hAnsi="Arial" w:cs="Arial"/>
          <w:sz w:val="20"/>
          <w:szCs w:val="20"/>
        </w:rPr>
      </w:pPr>
      <w:r w:rsidRPr="006D64D7">
        <w:rPr>
          <w:rFonts w:ascii="Arial" w:hAnsi="Arial" w:cs="Arial"/>
          <w:sz w:val="20"/>
          <w:szCs w:val="20"/>
        </w:rPr>
        <w:t xml:space="preserve">Patel, S., Patel, St., Patel, J. (2012). A review of design and analysis of bucket elevator, </w:t>
      </w:r>
      <w:r w:rsidRPr="006D64D7">
        <w:rPr>
          <w:rFonts w:ascii="Arial" w:hAnsi="Arial" w:cs="Arial"/>
          <w:i/>
          <w:sz w:val="20"/>
          <w:szCs w:val="20"/>
        </w:rPr>
        <w:t>International Journal of Engineering Research and Applications (IJERA)</w:t>
      </w:r>
      <w:r w:rsidRPr="006D64D7">
        <w:rPr>
          <w:rFonts w:ascii="Arial" w:hAnsi="Arial" w:cs="Arial"/>
          <w:sz w:val="20"/>
          <w:szCs w:val="20"/>
        </w:rPr>
        <w:t>. vol. 2, no. 5, p. 18-22.</w:t>
      </w:r>
    </w:p>
    <w:p w:rsidR="00B77353" w:rsidRPr="006D64D7" w:rsidRDefault="00B77353" w:rsidP="0018136C">
      <w:pPr>
        <w:numPr>
          <w:ilvl w:val="0"/>
          <w:numId w:val="33"/>
        </w:numPr>
        <w:autoSpaceDE w:val="0"/>
        <w:autoSpaceDN w:val="0"/>
        <w:adjustRightInd w:val="0"/>
        <w:rPr>
          <w:rFonts w:ascii="Arial" w:hAnsi="Arial" w:cs="Arial"/>
          <w:sz w:val="20"/>
          <w:szCs w:val="20"/>
        </w:rPr>
      </w:pPr>
      <w:r w:rsidRPr="006D64D7">
        <w:rPr>
          <w:rFonts w:ascii="Arial" w:hAnsi="Arial" w:cs="Arial"/>
          <w:sz w:val="20"/>
          <w:szCs w:val="20"/>
        </w:rPr>
        <w:t xml:space="preserve">Patel, S., Patel, J. (2013). Productivity improvement of bucket elevator by modified design, </w:t>
      </w:r>
      <w:r w:rsidRPr="006D64D7">
        <w:rPr>
          <w:rFonts w:ascii="Arial" w:hAnsi="Arial" w:cs="Arial"/>
          <w:i/>
          <w:sz w:val="20"/>
          <w:szCs w:val="20"/>
        </w:rPr>
        <w:t>International Journal of Emerging Technology and Advanced Engineering</w:t>
      </w:r>
      <w:r w:rsidRPr="006D64D7">
        <w:rPr>
          <w:rFonts w:ascii="Arial" w:hAnsi="Arial" w:cs="Arial"/>
          <w:sz w:val="20"/>
          <w:szCs w:val="20"/>
        </w:rPr>
        <w:t>. Vol. 3, no. 1, p. 128-133.</w:t>
      </w:r>
    </w:p>
    <w:p w:rsidR="00762C85" w:rsidRPr="006D64D7" w:rsidRDefault="008B44F1" w:rsidP="00762C85">
      <w:pPr>
        <w:numPr>
          <w:ilvl w:val="0"/>
          <w:numId w:val="33"/>
        </w:numPr>
        <w:autoSpaceDE w:val="0"/>
        <w:autoSpaceDN w:val="0"/>
        <w:adjustRightInd w:val="0"/>
        <w:rPr>
          <w:rFonts w:ascii="Arial" w:hAnsi="Arial" w:cs="Arial"/>
          <w:sz w:val="20"/>
          <w:szCs w:val="20"/>
        </w:rPr>
      </w:pPr>
      <w:r w:rsidRPr="006D64D7">
        <w:rPr>
          <w:rFonts w:ascii="Arial" w:hAnsi="Arial" w:cs="Arial"/>
          <w:sz w:val="20"/>
          <w:szCs w:val="20"/>
        </w:rPr>
        <w:t xml:space="preserve">Göksenli, A., Eryürek, I. B. (2009). Failure analysis of an elevator drive shaft, </w:t>
      </w:r>
      <w:r w:rsidRPr="006D64D7">
        <w:rPr>
          <w:rFonts w:ascii="Arial" w:hAnsi="Arial" w:cs="Arial"/>
          <w:i/>
          <w:sz w:val="20"/>
          <w:szCs w:val="20"/>
        </w:rPr>
        <w:t>Engineering Failure Analysis</w:t>
      </w:r>
      <w:r w:rsidRPr="006D64D7">
        <w:rPr>
          <w:rFonts w:ascii="Arial" w:hAnsi="Arial" w:cs="Arial"/>
          <w:sz w:val="20"/>
          <w:szCs w:val="20"/>
        </w:rPr>
        <w:t>,vol. 16, no. 4, p. 1011-1019.</w:t>
      </w:r>
    </w:p>
    <w:sectPr w:rsidR="00762C85" w:rsidRPr="006D64D7" w:rsidSect="000F13A2">
      <w:headerReference w:type="even" r:id="rId23"/>
      <w:headerReference w:type="default" r:id="rId24"/>
      <w:footerReference w:type="even" r:id="rId25"/>
      <w:footerReference w:type="default" r:id="rId26"/>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67BC" w:rsidRDefault="003C67BC">
      <w:r>
        <w:separator/>
      </w:r>
    </w:p>
  </w:endnote>
  <w:endnote w:type="continuationSeparator" w:id="1">
    <w:p w:rsidR="003C67BC" w:rsidRDefault="003C67B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embedRegular r:id="rId1" w:fontKey="{85675E9C-16BB-490E-8375-EF7A0ED63ADF}"/>
    <w:embedBold r:id="rId2" w:fontKey="{D143364F-6A8A-427D-BF20-80EC729D9535}"/>
    <w:embedItalic r:id="rId3" w:fontKey="{5F210FAD-53AA-4890-8222-18FE82E8F5A3}"/>
    <w:embedBoldItalic r:id="rId4" w:fontKey="{27C56BBA-650A-4F15-9A06-C16B82C18A01}"/>
  </w:font>
  <w:font w:name="Courier New">
    <w:panose1 w:val="02070309020205020404"/>
    <w:charset w:val="00"/>
    <w:family w:val="modern"/>
    <w:pitch w:val="fixed"/>
    <w:sig w:usb0="20002A87" w:usb1="80000000" w:usb2="00000008" w:usb3="00000000" w:csb0="000001FF" w:csb1="00000000"/>
    <w:embedRegular r:id="rId5" w:fontKey="{9826577A-71F2-4CA7-8699-58E879CE16B4}"/>
  </w:font>
  <w:font w:name="Wingdings">
    <w:panose1 w:val="05000000000000000000"/>
    <w:charset w:val="02"/>
    <w:family w:val="auto"/>
    <w:pitch w:val="variable"/>
    <w:sig w:usb0="00000000" w:usb1="10000000" w:usb2="00000000" w:usb3="00000000" w:csb0="80000000" w:csb1="00000000"/>
    <w:embedRegular r:id="rId6" w:fontKey="{1562F84A-2CF6-4C75-9001-09301384E2E4}"/>
  </w:font>
  <w:font w:name="Arial">
    <w:panose1 w:val="020B0604020202020204"/>
    <w:charset w:val="00"/>
    <w:family w:val="swiss"/>
    <w:pitch w:val="variable"/>
    <w:sig w:usb0="20002A87" w:usb1="80000000" w:usb2="00000008" w:usb3="00000000" w:csb0="000001FF" w:csb1="00000000"/>
    <w:embedRegular r:id="rId7" w:fontKey="{E3A8DD76-C000-4AEF-ADCB-9E3867ECE788}"/>
    <w:embedBold r:id="rId8" w:fontKey="{9448034C-13D1-46BE-8318-528FDEBA40F4}"/>
    <w:embedItalic r:id="rId9" w:fontKey="{B569726A-5895-46CF-BD6E-12D5600B49E6}"/>
    <w:embedBoldItalic r:id="rId10" w:fontKey="{28118150-5757-401D-8B8D-DA3DC15CF96C}"/>
  </w:font>
  <w:font w:name="Times_New_Roman">
    <w:charset w:val="00"/>
    <w:family w:val="roman"/>
    <w:pitch w:val="variable"/>
    <w:sig w:usb0="00000003" w:usb1="00000000" w:usb2="00000000" w:usb3="00000000" w:csb0="00000001" w:csb1="00000000"/>
    <w:embedRegular r:id="rId11" w:fontKey="{C49221AD-DFC6-4A3C-B277-3BFDFBA62B55}"/>
  </w:font>
  <w:font w:name="Tahoma">
    <w:panose1 w:val="020B0604030504040204"/>
    <w:charset w:val="00"/>
    <w:family w:val="swiss"/>
    <w:pitch w:val="variable"/>
    <w:sig w:usb0="61002A87" w:usb1="80000000" w:usb2="00000008" w:usb3="00000000" w:csb0="000101FF" w:csb1="00000000"/>
    <w:embedRegular r:id="rId12" w:fontKey="{DB4C5B6C-F390-48FF-8777-A8C9B1D0C457}"/>
  </w:font>
  <w:font w:name="Cambria Math">
    <w:panose1 w:val="02040503050406030204"/>
    <w:charset w:val="00"/>
    <w:family w:val="roman"/>
    <w:pitch w:val="variable"/>
    <w:sig w:usb0="A00002EF" w:usb1="420020EB" w:usb2="00000000" w:usb3="00000000" w:csb0="0000009F" w:csb1="00000000"/>
    <w:embedItalic r:id="rId13" w:fontKey="{7EE5F30F-8896-473D-8076-C0CFC420FB79}"/>
  </w:font>
  <w:font w:name="Cambria">
    <w:panose1 w:val="02040503050406030204"/>
    <w:charset w:val="00"/>
    <w:family w:val="roman"/>
    <w:pitch w:val="variable"/>
    <w:sig w:usb0="A00002EF" w:usb1="4000004B" w:usb2="00000000" w:usb3="00000000" w:csb0="0000009F" w:csb1="00000000"/>
    <w:embedRegular r:id="rId14" w:fontKey="{8E0AE817-45CC-40AD-B15C-E9170060630F}"/>
  </w:font>
  <w:font w:name="Calibri">
    <w:panose1 w:val="020F0502020204030204"/>
    <w:charset w:val="00"/>
    <w:family w:val="swiss"/>
    <w:pitch w:val="variable"/>
    <w:sig w:usb0="A00002EF" w:usb1="4000207B" w:usb2="00000000" w:usb3="00000000" w:csb0="0000009F" w:csb1="00000000"/>
    <w:embedRegular r:id="rId15" w:fontKey="{7B8EF865-797C-4D27-AD96-8D8CEFC64DD7}"/>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98F" w:rsidRDefault="00D5198F"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3744FB">
      <w:rPr>
        <w:rStyle w:val="PageNumber"/>
        <w:noProof/>
      </w:rPr>
      <w:t>2</w:t>
    </w:r>
    <w:r>
      <w:rPr>
        <w:rStyle w:val="PageNumber"/>
      </w:rPr>
      <w:fldChar w:fldCharType="end"/>
    </w:r>
  </w:p>
  <w:p w:rsidR="00D5198F" w:rsidRDefault="00D5198F" w:rsidP="00D5198F">
    <w:pPr>
      <w:pStyle w:val="Footer"/>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98F" w:rsidRDefault="00D5198F"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3744FB">
      <w:rPr>
        <w:rStyle w:val="PageNumber"/>
        <w:noProof/>
      </w:rPr>
      <w:t>3</w:t>
    </w:r>
    <w:r>
      <w:rPr>
        <w:rStyle w:val="PageNumber"/>
      </w:rPr>
      <w:fldChar w:fldCharType="end"/>
    </w:r>
  </w:p>
  <w:p w:rsidR="00D5198F" w:rsidRDefault="00D5198F" w:rsidP="00D5198F">
    <w:pPr>
      <w:pStyle w:val="Footer"/>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67BC" w:rsidRDefault="003C67BC">
      <w:r>
        <w:separator/>
      </w:r>
    </w:p>
  </w:footnote>
  <w:footnote w:type="continuationSeparator" w:id="1">
    <w:p w:rsidR="003C67BC" w:rsidRDefault="003C67BC">
      <w:r>
        <w:continuationSeparator/>
      </w:r>
    </w:p>
  </w:footnote>
  <w:footnote w:id="2">
    <w:p w:rsidR="00813024" w:rsidRPr="00813024" w:rsidRDefault="00813024" w:rsidP="00813024">
      <w:pPr>
        <w:pStyle w:val="fusnota"/>
      </w:pPr>
      <w:r>
        <w:rPr>
          <w:rStyle w:val="FootnoteReference"/>
        </w:rPr>
        <w:footnoteRef/>
      </w:r>
      <w:r>
        <w:t xml:space="preserve"> </w:t>
      </w:r>
      <w:r w:rsidR="00A56115" w:rsidRPr="00A56115">
        <w:rPr>
          <w:lang w:val="en-GB"/>
        </w:rPr>
        <w:t>Ph. D</w:t>
      </w:r>
      <w:r w:rsidR="00CB217A">
        <w:rPr>
          <w:lang w:val="en-GB"/>
        </w:rPr>
        <w:t>.,</w:t>
      </w:r>
      <w:r>
        <w:t xml:space="preserve"> </w:t>
      </w:r>
      <w:r w:rsidR="00A56115" w:rsidRPr="00A56115">
        <w:rPr>
          <w:lang w:val="en-GB"/>
        </w:rPr>
        <w:t>Nenad Miloradović</w:t>
      </w:r>
      <w:r>
        <w:t>,</w:t>
      </w:r>
      <w:r w:rsidR="00CB217A">
        <w:t xml:space="preserve"> </w:t>
      </w:r>
      <w:r w:rsidR="00CB217A" w:rsidRPr="00CB217A">
        <w:rPr>
          <w:lang w:val="en-GB"/>
        </w:rPr>
        <w:t>assist. prof.</w:t>
      </w:r>
      <w:r w:rsidR="00CB217A">
        <w:rPr>
          <w:lang w:val="en-GB"/>
        </w:rPr>
        <w:t>,</w:t>
      </w:r>
      <w:r>
        <w:t xml:space="preserve"> </w:t>
      </w:r>
      <w:r w:rsidR="00CB217A">
        <w:t xml:space="preserve">Kragujevac, </w:t>
      </w:r>
      <w:r w:rsidR="00A56115" w:rsidRPr="00A56115">
        <w:rPr>
          <w:lang w:val="en-GB"/>
        </w:rPr>
        <w:t>University of Kragujevac</w:t>
      </w:r>
      <w:r>
        <w:t>,</w:t>
      </w:r>
      <w:r w:rsidR="00CB217A">
        <w:t xml:space="preserve"> </w:t>
      </w:r>
      <w:r w:rsidR="00CB217A" w:rsidRPr="00A56115">
        <w:rPr>
          <w:lang w:val="en-GB"/>
        </w:rPr>
        <w:t>Faculty of Engineering,</w:t>
      </w:r>
      <w:r>
        <w:t xml:space="preserve"> </w:t>
      </w:r>
      <w:hyperlink r:id="rId1" w:history="1">
        <w:r w:rsidR="006D64D7" w:rsidRPr="00473FE5">
          <w:rPr>
            <w:rStyle w:val="Hyperlink"/>
          </w:rPr>
          <w:t>mnenad@kg.ac.rs</w:t>
        </w:r>
      </w:hyperlink>
      <w:r w:rsidR="006D64D7">
        <w:t xml:space="preserve"> </w:t>
      </w:r>
    </w:p>
  </w:footnote>
  <w:footnote w:id="3">
    <w:p w:rsidR="00813024" w:rsidRPr="00813024" w:rsidRDefault="00813024" w:rsidP="00813024">
      <w:pPr>
        <w:pStyle w:val="fusnota"/>
      </w:pPr>
      <w:r>
        <w:rPr>
          <w:rStyle w:val="FootnoteReference"/>
        </w:rPr>
        <w:footnoteRef/>
      </w:r>
      <w:r>
        <w:t xml:space="preserve"> </w:t>
      </w:r>
      <w:r w:rsidR="00CB217A" w:rsidRPr="00830AC7">
        <w:rPr>
          <w:lang w:val="en-GB"/>
        </w:rPr>
        <w:t>MSc</w:t>
      </w:r>
      <w:r w:rsidR="00CB217A">
        <w:rPr>
          <w:lang w:val="en-GB"/>
        </w:rPr>
        <w:t>,</w:t>
      </w:r>
      <w:r w:rsidR="00CB217A">
        <w:t xml:space="preserve"> Slobodan Gari</w:t>
      </w:r>
      <w:r w:rsidR="00CB217A" w:rsidRPr="00A56115">
        <w:rPr>
          <w:lang w:val="en-GB"/>
        </w:rPr>
        <w:t>ć</w:t>
      </w:r>
      <w:r>
        <w:t xml:space="preserve">, </w:t>
      </w:r>
      <w:r w:rsidR="00CB217A" w:rsidRPr="00CB217A">
        <w:rPr>
          <w:lang w:val="en-GB"/>
        </w:rPr>
        <w:t xml:space="preserve">Ph. D. </w:t>
      </w:r>
      <w:r w:rsidR="00CB217A">
        <w:rPr>
          <w:lang w:val="en-GB"/>
        </w:rPr>
        <w:t>s</w:t>
      </w:r>
      <w:r w:rsidR="00CB217A" w:rsidRPr="00CB217A">
        <w:rPr>
          <w:lang w:val="en-GB"/>
        </w:rPr>
        <w:t>tudent</w:t>
      </w:r>
      <w:r w:rsidR="00CB217A">
        <w:rPr>
          <w:lang w:val="en-GB"/>
        </w:rPr>
        <w:t>,</w:t>
      </w:r>
      <w:r w:rsidR="00CB217A" w:rsidRPr="00CB217A">
        <w:rPr>
          <w:lang w:val="en-GB"/>
        </w:rPr>
        <w:t xml:space="preserve"> Kragujevac, University of Kragujevac, Faculty of Engineering</w:t>
      </w:r>
      <w:r>
        <w:t xml:space="preserve">, </w:t>
      </w:r>
      <w:hyperlink r:id="rId2" w:history="1">
        <w:r w:rsidR="006D64D7" w:rsidRPr="00473FE5">
          <w:rPr>
            <w:rStyle w:val="Hyperlink"/>
          </w:rPr>
          <w:t>sgaric@kg.ac.rs</w:t>
        </w:r>
      </w:hyperlink>
      <w:r w:rsidR="006D64D7">
        <w:t xml:space="preserve"> </w:t>
      </w:r>
    </w:p>
  </w:footnote>
  <w:footnote w:id="4">
    <w:p w:rsidR="005A2883" w:rsidRPr="00813024" w:rsidRDefault="005A2883" w:rsidP="005A2883">
      <w:pPr>
        <w:pStyle w:val="fusnota"/>
      </w:pPr>
      <w:r>
        <w:rPr>
          <w:rStyle w:val="FootnoteReference"/>
        </w:rPr>
        <w:footnoteRef/>
      </w:r>
      <w:r>
        <w:t xml:space="preserve"> </w:t>
      </w:r>
      <w:r w:rsidR="00CB217A" w:rsidRPr="00CB217A">
        <w:rPr>
          <w:lang w:val="en-GB"/>
        </w:rPr>
        <w:t>Ph.D., Rodoljub Vujanac, assist. prof.,</w:t>
      </w:r>
      <w:r>
        <w:t xml:space="preserve"> </w:t>
      </w:r>
      <w:r w:rsidR="00CB217A" w:rsidRPr="00CB217A">
        <w:rPr>
          <w:lang w:val="en-GB"/>
        </w:rPr>
        <w:t>Kragujevac, University of Kragujevac, Faculty of Engineering</w:t>
      </w:r>
      <w:r>
        <w:t xml:space="preserve">, </w:t>
      </w:r>
      <w:hyperlink r:id="rId3" w:history="1">
        <w:r w:rsidR="006D64D7" w:rsidRPr="00473FE5">
          <w:rPr>
            <w:rStyle w:val="Hyperlink"/>
          </w:rPr>
          <w:t>vujanac@kg.ac.rs</w:t>
        </w:r>
      </w:hyperlink>
      <w:r w:rsidR="006D64D7">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960" w:rsidRDefault="00DB0816" w:rsidP="00C85241">
    <w:pPr>
      <w:pStyle w:val="Header"/>
      <w:pBdr>
        <w:bottom w:val="single" w:sz="4" w:space="1" w:color="auto"/>
      </w:pBdr>
    </w:pPr>
    <w:r w:rsidRPr="00DB0816">
      <w:rPr>
        <w:rFonts w:cs="Arial"/>
        <w:bCs/>
      </w:rPr>
      <w:t>Nenad Miloradović</w:t>
    </w:r>
    <w:r w:rsidRPr="00DB0816">
      <w:rPr>
        <w:rFonts w:cs="Arial"/>
        <w:bCs/>
        <w:lang w:val="sl-SI"/>
      </w:rPr>
      <w:t xml:space="preserve">, </w:t>
    </w:r>
    <w:r w:rsidRPr="00DB0816">
      <w:rPr>
        <w:rFonts w:cs="Arial"/>
        <w:bCs/>
      </w:rPr>
      <w:t>Slobodan Garić, Rodoljub Vujanac</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960" w:rsidRDefault="00C54F5A" w:rsidP="00342513">
    <w:pPr>
      <w:pStyle w:val="Header"/>
      <w:pBdr>
        <w:bottom w:val="single" w:sz="4" w:space="1" w:color="auto"/>
      </w:pBdr>
      <w:rPr>
        <w:lang w:val="en-US"/>
      </w:rPr>
    </w:pPr>
    <w:r w:rsidRPr="00C54F5A">
      <w:t>Modelling and finite element analysis of elevator buckets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3">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4">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16">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7">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19">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0">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2">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27">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28">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9">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19"/>
    <w:lvlOverride w:ilvl="0"/>
  </w:num>
  <w:num w:numId="2">
    <w:abstractNumId w:val="15"/>
  </w:num>
  <w:num w:numId="3">
    <w:abstractNumId w:val="11"/>
  </w:num>
  <w:num w:numId="4">
    <w:abstractNumId w:val="10"/>
  </w:num>
  <w:num w:numId="5">
    <w:abstractNumId w:val="22"/>
  </w:num>
  <w:num w:numId="6">
    <w:abstractNumId w:val="24"/>
  </w:num>
  <w:num w:numId="7">
    <w:abstractNumId w:val="27"/>
  </w:num>
  <w:num w:numId="8">
    <w:abstractNumId w:val="16"/>
  </w:num>
  <w:num w:numId="9">
    <w:abstractNumId w:val="12"/>
  </w:num>
  <w:num w:numId="10">
    <w:abstractNumId w:val="25"/>
  </w:num>
  <w:num w:numId="11">
    <w:abstractNumId w:val="17"/>
  </w:num>
  <w:num w:numId="12">
    <w:abstractNumId w:val="21"/>
  </w:num>
  <w:num w:numId="13">
    <w:abstractNumId w:val="18"/>
  </w:num>
  <w:num w:numId="14">
    <w:abstractNumId w:val="29"/>
  </w:num>
  <w:num w:numId="15">
    <w:abstractNumId w:val="28"/>
  </w:num>
  <w:num w:numId="16">
    <w:abstractNumId w:val="15"/>
  </w:num>
  <w:num w:numId="17">
    <w:abstractNumId w:val="17"/>
  </w:num>
  <w:num w:numId="18">
    <w:abstractNumId w:val="25"/>
  </w:num>
  <w:num w:numId="19">
    <w:abstractNumId w:val="21"/>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4"/>
  </w:num>
  <w:num w:numId="31">
    <w:abstractNumId w:val="13"/>
  </w:num>
  <w:num w:numId="32">
    <w:abstractNumId w:val="26"/>
  </w:num>
  <w:num w:numId="33">
    <w:abstractNumId w:val="20"/>
  </w:num>
  <w:num w:numId="34">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TrueTypeFonts/>
  <w:embedSystemFonts/>
  <w:mirrorMargin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stylePaneFormatFilter w:val="3001"/>
  <w:defaultTabStop w:val="720"/>
  <w:evenAndOddHeaders/>
  <w:noPunctuationKerning/>
  <w:characterSpacingControl w:val="doNotCompress"/>
  <w:hdrShapeDefaults>
    <o:shapedefaults v:ext="edit" spidmax="3074"/>
  </w:hdrShapeDefaults>
  <w:footnotePr>
    <w:footnote w:id="0"/>
    <w:footnote w:id="1"/>
  </w:footnotePr>
  <w:endnotePr>
    <w:endnote w:id="0"/>
    <w:endnote w:id="1"/>
  </w:endnotePr>
  <w:compat/>
  <w:rsids>
    <w:rsidRoot w:val="007B0F6B"/>
    <w:rsid w:val="00020233"/>
    <w:rsid w:val="0003178C"/>
    <w:rsid w:val="00041805"/>
    <w:rsid w:val="00045D41"/>
    <w:rsid w:val="000B614D"/>
    <w:rsid w:val="000F13A2"/>
    <w:rsid w:val="00123287"/>
    <w:rsid w:val="00133AB9"/>
    <w:rsid w:val="00137707"/>
    <w:rsid w:val="001559C3"/>
    <w:rsid w:val="0018136C"/>
    <w:rsid w:val="00215181"/>
    <w:rsid w:val="002C2268"/>
    <w:rsid w:val="003117CF"/>
    <w:rsid w:val="00342513"/>
    <w:rsid w:val="003744FB"/>
    <w:rsid w:val="003C2ADE"/>
    <w:rsid w:val="003C67BC"/>
    <w:rsid w:val="00406AFA"/>
    <w:rsid w:val="00455A1D"/>
    <w:rsid w:val="004A563A"/>
    <w:rsid w:val="004B4035"/>
    <w:rsid w:val="004D0772"/>
    <w:rsid w:val="004D3208"/>
    <w:rsid w:val="004D6E4A"/>
    <w:rsid w:val="00551471"/>
    <w:rsid w:val="005930AB"/>
    <w:rsid w:val="005A2883"/>
    <w:rsid w:val="005A3E70"/>
    <w:rsid w:val="005E3B6B"/>
    <w:rsid w:val="0064103A"/>
    <w:rsid w:val="00672C13"/>
    <w:rsid w:val="006951A6"/>
    <w:rsid w:val="006A0627"/>
    <w:rsid w:val="006D64D7"/>
    <w:rsid w:val="00716A16"/>
    <w:rsid w:val="007569F6"/>
    <w:rsid w:val="00762C85"/>
    <w:rsid w:val="0077537C"/>
    <w:rsid w:val="00781A95"/>
    <w:rsid w:val="007B0F6B"/>
    <w:rsid w:val="007B6FCB"/>
    <w:rsid w:val="007D46DA"/>
    <w:rsid w:val="00813024"/>
    <w:rsid w:val="00822E6A"/>
    <w:rsid w:val="00861AB9"/>
    <w:rsid w:val="008B44F1"/>
    <w:rsid w:val="008C1BB3"/>
    <w:rsid w:val="008E6121"/>
    <w:rsid w:val="009837D6"/>
    <w:rsid w:val="009B3554"/>
    <w:rsid w:val="009D5B83"/>
    <w:rsid w:val="00A56115"/>
    <w:rsid w:val="00A74DA1"/>
    <w:rsid w:val="00AA092B"/>
    <w:rsid w:val="00AC70F4"/>
    <w:rsid w:val="00AD2348"/>
    <w:rsid w:val="00AD3B8A"/>
    <w:rsid w:val="00B52D8B"/>
    <w:rsid w:val="00B75B6E"/>
    <w:rsid w:val="00B77353"/>
    <w:rsid w:val="00B91D5E"/>
    <w:rsid w:val="00B93468"/>
    <w:rsid w:val="00BC59AF"/>
    <w:rsid w:val="00BF5166"/>
    <w:rsid w:val="00C2081C"/>
    <w:rsid w:val="00C54F5A"/>
    <w:rsid w:val="00C85241"/>
    <w:rsid w:val="00C9349F"/>
    <w:rsid w:val="00CB1760"/>
    <w:rsid w:val="00CB1960"/>
    <w:rsid w:val="00CB217A"/>
    <w:rsid w:val="00CD1EF0"/>
    <w:rsid w:val="00D164B0"/>
    <w:rsid w:val="00D5198F"/>
    <w:rsid w:val="00D67A5D"/>
    <w:rsid w:val="00D96D16"/>
    <w:rsid w:val="00DB0816"/>
    <w:rsid w:val="00DE4D0B"/>
    <w:rsid w:val="00DE53D5"/>
    <w:rsid w:val="00E0393A"/>
    <w:rsid w:val="00E34AAF"/>
    <w:rsid w:val="00E5732A"/>
    <w:rsid w:val="00E84A6D"/>
    <w:rsid w:val="00E910BC"/>
    <w:rsid w:val="00F02BF9"/>
    <w:rsid w:val="00F3186E"/>
    <w:rsid w:val="00F44130"/>
    <w:rsid w:val="00F464EC"/>
    <w:rsid w:val="00F657DD"/>
    <w:rsid w:val="00F8294F"/>
    <w:rsid w:val="00F92D41"/>
    <w:rsid w:val="00FB1C47"/>
    <w:rsid w:val="00FB3B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semiHidden/>
    <w:rsid w:val="007B0F6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B0F6B"/>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character" w:styleId="Hyperlink">
    <w:name w:val="Hyperlink"/>
    <w:basedOn w:val="DefaultParagraphFont"/>
    <w:rsid w:val="00B93468"/>
    <w:rPr>
      <w:color w:val="0000FF" w:themeColor="hyperlink"/>
      <w:u w:val="single"/>
    </w:rPr>
  </w:style>
  <w:style w:type="character" w:styleId="PlaceholderText">
    <w:name w:val="Placeholder Text"/>
    <w:basedOn w:val="DefaultParagraphFont"/>
    <w:uiPriority w:val="99"/>
    <w:semiHidden/>
    <w:rsid w:val="00F464EC"/>
    <w:rPr>
      <w:color w:val="808080"/>
    </w:rPr>
  </w:style>
  <w:style w:type="paragraph" w:styleId="BalloonText">
    <w:name w:val="Balloon Text"/>
    <w:basedOn w:val="Normal"/>
    <w:link w:val="BalloonTextChar"/>
    <w:rsid w:val="00F464EC"/>
    <w:rPr>
      <w:rFonts w:ascii="Tahoma" w:hAnsi="Tahoma" w:cs="Tahoma"/>
      <w:sz w:val="16"/>
      <w:szCs w:val="16"/>
    </w:rPr>
  </w:style>
  <w:style w:type="character" w:customStyle="1" w:styleId="BalloonTextChar">
    <w:name w:val="Balloon Text Char"/>
    <w:basedOn w:val="DefaultParagraphFont"/>
    <w:link w:val="BalloonText"/>
    <w:rsid w:val="00F464EC"/>
    <w:rPr>
      <w:rFonts w:ascii="Tahoma" w:hAnsi="Tahoma" w:cs="Tahoma"/>
      <w:sz w:val="16"/>
      <w:szCs w:val="16"/>
      <w:lang w:val="en-GB"/>
    </w:rPr>
  </w:style>
  <w:style w:type="paragraph" w:styleId="NormalWeb">
    <w:name w:val="Normal (Web)"/>
    <w:basedOn w:val="Normal"/>
    <w:uiPriority w:val="99"/>
    <w:unhideWhenUsed/>
    <w:rsid w:val="000F13A2"/>
    <w:pPr>
      <w:spacing w:before="100" w:beforeAutospacing="1" w:after="100" w:afterAutospacing="1"/>
    </w:pPr>
    <w:rPr>
      <w:lang w:val="en-US"/>
    </w:rPr>
  </w:style>
</w:styles>
</file>

<file path=word/webSettings.xml><?xml version="1.0" encoding="utf-8"?>
<w:webSettings xmlns:r="http://schemas.openxmlformats.org/officeDocument/2006/relationships" xmlns:w="http://schemas.openxmlformats.org/wordprocessingml/2006/main">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3" Type="http://schemas.openxmlformats.org/officeDocument/2006/relationships/hyperlink" Target="mailto:vujanac@kg.ac.rs" TargetMode="External"/><Relationship Id="rId2" Type="http://schemas.openxmlformats.org/officeDocument/2006/relationships/hyperlink" Target="mailto:sgaric@kg.ac.rs" TargetMode="External"/><Relationship Id="rId1" Type="http://schemas.openxmlformats.org/officeDocument/2006/relationships/hyperlink" Target="mailto:mnenad@kg.ac.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830F91-D668-4A30-A789-151942B54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1604</Words>
  <Characters>9149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lpstr>
    </vt:vector>
  </TitlesOfParts>
  <Company>Koming</Company>
  <LinksUpToDate>false</LinksUpToDate>
  <CharactersWithSpaces>10732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Administrator</dc:creator>
  <cp:keywords/>
  <cp:lastModifiedBy>NM</cp:lastModifiedBy>
  <cp:revision>2</cp:revision>
  <cp:lastPrinted>2005-03-14T11:21:00Z</cp:lastPrinted>
  <dcterms:created xsi:type="dcterms:W3CDTF">2017-04-17T23:26:00Z</dcterms:created>
  <dcterms:modified xsi:type="dcterms:W3CDTF">2017-04-17T23:26:00Z</dcterms:modified>
</cp:coreProperties>
</file>