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2BA" w:rsidRPr="006712BA" w:rsidRDefault="006712BA" w:rsidP="006712BA">
      <w:pPr>
        <w:pStyle w:val="Naslov"/>
        <w:rPr>
          <w:rFonts w:cstheme="minorHAnsi"/>
        </w:rPr>
      </w:pPr>
      <w:r w:rsidRPr="006712BA">
        <w:rPr>
          <w:rFonts w:cstheme="minorHAnsi"/>
        </w:rPr>
        <w:t>ANALIZA KORIŠĆENJA PJEŠAČKIH PASARELA U GRADU BANJALUCI</w:t>
      </w:r>
    </w:p>
    <w:p w:rsidR="006712BA" w:rsidRPr="006712BA" w:rsidRDefault="006712BA" w:rsidP="006712BA">
      <w:pPr>
        <w:pStyle w:val="Naslov"/>
        <w:rPr>
          <w:rFonts w:cstheme="minorHAnsi"/>
        </w:rPr>
      </w:pPr>
      <w:r w:rsidRPr="006712BA">
        <w:rPr>
          <w:rFonts w:cstheme="minorHAnsi"/>
        </w:rPr>
        <w:t>ANALYSIS OF THE USE OF PEDESTRAIN BRIGDES IN THE CITY OF BANJALUKA</w:t>
      </w:r>
    </w:p>
    <w:p w:rsidR="006712BA" w:rsidRPr="006712BA" w:rsidRDefault="006712BA" w:rsidP="006712BA">
      <w:pPr>
        <w:pStyle w:val="Autori"/>
        <w:rPr>
          <w:rFonts w:cstheme="minorHAnsi"/>
        </w:rPr>
      </w:pPr>
      <w:r w:rsidRPr="006712BA">
        <w:rPr>
          <w:rFonts w:cstheme="minorHAnsi"/>
        </w:rPr>
        <w:t>Milan Milinković</w:t>
      </w:r>
      <w:r w:rsidRPr="006712BA">
        <w:rPr>
          <w:rStyle w:val="FootnoteReference"/>
          <w:rFonts w:cstheme="minorHAnsi"/>
        </w:rPr>
        <w:footnoteReference w:id="2"/>
      </w:r>
      <w:r w:rsidRPr="006712BA">
        <w:rPr>
          <w:rFonts w:cstheme="minorHAnsi"/>
        </w:rPr>
        <w:t>, Stefan Janković</w:t>
      </w:r>
      <w:r w:rsidRPr="006712BA">
        <w:rPr>
          <w:rStyle w:val="FootnoteReference"/>
          <w:rFonts w:cstheme="minorHAnsi"/>
        </w:rPr>
        <w:footnoteReference w:id="3"/>
      </w:r>
      <w:r w:rsidRPr="006712BA">
        <w:rPr>
          <w:rFonts w:cstheme="minorHAnsi"/>
        </w:rPr>
        <w:t>, Đorđe Kremenović</w:t>
      </w:r>
      <w:r w:rsidRPr="006712BA">
        <w:rPr>
          <w:rStyle w:val="FootnoteReference"/>
          <w:rFonts w:cstheme="minorHAnsi"/>
        </w:rPr>
        <w:footnoteReference w:id="4"/>
      </w:r>
    </w:p>
    <w:p w:rsidR="006712BA" w:rsidRPr="006712BA" w:rsidRDefault="006712BA" w:rsidP="006712BA">
      <w:pPr>
        <w:pStyle w:val="Naslov"/>
        <w:rPr>
          <w:rFonts w:cstheme="minorHAnsi"/>
        </w:rPr>
      </w:pPr>
    </w:p>
    <w:p w:rsidR="006712BA" w:rsidRPr="006712BA" w:rsidRDefault="006712BA" w:rsidP="006712BA">
      <w:pPr>
        <w:pStyle w:val="Rezime-Kljune"/>
        <w:rPr>
          <w:rFonts w:cstheme="minorHAnsi"/>
        </w:rPr>
      </w:pPr>
      <w:r w:rsidRPr="006712BA">
        <w:rPr>
          <w:rFonts w:cstheme="minorHAnsi"/>
          <w:b/>
        </w:rPr>
        <w:t>Rezime:</w:t>
      </w:r>
      <w:r w:rsidR="00546282">
        <w:rPr>
          <w:rFonts w:cstheme="minorHAnsi"/>
          <w:b/>
          <w:lang w:val="sr-Latn-BA"/>
        </w:rPr>
        <w:t xml:space="preserve"> </w:t>
      </w:r>
      <w:r w:rsidRPr="006712BA">
        <w:rPr>
          <w:rFonts w:cstheme="minorHAnsi"/>
        </w:rPr>
        <w:t>Svjedoci smo čestih saobraćajnih nezgoda u kojima učestvuju pješaci u Banjaluci, pogotovo na mjestima na kojima bi pješaci trebali da koriste pješačke pasarele za prelazak preko kolovoza. Prilikom korišćenja pješačkih pasarela pješacima je omogućen bezbjedniji prelazak kolovoza, međutim sa tim je povećano vrijeme putovanja pješaka. Zbog većeg utrošenog vremena na takav prelazak znatan broj pješaka ne koristi pješačke pasarele nego pretrčavaju kolovoz. U ovom radu je predstavljena analiza korišćenja pješačkih pasarela u gradu Banjaluci. Cilj ovog rada je predstavljanje problema nekorišćenja pješačkih pasarela i predstavljanje rješenja za njihovo povećano korišćenje.</w:t>
      </w:r>
    </w:p>
    <w:p w:rsidR="004A4828" w:rsidRDefault="006712BA" w:rsidP="006712BA">
      <w:pPr>
        <w:pStyle w:val="Rezime-Kljune"/>
        <w:rPr>
          <w:rFonts w:cstheme="minorHAnsi"/>
          <w:lang w:val="sr-Latn-BA"/>
        </w:rPr>
      </w:pPr>
      <w:r w:rsidRPr="006712BA">
        <w:rPr>
          <w:rFonts w:cstheme="minorHAnsi"/>
          <w:b/>
        </w:rPr>
        <w:t xml:space="preserve">Ključne </w:t>
      </w:r>
      <w:r w:rsidRPr="006712BA">
        <w:rPr>
          <w:rFonts w:cstheme="minorHAnsi"/>
          <w:b/>
          <w:lang w:val="en-US"/>
        </w:rPr>
        <w:t>riječi</w:t>
      </w:r>
      <w:r w:rsidRPr="006712BA">
        <w:rPr>
          <w:rFonts w:cstheme="minorHAnsi"/>
          <w:b/>
        </w:rPr>
        <w:t>:</w:t>
      </w:r>
      <w:r w:rsidR="00546282">
        <w:rPr>
          <w:rFonts w:cstheme="minorHAnsi"/>
          <w:b/>
          <w:lang w:val="sr-Latn-BA"/>
        </w:rPr>
        <w:t xml:space="preserve"> </w:t>
      </w:r>
      <w:r w:rsidRPr="006712BA">
        <w:rPr>
          <w:rFonts w:cstheme="minorHAnsi"/>
          <w:lang w:val="sr-Latn-BA"/>
        </w:rPr>
        <w:t>pješaci, pješačke pasarele, saobraćajne nezgode</w:t>
      </w:r>
    </w:p>
    <w:p w:rsidR="003E4867" w:rsidRDefault="003E4867" w:rsidP="006712BA">
      <w:pPr>
        <w:pStyle w:val="Rezime-Kljune"/>
        <w:rPr>
          <w:rFonts w:cstheme="minorHAnsi"/>
          <w:lang w:val="sr-Latn-BA"/>
        </w:rPr>
      </w:pPr>
    </w:p>
    <w:p w:rsidR="0066061C" w:rsidRDefault="0066061C" w:rsidP="006712BA">
      <w:pPr>
        <w:pStyle w:val="Rezime-Kljune"/>
        <w:rPr>
          <w:rFonts w:cstheme="minorHAnsi"/>
          <w:lang w:val="sr-Latn-BA"/>
        </w:rPr>
      </w:pPr>
      <w:r w:rsidRPr="00CB3D31">
        <w:rPr>
          <w:rFonts w:cstheme="minorHAnsi"/>
          <w:b/>
          <w:lang w:val="sr-Latn-BA"/>
        </w:rPr>
        <w:t>Abstract</w:t>
      </w:r>
      <w:r w:rsidR="003E4867">
        <w:rPr>
          <w:rFonts w:cstheme="minorHAnsi"/>
          <w:lang w:val="sr-Latn-BA"/>
        </w:rPr>
        <w:t xml:space="preserve">: </w:t>
      </w:r>
      <w:r w:rsidR="005E6EF9">
        <w:rPr>
          <w:rFonts w:cstheme="minorHAnsi"/>
          <w:lang w:val="sr-Latn-BA"/>
        </w:rPr>
        <w:t>We are wit</w:t>
      </w:r>
      <w:r>
        <w:rPr>
          <w:rFonts w:cstheme="minorHAnsi"/>
          <w:lang w:val="sr-Latn-BA"/>
        </w:rPr>
        <w:t>nesses of frequently traffic accidents including pedestrians in Banja Luka, especially in places where pedestrians should use the pedestrian footbridge to cross the roadway. When using pedestrian footbridgnes, they have the safe passage of the roadway, but</w:t>
      </w:r>
      <w:r w:rsidR="005E6EF9">
        <w:rPr>
          <w:rFonts w:cstheme="minorHAnsi"/>
          <w:lang w:val="sr-Latn-BA"/>
        </w:rPr>
        <w:t xml:space="preserve"> this increase the walk time</w:t>
      </w:r>
      <w:r>
        <w:rPr>
          <w:rFonts w:cstheme="minorHAnsi"/>
          <w:lang w:val="sr-Latn-BA"/>
        </w:rPr>
        <w:t xml:space="preserve"> of pedestrians. Because of greater spent time for this road crossing, significiant number of pedestrians doesn</w:t>
      </w:r>
      <w:r>
        <w:rPr>
          <w:rFonts w:ascii="Rage Italic" w:hAnsi="Rage Italic" w:cstheme="minorHAnsi"/>
          <w:lang w:val="sr-Latn-BA"/>
        </w:rPr>
        <w:t>'</w:t>
      </w:r>
      <w:r>
        <w:rPr>
          <w:rFonts w:cstheme="minorHAnsi"/>
          <w:lang w:val="sr-Latn-BA"/>
        </w:rPr>
        <w:t>t use footbridges, then running across the driveway</w:t>
      </w:r>
      <w:r w:rsidR="005E6EF9">
        <w:rPr>
          <w:rFonts w:cstheme="minorHAnsi"/>
          <w:lang w:val="sr-Latn-BA"/>
        </w:rPr>
        <w:t>. This work presents one analysis</w:t>
      </w:r>
      <w:r>
        <w:rPr>
          <w:rFonts w:cstheme="minorHAnsi"/>
          <w:lang w:val="sr-Latn-BA"/>
        </w:rPr>
        <w:t xml:space="preserve"> of using pedestrians walkways in Banja Luka. Final goal of this paper is present the problem of </w:t>
      </w:r>
      <w:r w:rsidR="005E6EF9">
        <w:rPr>
          <w:rFonts w:cstheme="minorHAnsi"/>
          <w:lang w:val="sr-Latn-BA"/>
        </w:rPr>
        <w:t>unusing</w:t>
      </w:r>
      <w:r>
        <w:rPr>
          <w:rFonts w:cstheme="minorHAnsi"/>
          <w:lang w:val="sr-Latn-BA"/>
        </w:rPr>
        <w:t xml:space="preserve"> pedestrian footbridges and present some solutions for their greater use.</w:t>
      </w:r>
    </w:p>
    <w:p w:rsidR="0066061C" w:rsidRDefault="0066061C" w:rsidP="006712BA">
      <w:pPr>
        <w:pStyle w:val="Rezime-Kljune"/>
        <w:rPr>
          <w:rFonts w:cstheme="minorHAnsi"/>
          <w:lang w:val="sr-Latn-BA"/>
        </w:rPr>
      </w:pPr>
      <w:r w:rsidRPr="005E6EF9">
        <w:rPr>
          <w:rFonts w:cstheme="minorHAnsi"/>
          <w:b/>
          <w:lang w:val="sr-Latn-BA"/>
        </w:rPr>
        <w:t>Keywords</w:t>
      </w:r>
      <w:r w:rsidR="003E4867">
        <w:rPr>
          <w:rFonts w:cstheme="minorHAnsi"/>
          <w:lang w:val="sr-Latn-BA"/>
        </w:rPr>
        <w:t>:</w:t>
      </w:r>
      <w:r>
        <w:rPr>
          <w:rFonts w:cstheme="minorHAnsi"/>
          <w:lang w:val="sr-Latn-BA"/>
        </w:rPr>
        <w:t xml:space="preserve"> pedestrians, pedestrians footbridges, traffic accidents</w:t>
      </w:r>
    </w:p>
    <w:p w:rsidR="004A4828" w:rsidRPr="006459FF" w:rsidRDefault="009F41CA" w:rsidP="006459FF">
      <w:pPr>
        <w:pStyle w:val="Heading1"/>
      </w:pPr>
      <w:r>
        <w:rPr>
          <w:bCs/>
        </w:rPr>
        <w:t>UVOD</w:t>
      </w:r>
    </w:p>
    <w:p w:rsidR="006712BA" w:rsidRPr="006712BA" w:rsidRDefault="006712BA" w:rsidP="006712BA">
      <w:pPr>
        <w:pStyle w:val="Tekst"/>
      </w:pPr>
      <w:r w:rsidRPr="006712BA">
        <w:t>Pješačenje je osnovni i zajednički način kretanja u svim društvima širom svijeta. Praktično, svako putovanje počinje i završava pješačenjem. Nažalost, više od jedne petine ljudi koji pogine svake godine na putevima širom svijeta ne putuje u vozilu, na motociklu ili na biciklu - oni su pješaci. Svake godine, više od 270 000 pješaka izgubi svoje živote na putevima širom svijeta. Globalno, pješaci čine 22% svih poginulih na putevima, a u nekim zemljama taj procenat iznosi čak dvije trećine</w:t>
      </w:r>
      <w:r w:rsidR="0083167F">
        <w:rPr>
          <w:lang w:val="sr-Latn-BA"/>
        </w:rPr>
        <w:t xml:space="preserve"> (World Health Organization, 2013)</w:t>
      </w:r>
      <w:r w:rsidRPr="006712BA">
        <w:t>.</w:t>
      </w:r>
    </w:p>
    <w:p w:rsidR="006712BA" w:rsidRPr="002571EF" w:rsidRDefault="006712BA" w:rsidP="00744E87">
      <w:pPr>
        <w:pStyle w:val="Tekst"/>
        <w:rPr>
          <w:lang w:val="sr-Latn-BA"/>
        </w:rPr>
      </w:pPr>
      <w:r w:rsidRPr="006712BA">
        <w:t>U svrhu povećanja bezbjednosti pješaka prilikom prelaska kolovoza izgrađene su pješačke pasarele na posmatranoj lokaciji. Međutim, svjedoci smo da mnogi pješaci uopšte ne gledaju gdje i kako prelaze kolovoz, ne shvatajući da su i oni učesnici u saobraćaju i da propisi važe i za njih kao i za vozače. Čak svaki treći pješak u Republici Srpskoj ne poštuje saobraćajne propise čime često rizikuje ne samo svoj život, već i život drugih učesnika u saobraćaju</w:t>
      </w:r>
      <w:r w:rsidR="0083167F">
        <w:rPr>
          <w:lang w:val="sr-Latn-BA"/>
        </w:rPr>
        <w:t xml:space="preserve"> (Radović i dr, 2015)</w:t>
      </w:r>
      <w:r w:rsidRPr="006712BA">
        <w:t xml:space="preserve">. </w:t>
      </w:r>
    </w:p>
    <w:p w:rsidR="004A4828" w:rsidRDefault="006712BA" w:rsidP="00A26BDF">
      <w:pPr>
        <w:pStyle w:val="Heading1"/>
      </w:pPr>
      <w:r>
        <w:t>METOD ISTAŽIVANJA</w:t>
      </w:r>
    </w:p>
    <w:p w:rsidR="006712BA" w:rsidRPr="004C71E6" w:rsidRDefault="006712BA" w:rsidP="006712BA">
      <w:pPr>
        <w:pStyle w:val="Tekst"/>
      </w:pPr>
      <w:r w:rsidRPr="004C71E6">
        <w:t>Istraživanje je sprovedeno na području grada Banjaluke u BiH na dionici magistralnog puta M-16 u dužini od 2020 m, koji u ovom djelu prolazi kroz gradsku sredinu. Širina kolovoza na posmat</w:t>
      </w:r>
      <w:r w:rsidR="00546282">
        <w:t xml:space="preserve">ranoj dionici iznosi </w:t>
      </w:r>
      <w:r w:rsidR="00546282">
        <w:rPr>
          <w:lang w:val="sr-Latn-BA"/>
        </w:rPr>
        <w:t>14</w:t>
      </w:r>
      <w:r w:rsidR="00546282">
        <w:t xml:space="preserve"> metara, odnosno sastoji se od </w:t>
      </w:r>
      <w:r w:rsidR="00546282">
        <w:rPr>
          <w:lang w:val="sr-Latn-BA"/>
        </w:rPr>
        <w:t>četiri</w:t>
      </w:r>
      <w:r w:rsidRPr="004C71E6">
        <w:t xml:space="preserve"> sao</w:t>
      </w:r>
      <w:r w:rsidR="00546282">
        <w:t>braćajne trake širine 3,5 metra</w:t>
      </w:r>
      <w:r w:rsidRPr="004C71E6">
        <w:t>.</w:t>
      </w:r>
    </w:p>
    <w:p w:rsidR="006712BA" w:rsidRPr="004C71E6" w:rsidRDefault="006712BA" w:rsidP="006712BA">
      <w:pPr>
        <w:pStyle w:val="Tekst"/>
      </w:pPr>
      <w:r w:rsidRPr="004C71E6">
        <w:t>Posmatrana dionica obuhvata ukrštanja:</w:t>
      </w:r>
    </w:p>
    <w:p w:rsidR="006712BA" w:rsidRPr="004C71E6" w:rsidRDefault="006712BA" w:rsidP="006712BA">
      <w:pPr>
        <w:pStyle w:val="Nabrajanje"/>
      </w:pPr>
      <w:r w:rsidRPr="004C71E6">
        <w:t>M-16 i ulice Trive Amelice,</w:t>
      </w:r>
    </w:p>
    <w:p w:rsidR="006712BA" w:rsidRPr="004C71E6" w:rsidRDefault="006712BA" w:rsidP="006712BA">
      <w:pPr>
        <w:pStyle w:val="Nabrajanje"/>
      </w:pPr>
      <w:r w:rsidRPr="004C71E6">
        <w:t>M-16 i ulice Milana Radmana,</w:t>
      </w:r>
    </w:p>
    <w:p w:rsidR="006712BA" w:rsidRPr="004C71E6" w:rsidRDefault="006712BA" w:rsidP="006712BA">
      <w:pPr>
        <w:pStyle w:val="Nabrajanje"/>
      </w:pPr>
      <w:r w:rsidRPr="004C71E6">
        <w:lastRenderedPageBreak/>
        <w:t xml:space="preserve">M-16 i ulice Ranka Šipke, </w:t>
      </w:r>
    </w:p>
    <w:p w:rsidR="006712BA" w:rsidRPr="004C71E6" w:rsidRDefault="006712BA" w:rsidP="006712BA">
      <w:pPr>
        <w:pStyle w:val="Nabrajanje"/>
      </w:pPr>
      <w:r w:rsidRPr="004C71E6">
        <w:t>M-16, ulice Maksima Gorkog i Ive Andrića,</w:t>
      </w:r>
    </w:p>
    <w:p w:rsidR="006712BA" w:rsidRPr="004C71E6" w:rsidRDefault="006712BA" w:rsidP="006712BA">
      <w:pPr>
        <w:pStyle w:val="Nabrajanje"/>
      </w:pPr>
      <w:r w:rsidRPr="004C71E6">
        <w:t>M-16, bulevara Cara Dušana i ulice Karađorđeve (kružna raskrsnica).</w:t>
      </w:r>
    </w:p>
    <w:p w:rsidR="006712BA" w:rsidRPr="004C71E6" w:rsidRDefault="006712BA" w:rsidP="006712BA">
      <w:pPr>
        <w:pStyle w:val="Tekst"/>
      </w:pPr>
      <w:r w:rsidRPr="004C71E6">
        <w:t>Na raskrsnici M-16 i ulice Ranka Šipke postoje pješački prelazi u nivou sa kolovozom, dok na ostalim ukrštanjima nema pješačkih prelaza u novou.</w:t>
      </w:r>
    </w:p>
    <w:p w:rsidR="006712BA" w:rsidRDefault="006712BA" w:rsidP="006712BA">
      <w:pPr>
        <w:pStyle w:val="Tekst"/>
        <w:rPr>
          <w:lang w:val="sr-Latn-BA"/>
        </w:rPr>
      </w:pPr>
      <w:r w:rsidRPr="004C71E6">
        <w:t>Na posmatranoj dionici se nalaze tri</w:t>
      </w:r>
      <w:r w:rsidR="00546282">
        <w:rPr>
          <w:lang w:val="sr-Latn-BA"/>
        </w:rPr>
        <w:t xml:space="preserve"> </w:t>
      </w:r>
      <w:r w:rsidRPr="004C71E6">
        <w:t>pasarele koje su predviđene za prelazak pješaka i biciklista.</w:t>
      </w:r>
    </w:p>
    <w:p w:rsidR="00546282" w:rsidRPr="00546282" w:rsidRDefault="00546282" w:rsidP="006712BA">
      <w:pPr>
        <w:pStyle w:val="Tekst"/>
        <w:rPr>
          <w:lang w:val="sr-Latn-BA"/>
        </w:rPr>
      </w:pPr>
    </w:p>
    <w:p w:rsidR="006712BA" w:rsidRDefault="00483420" w:rsidP="00483420">
      <w:pPr>
        <w:pStyle w:val="Slika"/>
      </w:pPr>
      <w:r w:rsidRPr="00483420">
        <w:rPr>
          <w:noProof/>
          <w:lang w:val="en-US" w:eastAsia="en-US"/>
        </w:rPr>
        <w:drawing>
          <wp:inline distT="0" distB="0" distL="0" distR="0">
            <wp:extent cx="2654135" cy="2028732"/>
            <wp:effectExtent l="19050" t="0" r="0" b="0"/>
            <wp:docPr id="2" name="Picture 1" descr="C:\Users\fs\Desktop\Pasarela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s\Desktop\Pasarela_1-1.jpg"/>
                    <pic:cNvPicPr>
                      <a:picLocks noChangeAspect="1" noChangeArrowheads="1"/>
                    </pic:cNvPicPr>
                  </pic:nvPicPr>
                  <pic:blipFill>
                    <a:blip r:embed="rId7" cstate="print"/>
                    <a:srcRect/>
                    <a:stretch>
                      <a:fillRect/>
                    </a:stretch>
                  </pic:blipFill>
                  <pic:spPr bwMode="auto">
                    <a:xfrm>
                      <a:off x="0" y="0"/>
                      <a:ext cx="2704705" cy="2067386"/>
                    </a:xfrm>
                    <a:prstGeom prst="rect">
                      <a:avLst/>
                    </a:prstGeom>
                    <a:noFill/>
                    <a:ln w="9525">
                      <a:noFill/>
                      <a:miter lim="800000"/>
                      <a:headEnd/>
                      <a:tailEnd/>
                    </a:ln>
                  </pic:spPr>
                </pic:pic>
              </a:graphicData>
            </a:graphic>
          </wp:inline>
        </w:drawing>
      </w:r>
      <w:r w:rsidR="00546282">
        <w:t xml:space="preserve"> </w:t>
      </w:r>
      <w:r w:rsidRPr="00483420">
        <w:rPr>
          <w:noProof/>
          <w:lang w:val="en-US" w:eastAsia="en-US"/>
        </w:rPr>
        <w:drawing>
          <wp:inline distT="0" distB="0" distL="0" distR="0">
            <wp:extent cx="2651528" cy="1989117"/>
            <wp:effectExtent l="19050" t="0" r="0" b="0"/>
            <wp:docPr id="4" name="Picture 2" descr="C:\Users\fs\Desktop\21092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s\Desktop\21092650.jpg"/>
                    <pic:cNvPicPr>
                      <a:picLocks noChangeAspect="1" noChangeArrowheads="1"/>
                    </pic:cNvPicPr>
                  </pic:nvPicPr>
                  <pic:blipFill>
                    <a:blip r:embed="rId8" cstate="print"/>
                    <a:srcRect/>
                    <a:stretch>
                      <a:fillRect/>
                    </a:stretch>
                  </pic:blipFill>
                  <pic:spPr bwMode="auto">
                    <a:xfrm>
                      <a:off x="0" y="0"/>
                      <a:ext cx="2680630" cy="2010949"/>
                    </a:xfrm>
                    <a:prstGeom prst="rect">
                      <a:avLst/>
                    </a:prstGeom>
                    <a:noFill/>
                    <a:ln w="9525">
                      <a:noFill/>
                      <a:miter lim="800000"/>
                      <a:headEnd/>
                      <a:tailEnd/>
                    </a:ln>
                  </pic:spPr>
                </pic:pic>
              </a:graphicData>
            </a:graphic>
          </wp:inline>
        </w:drawing>
      </w:r>
    </w:p>
    <w:p w:rsidR="00483420" w:rsidRDefault="00483420" w:rsidP="00AD2D91">
      <w:pPr>
        <w:pStyle w:val="slikanatpis0"/>
        <w:rPr>
          <w:sz w:val="18"/>
          <w:szCs w:val="18"/>
        </w:rPr>
      </w:pPr>
      <w:r w:rsidRPr="00483420">
        <w:rPr>
          <w:b/>
          <w:sz w:val="18"/>
          <w:szCs w:val="18"/>
        </w:rPr>
        <w:t>Slika 1</w:t>
      </w:r>
      <w:r w:rsidRPr="00483420">
        <w:rPr>
          <w:sz w:val="18"/>
          <w:szCs w:val="18"/>
        </w:rPr>
        <w:t>. Pasarela „Petrićevac“</w:t>
      </w:r>
      <w:r w:rsidR="00CD2CEB">
        <w:rPr>
          <w:sz w:val="18"/>
          <w:szCs w:val="18"/>
        </w:rPr>
        <w:tab/>
      </w:r>
      <w:r w:rsidR="00CD2CEB">
        <w:rPr>
          <w:sz w:val="18"/>
          <w:szCs w:val="18"/>
        </w:rPr>
        <w:tab/>
      </w:r>
      <w:r w:rsidR="00CD2CEB">
        <w:rPr>
          <w:sz w:val="18"/>
          <w:szCs w:val="18"/>
        </w:rPr>
        <w:tab/>
      </w:r>
      <w:r w:rsidRPr="00483420">
        <w:rPr>
          <w:b/>
          <w:sz w:val="18"/>
          <w:szCs w:val="18"/>
        </w:rPr>
        <w:t>Slika 2</w:t>
      </w:r>
      <w:r w:rsidRPr="00483420">
        <w:rPr>
          <w:sz w:val="18"/>
          <w:szCs w:val="18"/>
        </w:rPr>
        <w:t>. Pasarela „Petrićevac-Lauš“</w:t>
      </w:r>
      <w:r w:rsidR="00AD2D91">
        <w:rPr>
          <w:sz w:val="18"/>
          <w:szCs w:val="18"/>
        </w:rPr>
        <w:t xml:space="preserve"> (</w:t>
      </w:r>
      <w:hyperlink r:id="rId9" w:history="1">
        <w:r w:rsidR="00AD2D91" w:rsidRPr="001620AB">
          <w:rPr>
            <w:rStyle w:val="Hyperlink"/>
            <w:sz w:val="18"/>
            <w:szCs w:val="18"/>
          </w:rPr>
          <w:t>http://www.skyscrapercity.com/showthread</w:t>
        </w:r>
      </w:hyperlink>
      <w:r w:rsidR="00AD2D91">
        <w:rPr>
          <w:sz w:val="18"/>
          <w:szCs w:val="18"/>
        </w:rPr>
        <w:t>, 16.08.2017.)         (</w:t>
      </w:r>
      <w:r w:rsidR="00AD2D91" w:rsidRPr="00AD2D91">
        <w:rPr>
          <w:sz w:val="18"/>
          <w:szCs w:val="18"/>
        </w:rPr>
        <w:t>http://mapio.net/s/60646555/</w:t>
      </w:r>
      <w:r w:rsidR="00AD2D91">
        <w:rPr>
          <w:sz w:val="18"/>
          <w:szCs w:val="18"/>
        </w:rPr>
        <w:t>,16.08.2017.)</w:t>
      </w:r>
    </w:p>
    <w:p w:rsidR="00035BA7" w:rsidRDefault="00035BA7" w:rsidP="00035BA7">
      <w:pPr>
        <w:pStyle w:val="Tekst"/>
        <w:rPr>
          <w:lang w:val="sr-Latn-BA"/>
        </w:rPr>
      </w:pPr>
    </w:p>
    <w:p w:rsidR="00035BA7" w:rsidRDefault="00035BA7" w:rsidP="00035BA7">
      <w:pPr>
        <w:pStyle w:val="Tekst"/>
        <w:rPr>
          <w:lang w:val="sr-Latn-BA"/>
        </w:rPr>
      </w:pPr>
      <w:r w:rsidRPr="004C71E6">
        <w:t>Pasarela „Petrićevac“ se nalazi između raskrsnice M-16 -Trive Amelice i raskrsnice M-16 -Milana Radmana. Pasarela „Petrićevac-Lauš“ se nalazi između raskrsnice M-16 -</w:t>
      </w:r>
      <w:r w:rsidR="00546282">
        <w:rPr>
          <w:lang w:val="sr-Latn-BA"/>
        </w:rPr>
        <w:t xml:space="preserve"> </w:t>
      </w:r>
      <w:r w:rsidRPr="004C71E6">
        <w:t>Milana Radmana i raskrsnice M-16 -</w:t>
      </w:r>
      <w:r w:rsidR="00546282">
        <w:rPr>
          <w:lang w:val="sr-Latn-BA"/>
        </w:rPr>
        <w:t xml:space="preserve"> </w:t>
      </w:r>
      <w:r w:rsidRPr="004C71E6">
        <w:t>Ranka Šipke. Pasarela „Lauš“ se nalazi na raskrsnici M-16, ulice Maksima Gorkog i Ive Andrića.</w:t>
      </w:r>
    </w:p>
    <w:p w:rsidR="00035BA7" w:rsidRPr="00483420" w:rsidRDefault="00035BA7" w:rsidP="00035BA7">
      <w:pPr>
        <w:pStyle w:val="slikanatpis0"/>
        <w:jc w:val="left"/>
        <w:rPr>
          <w:sz w:val="18"/>
          <w:szCs w:val="18"/>
        </w:rPr>
      </w:pPr>
    </w:p>
    <w:p w:rsidR="00483420" w:rsidRDefault="00483420" w:rsidP="00483420">
      <w:pPr>
        <w:pStyle w:val="Slika"/>
      </w:pPr>
      <w:r w:rsidRPr="00483420">
        <w:rPr>
          <w:noProof/>
          <w:lang w:val="en-US" w:eastAsia="en-US"/>
        </w:rPr>
        <w:drawing>
          <wp:inline distT="0" distB="0" distL="0" distR="0">
            <wp:extent cx="2695575" cy="2021681"/>
            <wp:effectExtent l="0" t="0" r="0" b="0"/>
            <wp:docPr id="5" name="Picture 3" descr="C:\Users\fs\Desktop\96878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s\Desktop\96878898.jpg"/>
                    <pic:cNvPicPr>
                      <a:picLocks noChangeAspect="1" noChangeArrowheads="1"/>
                    </pic:cNvPicPr>
                  </pic:nvPicPr>
                  <pic:blipFill>
                    <a:blip r:embed="rId10" cstate="print"/>
                    <a:srcRect/>
                    <a:stretch>
                      <a:fillRect/>
                    </a:stretch>
                  </pic:blipFill>
                  <pic:spPr bwMode="auto">
                    <a:xfrm>
                      <a:off x="0" y="0"/>
                      <a:ext cx="2718859" cy="2039144"/>
                    </a:xfrm>
                    <a:prstGeom prst="rect">
                      <a:avLst/>
                    </a:prstGeom>
                    <a:noFill/>
                    <a:ln w="9525">
                      <a:noFill/>
                      <a:miter lim="800000"/>
                      <a:headEnd/>
                      <a:tailEnd/>
                    </a:ln>
                  </pic:spPr>
                </pic:pic>
              </a:graphicData>
            </a:graphic>
          </wp:inline>
        </w:drawing>
      </w:r>
    </w:p>
    <w:p w:rsidR="003532A1" w:rsidRDefault="00483420" w:rsidP="00AD2D91">
      <w:pPr>
        <w:pStyle w:val="Slikanatpis"/>
        <w:numPr>
          <w:ilvl w:val="0"/>
          <w:numId w:val="0"/>
        </w:numPr>
      </w:pPr>
      <w:r w:rsidRPr="001A1E14">
        <w:rPr>
          <w:b/>
        </w:rPr>
        <w:t>Slika 3</w:t>
      </w:r>
      <w:r w:rsidRPr="003069FE">
        <w:t>. Pasarela „Lauš“</w:t>
      </w:r>
    </w:p>
    <w:p w:rsidR="00483420" w:rsidRPr="00AD2D91" w:rsidRDefault="00AD2D91" w:rsidP="00AD2D91">
      <w:pPr>
        <w:pStyle w:val="Slikanatpis"/>
        <w:numPr>
          <w:ilvl w:val="0"/>
          <w:numId w:val="0"/>
        </w:numPr>
      </w:pPr>
      <w:r>
        <w:t>(</w:t>
      </w:r>
      <w:hyperlink r:id="rId11" w:history="1">
        <w:r w:rsidRPr="001620AB">
          <w:rPr>
            <w:rStyle w:val="Hyperlink"/>
          </w:rPr>
          <w:t>http://mapio.net/s/60642245/</w:t>
        </w:r>
      </w:hyperlink>
      <w:r>
        <w:t>, 16.08.2017.)</w:t>
      </w:r>
    </w:p>
    <w:p w:rsidR="00483420" w:rsidRDefault="00483420" w:rsidP="00483420">
      <w:pPr>
        <w:pStyle w:val="Tekst"/>
      </w:pPr>
    </w:p>
    <w:p w:rsidR="00483420" w:rsidRPr="00035BA7" w:rsidRDefault="00483420" w:rsidP="00DD360D">
      <w:pPr>
        <w:pStyle w:val="Tekst"/>
        <w:rPr>
          <w:rFonts w:cstheme="minorHAnsi"/>
          <w:szCs w:val="24"/>
          <w:lang w:val="sr-Latn-BA"/>
        </w:rPr>
      </w:pPr>
      <w:r w:rsidRPr="004C71E6">
        <w:rPr>
          <w:rFonts w:cstheme="minorHAnsi"/>
          <w:szCs w:val="24"/>
          <w:lang w:val="sr-Latn-BA"/>
        </w:rPr>
        <w:t xml:space="preserve">Na posmatranoj dionici puta izvršeno je opažanje pješaka koji prelaze kolovoz u periodu od 6:00 do 22:00 časa. Istraživanje je obavljeno 11.08.2017. godine, dobijeni su i </w:t>
      </w:r>
      <w:r w:rsidRPr="004C71E6">
        <w:rPr>
          <w:rFonts w:cstheme="minorHAnsi"/>
          <w:szCs w:val="24"/>
        </w:rPr>
        <w:t>obrađeni sljedeći podaci: način prelaska</w:t>
      </w:r>
      <w:r>
        <w:rPr>
          <w:rFonts w:cstheme="minorHAnsi"/>
          <w:szCs w:val="24"/>
        </w:rPr>
        <w:t xml:space="preserve"> pješaka preko kolovoza, </w:t>
      </w:r>
      <w:r>
        <w:rPr>
          <w:rFonts w:cstheme="minorHAnsi"/>
          <w:szCs w:val="24"/>
          <w:lang w:val="sr-Latn-BA"/>
        </w:rPr>
        <w:t>starosna struktura</w:t>
      </w:r>
      <w:r w:rsidRPr="004C71E6">
        <w:rPr>
          <w:rFonts w:cstheme="minorHAnsi"/>
          <w:szCs w:val="24"/>
        </w:rPr>
        <w:t xml:space="preserve"> pješaka koji ne koriste pasarele i prosječno vrijeme prelaska pješaka preko kolovoza. Takođe, izvršena je analiza </w:t>
      </w:r>
      <w:r w:rsidR="00C61C23">
        <w:rPr>
          <w:rFonts w:cstheme="minorHAnsi"/>
          <w:szCs w:val="24"/>
          <w:lang/>
        </w:rPr>
        <w:t>saobraćajnih nezgoda</w:t>
      </w:r>
      <w:r w:rsidRPr="004C71E6">
        <w:rPr>
          <w:rFonts w:cstheme="minorHAnsi"/>
          <w:szCs w:val="24"/>
        </w:rPr>
        <w:t xml:space="preserve"> na posmatranoj dionici puta.</w:t>
      </w:r>
    </w:p>
    <w:p w:rsidR="00764916" w:rsidRDefault="00483420" w:rsidP="00A26BDF">
      <w:pPr>
        <w:pStyle w:val="Heading1"/>
      </w:pPr>
      <w:r>
        <w:lastRenderedPageBreak/>
        <w:t>REZULTATI</w:t>
      </w:r>
    </w:p>
    <w:p w:rsidR="00483420" w:rsidRDefault="00483420" w:rsidP="00483420">
      <w:pPr>
        <w:pStyle w:val="Heading2"/>
      </w:pPr>
      <w:r w:rsidRPr="00483420">
        <w:t>Analiza opažanja pješaka na posmatranoj dionici puta</w:t>
      </w:r>
    </w:p>
    <w:p w:rsidR="00483420" w:rsidRPr="004C71E6" w:rsidRDefault="00483420" w:rsidP="00483420">
      <w:pPr>
        <w:pStyle w:val="Tekst"/>
        <w:rPr>
          <w:rFonts w:cstheme="minorHAnsi"/>
          <w:szCs w:val="24"/>
        </w:rPr>
      </w:pPr>
      <w:r w:rsidRPr="004C71E6">
        <w:rPr>
          <w:rFonts w:cstheme="minorHAnsi"/>
          <w:szCs w:val="24"/>
        </w:rPr>
        <w:t xml:space="preserve">Istraživanjem je obuhvaćeno 1128 pješaka, od čega 643 pješaka muškog pola i 485 pješaka ženskog pola. Protok vozila, odnosno prosječan broj vozila u jedinici vremena koji </w:t>
      </w:r>
      <w:r>
        <w:rPr>
          <w:rFonts w:cstheme="minorHAnsi"/>
          <w:szCs w:val="24"/>
        </w:rPr>
        <w:t>prođe posmatranom dionicom je 2</w:t>
      </w:r>
      <w:r>
        <w:rPr>
          <w:rFonts w:cstheme="minorHAnsi"/>
          <w:szCs w:val="24"/>
          <w:lang w:val="sr-Latn-BA"/>
        </w:rPr>
        <w:t>5</w:t>
      </w:r>
      <w:r w:rsidR="00546282">
        <w:rPr>
          <w:rFonts w:cstheme="minorHAnsi"/>
          <w:szCs w:val="24"/>
        </w:rPr>
        <w:t>053 voz/</w:t>
      </w:r>
      <w:r w:rsidR="00546282">
        <w:rPr>
          <w:rFonts w:cstheme="minorHAnsi"/>
          <w:szCs w:val="24"/>
          <w:lang w:val="sr-Latn-BA"/>
        </w:rPr>
        <w:t>dan</w:t>
      </w:r>
      <w:r w:rsidRPr="004C71E6">
        <w:rPr>
          <w:rFonts w:cstheme="minorHAnsi"/>
          <w:szCs w:val="24"/>
        </w:rPr>
        <w:t xml:space="preserve"> za oba smjera.</w:t>
      </w:r>
    </w:p>
    <w:p w:rsidR="00483420" w:rsidRPr="001031D9" w:rsidRDefault="00483420" w:rsidP="001031D9">
      <w:pPr>
        <w:pStyle w:val="Tekst"/>
        <w:rPr>
          <w:rFonts w:cstheme="minorHAnsi"/>
          <w:szCs w:val="24"/>
        </w:rPr>
      </w:pPr>
      <w:r w:rsidRPr="004C71E6">
        <w:rPr>
          <w:rFonts w:cstheme="minorHAnsi"/>
          <w:szCs w:val="24"/>
        </w:rPr>
        <w:t>Na dijagramu 1. prikazan je način prelaska kolovoza, odnosno korišćenje i ne korišćenje pasa</w:t>
      </w:r>
      <w:r w:rsidR="001031D9">
        <w:rPr>
          <w:rFonts w:cstheme="minorHAnsi"/>
          <w:szCs w:val="24"/>
        </w:rPr>
        <w:t>rele za prelazak preko kolovoza.</w:t>
      </w:r>
    </w:p>
    <w:p w:rsidR="001031D9" w:rsidRDefault="001031D9" w:rsidP="00483420">
      <w:pPr>
        <w:pStyle w:val="Slika"/>
      </w:pPr>
    </w:p>
    <w:p w:rsidR="001031D9" w:rsidRDefault="001031D9" w:rsidP="001031D9">
      <w:pPr>
        <w:pStyle w:val="Slika"/>
      </w:pPr>
      <w:r>
        <w:rPr>
          <w:noProof/>
          <w:lang w:val="en-US" w:eastAsia="en-US"/>
        </w:rPr>
        <w:drawing>
          <wp:inline distT="0" distB="0" distL="0" distR="0">
            <wp:extent cx="3514586"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35280" cy="2069514"/>
                    </a:xfrm>
                    <a:prstGeom prst="rect">
                      <a:avLst/>
                    </a:prstGeom>
                    <a:noFill/>
                  </pic:spPr>
                </pic:pic>
              </a:graphicData>
            </a:graphic>
          </wp:inline>
        </w:drawing>
      </w:r>
    </w:p>
    <w:p w:rsidR="00483420" w:rsidRDefault="00483420" w:rsidP="00CD2CEB">
      <w:pPr>
        <w:pStyle w:val="slikanatpis0"/>
        <w:spacing w:before="120" w:after="120" w:line="240" w:lineRule="auto"/>
        <w:rPr>
          <w:sz w:val="18"/>
          <w:szCs w:val="18"/>
        </w:rPr>
      </w:pPr>
      <w:r w:rsidRPr="00483420">
        <w:rPr>
          <w:b/>
          <w:sz w:val="18"/>
          <w:szCs w:val="18"/>
        </w:rPr>
        <w:t>Dijagram 1</w:t>
      </w:r>
      <w:r w:rsidRPr="00483420">
        <w:rPr>
          <w:sz w:val="18"/>
          <w:szCs w:val="18"/>
        </w:rPr>
        <w:t xml:space="preserve">. </w:t>
      </w:r>
      <w:r w:rsidR="001031D9">
        <w:rPr>
          <w:sz w:val="18"/>
          <w:szCs w:val="18"/>
        </w:rPr>
        <w:t>Upotreba pješačkih pasarela na posmatranoj dionici puta</w:t>
      </w:r>
    </w:p>
    <w:p w:rsidR="00483420" w:rsidRDefault="00483420" w:rsidP="00483420">
      <w:pPr>
        <w:pStyle w:val="slikanatpis0"/>
        <w:jc w:val="left"/>
        <w:rPr>
          <w:i w:val="0"/>
          <w:sz w:val="18"/>
          <w:szCs w:val="18"/>
        </w:rPr>
      </w:pPr>
    </w:p>
    <w:p w:rsidR="00483420" w:rsidRDefault="00483420" w:rsidP="00483420">
      <w:pPr>
        <w:pStyle w:val="Tekst"/>
        <w:rPr>
          <w:lang w:val="sr-Latn-BA"/>
        </w:rPr>
      </w:pPr>
      <w:r w:rsidRPr="00483420">
        <w:t>Dijagram 2. prikazuje starosnu strukturu pješaka koji ne koriste pasarele za prelazak preko kolovoza. Prilikom opažanja pješaka izvršena je podjela na pješake muškog i ženskog pola. Starosnu strukturu čine pješaci: do 18, 18-30, 30-50, 50-65 i preko 65 godina. Starosna struktura je podijeljena u navedene kategorije kako bi se sa što većom tačnošću procijenio broj godina posmatranih pješaka (usvojeni su veći rasponi).</w:t>
      </w:r>
    </w:p>
    <w:p w:rsidR="00483420" w:rsidRDefault="00483420" w:rsidP="00483420">
      <w:pPr>
        <w:pStyle w:val="Slika"/>
      </w:pPr>
      <w:r w:rsidRPr="00483420">
        <w:rPr>
          <w:noProof/>
          <w:lang w:val="en-US" w:eastAsia="en-US"/>
        </w:rPr>
        <w:drawing>
          <wp:inline distT="0" distB="0" distL="0" distR="0">
            <wp:extent cx="3561389" cy="2171700"/>
            <wp:effectExtent l="0" t="0" r="0" b="0"/>
            <wp:docPr id="17" name="Picture 12" descr="C:\Users\fs\Desktop\sta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s\Desktop\star1.png"/>
                    <pic:cNvPicPr>
                      <a:picLocks noChangeAspect="1" noChangeArrowheads="1"/>
                    </pic:cNvPicPr>
                  </pic:nvPicPr>
                  <pic:blipFill>
                    <a:blip r:embed="rId13" cstate="print"/>
                    <a:srcRect/>
                    <a:stretch>
                      <a:fillRect/>
                    </a:stretch>
                  </pic:blipFill>
                  <pic:spPr bwMode="auto">
                    <a:xfrm>
                      <a:off x="0" y="0"/>
                      <a:ext cx="3576864" cy="2181137"/>
                    </a:xfrm>
                    <a:prstGeom prst="rect">
                      <a:avLst/>
                    </a:prstGeom>
                    <a:noFill/>
                    <a:ln w="9525">
                      <a:noFill/>
                      <a:miter lim="800000"/>
                      <a:headEnd/>
                      <a:tailEnd/>
                    </a:ln>
                  </pic:spPr>
                </pic:pic>
              </a:graphicData>
            </a:graphic>
          </wp:inline>
        </w:drawing>
      </w:r>
      <w:bookmarkStart w:id="0" w:name="_GoBack"/>
      <w:bookmarkEnd w:id="0"/>
    </w:p>
    <w:p w:rsidR="00483420" w:rsidRPr="00483420" w:rsidRDefault="00483420" w:rsidP="00CD2CEB">
      <w:pPr>
        <w:pStyle w:val="slikanatpis0"/>
        <w:spacing w:before="120" w:after="120" w:line="240" w:lineRule="auto"/>
        <w:rPr>
          <w:sz w:val="18"/>
          <w:szCs w:val="18"/>
        </w:rPr>
      </w:pPr>
      <w:r w:rsidRPr="00483420">
        <w:rPr>
          <w:b/>
          <w:sz w:val="18"/>
          <w:szCs w:val="18"/>
        </w:rPr>
        <w:t>Dijagram 2</w:t>
      </w:r>
      <w:r w:rsidRPr="00483420">
        <w:rPr>
          <w:sz w:val="18"/>
          <w:szCs w:val="18"/>
        </w:rPr>
        <w:t>. Starosna struktura pješaka koji ne koriste pasarele</w:t>
      </w:r>
      <w:r w:rsidR="001031D9">
        <w:rPr>
          <w:sz w:val="18"/>
          <w:szCs w:val="18"/>
        </w:rPr>
        <w:t xml:space="preserve"> za prelazak preko kolovoza</w:t>
      </w:r>
    </w:p>
    <w:p w:rsidR="00483420" w:rsidRPr="00483420" w:rsidRDefault="00483420" w:rsidP="00483420">
      <w:pPr>
        <w:pStyle w:val="Slika"/>
      </w:pPr>
    </w:p>
    <w:p w:rsidR="00483420" w:rsidRPr="004C71E6" w:rsidRDefault="00483420" w:rsidP="00483420">
      <w:pPr>
        <w:pStyle w:val="Tekst"/>
      </w:pPr>
      <w:r w:rsidRPr="004C71E6">
        <w:t xml:space="preserve">Dijagram 3. prikazuje prosječno vrijeme za prelazak pješaka koje je izmjereno  na posmatranoj dionici. Izvršena je podjela na pješake koji koriste i koji ne koriste pasarelu za prelazak preko kolovoza. Prosječno vrijeme pješaka koji ne koriste pasarele za prelazak preko kolovoza je podjeljeno na vrijeme provedeno u čekanju da se stvori mogućnost za prelazak i vrijeme provedeno u samom prelasku pješaka preko kolovoza. </w:t>
      </w:r>
    </w:p>
    <w:p w:rsidR="00483420" w:rsidRDefault="00483420" w:rsidP="002571EF">
      <w:pPr>
        <w:pStyle w:val="slikanatpis0"/>
        <w:rPr>
          <w:i w:val="0"/>
          <w:sz w:val="18"/>
          <w:szCs w:val="18"/>
        </w:rPr>
      </w:pPr>
    </w:p>
    <w:p w:rsidR="001031D9" w:rsidRDefault="000731B1" w:rsidP="001031D9">
      <w:pPr>
        <w:pStyle w:val="slikanatpis0"/>
        <w:rPr>
          <w:i w:val="0"/>
          <w:sz w:val="18"/>
          <w:szCs w:val="18"/>
        </w:rPr>
      </w:pPr>
      <w:r>
        <w:rPr>
          <w:i w:val="0"/>
          <w:noProof/>
          <w:sz w:val="18"/>
          <w:szCs w:val="18"/>
          <w:lang w:val="en-US" w:eastAsia="en-US"/>
        </w:rPr>
        <w:lastRenderedPageBreak/>
        <w:drawing>
          <wp:inline distT="0" distB="0" distL="0" distR="0">
            <wp:extent cx="3607905" cy="21687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30130" cy="2182101"/>
                    </a:xfrm>
                    <a:prstGeom prst="rect">
                      <a:avLst/>
                    </a:prstGeom>
                    <a:noFill/>
                  </pic:spPr>
                </pic:pic>
              </a:graphicData>
            </a:graphic>
          </wp:inline>
        </w:drawing>
      </w:r>
    </w:p>
    <w:p w:rsidR="002571EF" w:rsidRPr="001031D9" w:rsidRDefault="002571EF" w:rsidP="001031D9">
      <w:pPr>
        <w:pStyle w:val="slikanatpis0"/>
        <w:rPr>
          <w:i w:val="0"/>
          <w:sz w:val="18"/>
          <w:szCs w:val="18"/>
        </w:rPr>
      </w:pPr>
      <w:r w:rsidRPr="002571EF">
        <w:rPr>
          <w:b/>
          <w:sz w:val="18"/>
          <w:szCs w:val="18"/>
        </w:rPr>
        <w:t>Dijagram 3</w:t>
      </w:r>
      <w:r w:rsidR="0013014B">
        <w:rPr>
          <w:sz w:val="18"/>
          <w:szCs w:val="18"/>
        </w:rPr>
        <w:t>. Prosječno vrijeme prelaska i čekanja na prelaz preko kolovoza</w:t>
      </w:r>
    </w:p>
    <w:p w:rsidR="002571EF" w:rsidRPr="002571EF" w:rsidRDefault="002571EF" w:rsidP="002571EF">
      <w:pPr>
        <w:pStyle w:val="slikanatpis0"/>
        <w:rPr>
          <w:sz w:val="18"/>
          <w:szCs w:val="18"/>
        </w:rPr>
      </w:pPr>
    </w:p>
    <w:p w:rsidR="002571EF" w:rsidRDefault="002571EF" w:rsidP="002571EF">
      <w:pPr>
        <w:pStyle w:val="Heading2"/>
      </w:pPr>
      <w:r>
        <w:t>Analiza saobraćajnih nezgoda na posmatranoj dionici puta</w:t>
      </w:r>
    </w:p>
    <w:p w:rsidR="002571EF" w:rsidRPr="002571EF" w:rsidRDefault="00960141" w:rsidP="002571EF">
      <w:pPr>
        <w:pStyle w:val="Tekst"/>
        <w:rPr>
          <w:lang w:val="sr-Latn-BA"/>
        </w:rPr>
      </w:pPr>
      <w:r>
        <w:rPr>
          <w:lang w:val="sr-Latn-BA"/>
        </w:rPr>
        <w:t>Na osnovu podataka</w:t>
      </w:r>
      <w:r w:rsidRPr="002C5684">
        <w:rPr>
          <w:lang w:val="sr-Latn-BA"/>
        </w:rPr>
        <w:t xml:space="preserve"> Ministarstva unutrašnjih poslova </w:t>
      </w:r>
      <w:r>
        <w:rPr>
          <w:lang w:val="sr-Latn-BA"/>
        </w:rPr>
        <w:t>Republike Srpske i</w:t>
      </w:r>
      <w:r w:rsidR="002571EF" w:rsidRPr="004C71E6">
        <w:t>zvršena je analiza saobraćajnih nezgoda sa u</w:t>
      </w:r>
      <w:r w:rsidR="00C61C23">
        <w:rPr>
          <w:lang/>
        </w:rPr>
        <w:t>č</w:t>
      </w:r>
      <w:r w:rsidR="002571EF" w:rsidRPr="004C71E6">
        <w:t>ešćem pješaka za posmatranu dionicu puta i to za posljednjih 5 godina (</w:t>
      </w:r>
      <w:r w:rsidR="002571EF">
        <w:t>2012</w:t>
      </w:r>
      <w:r w:rsidR="002571EF" w:rsidRPr="004C71E6">
        <w:t>- 2016 god.).</w:t>
      </w:r>
    </w:p>
    <w:p w:rsidR="002571EF" w:rsidRPr="002571EF" w:rsidRDefault="002571EF" w:rsidP="002571EF">
      <w:pPr>
        <w:pStyle w:val="tabelanatpis0"/>
        <w:rPr>
          <w:sz w:val="18"/>
          <w:szCs w:val="18"/>
        </w:rPr>
      </w:pPr>
      <w:r w:rsidRPr="002571EF">
        <w:rPr>
          <w:b/>
          <w:sz w:val="18"/>
          <w:szCs w:val="18"/>
        </w:rPr>
        <w:t>Tabela 1</w:t>
      </w:r>
      <w:r w:rsidRPr="002571EF">
        <w:rPr>
          <w:sz w:val="18"/>
          <w:szCs w:val="18"/>
        </w:rPr>
        <w:t xml:space="preserve">. </w:t>
      </w:r>
      <w:r w:rsidR="00C61C23">
        <w:rPr>
          <w:sz w:val="18"/>
          <w:szCs w:val="18"/>
        </w:rPr>
        <w:t>Saobraćajne nezgode</w:t>
      </w:r>
      <w:r w:rsidRPr="002571EF">
        <w:rPr>
          <w:sz w:val="18"/>
          <w:szCs w:val="18"/>
        </w:rPr>
        <w:t xml:space="preserve"> za posmatranu dionicu puta</w:t>
      </w:r>
    </w:p>
    <w:tbl>
      <w:tblPr>
        <w:tblStyle w:val="TableGrid"/>
        <w:tblW w:w="0" w:type="auto"/>
        <w:jc w:val="center"/>
        <w:tblLook w:val="04A0"/>
      </w:tblPr>
      <w:tblGrid>
        <w:gridCol w:w="951"/>
        <w:gridCol w:w="838"/>
        <w:gridCol w:w="839"/>
        <w:gridCol w:w="839"/>
        <w:gridCol w:w="839"/>
        <w:gridCol w:w="839"/>
        <w:gridCol w:w="951"/>
      </w:tblGrid>
      <w:tr w:rsidR="002571EF" w:rsidTr="00527307">
        <w:trPr>
          <w:trHeight w:val="160"/>
          <w:jc w:val="center"/>
        </w:trPr>
        <w:tc>
          <w:tcPr>
            <w:tcW w:w="951" w:type="dxa"/>
            <w:vAlign w:val="center"/>
          </w:tcPr>
          <w:p w:rsidR="002571EF" w:rsidRDefault="002571EF" w:rsidP="00527307">
            <w:pPr>
              <w:pStyle w:val="Tekst"/>
              <w:jc w:val="center"/>
            </w:pPr>
          </w:p>
        </w:tc>
        <w:tc>
          <w:tcPr>
            <w:tcW w:w="838" w:type="dxa"/>
            <w:vAlign w:val="center"/>
          </w:tcPr>
          <w:p w:rsidR="002571EF" w:rsidRDefault="002571EF" w:rsidP="00527307">
            <w:pPr>
              <w:pStyle w:val="Tekst"/>
              <w:jc w:val="center"/>
            </w:pPr>
            <w:r>
              <w:t>2012</w:t>
            </w:r>
          </w:p>
        </w:tc>
        <w:tc>
          <w:tcPr>
            <w:tcW w:w="839" w:type="dxa"/>
            <w:vAlign w:val="center"/>
          </w:tcPr>
          <w:p w:rsidR="002571EF" w:rsidRDefault="002571EF" w:rsidP="00527307">
            <w:pPr>
              <w:pStyle w:val="Tekst"/>
              <w:jc w:val="center"/>
            </w:pPr>
            <w:r>
              <w:t>2013</w:t>
            </w:r>
          </w:p>
        </w:tc>
        <w:tc>
          <w:tcPr>
            <w:tcW w:w="839" w:type="dxa"/>
            <w:vAlign w:val="center"/>
          </w:tcPr>
          <w:p w:rsidR="002571EF" w:rsidRDefault="002571EF" w:rsidP="00527307">
            <w:pPr>
              <w:pStyle w:val="Tekst"/>
              <w:jc w:val="center"/>
            </w:pPr>
            <w:r>
              <w:t>2014</w:t>
            </w:r>
          </w:p>
        </w:tc>
        <w:tc>
          <w:tcPr>
            <w:tcW w:w="839" w:type="dxa"/>
            <w:vAlign w:val="center"/>
          </w:tcPr>
          <w:p w:rsidR="002571EF" w:rsidRDefault="002571EF" w:rsidP="00527307">
            <w:pPr>
              <w:pStyle w:val="Tekst"/>
              <w:jc w:val="center"/>
            </w:pPr>
            <w:r>
              <w:t>2015</w:t>
            </w:r>
          </w:p>
        </w:tc>
        <w:tc>
          <w:tcPr>
            <w:tcW w:w="839" w:type="dxa"/>
            <w:vAlign w:val="center"/>
          </w:tcPr>
          <w:p w:rsidR="002571EF" w:rsidRDefault="002571EF" w:rsidP="00527307">
            <w:pPr>
              <w:pStyle w:val="Tekst"/>
              <w:jc w:val="center"/>
            </w:pPr>
            <w:r>
              <w:t>2016</w:t>
            </w:r>
          </w:p>
        </w:tc>
        <w:tc>
          <w:tcPr>
            <w:tcW w:w="951" w:type="dxa"/>
            <w:vAlign w:val="center"/>
          </w:tcPr>
          <w:p w:rsidR="002571EF" w:rsidRDefault="002571EF" w:rsidP="00527307">
            <w:pPr>
              <w:pStyle w:val="Tekst"/>
              <w:jc w:val="center"/>
            </w:pPr>
            <w:r>
              <w:t>Ukupno</w:t>
            </w:r>
          </w:p>
        </w:tc>
      </w:tr>
      <w:tr w:rsidR="002571EF" w:rsidTr="00527307">
        <w:trPr>
          <w:trHeight w:val="160"/>
          <w:jc w:val="center"/>
        </w:trPr>
        <w:tc>
          <w:tcPr>
            <w:tcW w:w="951" w:type="dxa"/>
            <w:vAlign w:val="center"/>
          </w:tcPr>
          <w:p w:rsidR="002571EF" w:rsidRDefault="002571EF" w:rsidP="00527307">
            <w:pPr>
              <w:pStyle w:val="Tekst"/>
              <w:jc w:val="center"/>
            </w:pPr>
            <w:r>
              <w:t>LTP</w:t>
            </w:r>
          </w:p>
        </w:tc>
        <w:tc>
          <w:tcPr>
            <w:tcW w:w="838" w:type="dxa"/>
            <w:vAlign w:val="center"/>
          </w:tcPr>
          <w:p w:rsidR="002571EF" w:rsidRDefault="002571EF" w:rsidP="00527307">
            <w:pPr>
              <w:pStyle w:val="Tekst"/>
              <w:jc w:val="center"/>
            </w:pPr>
            <w:r>
              <w:t>1</w:t>
            </w:r>
          </w:p>
        </w:tc>
        <w:tc>
          <w:tcPr>
            <w:tcW w:w="839" w:type="dxa"/>
            <w:vAlign w:val="center"/>
          </w:tcPr>
          <w:p w:rsidR="002571EF" w:rsidRDefault="002571EF" w:rsidP="00527307">
            <w:pPr>
              <w:pStyle w:val="Tekst"/>
              <w:jc w:val="center"/>
            </w:pPr>
            <w:r>
              <w:t>2</w:t>
            </w:r>
          </w:p>
        </w:tc>
        <w:tc>
          <w:tcPr>
            <w:tcW w:w="839" w:type="dxa"/>
            <w:vAlign w:val="center"/>
          </w:tcPr>
          <w:p w:rsidR="002571EF" w:rsidRDefault="002571EF" w:rsidP="00527307">
            <w:pPr>
              <w:pStyle w:val="Tekst"/>
              <w:jc w:val="center"/>
            </w:pPr>
            <w:r>
              <w:t>1</w:t>
            </w:r>
          </w:p>
        </w:tc>
        <w:tc>
          <w:tcPr>
            <w:tcW w:w="839" w:type="dxa"/>
            <w:vAlign w:val="center"/>
          </w:tcPr>
          <w:p w:rsidR="002571EF" w:rsidRDefault="002571EF" w:rsidP="00527307">
            <w:pPr>
              <w:pStyle w:val="Tekst"/>
              <w:jc w:val="center"/>
            </w:pPr>
            <w:r>
              <w:t>1</w:t>
            </w:r>
          </w:p>
        </w:tc>
        <w:tc>
          <w:tcPr>
            <w:tcW w:w="839" w:type="dxa"/>
            <w:vAlign w:val="center"/>
          </w:tcPr>
          <w:p w:rsidR="002571EF" w:rsidRDefault="002571EF" w:rsidP="00527307">
            <w:pPr>
              <w:pStyle w:val="Tekst"/>
              <w:jc w:val="center"/>
            </w:pPr>
            <w:r>
              <w:t>3</w:t>
            </w:r>
          </w:p>
        </w:tc>
        <w:tc>
          <w:tcPr>
            <w:tcW w:w="951" w:type="dxa"/>
            <w:vAlign w:val="center"/>
          </w:tcPr>
          <w:p w:rsidR="002571EF" w:rsidRDefault="002571EF" w:rsidP="00527307">
            <w:pPr>
              <w:pStyle w:val="Tekst"/>
              <w:jc w:val="center"/>
            </w:pPr>
            <w:r>
              <w:t>8</w:t>
            </w:r>
          </w:p>
        </w:tc>
      </w:tr>
      <w:tr w:rsidR="002571EF" w:rsidTr="00527307">
        <w:trPr>
          <w:trHeight w:val="160"/>
          <w:jc w:val="center"/>
        </w:trPr>
        <w:tc>
          <w:tcPr>
            <w:tcW w:w="951" w:type="dxa"/>
            <w:vAlign w:val="center"/>
          </w:tcPr>
          <w:p w:rsidR="002571EF" w:rsidRDefault="002571EF" w:rsidP="00527307">
            <w:pPr>
              <w:pStyle w:val="Tekst"/>
              <w:jc w:val="center"/>
            </w:pPr>
            <w:r>
              <w:t>TTP</w:t>
            </w:r>
          </w:p>
        </w:tc>
        <w:tc>
          <w:tcPr>
            <w:tcW w:w="838" w:type="dxa"/>
            <w:vAlign w:val="center"/>
          </w:tcPr>
          <w:p w:rsidR="002571EF" w:rsidRDefault="002571EF" w:rsidP="00527307">
            <w:pPr>
              <w:pStyle w:val="Tekst"/>
              <w:jc w:val="center"/>
            </w:pPr>
            <w:r>
              <w:t>0</w:t>
            </w:r>
          </w:p>
        </w:tc>
        <w:tc>
          <w:tcPr>
            <w:tcW w:w="839" w:type="dxa"/>
            <w:vAlign w:val="center"/>
          </w:tcPr>
          <w:p w:rsidR="002571EF" w:rsidRDefault="002571EF" w:rsidP="00527307">
            <w:pPr>
              <w:pStyle w:val="Tekst"/>
              <w:jc w:val="center"/>
            </w:pPr>
            <w:r>
              <w:t>0</w:t>
            </w:r>
          </w:p>
        </w:tc>
        <w:tc>
          <w:tcPr>
            <w:tcW w:w="839" w:type="dxa"/>
            <w:vAlign w:val="center"/>
          </w:tcPr>
          <w:p w:rsidR="002571EF" w:rsidRDefault="002571EF" w:rsidP="00527307">
            <w:pPr>
              <w:pStyle w:val="Tekst"/>
              <w:jc w:val="center"/>
            </w:pPr>
            <w:r>
              <w:t>1</w:t>
            </w:r>
          </w:p>
        </w:tc>
        <w:tc>
          <w:tcPr>
            <w:tcW w:w="839" w:type="dxa"/>
            <w:vAlign w:val="center"/>
          </w:tcPr>
          <w:p w:rsidR="002571EF" w:rsidRDefault="002571EF" w:rsidP="00527307">
            <w:pPr>
              <w:pStyle w:val="Tekst"/>
              <w:jc w:val="center"/>
            </w:pPr>
            <w:r>
              <w:t>1</w:t>
            </w:r>
          </w:p>
        </w:tc>
        <w:tc>
          <w:tcPr>
            <w:tcW w:w="839" w:type="dxa"/>
            <w:vAlign w:val="center"/>
          </w:tcPr>
          <w:p w:rsidR="002571EF" w:rsidRDefault="002571EF" w:rsidP="00527307">
            <w:pPr>
              <w:pStyle w:val="Tekst"/>
              <w:jc w:val="center"/>
            </w:pPr>
            <w:r>
              <w:t>0</w:t>
            </w:r>
          </w:p>
        </w:tc>
        <w:tc>
          <w:tcPr>
            <w:tcW w:w="951" w:type="dxa"/>
            <w:vAlign w:val="center"/>
          </w:tcPr>
          <w:p w:rsidR="002571EF" w:rsidRDefault="002571EF" w:rsidP="00527307">
            <w:pPr>
              <w:pStyle w:val="Tekst"/>
              <w:jc w:val="center"/>
            </w:pPr>
            <w:r>
              <w:t>2</w:t>
            </w:r>
          </w:p>
        </w:tc>
      </w:tr>
      <w:tr w:rsidR="002571EF" w:rsidTr="00527307">
        <w:trPr>
          <w:trHeight w:val="160"/>
          <w:jc w:val="center"/>
        </w:trPr>
        <w:tc>
          <w:tcPr>
            <w:tcW w:w="951" w:type="dxa"/>
            <w:vAlign w:val="center"/>
          </w:tcPr>
          <w:p w:rsidR="002571EF" w:rsidRDefault="002571EF" w:rsidP="00527307">
            <w:pPr>
              <w:pStyle w:val="Tekst"/>
              <w:jc w:val="center"/>
            </w:pPr>
            <w:r>
              <w:t>POG</w:t>
            </w:r>
          </w:p>
        </w:tc>
        <w:tc>
          <w:tcPr>
            <w:tcW w:w="838" w:type="dxa"/>
            <w:vAlign w:val="center"/>
          </w:tcPr>
          <w:p w:rsidR="002571EF" w:rsidRDefault="002571EF" w:rsidP="00527307">
            <w:pPr>
              <w:pStyle w:val="Tekst"/>
              <w:jc w:val="center"/>
            </w:pPr>
            <w:r>
              <w:t>0</w:t>
            </w:r>
          </w:p>
        </w:tc>
        <w:tc>
          <w:tcPr>
            <w:tcW w:w="839" w:type="dxa"/>
            <w:vAlign w:val="center"/>
          </w:tcPr>
          <w:p w:rsidR="002571EF" w:rsidRDefault="002571EF" w:rsidP="00527307">
            <w:pPr>
              <w:pStyle w:val="Tekst"/>
              <w:jc w:val="center"/>
            </w:pPr>
            <w:r>
              <w:t>0</w:t>
            </w:r>
          </w:p>
        </w:tc>
        <w:tc>
          <w:tcPr>
            <w:tcW w:w="839" w:type="dxa"/>
            <w:vAlign w:val="center"/>
          </w:tcPr>
          <w:p w:rsidR="002571EF" w:rsidRDefault="002571EF" w:rsidP="00527307">
            <w:pPr>
              <w:pStyle w:val="Tekst"/>
              <w:jc w:val="center"/>
            </w:pPr>
            <w:r>
              <w:t>1</w:t>
            </w:r>
          </w:p>
        </w:tc>
        <w:tc>
          <w:tcPr>
            <w:tcW w:w="839" w:type="dxa"/>
            <w:vAlign w:val="center"/>
          </w:tcPr>
          <w:p w:rsidR="002571EF" w:rsidRDefault="002571EF" w:rsidP="00527307">
            <w:pPr>
              <w:pStyle w:val="Tekst"/>
              <w:jc w:val="center"/>
            </w:pPr>
            <w:r>
              <w:t>0</w:t>
            </w:r>
          </w:p>
        </w:tc>
        <w:tc>
          <w:tcPr>
            <w:tcW w:w="839" w:type="dxa"/>
            <w:vAlign w:val="center"/>
          </w:tcPr>
          <w:p w:rsidR="002571EF" w:rsidRDefault="002571EF" w:rsidP="00527307">
            <w:pPr>
              <w:pStyle w:val="Tekst"/>
              <w:jc w:val="center"/>
            </w:pPr>
            <w:r>
              <w:t>1</w:t>
            </w:r>
          </w:p>
        </w:tc>
        <w:tc>
          <w:tcPr>
            <w:tcW w:w="951" w:type="dxa"/>
            <w:vAlign w:val="center"/>
          </w:tcPr>
          <w:p w:rsidR="002571EF" w:rsidRDefault="002571EF" w:rsidP="00527307">
            <w:pPr>
              <w:pStyle w:val="Tekst"/>
              <w:jc w:val="center"/>
            </w:pPr>
            <w:r>
              <w:t>2</w:t>
            </w:r>
          </w:p>
        </w:tc>
      </w:tr>
      <w:tr w:rsidR="002571EF" w:rsidTr="00527307">
        <w:trPr>
          <w:trHeight w:val="167"/>
          <w:jc w:val="center"/>
        </w:trPr>
        <w:tc>
          <w:tcPr>
            <w:tcW w:w="951" w:type="dxa"/>
            <w:vAlign w:val="center"/>
          </w:tcPr>
          <w:p w:rsidR="002571EF" w:rsidRDefault="002571EF" w:rsidP="00527307">
            <w:pPr>
              <w:pStyle w:val="Tekst"/>
              <w:jc w:val="center"/>
            </w:pPr>
            <w:r>
              <w:t>Ukupno</w:t>
            </w:r>
          </w:p>
        </w:tc>
        <w:tc>
          <w:tcPr>
            <w:tcW w:w="838" w:type="dxa"/>
            <w:vAlign w:val="center"/>
          </w:tcPr>
          <w:p w:rsidR="002571EF" w:rsidRDefault="002571EF" w:rsidP="00527307">
            <w:pPr>
              <w:pStyle w:val="Tekst"/>
              <w:jc w:val="center"/>
            </w:pPr>
            <w:r>
              <w:t>1</w:t>
            </w:r>
          </w:p>
        </w:tc>
        <w:tc>
          <w:tcPr>
            <w:tcW w:w="839" w:type="dxa"/>
            <w:vAlign w:val="center"/>
          </w:tcPr>
          <w:p w:rsidR="002571EF" w:rsidRDefault="002571EF" w:rsidP="00527307">
            <w:pPr>
              <w:pStyle w:val="Tekst"/>
              <w:jc w:val="center"/>
            </w:pPr>
            <w:r>
              <w:t>2</w:t>
            </w:r>
          </w:p>
        </w:tc>
        <w:tc>
          <w:tcPr>
            <w:tcW w:w="839" w:type="dxa"/>
            <w:vAlign w:val="center"/>
          </w:tcPr>
          <w:p w:rsidR="002571EF" w:rsidRDefault="002571EF" w:rsidP="00527307">
            <w:pPr>
              <w:pStyle w:val="Tekst"/>
              <w:jc w:val="center"/>
            </w:pPr>
            <w:r>
              <w:t>3</w:t>
            </w:r>
          </w:p>
        </w:tc>
        <w:tc>
          <w:tcPr>
            <w:tcW w:w="839" w:type="dxa"/>
            <w:vAlign w:val="center"/>
          </w:tcPr>
          <w:p w:rsidR="002571EF" w:rsidRDefault="002571EF" w:rsidP="00527307">
            <w:pPr>
              <w:pStyle w:val="Tekst"/>
              <w:jc w:val="center"/>
            </w:pPr>
            <w:r>
              <w:t>2</w:t>
            </w:r>
          </w:p>
        </w:tc>
        <w:tc>
          <w:tcPr>
            <w:tcW w:w="839" w:type="dxa"/>
            <w:vAlign w:val="center"/>
          </w:tcPr>
          <w:p w:rsidR="002571EF" w:rsidRDefault="002571EF" w:rsidP="00527307">
            <w:pPr>
              <w:pStyle w:val="Tekst"/>
              <w:jc w:val="center"/>
            </w:pPr>
            <w:r>
              <w:t>4</w:t>
            </w:r>
          </w:p>
        </w:tc>
        <w:tc>
          <w:tcPr>
            <w:tcW w:w="951" w:type="dxa"/>
            <w:vAlign w:val="center"/>
          </w:tcPr>
          <w:p w:rsidR="002571EF" w:rsidRDefault="002571EF" w:rsidP="00527307">
            <w:pPr>
              <w:pStyle w:val="Tekst"/>
              <w:jc w:val="center"/>
            </w:pPr>
            <w:r>
              <w:t>12</w:t>
            </w:r>
          </w:p>
        </w:tc>
      </w:tr>
    </w:tbl>
    <w:p w:rsidR="002571EF" w:rsidRPr="002571EF" w:rsidRDefault="002571EF" w:rsidP="002571EF"/>
    <w:p w:rsidR="002571EF" w:rsidRPr="004C71E6" w:rsidRDefault="002571EF" w:rsidP="002571EF">
      <w:pPr>
        <w:pStyle w:val="Tekst"/>
      </w:pPr>
      <w:r w:rsidRPr="004C71E6">
        <w:t>Prilikom analize saobraćajnih nezgoda izvršena je podjela na saobraćajne nezgode sa lakšim tjelesnim povredama pješaka (LTP), sa teškim tjelesnim povredama pješaka (TTP) i sa</w:t>
      </w:r>
      <w:r>
        <w:t xml:space="preserve"> poginulim </w:t>
      </w:r>
      <w:r>
        <w:rPr>
          <w:lang w:val="sr-Latn-BA"/>
        </w:rPr>
        <w:t>licima</w:t>
      </w:r>
      <w:r w:rsidRPr="004C71E6">
        <w:t xml:space="preserve"> (POG).</w:t>
      </w:r>
    </w:p>
    <w:p w:rsidR="002571EF" w:rsidRPr="00E55F87" w:rsidRDefault="002571EF" w:rsidP="002571EF">
      <w:pPr>
        <w:pStyle w:val="Tekst"/>
        <w:rPr>
          <w:lang w:val="sr-Latn-BA"/>
        </w:rPr>
      </w:pPr>
      <w:r w:rsidRPr="004C71E6">
        <w:t xml:space="preserve">Broj saobraćajnih nezgoda za posmatranu dionicu puta sa učešćem pješaka se povećava sa jedne </w:t>
      </w:r>
      <w:r w:rsidR="00C61C23">
        <w:rPr>
          <w:lang/>
        </w:rPr>
        <w:t>saobraćajne nezgode</w:t>
      </w:r>
      <w:r w:rsidRPr="004C71E6">
        <w:t xml:space="preserve"> u 2012. godini na četiri </w:t>
      </w:r>
      <w:r w:rsidR="00C61C23" w:rsidRPr="00C61C23">
        <w:t>saobra</w:t>
      </w:r>
      <w:r w:rsidR="00C61C23" w:rsidRPr="00C61C23">
        <w:rPr>
          <w:rFonts w:hint="eastAsia"/>
        </w:rPr>
        <w:t>ć</w:t>
      </w:r>
      <w:r w:rsidR="00C61C23" w:rsidRPr="00C61C23">
        <w:t xml:space="preserve">ajne nezgode </w:t>
      </w:r>
      <w:r w:rsidRPr="004C71E6">
        <w:t xml:space="preserve">u 2016. godini. Najveći broj saobraćajnih nezgoda čine </w:t>
      </w:r>
      <w:r w:rsidR="00C61C23" w:rsidRPr="00C61C23">
        <w:t>saobra</w:t>
      </w:r>
      <w:r w:rsidR="00C61C23" w:rsidRPr="00C61C23">
        <w:rPr>
          <w:rFonts w:hint="eastAsia"/>
        </w:rPr>
        <w:t>ć</w:t>
      </w:r>
      <w:r w:rsidR="00C61C23" w:rsidRPr="00C61C23">
        <w:t>ajne nezgode</w:t>
      </w:r>
      <w:r w:rsidRPr="004C71E6">
        <w:t xml:space="preserve"> sa lakšim tjelesnim povredama. Broj saobraćajnih nezgoda sa teškim tjelesnim povredama i broj </w:t>
      </w:r>
      <w:r w:rsidR="00C61C23" w:rsidRPr="00C61C23">
        <w:t>saobra</w:t>
      </w:r>
      <w:r w:rsidR="00C61C23" w:rsidRPr="00C61C23">
        <w:rPr>
          <w:rFonts w:hint="eastAsia"/>
        </w:rPr>
        <w:t>ć</w:t>
      </w:r>
      <w:r w:rsidR="00C61C23" w:rsidRPr="00C61C23">
        <w:t>ajne nezgode</w:t>
      </w:r>
      <w:r w:rsidRPr="004C71E6">
        <w:t xml:space="preserve"> sa poginulim licima je isti za posmatranu dionicu puta. </w:t>
      </w:r>
    </w:p>
    <w:p w:rsidR="002571EF" w:rsidRDefault="002571EF" w:rsidP="002571EF">
      <w:pPr>
        <w:pStyle w:val="Slika"/>
        <w:rPr>
          <w:i/>
        </w:rPr>
      </w:pPr>
      <w:r w:rsidRPr="002571EF">
        <w:rPr>
          <w:noProof/>
          <w:lang w:val="en-US" w:eastAsia="en-US"/>
        </w:rPr>
        <w:drawing>
          <wp:inline distT="0" distB="0" distL="0" distR="0">
            <wp:extent cx="2666099" cy="2165350"/>
            <wp:effectExtent l="19050" t="0" r="901"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2 -1.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66099" cy="2165350"/>
                    </a:xfrm>
                    <a:prstGeom prst="rect">
                      <a:avLst/>
                    </a:prstGeom>
                  </pic:spPr>
                </pic:pic>
              </a:graphicData>
            </a:graphic>
          </wp:inline>
        </w:drawing>
      </w:r>
      <w:r w:rsidR="00527307">
        <w:rPr>
          <w:i/>
        </w:rPr>
        <w:t xml:space="preserve"> </w:t>
      </w:r>
      <w:r w:rsidRPr="002571EF">
        <w:rPr>
          <w:noProof/>
          <w:lang w:val="en-US" w:eastAsia="en-US"/>
        </w:rPr>
        <w:drawing>
          <wp:inline distT="0" distB="0" distL="0" distR="0">
            <wp:extent cx="2733329" cy="2164762"/>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3 - 1.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33329" cy="2164762"/>
                    </a:xfrm>
                    <a:prstGeom prst="rect">
                      <a:avLst/>
                    </a:prstGeom>
                  </pic:spPr>
                </pic:pic>
              </a:graphicData>
            </a:graphic>
          </wp:inline>
        </w:drawing>
      </w:r>
    </w:p>
    <w:p w:rsidR="002571EF" w:rsidRPr="002571EF" w:rsidRDefault="002571EF" w:rsidP="00CD2CEB">
      <w:pPr>
        <w:pStyle w:val="slikanatpis0"/>
        <w:spacing w:before="120" w:after="120" w:line="240" w:lineRule="auto"/>
        <w:rPr>
          <w:sz w:val="18"/>
          <w:szCs w:val="18"/>
        </w:rPr>
      </w:pPr>
      <w:r w:rsidRPr="002571EF">
        <w:rPr>
          <w:b/>
          <w:sz w:val="18"/>
          <w:szCs w:val="18"/>
        </w:rPr>
        <w:t>Slika 4</w:t>
      </w:r>
      <w:r w:rsidRPr="002571EF">
        <w:rPr>
          <w:sz w:val="18"/>
          <w:szCs w:val="18"/>
        </w:rPr>
        <w:t xml:space="preserve">. Saobraćajna nezgoda u </w:t>
      </w:r>
      <w:r w:rsidR="00CD2CEB">
        <w:rPr>
          <w:sz w:val="18"/>
          <w:szCs w:val="18"/>
        </w:rPr>
        <w:t>2012.</w:t>
      </w:r>
      <w:r w:rsidRPr="002571EF">
        <w:rPr>
          <w:sz w:val="18"/>
          <w:szCs w:val="18"/>
        </w:rPr>
        <w:t xml:space="preserve"> godini</w:t>
      </w:r>
      <w:r w:rsidR="00CD2CEB">
        <w:rPr>
          <w:sz w:val="18"/>
          <w:szCs w:val="18"/>
        </w:rPr>
        <w:tab/>
      </w:r>
      <w:r w:rsidR="00CD2CEB">
        <w:rPr>
          <w:sz w:val="18"/>
          <w:szCs w:val="18"/>
        </w:rPr>
        <w:tab/>
      </w:r>
      <w:r w:rsidRPr="002571EF">
        <w:rPr>
          <w:b/>
          <w:sz w:val="18"/>
          <w:szCs w:val="18"/>
        </w:rPr>
        <w:t>Slika 5</w:t>
      </w:r>
      <w:r w:rsidRPr="002571EF">
        <w:rPr>
          <w:sz w:val="18"/>
          <w:szCs w:val="18"/>
        </w:rPr>
        <w:t>. Saobraćajne nezgode u 2013</w:t>
      </w:r>
      <w:r w:rsidR="00CD2CEB">
        <w:rPr>
          <w:sz w:val="18"/>
          <w:szCs w:val="18"/>
        </w:rPr>
        <w:t>.</w:t>
      </w:r>
      <w:r w:rsidRPr="002571EF">
        <w:rPr>
          <w:sz w:val="18"/>
          <w:szCs w:val="18"/>
        </w:rPr>
        <w:t xml:space="preserve"> godini</w:t>
      </w:r>
    </w:p>
    <w:p w:rsidR="002571EF" w:rsidRDefault="002571EF" w:rsidP="002571EF">
      <w:pPr>
        <w:pStyle w:val="Slika"/>
        <w:rPr>
          <w:i/>
        </w:rPr>
      </w:pPr>
    </w:p>
    <w:p w:rsidR="00E55F87" w:rsidRPr="004C71E6" w:rsidRDefault="00E55F87" w:rsidP="00E55F87">
      <w:pPr>
        <w:pStyle w:val="Tekst"/>
      </w:pPr>
      <w:r w:rsidRPr="004C71E6">
        <w:lastRenderedPageBreak/>
        <w:t xml:space="preserve">Jedna saobraćajna nezgoda se dogodila u 2012. godini na posmatranoj dionici puta i to </w:t>
      </w:r>
      <w:r w:rsidR="00C61C23" w:rsidRPr="00C61C23">
        <w:t>saobra</w:t>
      </w:r>
      <w:r w:rsidR="00C61C23" w:rsidRPr="00C61C23">
        <w:rPr>
          <w:rFonts w:hint="eastAsia"/>
        </w:rPr>
        <w:t>ć</w:t>
      </w:r>
      <w:r w:rsidR="00C61C23">
        <w:t>ajna nezgoda</w:t>
      </w:r>
      <w:r w:rsidRPr="004C71E6">
        <w:t xml:space="preserve"> sa lakšim tjelesnim povredama. Lokacija te </w:t>
      </w:r>
      <w:r w:rsidR="00C61C23" w:rsidRPr="00C61C23">
        <w:t>saobra</w:t>
      </w:r>
      <w:r w:rsidR="00C61C23" w:rsidRPr="00C61C23">
        <w:rPr>
          <w:rFonts w:hint="eastAsia"/>
        </w:rPr>
        <w:t>ć</w:t>
      </w:r>
      <w:r w:rsidR="00C61C23" w:rsidRPr="00C61C23">
        <w:t>ajne nezgode</w:t>
      </w:r>
      <w:r w:rsidRPr="004C71E6">
        <w:t xml:space="preserve"> je na kružnoj raskrsnici na kraju p</w:t>
      </w:r>
      <w:r>
        <w:t>osmatrane dionice puta (slika 4</w:t>
      </w:r>
      <w:r w:rsidRPr="004C71E6">
        <w:t xml:space="preserve">). </w:t>
      </w:r>
    </w:p>
    <w:p w:rsidR="00E55F87" w:rsidRPr="00E55F87" w:rsidRDefault="00E55F87" w:rsidP="002571EF">
      <w:pPr>
        <w:pStyle w:val="Tekst"/>
        <w:rPr>
          <w:lang w:val="sr-Latn-BA"/>
        </w:rPr>
      </w:pPr>
      <w:r w:rsidRPr="004C71E6">
        <w:t xml:space="preserve">U 2013. godini na posmatranoj dionici puta se dogodile dve </w:t>
      </w:r>
      <w:r w:rsidR="00C61C23" w:rsidRPr="00C61C23">
        <w:t>saobra</w:t>
      </w:r>
      <w:r w:rsidR="00C61C23" w:rsidRPr="00C61C23">
        <w:rPr>
          <w:rFonts w:hint="eastAsia"/>
        </w:rPr>
        <w:t>ć</w:t>
      </w:r>
      <w:r w:rsidR="00C61C23" w:rsidRPr="00C61C23">
        <w:t>ajne nezgode</w:t>
      </w:r>
      <w:r w:rsidRPr="004C71E6">
        <w:t xml:space="preserve"> sa lakšim tjelesnim povredama. Lokacija prve saobraćajne nezgode je na kružnoj raskrsnici, dok druga </w:t>
      </w:r>
      <w:r w:rsidR="00C61C23" w:rsidRPr="00C61C23">
        <w:t>saobra</w:t>
      </w:r>
      <w:r w:rsidR="00C61C23" w:rsidRPr="00C61C23">
        <w:rPr>
          <w:rFonts w:hint="eastAsia"/>
        </w:rPr>
        <w:t>ć</w:t>
      </w:r>
      <w:r w:rsidR="00C61C23" w:rsidRPr="00C61C23">
        <w:t>ajn</w:t>
      </w:r>
      <w:r w:rsidR="00C61C23">
        <w:rPr>
          <w:lang/>
        </w:rPr>
        <w:t>a</w:t>
      </w:r>
      <w:r w:rsidR="00C61C23" w:rsidRPr="00C61C23">
        <w:t xml:space="preserve"> nezgod</w:t>
      </w:r>
      <w:r w:rsidR="00C61C23">
        <w:rPr>
          <w:lang/>
        </w:rPr>
        <w:t>a</w:t>
      </w:r>
      <w:r w:rsidRPr="004C71E6">
        <w:t xml:space="preserve"> se dogodila na raskrsnici magistralnog puta M-16, ulice Maksima Gorkog i Ive Andrića, na kolovozu ispod pješačke pasarele</w:t>
      </w:r>
      <w:r>
        <w:rPr>
          <w:lang w:val="sr-Latn-BA"/>
        </w:rPr>
        <w:t xml:space="preserve"> (slika 5)</w:t>
      </w:r>
      <w:r w:rsidRPr="004C71E6">
        <w:t xml:space="preserve">. </w:t>
      </w:r>
    </w:p>
    <w:p w:rsidR="002571EF" w:rsidRPr="004C71E6" w:rsidRDefault="002571EF" w:rsidP="002571EF">
      <w:pPr>
        <w:pStyle w:val="Tekst"/>
      </w:pPr>
      <w:r w:rsidRPr="004C71E6">
        <w:t xml:space="preserve">U 2014. godini na posmatranoj dionici puta su se dogodile tri </w:t>
      </w:r>
      <w:r w:rsidR="00C61C23" w:rsidRPr="00C61C23">
        <w:t>saobra</w:t>
      </w:r>
      <w:r w:rsidR="00C61C23" w:rsidRPr="00C61C23">
        <w:rPr>
          <w:rFonts w:hint="eastAsia"/>
        </w:rPr>
        <w:t>ć</w:t>
      </w:r>
      <w:r w:rsidR="00C61C23" w:rsidRPr="00C61C23">
        <w:t>ajne nezgode</w:t>
      </w:r>
      <w:r w:rsidRPr="004C71E6">
        <w:t xml:space="preserve"> od kojih je jedna </w:t>
      </w:r>
      <w:r w:rsidR="00C61C23" w:rsidRPr="00C61C23">
        <w:t>saobra</w:t>
      </w:r>
      <w:r w:rsidR="00C61C23" w:rsidRPr="00C61C23">
        <w:rPr>
          <w:rFonts w:hint="eastAsia"/>
        </w:rPr>
        <w:t>ć</w:t>
      </w:r>
      <w:r w:rsidR="00C61C23">
        <w:t>ajna nezgoda</w:t>
      </w:r>
      <w:r w:rsidRPr="004C71E6">
        <w:t xml:space="preserve"> sa lakšim tjelesnim povredama, jedna </w:t>
      </w:r>
      <w:r w:rsidR="00C61C23" w:rsidRPr="00C61C23">
        <w:t>saobra</w:t>
      </w:r>
      <w:r w:rsidR="00C61C23" w:rsidRPr="00C61C23">
        <w:rPr>
          <w:rFonts w:hint="eastAsia"/>
        </w:rPr>
        <w:t>ć</w:t>
      </w:r>
      <w:r w:rsidR="00C61C23">
        <w:t>ajna nezgoda</w:t>
      </w:r>
      <w:r w:rsidRPr="004C71E6">
        <w:t xml:space="preserve"> sa teškim tjelesnim povredama i jedna </w:t>
      </w:r>
      <w:r w:rsidR="00C61C23" w:rsidRPr="00C61C23">
        <w:t>saobra</w:t>
      </w:r>
      <w:r w:rsidR="00C61C23" w:rsidRPr="00C61C23">
        <w:rPr>
          <w:rFonts w:hint="eastAsia"/>
        </w:rPr>
        <w:t>ć</w:t>
      </w:r>
      <w:r w:rsidR="00C61C23" w:rsidRPr="00C61C23">
        <w:t>ajn</w:t>
      </w:r>
      <w:r w:rsidR="00C61C23">
        <w:rPr>
          <w:lang/>
        </w:rPr>
        <w:t>a</w:t>
      </w:r>
      <w:r w:rsidR="00C61C23" w:rsidRPr="00C61C23">
        <w:t xml:space="preserve"> nezgod</w:t>
      </w:r>
      <w:r w:rsidR="00C61C23">
        <w:rPr>
          <w:lang/>
        </w:rPr>
        <w:t>a</w:t>
      </w:r>
      <w:r w:rsidRPr="004C71E6">
        <w:t xml:space="preserve"> sa poginulim licem.</w:t>
      </w:r>
    </w:p>
    <w:p w:rsidR="002571EF" w:rsidRPr="004C71E6" w:rsidRDefault="002571EF" w:rsidP="002571EF">
      <w:pPr>
        <w:pStyle w:val="Tekst"/>
      </w:pPr>
      <w:r w:rsidRPr="004C71E6">
        <w:t xml:space="preserve">Saobraćajna nezgoda sa lakšim tjelesnim povredama se dogodila na kružnoj raskrsnici, dok </w:t>
      </w:r>
      <w:r w:rsidR="00CB3D31" w:rsidRPr="00CB3D31">
        <w:t>saobra</w:t>
      </w:r>
      <w:r w:rsidR="00CB3D31" w:rsidRPr="00CB3D31">
        <w:rPr>
          <w:rFonts w:hint="eastAsia"/>
        </w:rPr>
        <w:t>ć</w:t>
      </w:r>
      <w:r w:rsidR="00CB3D31">
        <w:t>ajne nezgod</w:t>
      </w:r>
      <w:r w:rsidR="00CB3D31">
        <w:rPr>
          <w:lang/>
        </w:rPr>
        <w:t>e</w:t>
      </w:r>
      <w:r w:rsidRPr="004C71E6">
        <w:t xml:space="preserve"> sa poginulim licem i </w:t>
      </w:r>
      <w:r w:rsidR="00CB3D31" w:rsidRPr="00CB3D31">
        <w:t>saobra</w:t>
      </w:r>
      <w:r w:rsidR="00CB3D31" w:rsidRPr="00CB3D31">
        <w:rPr>
          <w:rFonts w:hint="eastAsia"/>
        </w:rPr>
        <w:t>ć</w:t>
      </w:r>
      <w:r w:rsidR="00CB3D31">
        <w:t xml:space="preserve">ajne nezgode </w:t>
      </w:r>
      <w:r w:rsidRPr="004C71E6">
        <w:t>sa teškim tjelesnim povredama su se dogodile na magistralnom putu M-16 između raskrsnice M-16, ulice Maksima Gorkog i Ive Andrića i kružne raskrsnice na kraju posmatrane dionice</w:t>
      </w:r>
      <w:r>
        <w:rPr>
          <w:lang w:val="sr-Latn-BA"/>
        </w:rPr>
        <w:t xml:space="preserve"> (slika 6)</w:t>
      </w:r>
      <w:r w:rsidRPr="004C71E6">
        <w:t xml:space="preserve">.  </w:t>
      </w:r>
    </w:p>
    <w:p w:rsidR="002571EF" w:rsidRPr="004C71E6" w:rsidRDefault="002571EF" w:rsidP="002571EF">
      <w:pPr>
        <w:pStyle w:val="Tekst"/>
      </w:pPr>
      <w:r w:rsidRPr="004C71E6">
        <w:t xml:space="preserve">U 2015. godini na posmatranoj dionici puta su se dogodile dve saobraćajne nezgode, od kojih je jedna </w:t>
      </w:r>
      <w:r w:rsidR="00CB3D31" w:rsidRPr="00CB3D31">
        <w:t>saobra</w:t>
      </w:r>
      <w:r w:rsidR="00CB3D31" w:rsidRPr="00CB3D31">
        <w:rPr>
          <w:rFonts w:hint="eastAsia"/>
        </w:rPr>
        <w:t>ć</w:t>
      </w:r>
      <w:r w:rsidR="00CB3D31">
        <w:t>ajna nezgoda</w:t>
      </w:r>
      <w:r w:rsidRPr="004C71E6">
        <w:t xml:space="preserve"> sa lakšim tjelesnim povredama, dok je druga </w:t>
      </w:r>
      <w:r w:rsidR="00CB3D31" w:rsidRPr="00CB3D31">
        <w:t>saobra</w:t>
      </w:r>
      <w:r w:rsidR="00CB3D31" w:rsidRPr="00CB3D31">
        <w:rPr>
          <w:rFonts w:hint="eastAsia"/>
        </w:rPr>
        <w:t>ć</w:t>
      </w:r>
      <w:r w:rsidR="00CB3D31">
        <w:t>ajna nezgoda</w:t>
      </w:r>
      <w:r w:rsidRPr="004C71E6">
        <w:t xml:space="preserve"> sa teškim tjelesnim povredama.</w:t>
      </w:r>
    </w:p>
    <w:p w:rsidR="002571EF" w:rsidRPr="00E55F87" w:rsidRDefault="002571EF" w:rsidP="002571EF">
      <w:pPr>
        <w:pStyle w:val="Tekst"/>
        <w:rPr>
          <w:lang w:val="sr-Latn-BA"/>
        </w:rPr>
      </w:pPr>
      <w:r w:rsidRPr="004C71E6">
        <w:t xml:space="preserve">Saobraćajna nezgoda sa lakšim tjelesnim povredama se dogodila na raskrsnici magistralnog puta M-16 i ulice Trive Amelice, dok </w:t>
      </w:r>
      <w:r w:rsidR="00CB3D31" w:rsidRPr="00CB3D31">
        <w:t>saobra</w:t>
      </w:r>
      <w:r w:rsidR="00CB3D31" w:rsidRPr="00CB3D31">
        <w:rPr>
          <w:rFonts w:hint="eastAsia"/>
        </w:rPr>
        <w:t>ć</w:t>
      </w:r>
      <w:r w:rsidR="00CB3D31">
        <w:t>ajna nezgoda</w:t>
      </w:r>
      <w:r w:rsidRPr="004C71E6">
        <w:t xml:space="preserve"> sa teškim tjelesnim povredama se dogodila na magistralnom putu M-16 ispod pješake pasarele</w:t>
      </w:r>
      <w:r>
        <w:rPr>
          <w:lang w:val="sr-Latn-BA"/>
        </w:rPr>
        <w:t xml:space="preserve"> (slika 7)</w:t>
      </w:r>
      <w:r w:rsidRPr="004C71E6">
        <w:t xml:space="preserve">. </w:t>
      </w:r>
    </w:p>
    <w:p w:rsidR="002571EF" w:rsidRDefault="002571EF" w:rsidP="002571EF">
      <w:pPr>
        <w:pStyle w:val="Slika"/>
        <w:rPr>
          <w:i/>
        </w:rPr>
      </w:pPr>
      <w:r w:rsidRPr="002571EF">
        <w:rPr>
          <w:noProof/>
          <w:lang w:val="en-US" w:eastAsia="en-US"/>
        </w:rPr>
        <w:drawing>
          <wp:inline distT="0" distB="0" distL="0" distR="0">
            <wp:extent cx="2728547" cy="2095500"/>
            <wp:effectExtent l="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4.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49852" cy="2111862"/>
                    </a:xfrm>
                    <a:prstGeom prst="rect">
                      <a:avLst/>
                    </a:prstGeom>
                  </pic:spPr>
                </pic:pic>
              </a:graphicData>
            </a:graphic>
          </wp:inline>
        </w:drawing>
      </w:r>
      <w:r w:rsidR="00527307">
        <w:rPr>
          <w:i/>
        </w:rPr>
        <w:t xml:space="preserve">  </w:t>
      </w:r>
      <w:r w:rsidRPr="002571EF">
        <w:rPr>
          <w:noProof/>
          <w:lang w:val="en-US" w:eastAsia="en-US"/>
        </w:rPr>
        <w:drawing>
          <wp:inline distT="0" distB="0" distL="0" distR="0">
            <wp:extent cx="2729936" cy="208724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5 - 1.jp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52121" cy="2104207"/>
                    </a:xfrm>
                    <a:prstGeom prst="rect">
                      <a:avLst/>
                    </a:prstGeom>
                  </pic:spPr>
                </pic:pic>
              </a:graphicData>
            </a:graphic>
          </wp:inline>
        </w:drawing>
      </w:r>
    </w:p>
    <w:p w:rsidR="002571EF" w:rsidRPr="002571EF" w:rsidRDefault="002571EF" w:rsidP="00CD2CEB">
      <w:pPr>
        <w:pStyle w:val="slikanatpis0"/>
        <w:spacing w:before="120" w:after="120" w:line="240" w:lineRule="auto"/>
        <w:rPr>
          <w:sz w:val="18"/>
          <w:szCs w:val="18"/>
        </w:rPr>
      </w:pPr>
      <w:r w:rsidRPr="00CD2CEB">
        <w:rPr>
          <w:b/>
          <w:sz w:val="18"/>
          <w:szCs w:val="18"/>
        </w:rPr>
        <w:t>Slika 6.</w:t>
      </w:r>
      <w:r w:rsidRPr="002571EF">
        <w:rPr>
          <w:sz w:val="18"/>
          <w:szCs w:val="18"/>
        </w:rPr>
        <w:t xml:space="preserve"> Saobraćajne nezgode u 2014</w:t>
      </w:r>
      <w:r w:rsidR="00CD2CEB">
        <w:rPr>
          <w:sz w:val="18"/>
          <w:szCs w:val="18"/>
        </w:rPr>
        <w:t>.</w:t>
      </w:r>
      <w:r w:rsidRPr="002571EF">
        <w:rPr>
          <w:sz w:val="18"/>
          <w:szCs w:val="18"/>
        </w:rPr>
        <w:t xml:space="preserve"> godini</w:t>
      </w:r>
      <w:r w:rsidR="00CD2CEB">
        <w:rPr>
          <w:sz w:val="18"/>
          <w:szCs w:val="18"/>
        </w:rPr>
        <w:tab/>
      </w:r>
      <w:r w:rsidR="00CD2CEB">
        <w:rPr>
          <w:sz w:val="18"/>
          <w:szCs w:val="18"/>
        </w:rPr>
        <w:tab/>
      </w:r>
      <w:r w:rsidRPr="00CD2CEB">
        <w:rPr>
          <w:b/>
          <w:sz w:val="18"/>
          <w:szCs w:val="18"/>
        </w:rPr>
        <w:t>Slika 7.</w:t>
      </w:r>
      <w:r w:rsidRPr="002571EF">
        <w:rPr>
          <w:sz w:val="18"/>
          <w:szCs w:val="18"/>
        </w:rPr>
        <w:t xml:space="preserve"> Saobraćajne nezgode u 2015</w:t>
      </w:r>
      <w:r w:rsidR="00CD2CEB">
        <w:rPr>
          <w:sz w:val="18"/>
          <w:szCs w:val="18"/>
        </w:rPr>
        <w:t>.</w:t>
      </w:r>
      <w:r w:rsidRPr="002571EF">
        <w:rPr>
          <w:sz w:val="18"/>
          <w:szCs w:val="18"/>
        </w:rPr>
        <w:t xml:space="preserve"> godini</w:t>
      </w:r>
    </w:p>
    <w:p w:rsidR="002571EF" w:rsidRPr="00483420" w:rsidRDefault="002571EF" w:rsidP="002571EF">
      <w:pPr>
        <w:pStyle w:val="Slika"/>
        <w:rPr>
          <w:i/>
        </w:rPr>
      </w:pPr>
    </w:p>
    <w:p w:rsidR="00483420" w:rsidRDefault="00483420" w:rsidP="002571EF">
      <w:pPr>
        <w:pStyle w:val="Slika"/>
        <w:jc w:val="left"/>
      </w:pPr>
    </w:p>
    <w:p w:rsidR="002571EF" w:rsidRPr="004C71E6" w:rsidRDefault="002571EF" w:rsidP="002571EF">
      <w:pPr>
        <w:pStyle w:val="Tekst"/>
      </w:pPr>
      <w:r w:rsidRPr="004C71E6">
        <w:t xml:space="preserve">U 2016. godini na posmatranoj lokaciji puta su se dogodile četiri saobraćajne nezgode, od kojih su tri </w:t>
      </w:r>
      <w:r w:rsidR="00CB3D31" w:rsidRPr="00CB3D31">
        <w:t>saobra</w:t>
      </w:r>
      <w:r w:rsidR="00CB3D31" w:rsidRPr="00CB3D31">
        <w:rPr>
          <w:rFonts w:hint="eastAsia"/>
        </w:rPr>
        <w:t>ć</w:t>
      </w:r>
      <w:r w:rsidR="00CB3D31" w:rsidRPr="00CB3D31">
        <w:t>ajne nezgode</w:t>
      </w:r>
      <w:r w:rsidRPr="004C71E6">
        <w:t xml:space="preserve"> sa lakšim tjelesnim povredama i jedna </w:t>
      </w:r>
      <w:r w:rsidR="00CB3D31" w:rsidRPr="00CB3D31">
        <w:t>saobra</w:t>
      </w:r>
      <w:r w:rsidR="00CB3D31" w:rsidRPr="00CB3D31">
        <w:rPr>
          <w:rFonts w:hint="eastAsia"/>
        </w:rPr>
        <w:t>ć</w:t>
      </w:r>
      <w:r w:rsidR="00CB3D31">
        <w:t>ajna nezgoda</w:t>
      </w:r>
      <w:r w:rsidRPr="004C71E6">
        <w:t xml:space="preserve"> sa poginulim licem.</w:t>
      </w:r>
    </w:p>
    <w:p w:rsidR="002571EF" w:rsidRPr="00E55F87" w:rsidRDefault="002571EF" w:rsidP="002571EF">
      <w:pPr>
        <w:pStyle w:val="Tekst"/>
        <w:rPr>
          <w:lang w:val="sr-Latn-BA"/>
        </w:rPr>
      </w:pPr>
      <w:r w:rsidRPr="004C71E6">
        <w:t xml:space="preserve">Saobraćajne nezgode sa lakšim tjelesnim povredama su se dogodile u blizini kružne raskrsnice, dok </w:t>
      </w:r>
      <w:r w:rsidR="00CB3D31" w:rsidRPr="00CB3D31">
        <w:t>saobra</w:t>
      </w:r>
      <w:r w:rsidR="00CB3D31" w:rsidRPr="00CB3D31">
        <w:rPr>
          <w:rFonts w:hint="eastAsia"/>
        </w:rPr>
        <w:t>ć</w:t>
      </w:r>
      <w:r w:rsidR="00CB3D31">
        <w:t>ajna nezgoda</w:t>
      </w:r>
      <w:r w:rsidRPr="004C71E6">
        <w:t xml:space="preserve"> sa poginulim licem se dogodila u blizini raskrsnice M-16, ulice Maksima Gorkog i Ive Andrića</w:t>
      </w:r>
      <w:r>
        <w:rPr>
          <w:lang w:val="sr-Latn-BA"/>
        </w:rPr>
        <w:t xml:space="preserve"> (slika 8)</w:t>
      </w:r>
      <w:r w:rsidRPr="004C71E6">
        <w:t>.</w:t>
      </w:r>
    </w:p>
    <w:p w:rsidR="002571EF" w:rsidRDefault="002571EF" w:rsidP="002571EF">
      <w:pPr>
        <w:pStyle w:val="Slika"/>
      </w:pPr>
      <w:r w:rsidRPr="002571EF">
        <w:rPr>
          <w:noProof/>
          <w:lang w:val="en-US" w:eastAsia="en-US"/>
        </w:rPr>
        <w:lastRenderedPageBreak/>
        <w:drawing>
          <wp:inline distT="0" distB="0" distL="0" distR="0">
            <wp:extent cx="2847975" cy="2245520"/>
            <wp:effectExtent l="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5 - 2.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65508" cy="2259344"/>
                    </a:xfrm>
                    <a:prstGeom prst="rect">
                      <a:avLst/>
                    </a:prstGeom>
                  </pic:spPr>
                </pic:pic>
              </a:graphicData>
            </a:graphic>
          </wp:inline>
        </w:drawing>
      </w:r>
    </w:p>
    <w:p w:rsidR="00483420" w:rsidRPr="00035BA7" w:rsidRDefault="002571EF" w:rsidP="00CD2CEB">
      <w:pPr>
        <w:pStyle w:val="slikanatpis0"/>
        <w:spacing w:before="120" w:after="120" w:line="240" w:lineRule="auto"/>
        <w:rPr>
          <w:sz w:val="18"/>
          <w:szCs w:val="18"/>
        </w:rPr>
      </w:pPr>
      <w:r w:rsidRPr="00CD2CEB">
        <w:rPr>
          <w:b/>
          <w:sz w:val="18"/>
          <w:szCs w:val="18"/>
        </w:rPr>
        <w:t>Slika 8.</w:t>
      </w:r>
      <w:r w:rsidRPr="002571EF">
        <w:rPr>
          <w:sz w:val="18"/>
          <w:szCs w:val="18"/>
        </w:rPr>
        <w:t xml:space="preserve"> Saobraćajne nezgode u 2016</w:t>
      </w:r>
      <w:r w:rsidR="00CD2CEB">
        <w:rPr>
          <w:sz w:val="18"/>
          <w:szCs w:val="18"/>
        </w:rPr>
        <w:t>.</w:t>
      </w:r>
      <w:r w:rsidRPr="002571EF">
        <w:rPr>
          <w:sz w:val="18"/>
          <w:szCs w:val="18"/>
        </w:rPr>
        <w:t xml:space="preserve"> godini</w:t>
      </w:r>
    </w:p>
    <w:p w:rsidR="002571EF" w:rsidRDefault="002571EF" w:rsidP="002571EF">
      <w:pPr>
        <w:pStyle w:val="Heading1"/>
      </w:pPr>
      <w:r>
        <w:t>DISKUSIJA</w:t>
      </w:r>
    </w:p>
    <w:p w:rsidR="002571EF" w:rsidRPr="004C71E6" w:rsidRDefault="002571EF" w:rsidP="002571EF">
      <w:pPr>
        <w:pStyle w:val="Tekst"/>
      </w:pPr>
      <w:r w:rsidRPr="00D815F6">
        <w:t>Na osnovu analize opažanja pješaka koji prelaze kolovoz utvrđeno je da 36</w:t>
      </w:r>
      <w:r w:rsidR="00527307">
        <w:rPr>
          <w:lang w:val="sr-Latn-BA"/>
        </w:rPr>
        <w:t xml:space="preserve"> </w:t>
      </w:r>
      <w:r w:rsidRPr="00D815F6">
        <w:t xml:space="preserve">% pješaka muškog </w:t>
      </w:r>
      <w:r w:rsidRPr="004C71E6">
        <w:t xml:space="preserve">pola ne koristi pasarelu, dok čak 89 % pješaka ženskog pola koristi pasarelu. Velika razlika između polova u korišćenju pasarele se ogleda u tome što su pješaci ženskog pola obazriviji i pažljiviji učesnici u saobraćaju, odnosno rjeđe se izlažu opasnosti. </w:t>
      </w:r>
    </w:p>
    <w:p w:rsidR="002571EF" w:rsidRPr="004C71E6" w:rsidRDefault="002571EF" w:rsidP="002571EF">
      <w:pPr>
        <w:pStyle w:val="Tekst"/>
      </w:pPr>
      <w:r w:rsidRPr="004C71E6">
        <w:t>Najveći procenat pješaka muškog pola koji za prelazak preko kolovoza ne koristi pasarele spada u starosnu grupu od 18 do 30 godina, dok najveći procenat pješaka ženskog pola spada u starosnu grupu od 30 do 50 godina starosti. Najmanji procenat pješaka oba pola koji za prelazak kolovoza ne koriste pasarele spada u starosnu grupu iznad 65 godina.</w:t>
      </w:r>
    </w:p>
    <w:p w:rsidR="002571EF" w:rsidRPr="004C71E6" w:rsidRDefault="002571EF" w:rsidP="002571EF">
      <w:pPr>
        <w:pStyle w:val="Tekst"/>
      </w:pPr>
      <w:r w:rsidRPr="004C71E6">
        <w:t>Na osnovu analize opažanja pješaka može se zaključiti da prosječno vrijeme koje pješaci muškog pola provedu u čekanju da se stvori mogućnost za prelazak je kraće od prosječnog vre</w:t>
      </w:r>
      <w:r>
        <w:t xml:space="preserve">mena ženskog pola. </w:t>
      </w:r>
      <w:r>
        <w:rPr>
          <w:lang w:val="sr-Latn-BA"/>
        </w:rPr>
        <w:t>Razlika u polovima</w:t>
      </w:r>
      <w:r w:rsidRPr="004C71E6">
        <w:t xml:space="preserve"> u prosječnom vremenu čekanja na prelazak se ogleda u korišćenju manjeg interval</w:t>
      </w:r>
      <w:r>
        <w:rPr>
          <w:lang w:val="sr-Latn-BA"/>
        </w:rPr>
        <w:t>a</w:t>
      </w:r>
      <w:r w:rsidRPr="004C71E6">
        <w:t xml:space="preserve"> slijeđenja vozila od strane pješaka muškog pola, odnosno prije se odlučuju za prelazak preko kolovoza.</w:t>
      </w:r>
      <w:r w:rsidR="00527307">
        <w:rPr>
          <w:lang w:val="sr-Latn-BA"/>
        </w:rPr>
        <w:t xml:space="preserve"> </w:t>
      </w:r>
      <w:r w:rsidRPr="004C71E6">
        <w:t>Prosječno vrijeme za sam prelazak preko kolovoza je približno isto za oba pola.</w:t>
      </w:r>
    </w:p>
    <w:p w:rsidR="002571EF" w:rsidRPr="004C71E6" w:rsidRDefault="002571EF" w:rsidP="002571EF">
      <w:pPr>
        <w:pStyle w:val="Tekst"/>
      </w:pPr>
      <w:r w:rsidRPr="004C71E6">
        <w:t xml:space="preserve">Prilikom prelaska kolovoza korišćenjem pasarele prosječno vrijeme prelaska pješaka muškog pola je kraće u odnosu na prelazak pješaka ženskog pola. </w:t>
      </w:r>
    </w:p>
    <w:p w:rsidR="002571EF" w:rsidRPr="004C71E6" w:rsidRDefault="002571EF" w:rsidP="002571EF">
      <w:pPr>
        <w:pStyle w:val="Tekst"/>
      </w:pPr>
      <w:r w:rsidRPr="004C71E6">
        <w:t>Razlika u prosječnom vremenu prelaska kolovoza korišćenjem i nekorišćenjem pasarele kod pješaka muškog pola je 46,47 sekundi, dok kod pješaka ženskog pola iznosi 68,15 sekundi.</w:t>
      </w:r>
    </w:p>
    <w:p w:rsidR="002571EF" w:rsidRPr="004C71E6" w:rsidRDefault="002571EF" w:rsidP="002571EF">
      <w:pPr>
        <w:pStyle w:val="Tekst"/>
      </w:pPr>
      <w:r w:rsidRPr="004C71E6">
        <w:t>Na osnovu prosječnog vremena možemo zaključiti da pješaci koji ne koriste pasarele za prelazak kolovoza uštede u prosjeku oko minute svog vremena (za oba pola) pri tom izlažući se dodatnom riziku i stvaranju mogućnosti za nastanak saobraćajne nezgode.</w:t>
      </w:r>
    </w:p>
    <w:p w:rsidR="00035BA7" w:rsidRPr="00035BA7" w:rsidRDefault="002571EF" w:rsidP="002571EF">
      <w:pPr>
        <w:pStyle w:val="Tekst"/>
        <w:rPr>
          <w:lang w:val="sr-Latn-BA"/>
        </w:rPr>
      </w:pPr>
      <w:r w:rsidRPr="004C71E6">
        <w:t xml:space="preserve">Saobraćajne nezgode na kružnoj raskrsnici su posljedica izgradnje same kružne raskrsnice, odnosno nenaviknutost vozača na kružnu raskrsnicu. Pored nenaviknutosti vozača uzrok nastavka su i nepropisni i neoprezni prelasci pješaka preko kolovoza. </w:t>
      </w:r>
    </w:p>
    <w:p w:rsidR="00483420" w:rsidRDefault="002571EF" w:rsidP="002571EF">
      <w:pPr>
        <w:pStyle w:val="Slika"/>
      </w:pPr>
      <w:r w:rsidRPr="002571EF">
        <w:rPr>
          <w:noProof/>
          <w:lang w:val="en-US" w:eastAsia="en-US"/>
        </w:rPr>
        <w:lastRenderedPageBreak/>
        <w:drawing>
          <wp:inline distT="0" distB="0" distL="0" distR="0">
            <wp:extent cx="3038475" cy="1942865"/>
            <wp:effectExtent l="0" t="0" r="0" b="0"/>
            <wp:docPr id="19" name="Picture 14" descr="C:\Users\fs\Desktop\ogr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s\Desktop\ograda.png"/>
                    <pic:cNvPicPr>
                      <a:picLocks noChangeAspect="1" noChangeArrowheads="1"/>
                    </pic:cNvPicPr>
                  </pic:nvPicPr>
                  <pic:blipFill>
                    <a:blip r:embed="rId20" cstate="print"/>
                    <a:srcRect/>
                    <a:stretch>
                      <a:fillRect/>
                    </a:stretch>
                  </pic:blipFill>
                  <pic:spPr bwMode="auto">
                    <a:xfrm>
                      <a:off x="0" y="0"/>
                      <a:ext cx="3038475" cy="1942865"/>
                    </a:xfrm>
                    <a:prstGeom prst="rect">
                      <a:avLst/>
                    </a:prstGeom>
                    <a:noFill/>
                    <a:ln w="9525">
                      <a:noFill/>
                      <a:miter lim="800000"/>
                      <a:headEnd/>
                      <a:tailEnd/>
                    </a:ln>
                  </pic:spPr>
                </pic:pic>
              </a:graphicData>
            </a:graphic>
          </wp:inline>
        </w:drawing>
      </w:r>
    </w:p>
    <w:p w:rsidR="003532A1" w:rsidRDefault="002571EF" w:rsidP="00CD2CEB">
      <w:pPr>
        <w:pStyle w:val="slikanatpis0"/>
        <w:spacing w:before="120" w:after="120" w:line="240" w:lineRule="auto"/>
        <w:rPr>
          <w:sz w:val="18"/>
          <w:szCs w:val="18"/>
        </w:rPr>
      </w:pPr>
      <w:r w:rsidRPr="00CD2CEB">
        <w:rPr>
          <w:b/>
          <w:sz w:val="18"/>
          <w:szCs w:val="18"/>
        </w:rPr>
        <w:t>Slika 9.</w:t>
      </w:r>
      <w:r w:rsidRPr="002571EF">
        <w:rPr>
          <w:sz w:val="18"/>
          <w:szCs w:val="18"/>
        </w:rPr>
        <w:t xml:space="preserve"> Zaštitna ograda</w:t>
      </w:r>
    </w:p>
    <w:p w:rsidR="002571EF" w:rsidRPr="002571EF" w:rsidRDefault="00AD2D91" w:rsidP="00CD2CEB">
      <w:pPr>
        <w:pStyle w:val="slikanatpis0"/>
        <w:spacing w:before="120" w:after="120" w:line="240" w:lineRule="auto"/>
        <w:rPr>
          <w:sz w:val="18"/>
          <w:szCs w:val="18"/>
        </w:rPr>
      </w:pPr>
      <w:r>
        <w:rPr>
          <w:sz w:val="18"/>
          <w:szCs w:val="18"/>
        </w:rPr>
        <w:t xml:space="preserve"> (</w:t>
      </w:r>
      <w:hyperlink r:id="rId21" w:history="1">
        <w:r w:rsidRPr="001620AB">
          <w:rPr>
            <w:rStyle w:val="Hyperlink"/>
            <w:sz w:val="18"/>
            <w:szCs w:val="18"/>
          </w:rPr>
          <w:t>https://www.google.ba/maps/@44.793047</w:t>
        </w:r>
      </w:hyperlink>
      <w:r>
        <w:rPr>
          <w:sz w:val="18"/>
          <w:szCs w:val="18"/>
        </w:rPr>
        <w:t>, 16.08.2017.)</w:t>
      </w:r>
    </w:p>
    <w:p w:rsidR="002571EF" w:rsidRDefault="002571EF" w:rsidP="002571EF">
      <w:pPr>
        <w:pStyle w:val="Slika"/>
      </w:pPr>
    </w:p>
    <w:p w:rsidR="003E4867" w:rsidRDefault="003E4867" w:rsidP="003E4867">
      <w:pPr>
        <w:pStyle w:val="Heading1"/>
      </w:pPr>
      <w:r>
        <w:t>ZAKLJUČNA RAZMATRANJA SA PRIJEDLOGOM MJERA</w:t>
      </w:r>
    </w:p>
    <w:p w:rsidR="003E4867" w:rsidRPr="004C71E6" w:rsidRDefault="003E4867" w:rsidP="003E4867">
      <w:pPr>
        <w:pStyle w:val="Tekst"/>
      </w:pPr>
      <w:r w:rsidRPr="004C71E6">
        <w:t xml:space="preserve">Izgradnjom pješačkih pasarela se povećava bezbjednost prelaska pješaka preko kolovoza. Međutim najveći problem je nekorišćenje tih pješačkih pasarela, pogotovo pješaka muškog pola. Ovim istraživanjem utvrđeno je da razlika između prelaska pješaka preko kolovoza korišćenjem i prelaska pješaka preko kolovoza nekorišćenjem pasarele u prosjeku oko minut. Štedeći minut vremena pješaci se izlažu dodatnom riziku, ugrožavajući sebe ali i druge učesnike u saobraćaju. </w:t>
      </w:r>
    </w:p>
    <w:p w:rsidR="003E4867" w:rsidRPr="004C71E6" w:rsidRDefault="003E4867" w:rsidP="003E4867">
      <w:pPr>
        <w:pStyle w:val="Tekst"/>
      </w:pPr>
      <w:r w:rsidRPr="004C71E6">
        <w:t>Obzirom na to da se vozila na posmatranoj dionici puta k</w:t>
      </w:r>
      <w:r>
        <w:t>reću brzinom o</w:t>
      </w:r>
      <w:r>
        <w:rPr>
          <w:lang w:val="sr-Latn-BA"/>
        </w:rPr>
        <w:t>ko</w:t>
      </w:r>
      <w:r w:rsidRPr="004C71E6">
        <w:t xml:space="preserve"> 50 km/h svaki kontakt vozila i pješaka može biti smrtonosan po pješaka. Shodno tome i na osnovu analize saobraćajnih nezgoda utvrđeno je da</w:t>
      </w:r>
      <w:r w:rsidR="00CB3D31" w:rsidRPr="00CB3D31">
        <w:t xml:space="preserve"> saobra</w:t>
      </w:r>
      <w:r w:rsidR="00CB3D31" w:rsidRPr="00CB3D31">
        <w:rPr>
          <w:rFonts w:hint="eastAsia"/>
        </w:rPr>
        <w:t>ć</w:t>
      </w:r>
      <w:r w:rsidR="00CB3D31" w:rsidRPr="00CB3D31">
        <w:t xml:space="preserve">ajne nezgode </w:t>
      </w:r>
      <w:r w:rsidRPr="004C71E6">
        <w:t xml:space="preserve">sa teškim tjelesnim povredama i </w:t>
      </w:r>
      <w:r w:rsidR="00CB3D31" w:rsidRPr="00CB3D31">
        <w:t>saobra</w:t>
      </w:r>
      <w:r w:rsidR="00CB3D31" w:rsidRPr="00CB3D31">
        <w:rPr>
          <w:rFonts w:hint="eastAsia"/>
        </w:rPr>
        <w:t>ć</w:t>
      </w:r>
      <w:r w:rsidR="00CB3D31" w:rsidRPr="00CB3D31">
        <w:t>ajne nezgode</w:t>
      </w:r>
      <w:r w:rsidRPr="004C71E6">
        <w:t xml:space="preserve"> sa poginulim licima se događaju upravo na posmatranoj dionici magistralnog puta M-16 i to na mjestima gdje su izgrađene pješačke pasarele.</w:t>
      </w:r>
    </w:p>
    <w:p w:rsidR="003E4867" w:rsidRPr="00157634" w:rsidRDefault="003E4867" w:rsidP="003E4867">
      <w:pPr>
        <w:pStyle w:val="Tekst"/>
      </w:pPr>
      <w:r w:rsidRPr="004C71E6">
        <w:t>U cilju povećanja bezbjednosti pješaka ali i povećanja korišćenja pješačkih pasarela potrebno je postaviti zaštitnu ogradu na razdjelnom ostrvu između suprotnih smjerova,</w:t>
      </w:r>
      <w:r w:rsidR="00080F32">
        <w:rPr>
          <w:lang w:val="sr-Latn-BA"/>
        </w:rPr>
        <w:t xml:space="preserve"> </w:t>
      </w:r>
      <w:r w:rsidRPr="004C71E6">
        <w:t>visine 2 metra</w:t>
      </w:r>
      <w:r w:rsidR="00080F32">
        <w:rPr>
          <w:lang w:val="sr-Latn-BA"/>
        </w:rPr>
        <w:t xml:space="preserve"> </w:t>
      </w:r>
      <w:r>
        <w:rPr>
          <w:lang w:val="sr-Latn-CS"/>
        </w:rPr>
        <w:t>(slika 9)</w:t>
      </w:r>
      <w:r w:rsidRPr="004C71E6">
        <w:t xml:space="preserve">. Sa postavljanjem takve zaštitne ograde svaki prelazak pješaka preko kolovoza bi bio onemogućen osim korišćenjem pješačkih pasarela. Sa uvođenjem ove mjere bi se povećalo vrijeme prelaska kolovoza. Međutim, ovim istraživanjem utvrđeno je da pješaci u prosjeku ne bi gubili mnogo vremena, tačnije oko minut duže bi im trebalo za prelazak kolovoza. </w:t>
      </w:r>
    </w:p>
    <w:p w:rsidR="003E4867" w:rsidRDefault="003E4867" w:rsidP="003E4867">
      <w:pPr>
        <w:pStyle w:val="Slika"/>
        <w:jc w:val="left"/>
      </w:pPr>
    </w:p>
    <w:p w:rsidR="002571EF" w:rsidRPr="00483420" w:rsidRDefault="002571EF" w:rsidP="002571EF">
      <w:pPr>
        <w:pStyle w:val="Slika"/>
      </w:pPr>
    </w:p>
    <w:p w:rsidR="002571EF" w:rsidRPr="00A74C86" w:rsidRDefault="002571EF" w:rsidP="002571EF">
      <w:pPr>
        <w:pStyle w:val="Literatura"/>
      </w:pPr>
      <w:r>
        <w:t xml:space="preserve">6. </w:t>
      </w:r>
      <w:r>
        <w:tab/>
        <w:t>LITERATURA</w:t>
      </w:r>
    </w:p>
    <w:p w:rsidR="002571EF" w:rsidRPr="003532A1" w:rsidRDefault="002571EF" w:rsidP="003532A1">
      <w:pPr>
        <w:pStyle w:val="Literatura"/>
      </w:pPr>
      <w:r w:rsidRPr="003532A1">
        <w:t>[1]</w:t>
      </w:r>
      <w:r w:rsidRPr="003532A1">
        <w:tab/>
        <w:t>Podaci Ministarstva unutrašnjih poslova</w:t>
      </w:r>
    </w:p>
    <w:p w:rsidR="003532A1" w:rsidRPr="003532A1" w:rsidRDefault="002571EF" w:rsidP="003532A1">
      <w:pPr>
        <w:pStyle w:val="Literatura"/>
      </w:pPr>
      <w:r w:rsidRPr="003532A1">
        <w:t>[2]</w:t>
      </w:r>
      <w:r w:rsidRPr="003532A1">
        <w:tab/>
      </w:r>
      <w:r w:rsidR="003532A1" w:rsidRPr="003532A1">
        <w:t xml:space="preserve"> Radović, D., Milinković, M. (2015). Uporedna analiza ponašanja pješaka na semaforizovanom i nesemaforizovanom pješačkom prelazu-studija primjera Doboj. Savjetovanje „Zlatibor 2015“, Zlatibor.</w:t>
      </w:r>
    </w:p>
    <w:p w:rsidR="0083167F" w:rsidRPr="003532A1" w:rsidRDefault="003532A1" w:rsidP="003532A1">
      <w:pPr>
        <w:pStyle w:val="Literatura"/>
      </w:pPr>
      <w:r w:rsidRPr="003532A1">
        <w:t>[3]</w:t>
      </w:r>
      <w:r>
        <w:tab/>
      </w:r>
      <w:r w:rsidR="0083167F" w:rsidRPr="003532A1">
        <w:t>World Health Organization, 2013</w:t>
      </w:r>
    </w:p>
    <w:p w:rsidR="003532A1" w:rsidRPr="003532A1" w:rsidRDefault="003532A1" w:rsidP="003532A1">
      <w:pPr>
        <w:pStyle w:val="Literatura"/>
      </w:pPr>
      <w:r w:rsidRPr="003532A1">
        <w:t xml:space="preserve">[4] </w:t>
      </w:r>
      <w:r>
        <w:tab/>
      </w:r>
      <w:hyperlink r:id="rId22" w:history="1">
        <w:r w:rsidRPr="003532A1">
          <w:rPr>
            <w:rStyle w:val="Hyperlink"/>
            <w:color w:val="auto"/>
            <w:u w:val="none"/>
          </w:rPr>
          <w:t>https://www.google.ba/maps/@44.793047</w:t>
        </w:r>
      </w:hyperlink>
    </w:p>
    <w:p w:rsidR="003532A1" w:rsidRPr="003532A1" w:rsidRDefault="003532A1" w:rsidP="003532A1">
      <w:pPr>
        <w:pStyle w:val="Literatura"/>
      </w:pPr>
      <w:r w:rsidRPr="003532A1">
        <w:t xml:space="preserve">[5] </w:t>
      </w:r>
      <w:r>
        <w:tab/>
      </w:r>
      <w:hyperlink r:id="rId23" w:history="1">
        <w:r w:rsidRPr="003532A1">
          <w:rPr>
            <w:rStyle w:val="Hyperlink"/>
            <w:color w:val="auto"/>
            <w:u w:val="none"/>
          </w:rPr>
          <w:t>http://mapio.net/s/60642245</w:t>
        </w:r>
      </w:hyperlink>
    </w:p>
    <w:p w:rsidR="003532A1" w:rsidRPr="003532A1" w:rsidRDefault="003532A1" w:rsidP="003532A1">
      <w:pPr>
        <w:pStyle w:val="Literatura"/>
      </w:pPr>
      <w:r w:rsidRPr="003532A1">
        <w:t xml:space="preserve">[6] </w:t>
      </w:r>
      <w:r>
        <w:tab/>
      </w:r>
      <w:hyperlink r:id="rId24" w:history="1">
        <w:r w:rsidRPr="003532A1">
          <w:rPr>
            <w:rStyle w:val="Hyperlink"/>
            <w:color w:val="auto"/>
            <w:u w:val="none"/>
          </w:rPr>
          <w:t>http://www.skyscrapercity.com/showthread</w:t>
        </w:r>
      </w:hyperlink>
    </w:p>
    <w:p w:rsidR="00405E29" w:rsidRPr="00614BEB" w:rsidRDefault="00405E29" w:rsidP="002571EF">
      <w:pPr>
        <w:pStyle w:val="Literatura"/>
      </w:pPr>
    </w:p>
    <w:p w:rsidR="00483420" w:rsidRPr="00483420" w:rsidRDefault="00483420" w:rsidP="00483420"/>
    <w:p w:rsidR="00A90B64" w:rsidRPr="001E1716" w:rsidRDefault="00A90B64" w:rsidP="003315A0">
      <w:pPr>
        <w:pStyle w:val="Literatura"/>
        <w:spacing w:after="60"/>
      </w:pPr>
    </w:p>
    <w:sectPr w:rsidR="00A90B64" w:rsidRPr="001E1716" w:rsidSect="001560A3">
      <w:headerReference w:type="even" r:id="rId25"/>
      <w:headerReference w:type="default" r:id="rId26"/>
      <w:footerReference w:type="even" r:id="rId27"/>
      <w:footerReference w:type="default" r:id="rId28"/>
      <w:headerReference w:type="first" r:id="rId29"/>
      <w:footerReference w:type="first" r:id="rId30"/>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148B" w:rsidRDefault="00A3148B" w:rsidP="004A4828">
      <w:r>
        <w:separator/>
      </w:r>
    </w:p>
  </w:endnote>
  <w:endnote w:type="continuationSeparator" w:id="1">
    <w:p w:rsidR="00A3148B" w:rsidRDefault="00A3148B"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age Italic">
    <w:altName w:val="Arabic Typesetting"/>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Default="009F41CA">
    <w:pPr>
      <w:pStyle w:val="Footer"/>
      <w:rPr>
        <w:sz w:val="16"/>
        <w:szCs w:val="16"/>
      </w:rPr>
    </w:pPr>
  </w:p>
  <w:p w:rsidR="009F41CA" w:rsidRPr="00B17DA9" w:rsidRDefault="00EC6D10"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80F32">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D4333B" w:rsidRDefault="009F41CA" w:rsidP="00DD360D">
    <w:pPr>
      <w:pStyle w:val="Footer"/>
      <w:rPr>
        <w:rFonts w:ascii="Times New Roman" w:hAnsi="Times New Roman"/>
        <w:sz w:val="16"/>
        <w:szCs w:val="16"/>
      </w:rPr>
    </w:pPr>
  </w:p>
  <w:p w:rsidR="009F41CA" w:rsidRPr="00B17DA9" w:rsidRDefault="00EC6D10"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80F32">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B17DA9" w:rsidRDefault="00EC6D10"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80F32">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148B" w:rsidRDefault="00A3148B" w:rsidP="004A4828">
      <w:r>
        <w:separator/>
      </w:r>
    </w:p>
  </w:footnote>
  <w:footnote w:type="continuationSeparator" w:id="1">
    <w:p w:rsidR="00A3148B" w:rsidRDefault="00A3148B" w:rsidP="004A4828">
      <w:r>
        <w:continuationSeparator/>
      </w:r>
    </w:p>
  </w:footnote>
  <w:footnote w:id="2">
    <w:p w:rsidR="006712BA" w:rsidRPr="00035BA7" w:rsidRDefault="006712BA" w:rsidP="006712BA">
      <w:pPr>
        <w:pStyle w:val="FootnoteText"/>
        <w:rPr>
          <w:rFonts w:asciiTheme="minorHAnsi" w:hAnsiTheme="minorHAnsi" w:cstheme="minorHAnsi"/>
          <w:sz w:val="16"/>
          <w:szCs w:val="16"/>
        </w:rPr>
      </w:pPr>
      <w:r w:rsidRPr="00035BA7">
        <w:rPr>
          <w:rStyle w:val="FootnoteReference"/>
          <w:rFonts w:asciiTheme="minorHAnsi" w:hAnsiTheme="minorHAnsi" w:cstheme="minorHAnsi"/>
          <w:sz w:val="16"/>
          <w:szCs w:val="16"/>
        </w:rPr>
        <w:footnoteRef/>
      </w:r>
      <w:r w:rsidRPr="00035BA7">
        <w:rPr>
          <w:rFonts w:asciiTheme="minorHAnsi" w:hAnsiTheme="minorHAnsi" w:cstheme="minorHAnsi"/>
          <w:sz w:val="16"/>
          <w:szCs w:val="16"/>
        </w:rPr>
        <w:t>Milinković Milan, student, Saobraćajni fakultet Beograd, m.milinkovic@yahoo.com</w:t>
      </w:r>
    </w:p>
  </w:footnote>
  <w:footnote w:id="3">
    <w:p w:rsidR="006712BA" w:rsidRPr="00035BA7" w:rsidRDefault="006712BA" w:rsidP="006712BA">
      <w:pPr>
        <w:pStyle w:val="FootnoteText"/>
        <w:rPr>
          <w:rFonts w:asciiTheme="minorHAnsi" w:hAnsiTheme="minorHAnsi" w:cstheme="minorHAnsi"/>
          <w:sz w:val="16"/>
          <w:szCs w:val="16"/>
        </w:rPr>
      </w:pPr>
      <w:r w:rsidRPr="00035BA7">
        <w:rPr>
          <w:rStyle w:val="FootnoteReference"/>
          <w:rFonts w:asciiTheme="minorHAnsi" w:hAnsiTheme="minorHAnsi" w:cstheme="minorHAnsi"/>
          <w:sz w:val="16"/>
          <w:szCs w:val="16"/>
        </w:rPr>
        <w:footnoteRef/>
      </w:r>
      <w:r w:rsidRPr="00035BA7">
        <w:rPr>
          <w:rFonts w:asciiTheme="minorHAnsi" w:hAnsiTheme="minorHAnsi" w:cstheme="minorHAnsi"/>
          <w:sz w:val="16"/>
          <w:szCs w:val="16"/>
        </w:rPr>
        <w:t xml:space="preserve">Janković Stefan,  student, Saobraćajni fakultet Doboj, </w:t>
      </w:r>
      <w:hyperlink r:id="rId1" w:history="1">
        <w:r w:rsidRPr="00035BA7">
          <w:rPr>
            <w:rStyle w:val="Hyperlink"/>
            <w:rFonts w:asciiTheme="minorHAnsi" w:hAnsiTheme="minorHAnsi" w:cstheme="minorHAnsi"/>
            <w:sz w:val="16"/>
            <w:szCs w:val="16"/>
          </w:rPr>
          <w:t>jankovic1995@yahoo.com</w:t>
        </w:r>
      </w:hyperlink>
    </w:p>
  </w:footnote>
  <w:footnote w:id="4">
    <w:p w:rsidR="006712BA" w:rsidRPr="00D815F6" w:rsidRDefault="006712BA" w:rsidP="006712BA">
      <w:pPr>
        <w:pStyle w:val="FootnoteText"/>
      </w:pPr>
      <w:r w:rsidRPr="00035BA7">
        <w:rPr>
          <w:rStyle w:val="FootnoteReference"/>
          <w:rFonts w:asciiTheme="minorHAnsi" w:hAnsiTheme="minorHAnsi" w:cstheme="minorHAnsi"/>
          <w:sz w:val="16"/>
          <w:szCs w:val="16"/>
        </w:rPr>
        <w:footnoteRef/>
      </w:r>
      <w:r w:rsidRPr="00035BA7">
        <w:rPr>
          <w:rFonts w:asciiTheme="minorHAnsi" w:hAnsiTheme="minorHAnsi" w:cstheme="minorHAnsi"/>
          <w:sz w:val="16"/>
          <w:szCs w:val="16"/>
        </w:rPr>
        <w:t xml:space="preserve">Kremenović Đorđe, student, Saobraćajni fakultet Doboj, </w:t>
      </w:r>
      <w:hyperlink r:id="rId2" w:history="1">
        <w:r w:rsidRPr="00035BA7">
          <w:rPr>
            <w:rStyle w:val="Hyperlink"/>
            <w:rFonts w:asciiTheme="minorHAnsi" w:hAnsiTheme="minorHAnsi" w:cstheme="minorHAnsi"/>
            <w:sz w:val="16"/>
            <w:szCs w:val="16"/>
          </w:rPr>
          <w:t>kremenovic995@gmail.com</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CD2CEB" w:rsidRDefault="00CD2CEB" w:rsidP="00D4333B">
    <w:pPr>
      <w:pStyle w:val="Header"/>
      <w:jc w:val="center"/>
      <w:rPr>
        <w:rFonts w:asciiTheme="minorHAnsi" w:hAnsiTheme="minorHAnsi"/>
        <w:sz w:val="16"/>
        <w:szCs w:val="16"/>
        <w:lang w:val="sr-Latn-BA"/>
      </w:rPr>
    </w:pPr>
    <w:r>
      <w:rPr>
        <w:rFonts w:asciiTheme="minorHAnsi" w:hAnsiTheme="minorHAnsi"/>
        <w:sz w:val="16"/>
        <w:szCs w:val="16"/>
        <w:lang w:val="sr-Latn-BA"/>
      </w:rPr>
      <w:t>Milian Milinković, Stefan Janković, Đorđe Kremenović</w:t>
    </w:r>
  </w:p>
  <w:p w:rsidR="009F41CA" w:rsidRPr="00CD2CEB" w:rsidRDefault="00CD2CEB" w:rsidP="00D4333B">
    <w:pPr>
      <w:pStyle w:val="Header"/>
      <w:jc w:val="center"/>
      <w:rPr>
        <w:rFonts w:asciiTheme="minorHAnsi" w:hAnsiTheme="minorHAnsi"/>
        <w:sz w:val="16"/>
        <w:szCs w:val="16"/>
        <w:lang w:val="sr-Latn-BA"/>
      </w:rPr>
    </w:pPr>
    <w:r>
      <w:rPr>
        <w:rFonts w:asciiTheme="minorHAnsi" w:hAnsiTheme="minorHAnsi"/>
        <w:sz w:val="16"/>
        <w:szCs w:val="16"/>
        <w:lang w:val="sr-Latn-BA"/>
      </w:rPr>
      <w:t>ANALIZA KORIŠĆENJA PJEŠAČKIH PASARELA U GRADU BANJALUCI</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64534C" w:rsidRDefault="00EB3759" w:rsidP="00D4333B">
    <w:pPr>
      <w:pStyle w:val="Header"/>
      <w:jc w:val="center"/>
      <w:rPr>
        <w:rFonts w:asciiTheme="minorHAnsi" w:hAnsiTheme="minorHAnsi"/>
        <w:sz w:val="16"/>
        <w:szCs w:val="16"/>
      </w:rPr>
    </w:pPr>
    <w:r>
      <w:rPr>
        <w:rFonts w:asciiTheme="minorHAnsi" w:hAnsiTheme="minorHAnsi"/>
        <w:sz w:val="16"/>
        <w:szCs w:val="16"/>
      </w:rPr>
      <w:t>6</w:t>
    </w:r>
    <w:r w:rsidR="009F41CA" w:rsidRPr="0064534C">
      <w:rPr>
        <w:rFonts w:asciiTheme="minorHAnsi" w:hAnsiTheme="minorHAnsi"/>
        <w:sz w:val="16"/>
        <w:szCs w:val="16"/>
      </w:rPr>
      <w:t xml:space="preserve">. </w:t>
    </w:r>
    <w:r w:rsidR="009F41CA">
      <w:rPr>
        <w:rFonts w:asciiTheme="minorHAnsi" w:hAnsiTheme="minorHAnsi"/>
        <w:sz w:val="16"/>
        <w:szCs w:val="16"/>
      </w:rPr>
      <w:t>MeđunarodnaKonferencija</w:t>
    </w:r>
  </w:p>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Bezbjednostsaobraćajaulokalnojzajednici</w:t>
    </w:r>
    <w:r w:rsidRPr="0064534C">
      <w:rPr>
        <w:rFonts w:asciiTheme="minorHAnsi" w:hAnsiTheme="minorHAnsi"/>
        <w:sz w:val="16"/>
        <w:szCs w:val="16"/>
      </w:rPr>
      <w:t xml:space="preserve">“, </w:t>
    </w:r>
    <w:r>
      <w:rPr>
        <w:rFonts w:asciiTheme="minorHAnsi" w:hAnsiTheme="minorHAnsi"/>
        <w:sz w:val="16"/>
        <w:szCs w:val="16"/>
      </w:rPr>
      <w:t>RepublikaSrpska</w:t>
    </w:r>
    <w:r w:rsidRPr="0064534C">
      <w:rPr>
        <w:rFonts w:asciiTheme="minorHAnsi" w:hAnsiTheme="minorHAnsi"/>
        <w:sz w:val="16"/>
        <w:szCs w:val="16"/>
      </w:rPr>
      <w:t xml:space="preserve">, </w:t>
    </w:r>
    <w:r>
      <w:rPr>
        <w:rFonts w:asciiTheme="minorHAnsi" w:hAnsiTheme="minorHAnsi"/>
        <w:sz w:val="16"/>
        <w:szCs w:val="16"/>
      </w:rPr>
      <w:t>BanjaLuka</w:t>
    </w:r>
    <w:r w:rsidR="00EB3759">
      <w:rPr>
        <w:rFonts w:asciiTheme="minorHAnsi" w:hAnsiTheme="minorHAnsi"/>
        <w:sz w:val="16"/>
        <w:szCs w:val="16"/>
      </w:rPr>
      <w:t>, 26 – 27</w:t>
    </w:r>
    <w:r w:rsidRPr="0064534C">
      <w:rPr>
        <w:rFonts w:asciiTheme="minorHAnsi" w:hAnsiTheme="minorHAnsi"/>
        <w:sz w:val="16"/>
        <w:szCs w:val="16"/>
      </w:rPr>
      <w:t xml:space="preserve">. </w:t>
    </w:r>
    <w:r>
      <w:rPr>
        <w:rFonts w:asciiTheme="minorHAnsi" w:hAnsiTheme="minorHAnsi"/>
        <w:sz w:val="16"/>
        <w:szCs w:val="16"/>
      </w:rPr>
      <w:t>oktobar</w:t>
    </w:r>
    <w:r w:rsidR="00EB3759">
      <w:rPr>
        <w:rFonts w:asciiTheme="minorHAnsi" w:hAnsiTheme="minorHAnsi"/>
        <w:sz w:val="16"/>
        <w:szCs w:val="16"/>
      </w:rPr>
      <w:t xml:space="preserve"> 2017</w:t>
    </w:r>
    <w:r w:rsidRPr="0064534C">
      <w:rPr>
        <w:rFonts w:asciiTheme="minorHAnsi" w:hAnsiTheme="minorHAnsi"/>
        <w:sz w:val="16"/>
        <w:szCs w:val="16"/>
      </w:rPr>
      <w:t>.</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rPr>
            <w:t xml:space="preserve">. </w:t>
          </w:r>
          <w:r w:rsidR="009F41CA">
            <w:rPr>
              <w:rFonts w:asciiTheme="minorHAnsi" w:hAnsiTheme="minorHAnsi"/>
              <w:b/>
              <w:bCs/>
              <w:i/>
              <w:iCs/>
              <w:sz w:val="14"/>
              <w:szCs w:val="14"/>
            </w:rPr>
            <w:t>MeđunarodnaKonferencija</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ednostsaobraćajaulokalnojzajednici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RepublikaSrpska</w:t>
          </w:r>
          <w:r w:rsidRPr="00E80CBE">
            <w:rPr>
              <w:rFonts w:asciiTheme="minorHAnsi" w:hAnsiTheme="minorHAnsi"/>
              <w:b/>
              <w:bCs/>
              <w:i/>
              <w:iCs/>
              <w:sz w:val="14"/>
              <w:szCs w:val="14"/>
            </w:rPr>
            <w:t xml:space="preserve">, </w:t>
          </w:r>
          <w:r>
            <w:rPr>
              <w:rFonts w:asciiTheme="minorHAnsi" w:hAnsiTheme="minorHAnsi"/>
              <w:b/>
              <w:bCs/>
              <w:i/>
              <w:iCs/>
              <w:sz w:val="14"/>
              <w:szCs w:val="14"/>
            </w:rPr>
            <w:t>BanjaLuka</w:t>
          </w:r>
          <w:r w:rsidR="005505EE">
            <w:rPr>
              <w:rFonts w:asciiTheme="minorHAnsi" w:hAnsiTheme="minorHAnsi"/>
              <w:b/>
              <w:bCs/>
              <w:i/>
              <w:iCs/>
              <w:sz w:val="14"/>
              <w:szCs w:val="14"/>
            </w:rPr>
            <w:br/>
            <w:t>26 – 27</w:t>
          </w:r>
          <w:r w:rsidRPr="00E80CBE">
            <w:rPr>
              <w:rFonts w:asciiTheme="minorHAnsi" w:hAnsiTheme="minorHAnsi"/>
              <w:b/>
              <w:bCs/>
              <w:i/>
              <w:iCs/>
              <w:sz w:val="14"/>
              <w:szCs w:val="14"/>
            </w:rPr>
            <w:t xml:space="preserve">. </w:t>
          </w:r>
          <w:r>
            <w:rPr>
              <w:rFonts w:asciiTheme="minorHAnsi" w:hAnsiTheme="minorHAnsi"/>
              <w:b/>
              <w:bCs/>
              <w:i/>
              <w:iCs/>
              <w:sz w:val="14"/>
              <w:szCs w:val="14"/>
            </w:rPr>
            <w:t>oktobar</w:t>
          </w:r>
          <w:r w:rsidR="005505EE">
            <w:rPr>
              <w:rFonts w:asciiTheme="minorHAnsi" w:hAnsiTheme="minorHAnsi"/>
              <w:b/>
              <w:bCs/>
              <w:i/>
              <w:iCs/>
              <w:sz w:val="14"/>
              <w:szCs w:val="14"/>
            </w:rPr>
            <w:t xml:space="preserve"> 2017</w:t>
          </w:r>
          <w:r w:rsidRPr="00E80CBE">
            <w:rPr>
              <w:rFonts w:asciiTheme="minorHAnsi" w:hAnsiTheme="minorHAnsi"/>
              <w:b/>
              <w:bCs/>
              <w:i/>
              <w:iCs/>
              <w:sz w:val="14"/>
              <w:szCs w:val="14"/>
            </w:rPr>
            <w:t>.</w:t>
          </w:r>
        </w:p>
      </w:tc>
      <w:tc>
        <w:tcPr>
          <w:tcW w:w="2321"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vertAlign w:val="superscript"/>
            </w:rPr>
            <w:t>th</w:t>
          </w:r>
          <w:r w:rsidR="009F41CA"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9F41CA" w:rsidRPr="00E80CBE" w:rsidRDefault="005505EE"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9F41CA"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054AA0"/>
    <w:rsid w:val="00007694"/>
    <w:rsid w:val="000079AC"/>
    <w:rsid w:val="0001064F"/>
    <w:rsid w:val="00012F13"/>
    <w:rsid w:val="000210E4"/>
    <w:rsid w:val="00024184"/>
    <w:rsid w:val="00033001"/>
    <w:rsid w:val="00034BEB"/>
    <w:rsid w:val="00035708"/>
    <w:rsid w:val="00035BA7"/>
    <w:rsid w:val="0004617D"/>
    <w:rsid w:val="00054AA0"/>
    <w:rsid w:val="000633B9"/>
    <w:rsid w:val="000731B1"/>
    <w:rsid w:val="00080F32"/>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31D9"/>
    <w:rsid w:val="001065D5"/>
    <w:rsid w:val="00111B90"/>
    <w:rsid w:val="0012088E"/>
    <w:rsid w:val="00123482"/>
    <w:rsid w:val="00123E5E"/>
    <w:rsid w:val="0013014B"/>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571EF"/>
    <w:rsid w:val="0026383D"/>
    <w:rsid w:val="00267670"/>
    <w:rsid w:val="00267A3F"/>
    <w:rsid w:val="002722DB"/>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32A1"/>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4867"/>
    <w:rsid w:val="003E5002"/>
    <w:rsid w:val="003F4031"/>
    <w:rsid w:val="003F6279"/>
    <w:rsid w:val="00400CA2"/>
    <w:rsid w:val="00405E29"/>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2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27307"/>
    <w:rsid w:val="00537F70"/>
    <w:rsid w:val="005416D0"/>
    <w:rsid w:val="00544047"/>
    <w:rsid w:val="00546282"/>
    <w:rsid w:val="005505EE"/>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E6EF9"/>
    <w:rsid w:val="005F3E4C"/>
    <w:rsid w:val="0060396E"/>
    <w:rsid w:val="006053A6"/>
    <w:rsid w:val="00605B67"/>
    <w:rsid w:val="006074ED"/>
    <w:rsid w:val="006128ED"/>
    <w:rsid w:val="00627624"/>
    <w:rsid w:val="00631E7B"/>
    <w:rsid w:val="00643281"/>
    <w:rsid w:val="0064504B"/>
    <w:rsid w:val="0064534C"/>
    <w:rsid w:val="006459FF"/>
    <w:rsid w:val="0066061C"/>
    <w:rsid w:val="006712BA"/>
    <w:rsid w:val="006724C6"/>
    <w:rsid w:val="00681414"/>
    <w:rsid w:val="006835A0"/>
    <w:rsid w:val="00685363"/>
    <w:rsid w:val="00691F27"/>
    <w:rsid w:val="006939D3"/>
    <w:rsid w:val="006A4762"/>
    <w:rsid w:val="006A6A1B"/>
    <w:rsid w:val="006A6F35"/>
    <w:rsid w:val="006A782D"/>
    <w:rsid w:val="006B1E43"/>
    <w:rsid w:val="006B764B"/>
    <w:rsid w:val="006C459D"/>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04BC"/>
    <w:rsid w:val="007C5332"/>
    <w:rsid w:val="007F4F50"/>
    <w:rsid w:val="00800531"/>
    <w:rsid w:val="008218DA"/>
    <w:rsid w:val="0082324E"/>
    <w:rsid w:val="00824063"/>
    <w:rsid w:val="0083167F"/>
    <w:rsid w:val="00833E37"/>
    <w:rsid w:val="00841E63"/>
    <w:rsid w:val="00856C69"/>
    <w:rsid w:val="00856CE3"/>
    <w:rsid w:val="00861FAA"/>
    <w:rsid w:val="008632AA"/>
    <w:rsid w:val="00863AFA"/>
    <w:rsid w:val="00873870"/>
    <w:rsid w:val="00873EEE"/>
    <w:rsid w:val="008757F1"/>
    <w:rsid w:val="00884E1C"/>
    <w:rsid w:val="00891ED5"/>
    <w:rsid w:val="00893276"/>
    <w:rsid w:val="008A1905"/>
    <w:rsid w:val="008A256F"/>
    <w:rsid w:val="008A4006"/>
    <w:rsid w:val="008B414F"/>
    <w:rsid w:val="008C6065"/>
    <w:rsid w:val="008D53C6"/>
    <w:rsid w:val="008E02F5"/>
    <w:rsid w:val="008E537E"/>
    <w:rsid w:val="008F3C30"/>
    <w:rsid w:val="008F4790"/>
    <w:rsid w:val="009028CB"/>
    <w:rsid w:val="00906AB9"/>
    <w:rsid w:val="00910D99"/>
    <w:rsid w:val="00922685"/>
    <w:rsid w:val="00925B44"/>
    <w:rsid w:val="00936551"/>
    <w:rsid w:val="00954105"/>
    <w:rsid w:val="00960141"/>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148B"/>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AD2D91"/>
    <w:rsid w:val="00B04BE4"/>
    <w:rsid w:val="00B10DE6"/>
    <w:rsid w:val="00B15F52"/>
    <w:rsid w:val="00B17DA9"/>
    <w:rsid w:val="00B21165"/>
    <w:rsid w:val="00B47690"/>
    <w:rsid w:val="00B51DD3"/>
    <w:rsid w:val="00B6178D"/>
    <w:rsid w:val="00B629D0"/>
    <w:rsid w:val="00B63457"/>
    <w:rsid w:val="00B65E38"/>
    <w:rsid w:val="00B842F9"/>
    <w:rsid w:val="00B903E3"/>
    <w:rsid w:val="00BA2D87"/>
    <w:rsid w:val="00BB002C"/>
    <w:rsid w:val="00BB119F"/>
    <w:rsid w:val="00BB5B71"/>
    <w:rsid w:val="00BB67AD"/>
    <w:rsid w:val="00BB6C67"/>
    <w:rsid w:val="00BC1A97"/>
    <w:rsid w:val="00BC3F33"/>
    <w:rsid w:val="00BE597E"/>
    <w:rsid w:val="00C0091F"/>
    <w:rsid w:val="00C12D83"/>
    <w:rsid w:val="00C14124"/>
    <w:rsid w:val="00C26E74"/>
    <w:rsid w:val="00C368BE"/>
    <w:rsid w:val="00C577B6"/>
    <w:rsid w:val="00C6184C"/>
    <w:rsid w:val="00C61C23"/>
    <w:rsid w:val="00C674AA"/>
    <w:rsid w:val="00C70C78"/>
    <w:rsid w:val="00C75E0E"/>
    <w:rsid w:val="00C829D2"/>
    <w:rsid w:val="00C92FDE"/>
    <w:rsid w:val="00C93787"/>
    <w:rsid w:val="00CA6D33"/>
    <w:rsid w:val="00CB0A2A"/>
    <w:rsid w:val="00CB3D31"/>
    <w:rsid w:val="00CC0037"/>
    <w:rsid w:val="00CD05E5"/>
    <w:rsid w:val="00CD0ABE"/>
    <w:rsid w:val="00CD131D"/>
    <w:rsid w:val="00CD2CEB"/>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1D0F"/>
    <w:rsid w:val="00E354E3"/>
    <w:rsid w:val="00E35824"/>
    <w:rsid w:val="00E370F8"/>
    <w:rsid w:val="00E371B2"/>
    <w:rsid w:val="00E47947"/>
    <w:rsid w:val="00E510D5"/>
    <w:rsid w:val="00E54981"/>
    <w:rsid w:val="00E55F87"/>
    <w:rsid w:val="00E63676"/>
    <w:rsid w:val="00E66562"/>
    <w:rsid w:val="00E77FDE"/>
    <w:rsid w:val="00E80CBE"/>
    <w:rsid w:val="00E8329A"/>
    <w:rsid w:val="00E920B5"/>
    <w:rsid w:val="00E93FF5"/>
    <w:rsid w:val="00E956CA"/>
    <w:rsid w:val="00EA6A31"/>
    <w:rsid w:val="00EB1932"/>
    <w:rsid w:val="00EB3111"/>
    <w:rsid w:val="00EB3759"/>
    <w:rsid w:val="00EB6030"/>
    <w:rsid w:val="00EC1A47"/>
    <w:rsid w:val="00EC1B84"/>
    <w:rsid w:val="00EC4892"/>
    <w:rsid w:val="00EC69DB"/>
    <w:rsid w:val="00EC6D10"/>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6500C"/>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2034"/>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likanatpis0">
    <w:name w:val="slika natpis"/>
    <w:link w:val="slikanatpisChar0"/>
    <w:qFormat/>
    <w:rsid w:val="00483420"/>
    <w:pPr>
      <w:spacing w:after="200" w:line="276" w:lineRule="auto"/>
      <w:jc w:val="center"/>
    </w:pPr>
    <w:rPr>
      <w:rFonts w:asciiTheme="minorHAnsi" w:eastAsia="Times New Roman" w:hAnsiTheme="minorHAnsi"/>
      <w:i/>
      <w:color w:val="000000"/>
      <w:szCs w:val="24"/>
      <w:lang w:val="sr-Latn-BA" w:eastAsia="sr-Latn-CS"/>
    </w:rPr>
  </w:style>
  <w:style w:type="character" w:customStyle="1" w:styleId="slikanatpisChar0">
    <w:name w:val="slika natpis Char"/>
    <w:basedOn w:val="SlikaChar"/>
    <w:link w:val="slikanatpis0"/>
    <w:rsid w:val="00483420"/>
    <w:rPr>
      <w:rFonts w:asciiTheme="minorHAnsi" w:eastAsia="Times New Roman" w:hAnsiTheme="minorHAnsi"/>
      <w:i/>
      <w:color w:val="000000"/>
      <w:szCs w:val="24"/>
      <w:lang w:val="sr-Latn-BA" w:eastAsia="sr-Latn-CS"/>
    </w:rPr>
  </w:style>
  <w:style w:type="paragraph" w:customStyle="1" w:styleId="tabelanatpis0">
    <w:name w:val="tabela natpis"/>
    <w:basedOn w:val="TableofFigures"/>
    <w:link w:val="tabelanatpisChar0"/>
    <w:qFormat/>
    <w:rsid w:val="002571EF"/>
    <w:pPr>
      <w:spacing w:line="360" w:lineRule="auto"/>
    </w:pPr>
    <w:rPr>
      <w:rFonts w:asciiTheme="minorHAnsi" w:eastAsiaTheme="minorHAnsi" w:hAnsiTheme="minorHAnsi" w:cstheme="minorBidi"/>
      <w:i/>
      <w:noProof/>
      <w:sz w:val="20"/>
    </w:rPr>
  </w:style>
  <w:style w:type="character" w:customStyle="1" w:styleId="tabelanatpisChar0">
    <w:name w:val="tabela natpis Char"/>
    <w:basedOn w:val="TekstChar"/>
    <w:link w:val="tabelanatpis0"/>
    <w:rsid w:val="002571EF"/>
    <w:rPr>
      <w:rFonts w:asciiTheme="minorHAnsi" w:eastAsiaTheme="minorHAnsi" w:hAnsiTheme="minorHAnsi" w:cstheme="minorBidi"/>
      <w:i/>
      <w:noProof/>
      <w:color w:val="000000"/>
      <w:szCs w:val="24"/>
      <w:lang w:val="en-US" w:eastAsia="en-US"/>
    </w:rPr>
  </w:style>
  <w:style w:type="paragraph" w:styleId="TableofFigures">
    <w:name w:val="table of figures"/>
    <w:basedOn w:val="Normal"/>
    <w:next w:val="Normal"/>
    <w:uiPriority w:val="99"/>
    <w:semiHidden/>
    <w:unhideWhenUsed/>
    <w:rsid w:val="002571E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google.ba/maps/@44.793047" TargetMode="Externa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pio.net/s/60642245/" TargetMode="External"/><Relationship Id="rId24" Type="http://schemas.openxmlformats.org/officeDocument/2006/relationships/hyperlink" Target="http://www.skyscrapercity.com/showthread"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mapio.net/s/60642245/" TargetMode="External"/><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kyscrapercity.com/showthread" TargetMode="External"/><Relationship Id="rId14" Type="http://schemas.openxmlformats.org/officeDocument/2006/relationships/image" Target="media/image6.png"/><Relationship Id="rId22" Type="http://schemas.openxmlformats.org/officeDocument/2006/relationships/hyperlink" Target="https://www.google.ba/maps/@44.793047" TargetMode="External"/><Relationship Id="rId27" Type="http://schemas.openxmlformats.org/officeDocument/2006/relationships/footer" Target="footer1.xml"/><Relationship Id="rId30"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mailto:kremenovic995@gmail.com" TargetMode="External"/><Relationship Id="rId1" Type="http://schemas.openxmlformats.org/officeDocument/2006/relationships/hyperlink" Target="mailto:jankovic1995@yahoo.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jezik_Ćirilica.dotx</Template>
  <TotalTime>1834</TotalTime>
  <Pages>7</Pages>
  <Words>2021</Words>
  <Characters>11523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13517</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fs</cp:lastModifiedBy>
  <cp:revision>12</cp:revision>
  <cp:lastPrinted>2016-06-30T07:57:00Z</cp:lastPrinted>
  <dcterms:created xsi:type="dcterms:W3CDTF">2016-06-30T08:19:00Z</dcterms:created>
  <dcterms:modified xsi:type="dcterms:W3CDTF">2017-09-29T15:34:00Z</dcterms:modified>
</cp:coreProperties>
</file>