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14F8" w:rsidRDefault="00BD5BDB" w:rsidP="005414F8">
      <w:pPr>
        <w:pStyle w:val="Default"/>
        <w:jc w:val="center"/>
        <w:rPr>
          <w:b/>
          <w:bCs/>
        </w:rPr>
      </w:pPr>
      <w:r w:rsidRPr="00C658E5">
        <w:rPr>
          <w:b/>
          <w:bCs/>
        </w:rPr>
        <w:t>KOMPARACIJA PRAGA BOLA KOD PACIJENATA SA GLAVOBOLJOM TENZIONOG TIPA SA PERIKRANIJALNOM OSETLJIVOŠĆU I PACIJENATA SA LUMBOISHIALGIJOM MERENA DIGITALNIM ALGOMETROM</w:t>
      </w:r>
    </w:p>
    <w:p w:rsidR="00211964" w:rsidRPr="00163A19" w:rsidRDefault="00211964" w:rsidP="005414F8">
      <w:pPr>
        <w:pStyle w:val="Default"/>
        <w:jc w:val="center"/>
        <w:rPr>
          <w:b/>
          <w:bCs/>
          <w:sz w:val="20"/>
          <w:szCs w:val="20"/>
        </w:rPr>
      </w:pPr>
    </w:p>
    <w:p w:rsidR="00211964" w:rsidRPr="00211964" w:rsidRDefault="00211964" w:rsidP="005414F8">
      <w:pPr>
        <w:pStyle w:val="Default"/>
        <w:jc w:val="center"/>
        <w:rPr>
          <w:b/>
          <w:bCs/>
          <w:sz w:val="22"/>
          <w:szCs w:val="22"/>
          <w:lang w:val="sr-Cyrl-RS"/>
        </w:rPr>
      </w:pPr>
      <w:r w:rsidRPr="00211964">
        <w:rPr>
          <w:b/>
          <w:bCs/>
          <w:sz w:val="22"/>
          <w:szCs w:val="22"/>
        </w:rPr>
        <w:t xml:space="preserve">Sažetak </w:t>
      </w:r>
    </w:p>
    <w:p w:rsidR="005414F8" w:rsidRPr="00B160F3" w:rsidRDefault="005414F8" w:rsidP="005414F8">
      <w:pPr>
        <w:pStyle w:val="Default"/>
        <w:rPr>
          <w:bCs/>
          <w:sz w:val="20"/>
          <w:szCs w:val="20"/>
          <w:lang w:val="sr-Cyrl-RS"/>
        </w:rPr>
      </w:pPr>
      <w:bookmarkStart w:id="0" w:name="_GoBack"/>
      <w:bookmarkEnd w:id="0"/>
    </w:p>
    <w:p w:rsidR="00BD5BDB" w:rsidRPr="00BD5BDB" w:rsidRDefault="00BD5BDB" w:rsidP="00870AB8">
      <w:pPr>
        <w:spacing w:after="0" w:line="240" w:lineRule="auto"/>
        <w:jc w:val="both"/>
        <w:rPr>
          <w:rFonts w:ascii="Times New Roman" w:hAnsi="Times New Roman" w:cs="Times New Roman"/>
          <w:bCs/>
          <w:sz w:val="20"/>
          <w:szCs w:val="20"/>
          <w:lang w:val="sr-Cyrl-RS"/>
        </w:rPr>
      </w:pPr>
      <w:r w:rsidRPr="00BD5BDB">
        <w:rPr>
          <w:rFonts w:ascii="Times New Roman" w:hAnsi="Times New Roman" w:cs="Times New Roman"/>
          <w:bCs/>
          <w:sz w:val="20"/>
          <w:szCs w:val="20"/>
          <w:lang w:val="sr-Cyrl-RS"/>
        </w:rPr>
        <w:t xml:space="preserve">Glavobolja tenzionog tipa i lumboishialgija predstavljaju jedan od najčešćih uzroka radne onesposobljenosti stanovništva zbog čega imaju veoma značajan socio – ekonomski uticaj. Sprovedena je prospektivna studija koja je obuhvatala 59 ispitanika. Kao izvor podataka korišćena je medicinska dokumentacija dopunjena kliničkim podacima. Anketnim upitnikom potvrđeno je prisustvo neuropatskog bola, a pomoću digitalnog algometra pacijentima je utvrđen prag bola. Cilj rada bio je da odredimo i uporedimo prag bola kod pacijenata sa glavoboljom tenzionog tipa sa perikranijalnom osetljivošću, pacijenata sa lumboishialgijom i zdravih volontera. Podaci su obrađeni i analizirani u programu SPSS. Prag bola ispitivanih tačaka poglavine kod pacijenata sa glavoboljom iznosi 179 kPa/cm2, kod pacijenata sa lumboishialgijom iznosi 285 kPa/cm2 i između njih ne postoji statistički značajna razlika. Kod zdravih, ovaj prag iznosi 455 kPa/cm2 i postoji statistički značajna razlika u odnosu na ostale dve grupe. Prag bola lumbalnih tačaka kod pacijenata sa lumboishialgijom iznosi 424 kPa/cm2, kod pacijenata sa glavoboljom iznosi 477 kPa/cm2 i između njih ne postoji statistički značajna razlika. Kod zdravih, ovaj prag iznosi 803 kPa/cm2 i postoji statistički značajna razlika u odnosu na ostale dve grupe. Prag bola ispitivanih tačaka na nogama kod pacijenata sa lumboishialgijom iznosi 409 kPa/cm2, kod pacijenata sa glavoboljom iznosi 511 kPa/cm2 i između njih ne postoji statistički značajna razlika. Kod zdravih, ovaj prag iznosi 672 kPa/cm2 i postoji statistički značajna razlika u odnosu na ostale dve grupe. </w:t>
      </w:r>
    </w:p>
    <w:p w:rsidR="00BD5BDB" w:rsidRPr="00BD5BDB" w:rsidRDefault="00BD5BDB" w:rsidP="00870AB8">
      <w:pPr>
        <w:spacing w:after="0" w:line="240" w:lineRule="auto"/>
        <w:jc w:val="both"/>
        <w:rPr>
          <w:rFonts w:ascii="Times New Roman" w:hAnsi="Times New Roman" w:cs="Times New Roman"/>
          <w:bCs/>
          <w:sz w:val="20"/>
          <w:szCs w:val="20"/>
          <w:lang w:val="sr-Cyrl-RS"/>
        </w:rPr>
      </w:pPr>
      <w:r w:rsidRPr="00BD5BDB">
        <w:rPr>
          <w:rFonts w:ascii="Times New Roman" w:hAnsi="Times New Roman" w:cs="Times New Roman"/>
          <w:bCs/>
          <w:sz w:val="20"/>
          <w:szCs w:val="20"/>
          <w:lang w:val="sr-Cyrl-RS"/>
        </w:rPr>
        <w:t xml:space="preserve">Pacijenti sa hroničnim bolnim sindromom imaju difuzno snižen prag bola u čitavom telu, a ne samo u oblasti za koju anamnestički navode da je bolna. </w:t>
      </w:r>
    </w:p>
    <w:p w:rsidR="005414F8" w:rsidRDefault="00BD5BDB" w:rsidP="00870AB8">
      <w:pPr>
        <w:spacing w:after="0" w:line="240" w:lineRule="auto"/>
        <w:jc w:val="both"/>
        <w:rPr>
          <w:rFonts w:ascii="Times New Roman" w:hAnsi="Times New Roman" w:cs="Times New Roman"/>
          <w:bCs/>
          <w:sz w:val="20"/>
          <w:szCs w:val="20"/>
          <w:lang w:val="sr-Cyrl-RS"/>
        </w:rPr>
      </w:pPr>
      <w:r w:rsidRPr="00BD5BDB">
        <w:rPr>
          <w:rFonts w:ascii="Times New Roman" w:hAnsi="Times New Roman" w:cs="Times New Roman"/>
          <w:b/>
          <w:bCs/>
          <w:sz w:val="20"/>
          <w:szCs w:val="20"/>
          <w:lang w:val="sr-Cyrl-RS"/>
        </w:rPr>
        <w:t>Ključne reči:</w:t>
      </w:r>
      <w:r w:rsidRPr="00BD5BDB">
        <w:rPr>
          <w:rFonts w:ascii="Times New Roman" w:hAnsi="Times New Roman" w:cs="Times New Roman"/>
          <w:bCs/>
          <w:sz w:val="20"/>
          <w:szCs w:val="20"/>
          <w:lang w:val="sr-Cyrl-RS"/>
        </w:rPr>
        <w:t xml:space="preserve"> bol, glavobolja tenzionog tipa, lumboishialgija, digitalni algometar.</w:t>
      </w:r>
      <w:r w:rsidR="005414F8">
        <w:rPr>
          <w:rFonts w:ascii="Times New Roman" w:hAnsi="Times New Roman" w:cs="Times New Roman"/>
          <w:bCs/>
          <w:sz w:val="20"/>
          <w:szCs w:val="20"/>
          <w:lang w:val="sr-Cyrl-RS"/>
        </w:rPr>
        <w:br w:type="page"/>
      </w:r>
    </w:p>
    <w:p w:rsidR="005414F8" w:rsidRDefault="005414F8" w:rsidP="005414F8">
      <w:pPr>
        <w:spacing w:after="0" w:line="240" w:lineRule="auto"/>
        <w:jc w:val="center"/>
        <w:rPr>
          <w:rFonts w:ascii="Times New Roman" w:hAnsi="Times New Roman" w:cs="Times New Roman"/>
          <w:b/>
          <w:bCs/>
          <w:sz w:val="24"/>
          <w:szCs w:val="24"/>
        </w:rPr>
      </w:pPr>
      <w:r w:rsidRPr="00C658E5">
        <w:rPr>
          <w:rFonts w:ascii="Times New Roman" w:hAnsi="Times New Roman" w:cs="Times New Roman"/>
          <w:b/>
          <w:bCs/>
          <w:sz w:val="24"/>
          <w:szCs w:val="24"/>
        </w:rPr>
        <w:lastRenderedPageBreak/>
        <w:t>COMPARISON OF PAIN LIMIT OF PATIENTS WITH TENSION-TYPE HEADACHE WITH PERICRANIAL SENSITIVITY AND PATIENTS WITH SCIATICA MEASURED WITH DIGITAL ALGOMETER</w:t>
      </w:r>
    </w:p>
    <w:p w:rsidR="00C70B64" w:rsidRPr="00C70B64" w:rsidRDefault="00C70B64" w:rsidP="005414F8">
      <w:pPr>
        <w:spacing w:after="0" w:line="240" w:lineRule="auto"/>
        <w:jc w:val="center"/>
        <w:rPr>
          <w:rFonts w:ascii="Times New Roman" w:hAnsi="Times New Roman" w:cs="Times New Roman"/>
          <w:b/>
          <w:bCs/>
          <w:sz w:val="20"/>
          <w:szCs w:val="20"/>
        </w:rPr>
      </w:pPr>
    </w:p>
    <w:p w:rsidR="00C70B64" w:rsidRPr="00C70B64" w:rsidRDefault="00C70B64" w:rsidP="005414F8">
      <w:pPr>
        <w:spacing w:after="0" w:line="240" w:lineRule="auto"/>
        <w:jc w:val="center"/>
        <w:rPr>
          <w:rFonts w:ascii="Times New Roman" w:hAnsi="Times New Roman" w:cs="Times New Roman"/>
          <w:b/>
          <w:bCs/>
        </w:rPr>
      </w:pPr>
      <w:r w:rsidRPr="00C70B64">
        <w:rPr>
          <w:rFonts w:ascii="Times New Roman" w:hAnsi="Times New Roman" w:cs="Times New Roman"/>
          <w:b/>
          <w:bCs/>
        </w:rPr>
        <w:t xml:space="preserve">Abstract </w:t>
      </w:r>
    </w:p>
    <w:p w:rsidR="00C70B64" w:rsidRPr="00C70B64" w:rsidRDefault="00C70B64" w:rsidP="005414F8">
      <w:pPr>
        <w:spacing w:after="0" w:line="240" w:lineRule="auto"/>
        <w:jc w:val="center"/>
        <w:rPr>
          <w:rFonts w:ascii="Times New Roman" w:hAnsi="Times New Roman" w:cs="Times New Roman"/>
          <w:b/>
          <w:bCs/>
          <w:sz w:val="20"/>
          <w:szCs w:val="20"/>
        </w:rPr>
      </w:pPr>
    </w:p>
    <w:p w:rsidR="005414F8" w:rsidRPr="00B160F3" w:rsidRDefault="005414F8" w:rsidP="005414F8">
      <w:pPr>
        <w:spacing w:after="0" w:line="240" w:lineRule="auto"/>
        <w:jc w:val="both"/>
        <w:rPr>
          <w:rFonts w:ascii="Times New Roman" w:hAnsi="Times New Roman" w:cs="Times New Roman"/>
          <w:sz w:val="20"/>
          <w:szCs w:val="20"/>
        </w:rPr>
      </w:pPr>
      <w:r w:rsidRPr="00B160F3">
        <w:rPr>
          <w:rFonts w:ascii="Times New Roman" w:hAnsi="Times New Roman" w:cs="Times New Roman"/>
          <w:sz w:val="20"/>
          <w:szCs w:val="20"/>
        </w:rPr>
        <w:t xml:space="preserve">Tension-type headache and sciatica are one of the most common </w:t>
      </w:r>
      <w:r w:rsidRPr="00B160F3">
        <w:rPr>
          <w:rFonts w:ascii="Times New Roman" w:hAnsi="Times New Roman" w:cs="Times New Roman"/>
          <w:color w:val="212121"/>
          <w:sz w:val="20"/>
          <w:szCs w:val="20"/>
          <w:lang w:val="en"/>
        </w:rPr>
        <w:t>causes of work disability</w:t>
      </w:r>
      <w:r w:rsidRPr="00B160F3">
        <w:rPr>
          <w:rFonts w:ascii="Times New Roman" w:hAnsi="Times New Roman" w:cs="Times New Roman"/>
          <w:sz w:val="20"/>
          <w:szCs w:val="20"/>
        </w:rPr>
        <w:t xml:space="preserve">, which is why they have </w:t>
      </w:r>
      <w:r>
        <w:rPr>
          <w:rFonts w:ascii="Times New Roman" w:hAnsi="Times New Roman" w:cs="Times New Roman"/>
          <w:sz w:val="20"/>
          <w:szCs w:val="20"/>
        </w:rPr>
        <w:t xml:space="preserve">a very </w:t>
      </w:r>
      <w:r w:rsidRPr="00B160F3">
        <w:rPr>
          <w:rFonts w:ascii="Times New Roman" w:hAnsi="Times New Roman" w:cs="Times New Roman"/>
          <w:sz w:val="20"/>
          <w:szCs w:val="20"/>
        </w:rPr>
        <w:t xml:space="preserve">important socio-economic impact. </w:t>
      </w:r>
      <w:r>
        <w:rPr>
          <w:rFonts w:ascii="Times New Roman" w:hAnsi="Times New Roman" w:cs="Times New Roman"/>
          <w:sz w:val="20"/>
          <w:szCs w:val="20"/>
        </w:rPr>
        <w:t>A p</w:t>
      </w:r>
      <w:r w:rsidRPr="00B160F3">
        <w:rPr>
          <w:rFonts w:ascii="Times New Roman" w:hAnsi="Times New Roman" w:cs="Times New Roman"/>
          <w:sz w:val="20"/>
          <w:szCs w:val="20"/>
        </w:rPr>
        <w:t>rospe</w:t>
      </w:r>
      <w:r>
        <w:rPr>
          <w:rFonts w:ascii="Times New Roman" w:hAnsi="Times New Roman" w:cs="Times New Roman"/>
          <w:sz w:val="20"/>
          <w:szCs w:val="20"/>
        </w:rPr>
        <w:t xml:space="preserve">ctive study was conducted which included </w:t>
      </w:r>
      <w:r w:rsidRPr="00B160F3">
        <w:rPr>
          <w:rFonts w:ascii="Times New Roman" w:hAnsi="Times New Roman" w:cs="Times New Roman"/>
          <w:sz w:val="20"/>
          <w:szCs w:val="20"/>
        </w:rPr>
        <w:t>59 patients. As source of medical information about patients we used medical documentation with clinical information. With pain detect, neuropathic pain was confirmed and pain limit was measured with digital algometer.</w:t>
      </w:r>
      <w:r w:rsidRPr="00ED7A60">
        <w:rPr>
          <w:rFonts w:ascii="Times New Roman" w:hAnsi="Times New Roman" w:cs="Times New Roman"/>
          <w:sz w:val="20"/>
          <w:szCs w:val="20"/>
        </w:rPr>
        <w:t xml:space="preserve"> </w:t>
      </w:r>
      <w:r w:rsidRPr="00ED7A60">
        <w:rPr>
          <w:rFonts w:ascii="Times New Roman" w:hAnsi="Times New Roman" w:cs="Times New Roman"/>
          <w:bCs/>
          <w:sz w:val="20"/>
          <w:szCs w:val="20"/>
        </w:rPr>
        <w:t xml:space="preserve">The aim was to </w:t>
      </w:r>
      <w:r>
        <w:rPr>
          <w:rFonts w:ascii="Times New Roman" w:hAnsi="Times New Roman" w:cs="Times New Roman"/>
          <w:sz w:val="20"/>
          <w:szCs w:val="20"/>
        </w:rPr>
        <w:t>d</w:t>
      </w:r>
      <w:r w:rsidRPr="00B160F3">
        <w:rPr>
          <w:rFonts w:ascii="Times New Roman" w:hAnsi="Times New Roman" w:cs="Times New Roman"/>
          <w:sz w:val="20"/>
          <w:szCs w:val="20"/>
        </w:rPr>
        <w:t xml:space="preserve">etermine and compare pain limit of patients with tension-type headache, patients with sciatica and healthy volunteers. The data was processed and analyzed by a statistical package </w:t>
      </w:r>
      <w:r w:rsidRPr="00B160F3">
        <w:rPr>
          <w:rFonts w:ascii="Times New Roman" w:hAnsi="Times New Roman" w:cs="Times New Roman"/>
          <w:i/>
          <w:sz w:val="20"/>
          <w:szCs w:val="20"/>
        </w:rPr>
        <w:t>SPSS</w:t>
      </w:r>
      <w:r w:rsidRPr="00B160F3">
        <w:rPr>
          <w:rFonts w:ascii="Times New Roman" w:hAnsi="Times New Roman" w:cs="Times New Roman"/>
          <w:sz w:val="20"/>
          <w:szCs w:val="20"/>
        </w:rPr>
        <w:t>. Pain limit of head points in patients with headache is 179 kPa/cm</w:t>
      </w:r>
      <w:r w:rsidRPr="00B160F3">
        <w:rPr>
          <w:rFonts w:ascii="Times New Roman" w:hAnsi="Times New Roman" w:cs="Times New Roman"/>
          <w:sz w:val="20"/>
          <w:szCs w:val="20"/>
          <w:vertAlign w:val="superscript"/>
        </w:rPr>
        <w:t>2</w:t>
      </w:r>
      <w:r w:rsidRPr="00B160F3">
        <w:rPr>
          <w:rFonts w:ascii="Times New Roman" w:hAnsi="Times New Roman" w:cs="Times New Roman"/>
          <w:sz w:val="20"/>
          <w:szCs w:val="20"/>
        </w:rPr>
        <w:t>, in patients with sciatica is 285 kPa/cm</w:t>
      </w:r>
      <w:r w:rsidRPr="00B160F3">
        <w:rPr>
          <w:rFonts w:ascii="Times New Roman" w:hAnsi="Times New Roman" w:cs="Times New Roman"/>
          <w:sz w:val="20"/>
          <w:szCs w:val="20"/>
          <w:vertAlign w:val="superscript"/>
        </w:rPr>
        <w:t>2</w:t>
      </w:r>
      <w:r w:rsidRPr="00B160F3">
        <w:rPr>
          <w:rFonts w:ascii="Times New Roman" w:hAnsi="Times New Roman" w:cs="Times New Roman"/>
          <w:sz w:val="20"/>
          <w:szCs w:val="20"/>
        </w:rPr>
        <w:t xml:space="preserve"> and between them there is no statistically significant difference. In healthy patients, this limit is 455 kPa/cm</w:t>
      </w:r>
      <w:r w:rsidRPr="00B160F3">
        <w:rPr>
          <w:rFonts w:ascii="Times New Roman" w:hAnsi="Times New Roman" w:cs="Times New Roman"/>
          <w:sz w:val="20"/>
          <w:szCs w:val="20"/>
          <w:vertAlign w:val="superscript"/>
        </w:rPr>
        <w:t>2</w:t>
      </w:r>
      <w:r w:rsidRPr="00B160F3">
        <w:rPr>
          <w:rFonts w:ascii="Times New Roman" w:hAnsi="Times New Roman" w:cs="Times New Roman"/>
          <w:sz w:val="20"/>
          <w:szCs w:val="20"/>
        </w:rPr>
        <w:t xml:space="preserve"> and there is statistically significant difference between them and the other groups. Pain limit of lumbal points in patients with sciatica is 424 kPa/cm</w:t>
      </w:r>
      <w:r w:rsidRPr="00B160F3">
        <w:rPr>
          <w:rFonts w:ascii="Times New Roman" w:hAnsi="Times New Roman" w:cs="Times New Roman"/>
          <w:sz w:val="20"/>
          <w:szCs w:val="20"/>
          <w:vertAlign w:val="superscript"/>
        </w:rPr>
        <w:t>2</w:t>
      </w:r>
      <w:r w:rsidRPr="00B160F3">
        <w:rPr>
          <w:rFonts w:ascii="Times New Roman" w:hAnsi="Times New Roman" w:cs="Times New Roman"/>
          <w:sz w:val="20"/>
          <w:szCs w:val="20"/>
        </w:rPr>
        <w:t>, in patients with headache is 477 kPa/cm</w:t>
      </w:r>
      <w:r w:rsidRPr="00B160F3">
        <w:rPr>
          <w:rFonts w:ascii="Times New Roman" w:hAnsi="Times New Roman" w:cs="Times New Roman"/>
          <w:sz w:val="20"/>
          <w:szCs w:val="20"/>
          <w:vertAlign w:val="superscript"/>
        </w:rPr>
        <w:t>2</w:t>
      </w:r>
      <w:r w:rsidRPr="00B160F3">
        <w:rPr>
          <w:rFonts w:ascii="Times New Roman" w:hAnsi="Times New Roman" w:cs="Times New Roman"/>
          <w:sz w:val="20"/>
          <w:szCs w:val="20"/>
        </w:rPr>
        <w:t xml:space="preserve"> and between them there is no statistically significant difference. In healty patients, this limit is 803 kPa/cm</w:t>
      </w:r>
      <w:r w:rsidRPr="00B160F3">
        <w:rPr>
          <w:rFonts w:ascii="Times New Roman" w:hAnsi="Times New Roman" w:cs="Times New Roman"/>
          <w:sz w:val="20"/>
          <w:szCs w:val="20"/>
          <w:vertAlign w:val="superscript"/>
        </w:rPr>
        <w:t>2</w:t>
      </w:r>
      <w:r w:rsidRPr="00B160F3">
        <w:rPr>
          <w:rFonts w:ascii="Times New Roman" w:hAnsi="Times New Roman" w:cs="Times New Roman"/>
          <w:sz w:val="20"/>
          <w:szCs w:val="20"/>
        </w:rPr>
        <w:t xml:space="preserve"> and there is statistically significant difference between them and the other groups. Pain limit of leg points in patients with sciatica is 409 kPa/cm</w:t>
      </w:r>
      <w:r w:rsidRPr="00B160F3">
        <w:rPr>
          <w:rFonts w:ascii="Times New Roman" w:hAnsi="Times New Roman" w:cs="Times New Roman"/>
          <w:sz w:val="20"/>
          <w:szCs w:val="20"/>
          <w:vertAlign w:val="superscript"/>
        </w:rPr>
        <w:t>2</w:t>
      </w:r>
      <w:r w:rsidRPr="00B160F3">
        <w:rPr>
          <w:rFonts w:ascii="Times New Roman" w:hAnsi="Times New Roman" w:cs="Times New Roman"/>
          <w:sz w:val="20"/>
          <w:szCs w:val="20"/>
        </w:rPr>
        <w:t>, in patients with headache is 511 kPa/cm</w:t>
      </w:r>
      <w:r w:rsidRPr="00B160F3">
        <w:rPr>
          <w:rFonts w:ascii="Times New Roman" w:hAnsi="Times New Roman" w:cs="Times New Roman"/>
          <w:sz w:val="20"/>
          <w:szCs w:val="20"/>
          <w:vertAlign w:val="superscript"/>
        </w:rPr>
        <w:t>2</w:t>
      </w:r>
      <w:r w:rsidRPr="00B160F3">
        <w:rPr>
          <w:rFonts w:ascii="Times New Roman" w:hAnsi="Times New Roman" w:cs="Times New Roman"/>
          <w:sz w:val="20"/>
          <w:szCs w:val="20"/>
        </w:rPr>
        <w:t xml:space="preserve"> and between them there is no statistically significant difference. In healthy patients this limit is 672 kPa/cm</w:t>
      </w:r>
      <w:r w:rsidRPr="00B160F3">
        <w:rPr>
          <w:rFonts w:ascii="Times New Roman" w:hAnsi="Times New Roman" w:cs="Times New Roman"/>
          <w:sz w:val="20"/>
          <w:szCs w:val="20"/>
          <w:vertAlign w:val="superscript"/>
        </w:rPr>
        <w:t>2</w:t>
      </w:r>
      <w:r w:rsidRPr="00B160F3">
        <w:rPr>
          <w:rFonts w:ascii="Times New Roman" w:hAnsi="Times New Roman" w:cs="Times New Roman"/>
          <w:sz w:val="20"/>
          <w:szCs w:val="20"/>
        </w:rPr>
        <w:t xml:space="preserve"> and there is statistically significant difference between them and the other groups. </w:t>
      </w:r>
    </w:p>
    <w:p w:rsidR="005414F8" w:rsidRPr="00B160F3" w:rsidRDefault="005414F8" w:rsidP="005414F8">
      <w:pPr>
        <w:spacing w:after="0" w:line="240" w:lineRule="auto"/>
        <w:jc w:val="both"/>
        <w:rPr>
          <w:rFonts w:ascii="Times New Roman" w:hAnsi="Times New Roman" w:cs="Times New Roman"/>
          <w:bCs/>
          <w:sz w:val="20"/>
          <w:szCs w:val="20"/>
          <w:lang w:val="sr-Cyrl-RS"/>
        </w:rPr>
      </w:pPr>
      <w:r w:rsidRPr="00B160F3">
        <w:rPr>
          <w:rFonts w:ascii="Times New Roman" w:hAnsi="Times New Roman" w:cs="Times New Roman"/>
          <w:bCs/>
          <w:sz w:val="20"/>
          <w:szCs w:val="20"/>
        </w:rPr>
        <w:t>Patients with chronic pain syndrome have diffuse lowered pain limit in whole body.</w:t>
      </w:r>
    </w:p>
    <w:p w:rsidR="00943ABF" w:rsidRDefault="005414F8" w:rsidP="00943ABF">
      <w:pPr>
        <w:spacing w:line="240" w:lineRule="auto"/>
        <w:jc w:val="both"/>
        <w:rPr>
          <w:rFonts w:ascii="Times New Roman" w:hAnsi="Times New Roman" w:cs="Times New Roman"/>
          <w:sz w:val="20"/>
          <w:szCs w:val="20"/>
        </w:rPr>
      </w:pPr>
      <w:r w:rsidRPr="00B160F3">
        <w:rPr>
          <w:rFonts w:ascii="Times New Roman" w:hAnsi="Times New Roman" w:cs="Times New Roman"/>
          <w:b/>
          <w:bCs/>
          <w:sz w:val="20"/>
          <w:szCs w:val="20"/>
        </w:rPr>
        <w:t>Keywords</w:t>
      </w:r>
      <w:r w:rsidRPr="00B160F3">
        <w:rPr>
          <w:rFonts w:ascii="Times New Roman" w:hAnsi="Times New Roman" w:cs="Times New Roman"/>
          <w:bCs/>
          <w:sz w:val="20"/>
          <w:szCs w:val="20"/>
        </w:rPr>
        <w:t>:</w:t>
      </w:r>
      <w:r w:rsidRPr="00B160F3">
        <w:rPr>
          <w:rFonts w:ascii="Times New Roman" w:hAnsi="Times New Roman" w:cs="Times New Roman"/>
          <w:b/>
          <w:bCs/>
          <w:sz w:val="20"/>
          <w:szCs w:val="20"/>
        </w:rPr>
        <w:t xml:space="preserve"> </w:t>
      </w:r>
      <w:r w:rsidR="003B04E2">
        <w:rPr>
          <w:rFonts w:ascii="Times New Roman" w:hAnsi="Times New Roman" w:cs="Times New Roman"/>
          <w:sz w:val="20"/>
          <w:szCs w:val="20"/>
        </w:rPr>
        <w:t>pain,</w:t>
      </w:r>
      <w:r w:rsidRPr="00B160F3">
        <w:rPr>
          <w:rFonts w:ascii="Times New Roman" w:hAnsi="Times New Roman" w:cs="Times New Roman"/>
          <w:sz w:val="20"/>
          <w:szCs w:val="20"/>
        </w:rPr>
        <w:t xml:space="preserve"> </w:t>
      </w:r>
      <w:r w:rsidR="003B04E2">
        <w:rPr>
          <w:rFonts w:ascii="Times New Roman" w:hAnsi="Times New Roman" w:cs="Times New Roman"/>
          <w:sz w:val="20"/>
          <w:szCs w:val="20"/>
        </w:rPr>
        <w:t>tension-type headache, sciatica, lower back pain,</w:t>
      </w:r>
      <w:r w:rsidRPr="00B160F3">
        <w:rPr>
          <w:rFonts w:ascii="Times New Roman" w:hAnsi="Times New Roman" w:cs="Times New Roman"/>
          <w:sz w:val="20"/>
          <w:szCs w:val="20"/>
        </w:rPr>
        <w:t xml:space="preserve"> digital algometer.</w:t>
      </w:r>
    </w:p>
    <w:p w:rsidR="00943ABF" w:rsidRDefault="00943ABF">
      <w:pPr>
        <w:rPr>
          <w:rFonts w:ascii="Times New Roman" w:hAnsi="Times New Roman" w:cs="Times New Roman"/>
          <w:sz w:val="20"/>
          <w:szCs w:val="20"/>
        </w:rPr>
      </w:pPr>
      <w:r>
        <w:rPr>
          <w:rFonts w:ascii="Times New Roman" w:hAnsi="Times New Roman" w:cs="Times New Roman"/>
          <w:sz w:val="20"/>
          <w:szCs w:val="20"/>
        </w:rPr>
        <w:br w:type="page"/>
      </w:r>
    </w:p>
    <w:p w:rsidR="00943ABF" w:rsidRPr="00943ABF" w:rsidRDefault="00943ABF" w:rsidP="00943ABF">
      <w:pPr>
        <w:spacing w:after="0" w:line="240" w:lineRule="auto"/>
        <w:jc w:val="center"/>
        <w:rPr>
          <w:rFonts w:ascii="Times New Roman" w:hAnsi="Times New Roman" w:cs="Times New Roman"/>
          <w:b/>
        </w:rPr>
      </w:pPr>
      <w:r w:rsidRPr="00943ABF">
        <w:rPr>
          <w:rFonts w:ascii="Times New Roman" w:hAnsi="Times New Roman" w:cs="Times New Roman"/>
          <w:b/>
        </w:rPr>
        <w:lastRenderedPageBreak/>
        <w:t>Uvod</w:t>
      </w:r>
    </w:p>
    <w:p w:rsidR="00943ABF" w:rsidRPr="00943ABF" w:rsidRDefault="00943ABF" w:rsidP="00943ABF">
      <w:pPr>
        <w:spacing w:after="0" w:line="240" w:lineRule="auto"/>
        <w:ind w:firstLine="708"/>
        <w:jc w:val="both"/>
        <w:rPr>
          <w:rFonts w:ascii="Times New Roman" w:hAnsi="Times New Roman" w:cs="Times New Roman"/>
          <w:sz w:val="20"/>
          <w:szCs w:val="20"/>
        </w:rPr>
      </w:pPr>
    </w:p>
    <w:p w:rsidR="00943ABF" w:rsidRPr="00943ABF" w:rsidRDefault="00943ABF" w:rsidP="00943ABF">
      <w:pPr>
        <w:spacing w:after="0" w:line="240" w:lineRule="auto"/>
        <w:ind w:firstLine="708"/>
        <w:jc w:val="both"/>
        <w:rPr>
          <w:rFonts w:ascii="Times New Roman" w:hAnsi="Times New Roman" w:cs="Times New Roman"/>
          <w:sz w:val="20"/>
          <w:szCs w:val="20"/>
        </w:rPr>
      </w:pPr>
      <w:r w:rsidRPr="00943ABF">
        <w:rPr>
          <w:rFonts w:ascii="Times New Roman" w:hAnsi="Times New Roman" w:cs="Times New Roman"/>
          <w:sz w:val="20"/>
          <w:szCs w:val="20"/>
        </w:rPr>
        <w:t xml:space="preserve">Sa fiziološkog stanovišta bol predstavlja normalan biološki odgovor, tj. signal da je telesni, anatomski i funkcionalni integritet narušen [1]. </w:t>
      </w:r>
    </w:p>
    <w:p w:rsidR="00943ABF" w:rsidRPr="00943ABF" w:rsidRDefault="00943ABF" w:rsidP="00943ABF">
      <w:pPr>
        <w:spacing w:after="0" w:line="240" w:lineRule="auto"/>
        <w:ind w:firstLine="708"/>
        <w:jc w:val="both"/>
        <w:rPr>
          <w:rFonts w:ascii="Times New Roman" w:hAnsi="Times New Roman" w:cs="Times New Roman"/>
          <w:sz w:val="20"/>
          <w:szCs w:val="20"/>
        </w:rPr>
      </w:pPr>
      <w:r w:rsidRPr="00943ABF">
        <w:rPr>
          <w:rFonts w:ascii="Times New Roman" w:hAnsi="Times New Roman" w:cs="Times New Roman"/>
          <w:sz w:val="20"/>
          <w:szCs w:val="20"/>
        </w:rPr>
        <w:t xml:space="preserve">Internacionalna asocijacija za proučavanje bola (IASP) definiše bol kao „neprijatan čulni i emocionalni doživljaj, koji povezujemo sa mogućim oštećenjem tkiva ili opisujemo rečima koje odgovaraju tom oštećenju“. Kako je bol subjektivan fenomen, osnovno pravilo je da moramo da verujemo pacijentu. </w:t>
      </w:r>
      <w:r w:rsidRPr="00943ABF">
        <w:rPr>
          <w:rFonts w:ascii="Times New Roman" w:hAnsi="Times New Roman" w:cs="Times New Roman"/>
          <w:i/>
          <w:sz w:val="20"/>
          <w:szCs w:val="20"/>
        </w:rPr>
        <w:t>Robert Twycross</w:t>
      </w:r>
      <w:r w:rsidRPr="00943ABF">
        <w:rPr>
          <w:rFonts w:ascii="Times New Roman" w:hAnsi="Times New Roman" w:cs="Times New Roman"/>
          <w:sz w:val="20"/>
          <w:szCs w:val="20"/>
        </w:rPr>
        <w:t xml:space="preserve"> je rekao: </w:t>
      </w:r>
      <w:r w:rsidRPr="00943ABF">
        <w:rPr>
          <w:rFonts w:ascii="Times New Roman" w:hAnsi="Times New Roman" w:cs="Times New Roman"/>
          <w:i/>
          <w:sz w:val="20"/>
          <w:szCs w:val="20"/>
        </w:rPr>
        <w:t>„Bol je sve ono što pacijent kaže da ga boli“</w:t>
      </w:r>
      <w:r w:rsidRPr="00943ABF">
        <w:rPr>
          <w:rFonts w:ascii="Times New Roman" w:hAnsi="Times New Roman" w:cs="Times New Roman"/>
          <w:sz w:val="20"/>
          <w:szCs w:val="20"/>
        </w:rPr>
        <w:t xml:space="preserve"> te je on jedini koji ocenjuje jačinu bola koji oseća [2].</w:t>
      </w:r>
    </w:p>
    <w:p w:rsidR="00943ABF" w:rsidRPr="00943ABF" w:rsidRDefault="00943ABF" w:rsidP="00943ABF">
      <w:pPr>
        <w:spacing w:after="0" w:line="240" w:lineRule="auto"/>
        <w:jc w:val="both"/>
        <w:rPr>
          <w:rFonts w:ascii="Times New Roman" w:hAnsi="Times New Roman" w:cs="Times New Roman"/>
          <w:sz w:val="20"/>
          <w:szCs w:val="20"/>
        </w:rPr>
      </w:pPr>
      <w:r w:rsidRPr="00943ABF">
        <w:rPr>
          <w:rFonts w:ascii="Times New Roman" w:hAnsi="Times New Roman" w:cs="Times New Roman"/>
          <w:sz w:val="20"/>
          <w:szCs w:val="20"/>
        </w:rPr>
        <w:t>Patofiziološka klasifikacija razlikuje:</w:t>
      </w:r>
    </w:p>
    <w:p w:rsidR="00943ABF" w:rsidRPr="00943ABF" w:rsidRDefault="00943ABF" w:rsidP="00943ABF">
      <w:pPr>
        <w:numPr>
          <w:ilvl w:val="0"/>
          <w:numId w:val="1"/>
        </w:numPr>
        <w:spacing w:after="0" w:line="240" w:lineRule="auto"/>
        <w:contextualSpacing/>
        <w:jc w:val="both"/>
        <w:rPr>
          <w:rFonts w:ascii="Times New Roman" w:hAnsi="Times New Roman" w:cs="Times New Roman"/>
          <w:sz w:val="20"/>
          <w:szCs w:val="20"/>
        </w:rPr>
      </w:pPr>
      <w:r w:rsidRPr="00943ABF">
        <w:rPr>
          <w:rFonts w:ascii="Times New Roman" w:hAnsi="Times New Roman" w:cs="Times New Roman"/>
          <w:sz w:val="20"/>
          <w:szCs w:val="20"/>
        </w:rPr>
        <w:t>Nocioceptivni bol uzrokovan aktivacijom nocioceptivnih receptora somatskog ili visceralnog porekla;</w:t>
      </w:r>
    </w:p>
    <w:p w:rsidR="00943ABF" w:rsidRPr="00943ABF" w:rsidRDefault="00943ABF" w:rsidP="00943ABF">
      <w:pPr>
        <w:numPr>
          <w:ilvl w:val="0"/>
          <w:numId w:val="1"/>
        </w:numPr>
        <w:spacing w:after="0" w:line="240" w:lineRule="auto"/>
        <w:contextualSpacing/>
        <w:jc w:val="both"/>
        <w:rPr>
          <w:rFonts w:ascii="Times New Roman" w:hAnsi="Times New Roman" w:cs="Times New Roman"/>
          <w:sz w:val="20"/>
          <w:szCs w:val="20"/>
        </w:rPr>
      </w:pPr>
      <w:r w:rsidRPr="00943ABF">
        <w:rPr>
          <w:rFonts w:ascii="Times New Roman" w:hAnsi="Times New Roman" w:cs="Times New Roman"/>
          <w:sz w:val="20"/>
          <w:szCs w:val="20"/>
        </w:rPr>
        <w:t>Neuropatski bol uzrokovan oštećenjem ili disfunkcijom perifernog ili centralnog nervnog sistema;</w:t>
      </w:r>
    </w:p>
    <w:p w:rsidR="00943ABF" w:rsidRPr="00943ABF" w:rsidRDefault="00943ABF" w:rsidP="00943ABF">
      <w:pPr>
        <w:numPr>
          <w:ilvl w:val="0"/>
          <w:numId w:val="1"/>
        </w:numPr>
        <w:spacing w:after="0" w:line="240" w:lineRule="auto"/>
        <w:contextualSpacing/>
        <w:jc w:val="both"/>
        <w:rPr>
          <w:rFonts w:ascii="Times New Roman" w:hAnsi="Times New Roman" w:cs="Times New Roman"/>
          <w:color w:val="000000" w:themeColor="text1"/>
          <w:sz w:val="20"/>
          <w:szCs w:val="20"/>
        </w:rPr>
      </w:pPr>
      <w:r w:rsidRPr="00943ABF">
        <w:rPr>
          <w:rFonts w:ascii="Times New Roman" w:hAnsi="Times New Roman" w:cs="Times New Roman"/>
          <w:color w:val="000000" w:themeColor="text1"/>
          <w:sz w:val="20"/>
          <w:szCs w:val="20"/>
        </w:rPr>
        <w:t>Kombinovani bol [1].</w:t>
      </w:r>
    </w:p>
    <w:p w:rsidR="00943ABF" w:rsidRPr="00943ABF" w:rsidRDefault="00943ABF" w:rsidP="00943ABF">
      <w:pPr>
        <w:spacing w:after="0" w:line="240" w:lineRule="auto"/>
        <w:ind w:firstLine="708"/>
        <w:jc w:val="both"/>
        <w:rPr>
          <w:rFonts w:ascii="Times New Roman" w:hAnsi="Times New Roman" w:cs="Times New Roman"/>
          <w:bCs/>
          <w:sz w:val="20"/>
          <w:szCs w:val="20"/>
          <w:shd w:val="clear" w:color="auto" w:fill="FFFFFF"/>
        </w:rPr>
      </w:pPr>
      <w:r w:rsidRPr="00943ABF">
        <w:rPr>
          <w:rFonts w:ascii="Times New Roman" w:hAnsi="Times New Roman" w:cs="Times New Roman"/>
          <w:bCs/>
          <w:sz w:val="20"/>
          <w:szCs w:val="20"/>
          <w:shd w:val="clear" w:color="auto" w:fill="FFFFFF"/>
        </w:rPr>
        <w:t xml:space="preserve">Glavobolja tenzionog tipa predstavlja najčešću formu glavobolja </w:t>
      </w:r>
      <w:r w:rsidRPr="00943ABF">
        <w:rPr>
          <w:rFonts w:ascii="Times New Roman" w:hAnsi="Times New Roman" w:cs="Times New Roman"/>
          <w:sz w:val="20"/>
          <w:szCs w:val="20"/>
        </w:rPr>
        <w:t>[1]</w:t>
      </w:r>
      <w:r w:rsidRPr="00943ABF">
        <w:rPr>
          <w:rFonts w:ascii="Times New Roman" w:hAnsi="Times New Roman" w:cs="Times New Roman"/>
          <w:bCs/>
          <w:sz w:val="20"/>
          <w:szCs w:val="20"/>
          <w:shd w:val="clear" w:color="auto" w:fill="FFFFFF"/>
        </w:rPr>
        <w:t xml:space="preserve">. Životna prevalenca u opštoj populaciji iznosi između 30 i 78% prema različitim studijama tako da ima veoma značajan socio – ekonomski uticaj </w:t>
      </w:r>
      <w:r w:rsidR="00AF25EB">
        <w:rPr>
          <w:rFonts w:ascii="Times New Roman" w:hAnsi="Times New Roman" w:cs="Times New Roman"/>
          <w:sz w:val="20"/>
          <w:szCs w:val="20"/>
        </w:rPr>
        <w:t>[3</w:t>
      </w:r>
      <w:r w:rsidRPr="00943ABF">
        <w:rPr>
          <w:rFonts w:ascii="Times New Roman" w:hAnsi="Times New Roman" w:cs="Times New Roman"/>
          <w:sz w:val="20"/>
          <w:szCs w:val="20"/>
        </w:rPr>
        <w:t>]</w:t>
      </w:r>
      <w:r w:rsidRPr="00943ABF">
        <w:rPr>
          <w:rFonts w:ascii="Times New Roman" w:hAnsi="Times New Roman" w:cs="Times New Roman"/>
          <w:bCs/>
          <w:sz w:val="20"/>
          <w:szCs w:val="20"/>
          <w:shd w:val="clear" w:color="auto" w:fill="FFFFFF"/>
        </w:rPr>
        <w:t>.</w:t>
      </w:r>
    </w:p>
    <w:p w:rsidR="00943ABF" w:rsidRPr="00943ABF" w:rsidRDefault="00943ABF" w:rsidP="00943ABF">
      <w:pPr>
        <w:spacing w:after="0" w:line="240" w:lineRule="auto"/>
        <w:ind w:firstLine="708"/>
        <w:jc w:val="both"/>
        <w:rPr>
          <w:rFonts w:ascii="Times New Roman" w:hAnsi="Times New Roman" w:cs="Times New Roman"/>
          <w:bCs/>
          <w:sz w:val="20"/>
          <w:szCs w:val="20"/>
          <w:shd w:val="clear" w:color="auto" w:fill="FFFFFF"/>
        </w:rPr>
      </w:pPr>
      <w:r w:rsidRPr="00943ABF">
        <w:rPr>
          <w:rFonts w:ascii="Times New Roman" w:hAnsi="Times New Roman" w:cs="Times New Roman"/>
          <w:bCs/>
          <w:sz w:val="20"/>
          <w:szCs w:val="20"/>
          <w:shd w:val="clear" w:color="auto" w:fill="FFFFFF"/>
        </w:rPr>
        <w:t xml:space="preserve">Počinje između 25-te i 30-te godine, podjednako zahvata oba pola, a ispoljava se kao bol glave u napadima koji obično traju nekoliko sati (najčešće od 30 minuta do 7 dana) bez pratećih simptoma i aure. Osnovne osobine </w:t>
      </w:r>
      <w:r w:rsidR="00AF25EB">
        <w:rPr>
          <w:rFonts w:ascii="Times New Roman" w:hAnsi="Times New Roman" w:cs="Times New Roman"/>
          <w:bCs/>
          <w:sz w:val="20"/>
          <w:szCs w:val="20"/>
          <w:shd w:val="clear" w:color="auto" w:fill="FFFFFF"/>
        </w:rPr>
        <w:t xml:space="preserve">ovog nocioceptivnog </w:t>
      </w:r>
      <w:r w:rsidRPr="00943ABF">
        <w:rPr>
          <w:rFonts w:ascii="Times New Roman" w:hAnsi="Times New Roman" w:cs="Times New Roman"/>
          <w:bCs/>
          <w:sz w:val="20"/>
          <w:szCs w:val="20"/>
          <w:shd w:val="clear" w:color="auto" w:fill="FFFFFF"/>
        </w:rPr>
        <w:t xml:space="preserve">bola su njegova obostrana lokalizacija, nepulsirajući, stalan kvalitet, blaga do umerena težina, sa čestim pogoršanjem tokom dana i izostankom pogoršanja tokom uobičajenih fizičkih aktivnosti. Bolesnici se žale na osećaj pritiska ili stezanja u glavi i vratu, sa opisom klasične distribucije takvih senzacija u vidu „trake oko glave“ ili „kape“. Bol nije praćen mučninom, dok se za dijagnozu dozvoljava prisustvo jednog od simptoma foto-, odnosno fonofobije </w:t>
      </w:r>
      <w:r w:rsidRPr="00943ABF">
        <w:rPr>
          <w:rFonts w:ascii="Times New Roman" w:hAnsi="Times New Roman" w:cs="Times New Roman"/>
          <w:sz w:val="20"/>
          <w:szCs w:val="20"/>
        </w:rPr>
        <w:t>[1]</w:t>
      </w:r>
      <w:r w:rsidRPr="00943ABF">
        <w:rPr>
          <w:rFonts w:ascii="Times New Roman" w:hAnsi="Times New Roman" w:cs="Times New Roman"/>
          <w:bCs/>
          <w:sz w:val="20"/>
          <w:szCs w:val="20"/>
          <w:shd w:val="clear" w:color="auto" w:fill="FFFFFF"/>
        </w:rPr>
        <w:t>.</w:t>
      </w:r>
    </w:p>
    <w:p w:rsidR="00943ABF" w:rsidRPr="00943ABF" w:rsidRDefault="00943ABF" w:rsidP="00943ABF">
      <w:pPr>
        <w:spacing w:after="0" w:line="240" w:lineRule="auto"/>
        <w:ind w:firstLine="708"/>
        <w:jc w:val="both"/>
        <w:rPr>
          <w:rFonts w:ascii="Times New Roman" w:hAnsi="Times New Roman" w:cs="Times New Roman"/>
          <w:bCs/>
          <w:sz w:val="20"/>
          <w:szCs w:val="20"/>
          <w:shd w:val="clear" w:color="auto" w:fill="FFFFFF"/>
        </w:rPr>
      </w:pPr>
      <w:r w:rsidRPr="00943ABF">
        <w:rPr>
          <w:rFonts w:ascii="Times New Roman" w:hAnsi="Times New Roman" w:cs="Times New Roman"/>
          <w:bCs/>
          <w:sz w:val="20"/>
          <w:szCs w:val="20"/>
          <w:shd w:val="clear" w:color="auto" w:fill="FFFFFF"/>
        </w:rPr>
        <w:t>Povećana osetljivost perikranijalnih mišića pri palpaciji je najznačajniji patološki nalaz kod pacijenata sa glavoboljom tenzionog tipa sa perikranijalnom osetljivošću. Osetljivost je karakteristično prisutna u intervalima između glavobolja, povećava se tokom ataka i pojačava se porastom učestalosti glavobolja. Perikranijalnu osetljivost je lako registrovati manuelnom palpacijom, malim rotacionim pokretima uz čvrst pritisak</w:t>
      </w:r>
      <w:r w:rsidRPr="00943ABF">
        <w:rPr>
          <w:rFonts w:ascii="Times New Roman" w:hAnsi="Times New Roman" w:cs="Times New Roman"/>
          <w:sz w:val="20"/>
          <w:szCs w:val="20"/>
        </w:rPr>
        <w:t xml:space="preserve"> </w:t>
      </w:r>
      <w:r w:rsidRPr="00943ABF">
        <w:rPr>
          <w:rFonts w:ascii="Times New Roman" w:hAnsi="Times New Roman" w:cs="Times New Roman"/>
          <w:bCs/>
          <w:sz w:val="20"/>
          <w:szCs w:val="20"/>
          <w:shd w:val="clear" w:color="auto" w:fill="FFFFFF"/>
        </w:rPr>
        <w:t xml:space="preserve">na frontalne, temporalne, maseterične, pterigoidne, sternokleidomastoidne, splenijalne i trapezoidne mišiće </w:t>
      </w:r>
      <w:r w:rsidR="00AF25EB">
        <w:rPr>
          <w:rFonts w:ascii="Times New Roman" w:hAnsi="Times New Roman" w:cs="Times New Roman"/>
          <w:sz w:val="20"/>
          <w:szCs w:val="20"/>
        </w:rPr>
        <w:t>[3</w:t>
      </w:r>
      <w:r w:rsidRPr="00943ABF">
        <w:rPr>
          <w:rFonts w:ascii="Times New Roman" w:hAnsi="Times New Roman" w:cs="Times New Roman"/>
          <w:sz w:val="20"/>
          <w:szCs w:val="20"/>
        </w:rPr>
        <w:t>]</w:t>
      </w:r>
      <w:r w:rsidRPr="00943ABF">
        <w:rPr>
          <w:rFonts w:ascii="Times New Roman" w:hAnsi="Times New Roman" w:cs="Times New Roman"/>
          <w:bCs/>
          <w:sz w:val="20"/>
          <w:szCs w:val="20"/>
          <w:shd w:val="clear" w:color="auto" w:fill="FFFFFF"/>
        </w:rPr>
        <w:t>.</w:t>
      </w:r>
    </w:p>
    <w:p w:rsidR="009B3567" w:rsidRPr="009B3567" w:rsidRDefault="009B3567" w:rsidP="009B3567">
      <w:pPr>
        <w:spacing w:after="0" w:line="240" w:lineRule="auto"/>
        <w:ind w:firstLine="708"/>
        <w:jc w:val="both"/>
        <w:rPr>
          <w:rFonts w:ascii="Times New Roman" w:hAnsi="Times New Roman" w:cs="Times New Roman"/>
          <w:sz w:val="20"/>
          <w:szCs w:val="20"/>
        </w:rPr>
      </w:pPr>
      <w:r w:rsidRPr="009B3567">
        <w:rPr>
          <w:rFonts w:ascii="Times New Roman" w:hAnsi="Times New Roman" w:cs="Times New Roman"/>
          <w:sz w:val="20"/>
          <w:szCs w:val="20"/>
        </w:rPr>
        <w:t>Lumboishialgija predstavlja jedan od najčešćih problema savremene populacije i smatra se jednim od najčešćih razloga posete pacijenata primarnoj zdravstvenoj zaštiti</w:t>
      </w:r>
      <w:r w:rsidR="00AF25EB">
        <w:rPr>
          <w:rFonts w:ascii="Times New Roman" w:hAnsi="Times New Roman" w:cs="Times New Roman"/>
          <w:sz w:val="20"/>
          <w:szCs w:val="20"/>
        </w:rPr>
        <w:t xml:space="preserve"> [</w:t>
      </w:r>
      <w:r w:rsidRPr="009B3567">
        <w:rPr>
          <w:rFonts w:ascii="Times New Roman" w:hAnsi="Times New Roman" w:cs="Times New Roman"/>
          <w:sz w:val="20"/>
          <w:szCs w:val="20"/>
        </w:rPr>
        <w:t>4</w:t>
      </w:r>
      <w:r w:rsidR="00AF25EB">
        <w:rPr>
          <w:rFonts w:ascii="Times New Roman" w:hAnsi="Times New Roman" w:cs="Times New Roman"/>
          <w:sz w:val="20"/>
          <w:szCs w:val="20"/>
        </w:rPr>
        <w:t>, 5</w:t>
      </w:r>
      <w:r w:rsidRPr="009B3567">
        <w:rPr>
          <w:rFonts w:ascii="Times New Roman" w:hAnsi="Times New Roman" w:cs="Times New Roman"/>
          <w:sz w:val="20"/>
          <w:szCs w:val="20"/>
        </w:rPr>
        <w:t xml:space="preserve">]. Oko 40% populacije bar jednom tokom svog života oseti ovaj </w:t>
      </w:r>
      <w:r w:rsidR="00EF5220">
        <w:rPr>
          <w:rFonts w:ascii="Times New Roman" w:hAnsi="Times New Roman" w:cs="Times New Roman"/>
          <w:sz w:val="20"/>
          <w:szCs w:val="20"/>
        </w:rPr>
        <w:t xml:space="preserve">kombinovani </w:t>
      </w:r>
      <w:r w:rsidRPr="009B3567">
        <w:rPr>
          <w:rFonts w:ascii="Times New Roman" w:hAnsi="Times New Roman" w:cs="Times New Roman"/>
          <w:sz w:val="20"/>
          <w:szCs w:val="20"/>
        </w:rPr>
        <w:t>bol koji se prema trajanju može klasifikovati kao akutni (bol koji traje do mesec dana), subhronični (1-3 meseca), ili hronični (preko 3 meseca</w:t>
      </w:r>
      <w:r w:rsidR="004506F6">
        <w:rPr>
          <w:rFonts w:ascii="Times New Roman" w:hAnsi="Times New Roman" w:cs="Times New Roman"/>
          <w:sz w:val="20"/>
          <w:szCs w:val="20"/>
        </w:rPr>
        <w:t>) [6</w:t>
      </w:r>
      <w:r w:rsidRPr="009B3567">
        <w:rPr>
          <w:rFonts w:ascii="Times New Roman" w:hAnsi="Times New Roman" w:cs="Times New Roman"/>
          <w:sz w:val="20"/>
          <w:szCs w:val="20"/>
        </w:rPr>
        <w:t>].</w:t>
      </w:r>
    </w:p>
    <w:p w:rsidR="009B3567" w:rsidRPr="009B3567" w:rsidRDefault="009B3567" w:rsidP="009B3567">
      <w:pPr>
        <w:spacing w:after="0" w:line="240" w:lineRule="auto"/>
        <w:ind w:firstLine="708"/>
        <w:jc w:val="both"/>
        <w:rPr>
          <w:rFonts w:ascii="Times New Roman" w:hAnsi="Times New Roman" w:cs="Times New Roman"/>
          <w:sz w:val="20"/>
          <w:szCs w:val="20"/>
        </w:rPr>
      </w:pPr>
      <w:r w:rsidRPr="009B3567">
        <w:rPr>
          <w:rFonts w:ascii="Times New Roman" w:hAnsi="Times New Roman" w:cs="Times New Roman"/>
          <w:sz w:val="20"/>
          <w:szCs w:val="20"/>
        </w:rPr>
        <w:t xml:space="preserve">Kao najčešći uzroci navode se degenerativne promene kičmenog stuba </w:t>
      </w:r>
      <w:r w:rsidR="004506F6">
        <w:rPr>
          <w:rFonts w:ascii="Times New Roman" w:hAnsi="Times New Roman" w:cs="Times New Roman"/>
          <w:sz w:val="20"/>
          <w:szCs w:val="20"/>
        </w:rPr>
        <w:t>[7</w:t>
      </w:r>
      <w:r w:rsidRPr="009B3567">
        <w:rPr>
          <w:rFonts w:ascii="Times New Roman" w:hAnsi="Times New Roman" w:cs="Times New Roman"/>
          <w:sz w:val="20"/>
          <w:szCs w:val="20"/>
        </w:rPr>
        <w:t xml:space="preserve">]. </w:t>
      </w:r>
      <w:r w:rsidRPr="009B3567">
        <w:rPr>
          <w:rFonts w:ascii="Times New Roman" w:hAnsi="Times New Roman" w:cs="Times New Roman"/>
          <w:sz w:val="20"/>
          <w:szCs w:val="20"/>
          <w:shd w:val="clear" w:color="auto" w:fill="FFFFFF"/>
        </w:rPr>
        <w:t xml:space="preserve">Tipična klinička slika podrazumeva bol u donjem delu leđa nakon pokreta koji uključuju podizanje, uvijanje ili naginjanje prema napred </w:t>
      </w:r>
      <w:r w:rsidR="004506F6">
        <w:rPr>
          <w:rFonts w:ascii="Times New Roman" w:hAnsi="Times New Roman" w:cs="Times New Roman"/>
          <w:sz w:val="20"/>
          <w:szCs w:val="20"/>
        </w:rPr>
        <w:t>[8</w:t>
      </w:r>
      <w:r w:rsidRPr="009B3567">
        <w:rPr>
          <w:rFonts w:ascii="Times New Roman" w:hAnsi="Times New Roman" w:cs="Times New Roman"/>
          <w:sz w:val="20"/>
          <w:szCs w:val="20"/>
        </w:rPr>
        <w:t>]</w:t>
      </w:r>
      <w:r w:rsidRPr="009B3567">
        <w:rPr>
          <w:rFonts w:ascii="Times New Roman" w:hAnsi="Times New Roman" w:cs="Times New Roman"/>
          <w:sz w:val="20"/>
          <w:szCs w:val="20"/>
          <w:shd w:val="clear" w:color="auto" w:fill="FFFFFF"/>
        </w:rPr>
        <w:t xml:space="preserve">, sa tipičnom radijacijom u ekstremitet, duž zone koju inerviše određeni radiks (dermatom) </w:t>
      </w:r>
      <w:r w:rsidR="004506F6">
        <w:rPr>
          <w:rFonts w:ascii="Times New Roman" w:hAnsi="Times New Roman" w:cs="Times New Roman"/>
          <w:sz w:val="20"/>
          <w:szCs w:val="20"/>
        </w:rPr>
        <w:t>[9</w:t>
      </w:r>
      <w:r w:rsidRPr="009B3567">
        <w:rPr>
          <w:rFonts w:ascii="Times New Roman" w:hAnsi="Times New Roman" w:cs="Times New Roman"/>
          <w:sz w:val="20"/>
          <w:szCs w:val="20"/>
        </w:rPr>
        <w:t>]</w:t>
      </w:r>
      <w:r w:rsidRPr="009B3567">
        <w:rPr>
          <w:rFonts w:ascii="Times New Roman" w:hAnsi="Times New Roman" w:cs="Times New Roman"/>
          <w:sz w:val="20"/>
          <w:szCs w:val="20"/>
          <w:shd w:val="clear" w:color="auto" w:fill="FFFFFF"/>
        </w:rPr>
        <w:t xml:space="preserve">. Prvo iskustvo javlja se najčešće između 20-te i 40-te godine, te je često prvi razlog posete lekara u odraslom dobu </w:t>
      </w:r>
      <w:r w:rsidR="004506F6">
        <w:rPr>
          <w:rFonts w:ascii="Times New Roman" w:hAnsi="Times New Roman" w:cs="Times New Roman"/>
          <w:sz w:val="20"/>
          <w:szCs w:val="20"/>
        </w:rPr>
        <w:t>[8</w:t>
      </w:r>
      <w:r w:rsidRPr="009B3567">
        <w:rPr>
          <w:rFonts w:ascii="Times New Roman" w:hAnsi="Times New Roman" w:cs="Times New Roman"/>
          <w:sz w:val="20"/>
          <w:szCs w:val="20"/>
        </w:rPr>
        <w:t xml:space="preserve">]. </w:t>
      </w:r>
    </w:p>
    <w:p w:rsidR="009B3567" w:rsidRDefault="009B3567" w:rsidP="009B3567">
      <w:pPr>
        <w:spacing w:after="0" w:line="240" w:lineRule="auto"/>
        <w:ind w:firstLine="708"/>
        <w:jc w:val="both"/>
        <w:rPr>
          <w:rFonts w:ascii="Times New Roman" w:hAnsi="Times New Roman" w:cs="Times New Roman"/>
          <w:sz w:val="20"/>
          <w:szCs w:val="20"/>
          <w:shd w:val="clear" w:color="auto" w:fill="FFFFFF"/>
        </w:rPr>
      </w:pPr>
      <w:r w:rsidRPr="009B3567">
        <w:rPr>
          <w:rFonts w:ascii="Times New Roman" w:hAnsi="Times New Roman" w:cs="Times New Roman"/>
          <w:sz w:val="20"/>
          <w:szCs w:val="20"/>
          <w:shd w:val="clear" w:color="auto" w:fill="FFFFFF"/>
        </w:rPr>
        <w:t>I drugi problemi mogu se javiti kao posledica lumboishialgije. Hroničan bol može biti povezan s</w:t>
      </w:r>
      <w:r w:rsidRPr="009B3567">
        <w:rPr>
          <w:rStyle w:val="apple-converted-space"/>
          <w:rFonts w:ascii="Times New Roman" w:hAnsi="Times New Roman" w:cs="Times New Roman"/>
          <w:sz w:val="20"/>
          <w:szCs w:val="20"/>
          <w:shd w:val="clear" w:color="auto" w:fill="FFFFFF"/>
        </w:rPr>
        <w:t> </w:t>
      </w:r>
      <w:hyperlink r:id="rId5" w:tooltip="Несаница" w:history="1">
        <w:r w:rsidRPr="009B3567">
          <w:rPr>
            <w:rStyle w:val="Hyperlink"/>
            <w:rFonts w:ascii="Times New Roman" w:hAnsi="Times New Roman" w:cs="Times New Roman"/>
            <w:color w:val="auto"/>
            <w:sz w:val="20"/>
            <w:szCs w:val="20"/>
            <w:u w:val="none"/>
            <w:shd w:val="clear" w:color="auto" w:fill="FFFFFF"/>
          </w:rPr>
          <w:t>problemima sa spavanjem</w:t>
        </w:r>
      </w:hyperlink>
      <w:r w:rsidRPr="009B3567">
        <w:rPr>
          <w:rFonts w:ascii="Times New Roman" w:hAnsi="Times New Roman" w:cs="Times New Roman"/>
          <w:sz w:val="20"/>
          <w:szCs w:val="20"/>
          <w:shd w:val="clear" w:color="auto" w:fill="FFFFFF"/>
        </w:rPr>
        <w:t xml:space="preserve">, uključujući produženo vreme potrebno za usnivanje, nemiran san, kraće spavanje i smanjeno zadovoljstvo snom </w:t>
      </w:r>
      <w:r w:rsidR="004506F6">
        <w:rPr>
          <w:rFonts w:ascii="Times New Roman" w:hAnsi="Times New Roman" w:cs="Times New Roman"/>
          <w:sz w:val="20"/>
          <w:szCs w:val="20"/>
        </w:rPr>
        <w:t>[10</w:t>
      </w:r>
      <w:r w:rsidRPr="009B3567">
        <w:rPr>
          <w:rFonts w:ascii="Times New Roman" w:hAnsi="Times New Roman" w:cs="Times New Roman"/>
          <w:sz w:val="20"/>
          <w:szCs w:val="20"/>
        </w:rPr>
        <w:t>]</w:t>
      </w:r>
      <w:r w:rsidRPr="009B3567">
        <w:rPr>
          <w:rFonts w:ascii="Times New Roman" w:hAnsi="Times New Roman" w:cs="Times New Roman"/>
          <w:sz w:val="20"/>
          <w:szCs w:val="20"/>
          <w:shd w:val="clear" w:color="auto" w:fill="FFFFFF"/>
        </w:rPr>
        <w:t>.</w:t>
      </w:r>
      <w:r w:rsidRPr="009B3567">
        <w:rPr>
          <w:rStyle w:val="apple-converted-space"/>
          <w:rFonts w:ascii="Times New Roman" w:hAnsi="Times New Roman" w:cs="Times New Roman"/>
          <w:sz w:val="20"/>
          <w:szCs w:val="20"/>
          <w:shd w:val="clear" w:color="auto" w:fill="FFFFFF"/>
        </w:rPr>
        <w:t> </w:t>
      </w:r>
      <w:r w:rsidRPr="009B3567">
        <w:rPr>
          <w:rFonts w:ascii="Times New Roman" w:hAnsi="Times New Roman" w:cs="Times New Roman"/>
          <w:sz w:val="20"/>
          <w:szCs w:val="20"/>
          <w:shd w:val="clear" w:color="auto" w:fill="FFFFFF"/>
        </w:rPr>
        <w:t>Uz to, većina ljudi s hroničnim bolom u lumbalnom predelu pokazuje simptome</w:t>
      </w:r>
      <w:r w:rsidRPr="009B3567">
        <w:rPr>
          <w:rStyle w:val="apple-converted-space"/>
          <w:rFonts w:ascii="Times New Roman" w:hAnsi="Times New Roman" w:cs="Times New Roman"/>
          <w:sz w:val="20"/>
          <w:szCs w:val="20"/>
          <w:shd w:val="clear" w:color="auto" w:fill="FFFFFF"/>
        </w:rPr>
        <w:t> </w:t>
      </w:r>
      <w:r w:rsidRPr="009B3567">
        <w:rPr>
          <w:rFonts w:ascii="Times New Roman" w:hAnsi="Times New Roman" w:cs="Times New Roman"/>
          <w:sz w:val="20"/>
          <w:szCs w:val="20"/>
          <w:shd w:val="clear" w:color="auto" w:fill="FFFFFF"/>
        </w:rPr>
        <w:t xml:space="preserve">depresije </w:t>
      </w:r>
      <w:r w:rsidR="004506F6">
        <w:rPr>
          <w:rFonts w:ascii="Times New Roman" w:hAnsi="Times New Roman" w:cs="Times New Roman"/>
          <w:sz w:val="20"/>
          <w:szCs w:val="20"/>
        </w:rPr>
        <w:t>[11</w:t>
      </w:r>
      <w:r w:rsidRPr="009B3567">
        <w:rPr>
          <w:rFonts w:ascii="Times New Roman" w:hAnsi="Times New Roman" w:cs="Times New Roman"/>
          <w:sz w:val="20"/>
          <w:szCs w:val="20"/>
        </w:rPr>
        <w:t>]</w:t>
      </w:r>
      <w:r w:rsidRPr="009B3567">
        <w:rPr>
          <w:rFonts w:ascii="Times New Roman" w:hAnsi="Times New Roman" w:cs="Times New Roman"/>
          <w:sz w:val="20"/>
          <w:szCs w:val="20"/>
          <w:shd w:val="clear" w:color="auto" w:fill="FFFFFF"/>
        </w:rPr>
        <w:t xml:space="preserve"> ili</w:t>
      </w:r>
      <w:r w:rsidRPr="009B3567">
        <w:rPr>
          <w:rStyle w:val="apple-converted-space"/>
          <w:rFonts w:ascii="Times New Roman" w:hAnsi="Times New Roman" w:cs="Times New Roman"/>
          <w:sz w:val="20"/>
          <w:szCs w:val="20"/>
          <w:shd w:val="clear" w:color="auto" w:fill="FFFFFF"/>
        </w:rPr>
        <w:t> </w:t>
      </w:r>
      <w:hyperlink r:id="rId6" w:tooltip="Анксиозност" w:history="1">
        <w:r w:rsidRPr="009B3567">
          <w:rPr>
            <w:rStyle w:val="Hyperlink"/>
            <w:rFonts w:ascii="Times New Roman" w:hAnsi="Times New Roman" w:cs="Times New Roman"/>
            <w:color w:val="auto"/>
            <w:sz w:val="20"/>
            <w:szCs w:val="20"/>
            <w:u w:val="none"/>
            <w:shd w:val="clear" w:color="auto" w:fill="FFFFFF"/>
          </w:rPr>
          <w:t>anksioznosti</w:t>
        </w:r>
      </w:hyperlink>
      <w:r w:rsidRPr="009B3567">
        <w:rPr>
          <w:rFonts w:ascii="Times New Roman" w:hAnsi="Times New Roman" w:cs="Times New Roman"/>
          <w:sz w:val="20"/>
          <w:szCs w:val="20"/>
          <w:shd w:val="clear" w:color="auto" w:fill="FFFFFF"/>
        </w:rPr>
        <w:t xml:space="preserve"> </w:t>
      </w:r>
      <w:r w:rsidR="004506F6">
        <w:rPr>
          <w:rFonts w:ascii="Times New Roman" w:hAnsi="Times New Roman" w:cs="Times New Roman"/>
          <w:sz w:val="20"/>
          <w:szCs w:val="20"/>
        </w:rPr>
        <w:t>[12</w:t>
      </w:r>
      <w:r w:rsidRPr="009B3567">
        <w:rPr>
          <w:rFonts w:ascii="Times New Roman" w:hAnsi="Times New Roman" w:cs="Times New Roman"/>
          <w:sz w:val="20"/>
          <w:szCs w:val="20"/>
        </w:rPr>
        <w:t>]</w:t>
      </w:r>
      <w:r w:rsidRPr="009B3567">
        <w:rPr>
          <w:rFonts w:ascii="Times New Roman" w:hAnsi="Times New Roman" w:cs="Times New Roman"/>
          <w:sz w:val="20"/>
          <w:szCs w:val="20"/>
          <w:shd w:val="clear" w:color="auto" w:fill="FFFFFF"/>
        </w:rPr>
        <w:t>.</w:t>
      </w:r>
    </w:p>
    <w:p w:rsidR="004506F6" w:rsidRDefault="004506F6" w:rsidP="005E2FCA">
      <w:pPr>
        <w:spacing w:after="0" w:line="240" w:lineRule="auto"/>
        <w:jc w:val="both"/>
        <w:rPr>
          <w:rFonts w:ascii="Times New Roman" w:hAnsi="Times New Roman" w:cs="Times New Roman"/>
          <w:sz w:val="20"/>
          <w:szCs w:val="20"/>
          <w:shd w:val="clear" w:color="auto" w:fill="FFFFFF"/>
        </w:rPr>
      </w:pPr>
    </w:p>
    <w:p w:rsidR="004506F6" w:rsidRDefault="004506F6" w:rsidP="004506F6">
      <w:pPr>
        <w:spacing w:after="0" w:line="240" w:lineRule="auto"/>
        <w:jc w:val="both"/>
        <w:rPr>
          <w:rFonts w:ascii="Times New Roman" w:hAnsi="Times New Roman" w:cs="Times New Roman"/>
          <w:sz w:val="20"/>
          <w:szCs w:val="20"/>
          <w:shd w:val="clear" w:color="auto" w:fill="FFFFFF"/>
        </w:rPr>
      </w:pPr>
    </w:p>
    <w:p w:rsidR="004506F6" w:rsidRPr="005D5B60" w:rsidRDefault="004506F6" w:rsidP="00B83FF5">
      <w:pPr>
        <w:spacing w:after="0" w:line="240" w:lineRule="auto"/>
        <w:jc w:val="center"/>
        <w:rPr>
          <w:rFonts w:ascii="Times New Roman" w:hAnsi="Times New Roman" w:cs="Times New Roman"/>
          <w:b/>
          <w:shd w:val="clear" w:color="auto" w:fill="FFFFFF"/>
        </w:rPr>
      </w:pPr>
      <w:r w:rsidRPr="005D5B60">
        <w:rPr>
          <w:rFonts w:ascii="Times New Roman" w:hAnsi="Times New Roman" w:cs="Times New Roman"/>
          <w:b/>
          <w:shd w:val="clear" w:color="auto" w:fill="FFFFFF"/>
        </w:rPr>
        <w:t>Cilj</w:t>
      </w:r>
    </w:p>
    <w:p w:rsidR="004506F6" w:rsidRDefault="004506F6" w:rsidP="004506F6">
      <w:pPr>
        <w:spacing w:after="0" w:line="240" w:lineRule="auto"/>
        <w:jc w:val="both"/>
        <w:rPr>
          <w:rFonts w:ascii="Times New Roman" w:hAnsi="Times New Roman" w:cs="Times New Roman"/>
          <w:sz w:val="20"/>
          <w:szCs w:val="20"/>
          <w:shd w:val="clear" w:color="auto" w:fill="FFFFFF"/>
        </w:rPr>
      </w:pPr>
    </w:p>
    <w:p w:rsidR="004506F6" w:rsidRDefault="004506F6" w:rsidP="004506F6">
      <w:pPr>
        <w:spacing w:after="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ab/>
        <w:t>Cilj našeg rada bio je da:</w:t>
      </w:r>
    </w:p>
    <w:p w:rsidR="004506F6" w:rsidRDefault="004506F6" w:rsidP="004506F6">
      <w:pPr>
        <w:pStyle w:val="ListParagraph"/>
        <w:numPr>
          <w:ilvl w:val="0"/>
          <w:numId w:val="2"/>
        </w:numPr>
        <w:spacing w:after="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Odredimo prag bola kod pacijenata sa glavoboljom tenzionog tipa sa perikranijalnom osetljivošću, pacijenata sa lumboishialgijom i zdravih volontera;</w:t>
      </w:r>
    </w:p>
    <w:p w:rsidR="004506F6" w:rsidRDefault="004506F6" w:rsidP="004506F6">
      <w:pPr>
        <w:pStyle w:val="ListParagraph"/>
        <w:numPr>
          <w:ilvl w:val="0"/>
          <w:numId w:val="2"/>
        </w:numPr>
        <w:spacing w:after="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Uporedimo dobijene vrednosti:</w:t>
      </w:r>
    </w:p>
    <w:p w:rsidR="004506F6" w:rsidRDefault="004506F6" w:rsidP="004506F6">
      <w:pPr>
        <w:pStyle w:val="ListParagraph"/>
        <w:numPr>
          <w:ilvl w:val="0"/>
          <w:numId w:val="3"/>
        </w:numPr>
        <w:spacing w:after="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U ispitanim studijskim grupama;</w:t>
      </w:r>
    </w:p>
    <w:p w:rsidR="004506F6" w:rsidRDefault="004506F6" w:rsidP="004506F6">
      <w:pPr>
        <w:pStyle w:val="ListParagraph"/>
        <w:numPr>
          <w:ilvl w:val="0"/>
          <w:numId w:val="3"/>
        </w:numPr>
        <w:spacing w:after="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Između dominantnog bolnog predela sa manje bolnim / bezbolnim predelima ispitanih studijskih grupa</w:t>
      </w:r>
    </w:p>
    <w:p w:rsidR="004506F6" w:rsidRDefault="004506F6" w:rsidP="004506F6">
      <w:pPr>
        <w:spacing w:after="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Hipoteza 1: Pacijenti sa glavoboljom imaju </w:t>
      </w:r>
      <w:r w:rsidR="00A077B5">
        <w:rPr>
          <w:rFonts w:ascii="Times New Roman" w:hAnsi="Times New Roman" w:cs="Times New Roman"/>
          <w:sz w:val="20"/>
          <w:szCs w:val="20"/>
          <w:shd w:val="clear" w:color="auto" w:fill="FFFFFF"/>
        </w:rPr>
        <w:t xml:space="preserve">statistički značajno </w:t>
      </w:r>
      <w:r>
        <w:rPr>
          <w:rFonts w:ascii="Times New Roman" w:hAnsi="Times New Roman" w:cs="Times New Roman"/>
          <w:sz w:val="20"/>
          <w:szCs w:val="20"/>
          <w:shd w:val="clear" w:color="auto" w:fill="FFFFFF"/>
        </w:rPr>
        <w:t xml:space="preserve">niži prag bola </w:t>
      </w:r>
      <w:r w:rsidR="008C40B1">
        <w:rPr>
          <w:rFonts w:ascii="Times New Roman" w:hAnsi="Times New Roman" w:cs="Times New Roman"/>
          <w:sz w:val="20"/>
          <w:szCs w:val="20"/>
          <w:shd w:val="clear" w:color="auto" w:fill="FFFFFF"/>
        </w:rPr>
        <w:t xml:space="preserve">u odnosu na pacijente sa lumboishialgijom </w:t>
      </w:r>
      <w:r>
        <w:rPr>
          <w:rFonts w:ascii="Times New Roman" w:hAnsi="Times New Roman" w:cs="Times New Roman"/>
          <w:sz w:val="20"/>
          <w:szCs w:val="20"/>
          <w:shd w:val="clear" w:color="auto" w:fill="FFFFFF"/>
        </w:rPr>
        <w:t>na ispitivanim tačkama poglavine.</w:t>
      </w:r>
    </w:p>
    <w:p w:rsidR="008C40B1" w:rsidRDefault="004506F6" w:rsidP="004506F6">
      <w:pPr>
        <w:spacing w:after="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Hi</w:t>
      </w:r>
      <w:r w:rsidR="008C40B1">
        <w:rPr>
          <w:rFonts w:ascii="Times New Roman" w:hAnsi="Times New Roman" w:cs="Times New Roman"/>
          <w:sz w:val="20"/>
          <w:szCs w:val="20"/>
          <w:shd w:val="clear" w:color="auto" w:fill="FFFFFF"/>
        </w:rPr>
        <w:t xml:space="preserve">poteza 2: </w:t>
      </w:r>
      <w:r>
        <w:rPr>
          <w:rFonts w:ascii="Times New Roman" w:hAnsi="Times New Roman" w:cs="Times New Roman"/>
          <w:sz w:val="20"/>
          <w:szCs w:val="20"/>
          <w:shd w:val="clear" w:color="auto" w:fill="FFFFFF"/>
        </w:rPr>
        <w:t xml:space="preserve">Pacijenti sa lumboishialgijom imaju </w:t>
      </w:r>
      <w:r w:rsidR="00A077B5">
        <w:rPr>
          <w:rFonts w:ascii="Times New Roman" w:hAnsi="Times New Roman" w:cs="Times New Roman"/>
          <w:sz w:val="20"/>
          <w:szCs w:val="20"/>
          <w:shd w:val="clear" w:color="auto" w:fill="FFFFFF"/>
        </w:rPr>
        <w:t xml:space="preserve">statistički značajno </w:t>
      </w:r>
      <w:r>
        <w:rPr>
          <w:rFonts w:ascii="Times New Roman" w:hAnsi="Times New Roman" w:cs="Times New Roman"/>
          <w:sz w:val="20"/>
          <w:szCs w:val="20"/>
          <w:shd w:val="clear" w:color="auto" w:fill="FFFFFF"/>
        </w:rPr>
        <w:t xml:space="preserve">niži prag bola </w:t>
      </w:r>
      <w:r w:rsidR="008C40B1">
        <w:rPr>
          <w:rFonts w:ascii="Times New Roman" w:hAnsi="Times New Roman" w:cs="Times New Roman"/>
          <w:sz w:val="20"/>
          <w:szCs w:val="20"/>
          <w:shd w:val="clear" w:color="auto" w:fill="FFFFFF"/>
        </w:rPr>
        <w:t xml:space="preserve">u odnosu na pacijente sa glavoboljom </w:t>
      </w:r>
      <w:r>
        <w:rPr>
          <w:rFonts w:ascii="Times New Roman" w:hAnsi="Times New Roman" w:cs="Times New Roman"/>
          <w:sz w:val="20"/>
          <w:szCs w:val="20"/>
          <w:shd w:val="clear" w:color="auto" w:fill="FFFFFF"/>
        </w:rPr>
        <w:t xml:space="preserve">na ispitivanim tačkama </w:t>
      </w:r>
      <w:r w:rsidR="008C40B1">
        <w:rPr>
          <w:rFonts w:ascii="Times New Roman" w:hAnsi="Times New Roman" w:cs="Times New Roman"/>
          <w:sz w:val="20"/>
          <w:szCs w:val="20"/>
          <w:shd w:val="clear" w:color="auto" w:fill="FFFFFF"/>
        </w:rPr>
        <w:t>lumbosakralnog predela</w:t>
      </w:r>
      <w:r>
        <w:rPr>
          <w:rFonts w:ascii="Times New Roman" w:hAnsi="Times New Roman" w:cs="Times New Roman"/>
          <w:sz w:val="20"/>
          <w:szCs w:val="20"/>
          <w:shd w:val="clear" w:color="auto" w:fill="FFFFFF"/>
        </w:rPr>
        <w:t>.</w:t>
      </w:r>
    </w:p>
    <w:p w:rsidR="004506F6" w:rsidRDefault="008C40B1" w:rsidP="004506F6">
      <w:pPr>
        <w:spacing w:after="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Hipoteza 3: Pacijenti sa lumboishialgijom imaju </w:t>
      </w:r>
      <w:r w:rsidR="00A077B5">
        <w:rPr>
          <w:rFonts w:ascii="Times New Roman" w:hAnsi="Times New Roman" w:cs="Times New Roman"/>
          <w:sz w:val="20"/>
          <w:szCs w:val="20"/>
          <w:shd w:val="clear" w:color="auto" w:fill="FFFFFF"/>
        </w:rPr>
        <w:t xml:space="preserve">statistički značajno </w:t>
      </w:r>
      <w:r>
        <w:rPr>
          <w:rFonts w:ascii="Times New Roman" w:hAnsi="Times New Roman" w:cs="Times New Roman"/>
          <w:sz w:val="20"/>
          <w:szCs w:val="20"/>
          <w:shd w:val="clear" w:color="auto" w:fill="FFFFFF"/>
        </w:rPr>
        <w:t>niži prag bola u odnosu na pacijente sa glavoboljom na ispitivanim tačkama noge.</w:t>
      </w:r>
    </w:p>
    <w:p w:rsidR="00B83FF5" w:rsidRDefault="00B83FF5" w:rsidP="004506F6">
      <w:pPr>
        <w:spacing w:after="0" w:line="240" w:lineRule="auto"/>
        <w:jc w:val="both"/>
        <w:rPr>
          <w:rFonts w:ascii="Times New Roman" w:hAnsi="Times New Roman" w:cs="Times New Roman"/>
          <w:sz w:val="20"/>
          <w:szCs w:val="20"/>
          <w:shd w:val="clear" w:color="auto" w:fill="FFFFFF"/>
        </w:rPr>
      </w:pPr>
    </w:p>
    <w:p w:rsidR="00B83FF5" w:rsidRDefault="00B83FF5" w:rsidP="004506F6">
      <w:pPr>
        <w:spacing w:after="0" w:line="240" w:lineRule="auto"/>
        <w:jc w:val="both"/>
        <w:rPr>
          <w:rFonts w:ascii="Times New Roman" w:hAnsi="Times New Roman" w:cs="Times New Roman"/>
          <w:sz w:val="20"/>
          <w:szCs w:val="20"/>
          <w:shd w:val="clear" w:color="auto" w:fill="FFFFFF"/>
        </w:rPr>
      </w:pPr>
    </w:p>
    <w:p w:rsidR="00B83FF5" w:rsidRPr="00DB45FD" w:rsidRDefault="00B83FF5" w:rsidP="00DB45FD">
      <w:pPr>
        <w:spacing w:after="0" w:line="240" w:lineRule="auto"/>
        <w:jc w:val="center"/>
        <w:rPr>
          <w:rFonts w:ascii="Times New Roman" w:hAnsi="Times New Roman" w:cs="Times New Roman"/>
          <w:b/>
          <w:shd w:val="clear" w:color="auto" w:fill="FFFFFF"/>
        </w:rPr>
      </w:pPr>
      <w:r w:rsidRPr="00DB45FD">
        <w:rPr>
          <w:rFonts w:ascii="Times New Roman" w:hAnsi="Times New Roman" w:cs="Times New Roman"/>
          <w:b/>
          <w:shd w:val="clear" w:color="auto" w:fill="FFFFFF"/>
        </w:rPr>
        <w:t>Materijal i metode</w:t>
      </w:r>
    </w:p>
    <w:p w:rsidR="00B83FF5" w:rsidRDefault="00B83FF5" w:rsidP="004506F6">
      <w:pPr>
        <w:spacing w:after="0" w:line="240" w:lineRule="auto"/>
        <w:jc w:val="both"/>
        <w:rPr>
          <w:rFonts w:ascii="Times New Roman" w:hAnsi="Times New Roman" w:cs="Times New Roman"/>
          <w:sz w:val="20"/>
          <w:szCs w:val="20"/>
          <w:shd w:val="clear" w:color="auto" w:fill="FFFFFF"/>
        </w:rPr>
      </w:pPr>
    </w:p>
    <w:p w:rsidR="00B83FF5" w:rsidRDefault="00B83FF5" w:rsidP="004506F6">
      <w:pPr>
        <w:spacing w:after="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ab/>
        <w:t>Prospektivna studija sprovedena na Klinici za neurologiju u periodu od 01. 10. 2016. do 10. 02. 2017. godine obuhvatala je 59 ispitanika (</w:t>
      </w:r>
      <w:r w:rsidR="00046366">
        <w:rPr>
          <w:rFonts w:ascii="Times New Roman" w:hAnsi="Times New Roman" w:cs="Times New Roman"/>
          <w:sz w:val="20"/>
          <w:szCs w:val="20"/>
          <w:shd w:val="clear" w:color="auto" w:fill="FFFFFF"/>
        </w:rPr>
        <w:t xml:space="preserve">15 pacijenata sa glavoboljom tenzionog tipa sa perikranijalnom osetljivošću, 19 pacijenata </w:t>
      </w:r>
      <w:r w:rsidR="00046366">
        <w:rPr>
          <w:rFonts w:ascii="Times New Roman" w:hAnsi="Times New Roman" w:cs="Times New Roman"/>
          <w:sz w:val="20"/>
          <w:szCs w:val="20"/>
          <w:shd w:val="clear" w:color="auto" w:fill="FFFFFF"/>
        </w:rPr>
        <w:lastRenderedPageBreak/>
        <w:t>sa lumboishialgijom i 25 zdravih volontera</w:t>
      </w:r>
      <w:r w:rsidR="00A3441A">
        <w:rPr>
          <w:rFonts w:ascii="Times New Roman" w:hAnsi="Times New Roman" w:cs="Times New Roman"/>
          <w:sz w:val="20"/>
          <w:szCs w:val="20"/>
          <w:shd w:val="clear" w:color="auto" w:fill="FFFFFF"/>
        </w:rPr>
        <w:t>)</w:t>
      </w:r>
      <w:r w:rsidR="00046366">
        <w:rPr>
          <w:rFonts w:ascii="Times New Roman" w:hAnsi="Times New Roman" w:cs="Times New Roman"/>
          <w:sz w:val="20"/>
          <w:szCs w:val="20"/>
          <w:shd w:val="clear" w:color="auto" w:fill="FFFFFF"/>
        </w:rPr>
        <w:t>. Kao izvor podataka korišćena je medicinska dokumentacija Klinike za neurologiju, Kliničkog centra Vojvodine, dopunjena kliničkim podacima dobijenim anamnezom i fizikalnim pregledom. Anketnim upitnikom (Pain detect) potvrđeno je prisustvo neuropatskog bola, a nakon toga, uz pomoć digitalnog algometra, pacijentima je ispitivan prag bola.</w:t>
      </w:r>
    </w:p>
    <w:p w:rsidR="00046366" w:rsidRDefault="00046366" w:rsidP="004506F6">
      <w:pPr>
        <w:spacing w:after="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ab/>
        <w:t>Kriterijumi za uključivanje u studijsku grupu pacijenata sa gravoboljom tenzionog tipa sa perikranijalnom osetljivošću:</w:t>
      </w:r>
    </w:p>
    <w:p w:rsidR="00046366" w:rsidRDefault="00046366" w:rsidP="00046366">
      <w:pPr>
        <w:pStyle w:val="ListParagraph"/>
        <w:numPr>
          <w:ilvl w:val="0"/>
          <w:numId w:val="4"/>
        </w:numPr>
        <w:spacing w:after="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Najmanje 10 epizoda glavobolje koje se prosečno javljaju 1-14 dana u mesecu, tokom &gt; 3 meseca</w:t>
      </w:r>
    </w:p>
    <w:p w:rsidR="00046366" w:rsidRDefault="00046366" w:rsidP="00046366">
      <w:pPr>
        <w:pStyle w:val="ListParagraph"/>
        <w:numPr>
          <w:ilvl w:val="0"/>
          <w:numId w:val="4"/>
        </w:numPr>
        <w:spacing w:after="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Trajanje od 30 minuta do 7 dana</w:t>
      </w:r>
    </w:p>
    <w:p w:rsidR="00046366" w:rsidRDefault="00046366" w:rsidP="00046366">
      <w:pPr>
        <w:pStyle w:val="ListParagraph"/>
        <w:numPr>
          <w:ilvl w:val="0"/>
          <w:numId w:val="4"/>
        </w:numPr>
        <w:spacing w:after="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Najmanje tri od navedenih pet karakteristika:</w:t>
      </w:r>
    </w:p>
    <w:p w:rsidR="00046366" w:rsidRDefault="00046366" w:rsidP="00046366">
      <w:pPr>
        <w:pStyle w:val="ListParagraph"/>
        <w:numPr>
          <w:ilvl w:val="0"/>
          <w:numId w:val="5"/>
        </w:numPr>
        <w:spacing w:after="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Obostrana lokalizacija</w:t>
      </w:r>
    </w:p>
    <w:p w:rsidR="00046366" w:rsidRDefault="00046366" w:rsidP="00046366">
      <w:pPr>
        <w:pStyle w:val="ListParagraph"/>
        <w:numPr>
          <w:ilvl w:val="0"/>
          <w:numId w:val="5"/>
        </w:numPr>
        <w:spacing w:after="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Kvalitet pritiska ili stezanja (nepulsirajuća)</w:t>
      </w:r>
    </w:p>
    <w:p w:rsidR="00046366" w:rsidRDefault="00046366" w:rsidP="00046366">
      <w:pPr>
        <w:pStyle w:val="ListParagraph"/>
        <w:numPr>
          <w:ilvl w:val="0"/>
          <w:numId w:val="5"/>
        </w:numPr>
        <w:spacing w:after="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Blag ili umeren kvalitet</w:t>
      </w:r>
    </w:p>
    <w:p w:rsidR="00046366" w:rsidRDefault="00046366" w:rsidP="00046366">
      <w:pPr>
        <w:pStyle w:val="ListParagraph"/>
        <w:numPr>
          <w:ilvl w:val="0"/>
          <w:numId w:val="5"/>
        </w:numPr>
        <w:spacing w:after="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Bez pogoršanja pri uobičajenoj fizičkoj aktivnosti</w:t>
      </w:r>
    </w:p>
    <w:p w:rsidR="00046366" w:rsidRDefault="00046366" w:rsidP="00046366">
      <w:pPr>
        <w:pStyle w:val="ListParagraph"/>
        <w:numPr>
          <w:ilvl w:val="0"/>
          <w:numId w:val="5"/>
        </w:numPr>
        <w:spacing w:after="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Bez mučnine ili povraćanja</w:t>
      </w:r>
    </w:p>
    <w:p w:rsidR="00046366" w:rsidRPr="00046366" w:rsidRDefault="00046366" w:rsidP="00046366">
      <w:pPr>
        <w:pStyle w:val="ListParagraph"/>
        <w:numPr>
          <w:ilvl w:val="0"/>
          <w:numId w:val="4"/>
        </w:numPr>
        <w:spacing w:after="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Povećana perikranijalna osetljivost na palpaciju </w:t>
      </w:r>
      <w:r>
        <w:rPr>
          <w:rFonts w:ascii="Times New Roman" w:hAnsi="Times New Roman" w:cs="Times New Roman"/>
          <w:sz w:val="20"/>
          <w:szCs w:val="20"/>
        </w:rPr>
        <w:t>[3</w:t>
      </w:r>
      <w:r w:rsidRPr="009B3567">
        <w:rPr>
          <w:rFonts w:ascii="Times New Roman" w:hAnsi="Times New Roman" w:cs="Times New Roman"/>
          <w:sz w:val="20"/>
          <w:szCs w:val="20"/>
        </w:rPr>
        <w:t>]</w:t>
      </w:r>
    </w:p>
    <w:p w:rsidR="00046366" w:rsidRPr="00046366" w:rsidRDefault="00046366" w:rsidP="00046366">
      <w:pPr>
        <w:pStyle w:val="ListParagraph"/>
        <w:numPr>
          <w:ilvl w:val="0"/>
          <w:numId w:val="4"/>
        </w:numPr>
        <w:spacing w:after="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rPr>
        <w:t>Odsustvo lumbalnog bola</w:t>
      </w:r>
    </w:p>
    <w:p w:rsidR="00806A2C" w:rsidRPr="00806A2C" w:rsidRDefault="00806A2C" w:rsidP="00577C03">
      <w:pPr>
        <w:shd w:val="clear" w:color="auto" w:fill="FFFFFF"/>
        <w:spacing w:after="0" w:line="240" w:lineRule="auto"/>
        <w:ind w:firstLine="708"/>
        <w:jc w:val="both"/>
        <w:rPr>
          <w:rFonts w:ascii="Times New Roman" w:eastAsia="Times New Roman" w:hAnsi="Times New Roman" w:cs="Times New Roman"/>
          <w:sz w:val="20"/>
          <w:szCs w:val="20"/>
          <w:lang w:eastAsia="sr-Latn-RS"/>
        </w:rPr>
      </w:pPr>
      <w:r w:rsidRPr="00806A2C">
        <w:rPr>
          <w:rFonts w:ascii="Times New Roman" w:eastAsia="Times New Roman" w:hAnsi="Times New Roman" w:cs="Times New Roman"/>
          <w:sz w:val="20"/>
          <w:szCs w:val="20"/>
          <w:lang w:eastAsia="sr-Latn-RS"/>
        </w:rPr>
        <w:t>Kriterijumi za uključivanje u studijsku grupu pacijenata sa lumbalnim bolom:</w:t>
      </w:r>
    </w:p>
    <w:p w:rsidR="00806A2C" w:rsidRPr="00806A2C" w:rsidRDefault="00806A2C" w:rsidP="00806A2C">
      <w:pPr>
        <w:numPr>
          <w:ilvl w:val="0"/>
          <w:numId w:val="10"/>
        </w:numPr>
        <w:shd w:val="clear" w:color="auto" w:fill="FFFFFF"/>
        <w:spacing w:after="0" w:line="240" w:lineRule="auto"/>
        <w:jc w:val="both"/>
        <w:rPr>
          <w:rFonts w:ascii="Times New Roman" w:eastAsia="Times New Roman" w:hAnsi="Times New Roman" w:cs="Times New Roman"/>
          <w:color w:val="000000" w:themeColor="text1"/>
          <w:sz w:val="20"/>
          <w:szCs w:val="20"/>
          <w:lang w:eastAsia="sr-Latn-RS"/>
        </w:rPr>
      </w:pPr>
      <w:r w:rsidRPr="00806A2C">
        <w:rPr>
          <w:rFonts w:ascii="Times New Roman" w:eastAsia="Times New Roman" w:hAnsi="Times New Roman" w:cs="Times New Roman"/>
          <w:color w:val="000000" w:themeColor="text1"/>
          <w:sz w:val="20"/>
          <w:szCs w:val="20"/>
          <w:lang w:eastAsia="sr-Latn-RS"/>
        </w:rPr>
        <w:t xml:space="preserve">Tup i vrlo jak bol u lumbosakralnom predelu koji se: </w:t>
      </w:r>
    </w:p>
    <w:p w:rsidR="00806A2C" w:rsidRPr="00806A2C" w:rsidRDefault="00806A2C" w:rsidP="00806A2C">
      <w:pPr>
        <w:pStyle w:val="ListParagraph"/>
        <w:numPr>
          <w:ilvl w:val="0"/>
          <w:numId w:val="11"/>
        </w:numPr>
        <w:shd w:val="clear" w:color="auto" w:fill="FFFFFF"/>
        <w:spacing w:after="0" w:line="240" w:lineRule="auto"/>
        <w:jc w:val="both"/>
        <w:rPr>
          <w:rFonts w:ascii="Times New Roman" w:eastAsia="Times New Roman" w:hAnsi="Times New Roman" w:cs="Times New Roman"/>
          <w:color w:val="000000" w:themeColor="text1"/>
          <w:sz w:val="20"/>
          <w:szCs w:val="20"/>
          <w:lang w:eastAsia="sr-Latn-RS"/>
        </w:rPr>
      </w:pPr>
      <w:r w:rsidRPr="00806A2C">
        <w:rPr>
          <w:rFonts w:ascii="Times New Roman" w:eastAsia="Times New Roman" w:hAnsi="Times New Roman" w:cs="Times New Roman"/>
          <w:color w:val="000000" w:themeColor="text1"/>
          <w:sz w:val="20"/>
          <w:szCs w:val="20"/>
          <w:lang w:eastAsia="sr-Latn-RS"/>
        </w:rPr>
        <w:t>Pogoršava u toku hoda, stajanja, kijanja, kašljanja ili istezanja</w:t>
      </w:r>
    </w:p>
    <w:p w:rsidR="00806A2C" w:rsidRPr="00806A2C" w:rsidRDefault="00806A2C" w:rsidP="00806A2C">
      <w:pPr>
        <w:pStyle w:val="ListParagraph"/>
        <w:numPr>
          <w:ilvl w:val="0"/>
          <w:numId w:val="11"/>
        </w:numPr>
        <w:shd w:val="clear" w:color="auto" w:fill="FFFFFF"/>
        <w:spacing w:after="0" w:line="240" w:lineRule="auto"/>
        <w:jc w:val="both"/>
        <w:rPr>
          <w:rFonts w:ascii="Times New Roman" w:eastAsia="Times New Roman" w:hAnsi="Times New Roman" w:cs="Times New Roman"/>
          <w:color w:val="000000" w:themeColor="text1"/>
          <w:sz w:val="20"/>
          <w:szCs w:val="20"/>
          <w:lang w:eastAsia="sr-Latn-RS"/>
        </w:rPr>
      </w:pPr>
      <w:r w:rsidRPr="00806A2C">
        <w:rPr>
          <w:rFonts w:ascii="Times New Roman" w:eastAsia="Times New Roman" w:hAnsi="Times New Roman" w:cs="Times New Roman"/>
          <w:color w:val="000000" w:themeColor="text1"/>
          <w:sz w:val="20"/>
          <w:szCs w:val="20"/>
          <w:lang w:eastAsia="sr-Latn-RS"/>
        </w:rPr>
        <w:t>Popušta u toku mirovanja, posebno ležanja, kada bolesnik zauzme položaj koji mu odgovara</w:t>
      </w:r>
    </w:p>
    <w:p w:rsidR="00806A2C" w:rsidRPr="00806A2C" w:rsidRDefault="00806A2C" w:rsidP="00806A2C">
      <w:pPr>
        <w:pStyle w:val="ListParagraph"/>
        <w:numPr>
          <w:ilvl w:val="0"/>
          <w:numId w:val="11"/>
        </w:numPr>
        <w:shd w:val="clear" w:color="auto" w:fill="FFFFFF"/>
        <w:spacing w:after="0" w:line="240" w:lineRule="auto"/>
        <w:jc w:val="both"/>
        <w:rPr>
          <w:rFonts w:ascii="Times New Roman" w:eastAsia="Times New Roman" w:hAnsi="Times New Roman" w:cs="Times New Roman"/>
          <w:color w:val="000000" w:themeColor="text1"/>
          <w:sz w:val="20"/>
          <w:szCs w:val="20"/>
          <w:lang w:eastAsia="sr-Latn-RS"/>
        </w:rPr>
      </w:pPr>
      <w:r w:rsidRPr="00806A2C">
        <w:rPr>
          <w:rFonts w:ascii="Times New Roman" w:eastAsia="Times New Roman" w:hAnsi="Times New Roman" w:cs="Times New Roman"/>
          <w:color w:val="000000" w:themeColor="text1"/>
          <w:sz w:val="20"/>
          <w:szCs w:val="20"/>
          <w:lang w:eastAsia="sr-Latn-RS"/>
        </w:rPr>
        <w:t>Tipično iradira u jednu nogu, duž zone koju inerviše određeni radiks</w:t>
      </w:r>
    </w:p>
    <w:p w:rsidR="00806A2C" w:rsidRPr="00125365" w:rsidRDefault="00806A2C" w:rsidP="00806A2C">
      <w:pPr>
        <w:numPr>
          <w:ilvl w:val="0"/>
          <w:numId w:val="10"/>
        </w:numPr>
        <w:shd w:val="clear" w:color="auto" w:fill="FFFFFF"/>
        <w:spacing w:after="0" w:line="240" w:lineRule="auto"/>
        <w:jc w:val="both"/>
        <w:rPr>
          <w:rFonts w:ascii="Times New Roman" w:eastAsia="Times New Roman" w:hAnsi="Times New Roman" w:cs="Times New Roman"/>
          <w:sz w:val="20"/>
          <w:szCs w:val="20"/>
          <w:lang w:eastAsia="sr-Latn-RS"/>
        </w:rPr>
      </w:pPr>
      <w:r w:rsidRPr="00806A2C">
        <w:rPr>
          <w:rFonts w:ascii="Times New Roman" w:eastAsia="Times New Roman" w:hAnsi="Times New Roman" w:cs="Times New Roman"/>
          <w:color w:val="000000" w:themeColor="text1"/>
          <w:sz w:val="20"/>
          <w:szCs w:val="20"/>
          <w:lang w:eastAsia="sr-Latn-RS"/>
        </w:rPr>
        <w:t xml:space="preserve">Pozitivan Lazarevićev i Bragardov test ili test istezanja u pronaciji </w:t>
      </w:r>
      <w:r w:rsidRPr="00806A2C">
        <w:rPr>
          <w:rFonts w:ascii="Times New Roman" w:eastAsia="Times New Roman" w:hAnsi="Times New Roman" w:cs="Times New Roman"/>
          <w:sz w:val="20"/>
          <w:szCs w:val="20"/>
          <w:lang w:eastAsia="sr-Latn-RS"/>
        </w:rPr>
        <w:t>[9]</w:t>
      </w:r>
      <w:r w:rsidRPr="00806A2C">
        <w:rPr>
          <w:rFonts w:ascii="Times New Roman" w:eastAsia="Times New Roman" w:hAnsi="Times New Roman" w:cs="Times New Roman"/>
          <w:sz w:val="20"/>
          <w:szCs w:val="20"/>
          <w:shd w:val="clear" w:color="auto" w:fill="FFFFFF"/>
          <w:lang w:eastAsia="sr-Latn-RS"/>
        </w:rPr>
        <w:t xml:space="preserve"> </w:t>
      </w:r>
    </w:p>
    <w:p w:rsidR="00125365" w:rsidRPr="00806A2C" w:rsidRDefault="00125365" w:rsidP="00806A2C">
      <w:pPr>
        <w:numPr>
          <w:ilvl w:val="0"/>
          <w:numId w:val="10"/>
        </w:numPr>
        <w:shd w:val="clear" w:color="auto" w:fill="FFFFFF"/>
        <w:spacing w:after="0" w:line="240" w:lineRule="auto"/>
        <w:jc w:val="both"/>
        <w:rPr>
          <w:rFonts w:ascii="Times New Roman" w:eastAsia="Times New Roman" w:hAnsi="Times New Roman" w:cs="Times New Roman"/>
          <w:sz w:val="20"/>
          <w:szCs w:val="20"/>
          <w:lang w:eastAsia="sr-Latn-RS"/>
        </w:rPr>
      </w:pPr>
      <w:r>
        <w:rPr>
          <w:rFonts w:ascii="Times New Roman" w:eastAsia="Times New Roman" w:hAnsi="Times New Roman" w:cs="Times New Roman"/>
          <w:color w:val="000000" w:themeColor="text1"/>
          <w:sz w:val="20"/>
          <w:szCs w:val="20"/>
          <w:lang w:eastAsia="sr-Latn-RS"/>
        </w:rPr>
        <w:t>Odsustvo ponavljanih epizoda glavobolja</w:t>
      </w:r>
    </w:p>
    <w:p w:rsidR="00806A2C" w:rsidRPr="00806A2C" w:rsidRDefault="00806A2C" w:rsidP="00577C03">
      <w:pPr>
        <w:shd w:val="clear" w:color="auto" w:fill="FFFFFF"/>
        <w:spacing w:after="0" w:line="240" w:lineRule="auto"/>
        <w:ind w:firstLine="708"/>
        <w:jc w:val="both"/>
        <w:rPr>
          <w:rFonts w:ascii="Times New Roman" w:eastAsia="Times New Roman" w:hAnsi="Times New Roman" w:cs="Times New Roman"/>
          <w:sz w:val="20"/>
          <w:szCs w:val="20"/>
          <w:lang w:eastAsia="sr-Latn-RS"/>
        </w:rPr>
      </w:pPr>
      <w:r w:rsidRPr="00806A2C">
        <w:rPr>
          <w:rFonts w:ascii="Times New Roman" w:eastAsia="Times New Roman" w:hAnsi="Times New Roman" w:cs="Times New Roman"/>
          <w:sz w:val="20"/>
          <w:szCs w:val="20"/>
          <w:lang w:eastAsia="sr-Latn-RS"/>
        </w:rPr>
        <w:t>U kontrolnu grupu uključeni su zdravi volonteri koji:</w:t>
      </w:r>
    </w:p>
    <w:p w:rsidR="00806A2C" w:rsidRPr="00806A2C" w:rsidRDefault="00806A2C" w:rsidP="00806A2C">
      <w:pPr>
        <w:numPr>
          <w:ilvl w:val="0"/>
          <w:numId w:val="9"/>
        </w:numPr>
        <w:shd w:val="clear" w:color="auto" w:fill="FFFFFF"/>
        <w:spacing w:after="0" w:line="240" w:lineRule="auto"/>
        <w:jc w:val="both"/>
        <w:rPr>
          <w:rFonts w:ascii="Times New Roman" w:eastAsia="Times New Roman" w:hAnsi="Times New Roman" w:cs="Times New Roman"/>
          <w:sz w:val="20"/>
          <w:szCs w:val="20"/>
          <w:lang w:eastAsia="sr-Latn-RS"/>
        </w:rPr>
      </w:pPr>
      <w:r w:rsidRPr="00806A2C">
        <w:rPr>
          <w:rFonts w:ascii="Times New Roman" w:eastAsia="Times New Roman" w:hAnsi="Times New Roman" w:cs="Times New Roman"/>
          <w:sz w:val="20"/>
          <w:szCs w:val="20"/>
          <w:lang w:eastAsia="sr-Latn-RS"/>
        </w:rPr>
        <w:t xml:space="preserve">Ne osećaju bol gore navedenih karakteristika u lumbosakralnom predelu </w:t>
      </w:r>
    </w:p>
    <w:p w:rsidR="00806A2C" w:rsidRPr="00806A2C" w:rsidRDefault="00806A2C" w:rsidP="00806A2C">
      <w:pPr>
        <w:numPr>
          <w:ilvl w:val="0"/>
          <w:numId w:val="9"/>
        </w:numPr>
        <w:shd w:val="clear" w:color="auto" w:fill="FFFFFF"/>
        <w:spacing w:after="0" w:line="240" w:lineRule="auto"/>
        <w:jc w:val="both"/>
        <w:rPr>
          <w:rFonts w:ascii="Times New Roman" w:eastAsia="Times New Roman" w:hAnsi="Times New Roman" w:cs="Times New Roman"/>
          <w:sz w:val="20"/>
          <w:szCs w:val="20"/>
          <w:lang w:eastAsia="sr-Latn-RS"/>
        </w:rPr>
      </w:pPr>
      <w:r w:rsidRPr="00806A2C">
        <w:rPr>
          <w:rFonts w:ascii="Times New Roman" w:eastAsia="Times New Roman" w:hAnsi="Times New Roman" w:cs="Times New Roman"/>
          <w:sz w:val="20"/>
          <w:szCs w:val="20"/>
          <w:lang w:eastAsia="sr-Latn-RS"/>
        </w:rPr>
        <w:t>Nemaju ponavljane epizode glabovolje i nisu bolno osetljivi na palpaciju</w:t>
      </w:r>
    </w:p>
    <w:p w:rsidR="00806A2C" w:rsidRPr="00806A2C" w:rsidRDefault="00806A2C" w:rsidP="00806A2C">
      <w:pPr>
        <w:spacing w:after="0" w:line="240" w:lineRule="auto"/>
        <w:ind w:firstLine="708"/>
        <w:jc w:val="both"/>
        <w:rPr>
          <w:rFonts w:ascii="Times New Roman" w:hAnsi="Times New Roman" w:cs="Times New Roman"/>
          <w:color w:val="000000" w:themeColor="text1"/>
          <w:sz w:val="20"/>
          <w:szCs w:val="20"/>
        </w:rPr>
      </w:pPr>
      <w:r w:rsidRPr="00806A2C">
        <w:rPr>
          <w:rFonts w:ascii="Times New Roman" w:hAnsi="Times New Roman" w:cs="Times New Roman"/>
          <w:sz w:val="20"/>
          <w:szCs w:val="20"/>
        </w:rPr>
        <w:t xml:space="preserve">Podaci su analizirani i obrađeni u programu </w:t>
      </w:r>
      <w:r w:rsidRPr="00806A2C">
        <w:rPr>
          <w:rFonts w:ascii="Times New Roman" w:hAnsi="Times New Roman" w:cs="Times New Roman"/>
          <w:bCs/>
          <w:i/>
          <w:color w:val="252525"/>
          <w:sz w:val="20"/>
          <w:szCs w:val="20"/>
          <w:shd w:val="clear" w:color="auto" w:fill="FFFFFF"/>
        </w:rPr>
        <w:t>Statistical Package for the Social Sciences</w:t>
      </w:r>
      <w:r w:rsidRPr="00806A2C">
        <w:rPr>
          <w:rFonts w:ascii="Times New Roman" w:hAnsi="Times New Roman" w:cs="Times New Roman"/>
          <w:i/>
          <w:sz w:val="20"/>
          <w:szCs w:val="20"/>
        </w:rPr>
        <w:t xml:space="preserve"> </w:t>
      </w:r>
      <w:r w:rsidRPr="00806A2C">
        <w:rPr>
          <w:rFonts w:ascii="Times New Roman" w:hAnsi="Times New Roman" w:cs="Times New Roman"/>
          <w:sz w:val="20"/>
          <w:szCs w:val="20"/>
        </w:rPr>
        <w:t xml:space="preserve">(SPSS), a proveru hipoteze o statističkoj značajnosti razlike </w:t>
      </w:r>
      <w:r w:rsidRPr="00806A2C">
        <w:rPr>
          <w:rFonts w:ascii="Times New Roman" w:hAnsi="Times New Roman" w:cs="Times New Roman"/>
          <w:color w:val="000000" w:themeColor="text1"/>
          <w:sz w:val="20"/>
          <w:szCs w:val="20"/>
        </w:rPr>
        <w:t>analizirali smo uz pomoć T testa</w:t>
      </w:r>
      <w:r w:rsidR="00181504">
        <w:rPr>
          <w:rFonts w:ascii="Times New Roman" w:hAnsi="Times New Roman" w:cs="Times New Roman"/>
          <w:color w:val="000000" w:themeColor="text1"/>
          <w:sz w:val="20"/>
          <w:szCs w:val="20"/>
        </w:rPr>
        <w:t xml:space="preserve"> sa nivoom značajnosti manjim</w:t>
      </w:r>
      <w:r w:rsidR="00A470ED">
        <w:rPr>
          <w:rFonts w:ascii="Times New Roman" w:hAnsi="Times New Roman" w:cs="Times New Roman"/>
          <w:color w:val="000000" w:themeColor="text1"/>
          <w:sz w:val="20"/>
          <w:szCs w:val="20"/>
        </w:rPr>
        <w:t xml:space="preserve"> od 0,05</w:t>
      </w:r>
      <w:r w:rsidRPr="00806A2C">
        <w:rPr>
          <w:rFonts w:ascii="Times New Roman" w:hAnsi="Times New Roman" w:cs="Times New Roman"/>
          <w:color w:val="000000" w:themeColor="text1"/>
          <w:sz w:val="20"/>
          <w:szCs w:val="20"/>
        </w:rPr>
        <w:t>.</w:t>
      </w:r>
    </w:p>
    <w:p w:rsidR="00806A2C" w:rsidRDefault="00806A2C" w:rsidP="00806A2C">
      <w:pPr>
        <w:spacing w:after="0" w:line="240" w:lineRule="auto"/>
        <w:jc w:val="both"/>
        <w:rPr>
          <w:rFonts w:ascii="Times New Roman" w:hAnsi="Times New Roman" w:cs="Times New Roman"/>
          <w:w w:val="104"/>
          <w:sz w:val="20"/>
          <w:szCs w:val="20"/>
        </w:rPr>
      </w:pPr>
      <w:r w:rsidRPr="00806A2C">
        <w:rPr>
          <w:rFonts w:ascii="Times New Roman" w:hAnsi="Times New Roman" w:cs="Times New Roman"/>
          <w:color w:val="000000" w:themeColor="text1"/>
          <w:sz w:val="20"/>
          <w:szCs w:val="20"/>
        </w:rPr>
        <w:tab/>
        <w:t xml:space="preserve">Prag bola utvrđen je pomoću digitalnog algometra sa maksimalnim kapacitetom od 50 </w:t>
      </w:r>
      <w:r w:rsidRPr="00806A2C">
        <w:rPr>
          <w:rFonts w:ascii="Times New Roman" w:hAnsi="Times New Roman" w:cs="Times New Roman"/>
          <w:spacing w:val="3"/>
          <w:w w:val="104"/>
          <w:sz w:val="20"/>
          <w:szCs w:val="20"/>
        </w:rPr>
        <w:t>l</w:t>
      </w:r>
      <w:r w:rsidRPr="00806A2C">
        <w:rPr>
          <w:rFonts w:ascii="Times New Roman" w:hAnsi="Times New Roman" w:cs="Times New Roman"/>
          <w:w w:val="104"/>
          <w:sz w:val="20"/>
          <w:szCs w:val="20"/>
        </w:rPr>
        <w:t>bf (Slika 1). Ovaj uređaj, povezan sa računarom pomoću komunikacionog kabla, predstavlja standardizovani instrument za merenje praga bola. Na njegovom vrhu nalazi se gumeni nastavak koji prislanjamo na ispitivane tačke. Pritisak postepeno pojačavamo, a nakon javljanje bola ispitanici pritiskaju taster na USB jedinici. Računar beleži dobijene vrednosti izražene u kPa/cm</w:t>
      </w:r>
      <w:r w:rsidRPr="00806A2C">
        <w:rPr>
          <w:rFonts w:ascii="Times New Roman" w:hAnsi="Times New Roman" w:cs="Times New Roman"/>
          <w:w w:val="104"/>
          <w:sz w:val="20"/>
          <w:szCs w:val="20"/>
          <w:vertAlign w:val="superscript"/>
        </w:rPr>
        <w:t>2</w:t>
      </w:r>
      <w:r w:rsidRPr="00806A2C">
        <w:rPr>
          <w:rFonts w:ascii="Times New Roman" w:hAnsi="Times New Roman" w:cs="Times New Roman"/>
          <w:w w:val="104"/>
          <w:sz w:val="20"/>
          <w:szCs w:val="20"/>
        </w:rPr>
        <w:t>, a ova vrednost predstavlja prag bola za tu tačku. Istraživanjem je ispitan prag bola na  8 tačaka poglavine, 10 tačaka u predelu lumbalne kičme i 10 tačaka na nozi (Slika 2). Svaka tačka testirana je 3 puta, a prag bola ispitivane tačke predstavlja aritmetičku sredinu dobijenih vrednosti.</w:t>
      </w:r>
    </w:p>
    <w:p w:rsidR="00806A2C" w:rsidRDefault="00F149CD" w:rsidP="00806A2C">
      <w:pPr>
        <w:spacing w:after="0" w:line="240" w:lineRule="auto"/>
        <w:jc w:val="both"/>
        <w:rPr>
          <w:rFonts w:ascii="Times New Roman" w:hAnsi="Times New Roman" w:cs="Times New Roman"/>
          <w:w w:val="104"/>
          <w:sz w:val="20"/>
          <w:szCs w:val="20"/>
        </w:rPr>
      </w:pPr>
      <w:r w:rsidRPr="009F4065">
        <w:rPr>
          <w:rFonts w:ascii="Verdana" w:hAnsi="Verdana" w:cs="Verdana"/>
          <w:noProof/>
          <w:sz w:val="24"/>
          <w:szCs w:val="24"/>
          <w:lang w:eastAsia="sr-Latn-RS"/>
        </w:rPr>
        <w:drawing>
          <wp:anchor distT="0" distB="0" distL="114300" distR="114300" simplePos="0" relativeHeight="251665408" behindDoc="1" locked="0" layoutInCell="0" allowOverlap="1" wp14:anchorId="5FC1F706" wp14:editId="2F2E79E5">
            <wp:simplePos x="0" y="0"/>
            <wp:positionH relativeFrom="margin">
              <wp:align>center</wp:align>
            </wp:positionH>
            <wp:positionV relativeFrom="paragraph">
              <wp:posOffset>203200</wp:posOffset>
            </wp:positionV>
            <wp:extent cx="2228850" cy="1572895"/>
            <wp:effectExtent l="0" t="0" r="0" b="825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28850" cy="157289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w w:val="104"/>
          <w:sz w:val="20"/>
          <w:szCs w:val="20"/>
        </w:rPr>
        <w:tab/>
      </w:r>
      <w:r>
        <w:rPr>
          <w:rFonts w:ascii="Times New Roman" w:hAnsi="Times New Roman" w:cs="Times New Roman"/>
          <w:w w:val="104"/>
          <w:sz w:val="20"/>
          <w:szCs w:val="20"/>
        </w:rPr>
        <w:tab/>
      </w:r>
      <w:r>
        <w:rPr>
          <w:rFonts w:ascii="Times New Roman" w:hAnsi="Times New Roman" w:cs="Times New Roman"/>
          <w:w w:val="104"/>
          <w:sz w:val="20"/>
          <w:szCs w:val="20"/>
        </w:rPr>
        <w:tab/>
      </w:r>
      <w:r>
        <w:rPr>
          <w:rFonts w:ascii="Times New Roman" w:hAnsi="Times New Roman" w:cs="Times New Roman"/>
          <w:w w:val="104"/>
          <w:sz w:val="20"/>
          <w:szCs w:val="20"/>
        </w:rPr>
        <w:tab/>
      </w:r>
      <w:r>
        <w:rPr>
          <w:rFonts w:ascii="Times New Roman" w:hAnsi="Times New Roman" w:cs="Times New Roman"/>
          <w:w w:val="104"/>
          <w:sz w:val="20"/>
          <w:szCs w:val="20"/>
        </w:rPr>
        <w:tab/>
      </w:r>
    </w:p>
    <w:p w:rsidR="00806A2C" w:rsidRPr="00C5645D" w:rsidRDefault="00806A2C" w:rsidP="00806A2C">
      <w:pPr>
        <w:spacing w:after="0" w:line="240" w:lineRule="auto"/>
        <w:jc w:val="center"/>
        <w:rPr>
          <w:rFonts w:ascii="Times New Roman" w:hAnsi="Times New Roman" w:cs="Times New Roman"/>
          <w:w w:val="104"/>
        </w:rPr>
      </w:pPr>
      <w:r w:rsidRPr="00C5645D">
        <w:rPr>
          <w:rFonts w:ascii="Times New Roman" w:hAnsi="Times New Roman" w:cs="Times New Roman"/>
          <w:w w:val="104"/>
        </w:rPr>
        <w:t>Slika 1. Digitalni algometar</w:t>
      </w:r>
    </w:p>
    <w:p w:rsidR="00806A2C" w:rsidRDefault="00806A2C" w:rsidP="00806A2C">
      <w:pPr>
        <w:spacing w:after="0" w:line="240" w:lineRule="auto"/>
        <w:jc w:val="center"/>
        <w:rPr>
          <w:rFonts w:ascii="Times New Roman" w:hAnsi="Times New Roman" w:cs="Times New Roman"/>
          <w:w w:val="104"/>
          <w:sz w:val="20"/>
          <w:szCs w:val="20"/>
        </w:rPr>
      </w:pPr>
    </w:p>
    <w:p w:rsidR="00806A2C" w:rsidRDefault="00806A2C" w:rsidP="00806A2C">
      <w:pPr>
        <w:spacing w:after="0" w:line="240" w:lineRule="auto"/>
        <w:jc w:val="center"/>
        <w:rPr>
          <w:rFonts w:ascii="Times New Roman" w:hAnsi="Times New Roman" w:cs="Times New Roman"/>
          <w:w w:val="104"/>
          <w:sz w:val="20"/>
          <w:szCs w:val="20"/>
        </w:rPr>
      </w:pPr>
    </w:p>
    <w:p w:rsidR="00806A2C" w:rsidRPr="00806A2C" w:rsidRDefault="00806A2C" w:rsidP="00806A2C">
      <w:pPr>
        <w:spacing w:after="0" w:line="240" w:lineRule="auto"/>
        <w:rPr>
          <w:rFonts w:ascii="Times New Roman" w:hAnsi="Times New Roman" w:cs="Times New Roman"/>
          <w:w w:val="104"/>
          <w:sz w:val="20"/>
          <w:szCs w:val="20"/>
        </w:rPr>
      </w:pPr>
      <w:r>
        <w:rPr>
          <w:rFonts w:ascii="Verdana" w:hAnsi="Verdana" w:cs="Verdana"/>
          <w:noProof/>
          <w:w w:val="104"/>
          <w:sz w:val="19"/>
          <w:szCs w:val="19"/>
          <w:lang w:eastAsia="sr-Latn-RS"/>
        </w:rPr>
        <w:lastRenderedPageBreak/>
        <w:drawing>
          <wp:inline distT="0" distB="0" distL="0" distR="0" wp14:anchorId="3375800B" wp14:editId="3DBDFC17">
            <wp:extent cx="2009775" cy="2815724"/>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21201" cy="2831732"/>
                    </a:xfrm>
                    <a:prstGeom prst="rect">
                      <a:avLst/>
                    </a:prstGeom>
                  </pic:spPr>
                </pic:pic>
              </a:graphicData>
            </a:graphic>
          </wp:inline>
        </w:drawing>
      </w:r>
      <w:r>
        <w:rPr>
          <w:rFonts w:ascii="Verdana" w:hAnsi="Verdana" w:cs="Verdana"/>
          <w:noProof/>
          <w:w w:val="104"/>
          <w:sz w:val="19"/>
          <w:szCs w:val="19"/>
          <w:lang w:eastAsia="sr-Latn-RS"/>
        </w:rPr>
        <w:t xml:space="preserve"> </w:t>
      </w:r>
      <w:r>
        <w:rPr>
          <w:rFonts w:ascii="Verdana" w:hAnsi="Verdana" w:cs="Verdana"/>
          <w:noProof/>
          <w:w w:val="104"/>
          <w:sz w:val="19"/>
          <w:szCs w:val="19"/>
          <w:lang w:eastAsia="sr-Latn-RS"/>
        </w:rPr>
        <w:drawing>
          <wp:inline distT="0" distB="0" distL="0" distR="0" wp14:anchorId="3C7CCCE2" wp14:editId="1ACCBB5E">
            <wp:extent cx="1551940" cy="2819196"/>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70470" cy="2852856"/>
                    </a:xfrm>
                    <a:prstGeom prst="rect">
                      <a:avLst/>
                    </a:prstGeom>
                  </pic:spPr>
                </pic:pic>
              </a:graphicData>
            </a:graphic>
          </wp:inline>
        </w:drawing>
      </w:r>
      <w:r>
        <w:rPr>
          <w:rFonts w:ascii="Verdana" w:hAnsi="Verdana" w:cs="Verdana"/>
          <w:noProof/>
          <w:w w:val="104"/>
          <w:sz w:val="19"/>
          <w:szCs w:val="19"/>
          <w:lang w:eastAsia="sr-Latn-RS"/>
        </w:rPr>
        <w:t xml:space="preserve"> </w:t>
      </w:r>
      <w:r>
        <w:rPr>
          <w:rFonts w:ascii="Verdana" w:hAnsi="Verdana" w:cs="Verdana"/>
          <w:noProof/>
          <w:w w:val="104"/>
          <w:sz w:val="19"/>
          <w:szCs w:val="19"/>
          <w:lang w:eastAsia="sr-Latn-RS"/>
        </w:rPr>
        <w:drawing>
          <wp:inline distT="0" distB="0" distL="0" distR="0" wp14:anchorId="3B3CC0A4" wp14:editId="24B735F6">
            <wp:extent cx="2019300" cy="2821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3.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39273" cy="2849408"/>
                    </a:xfrm>
                    <a:prstGeom prst="rect">
                      <a:avLst/>
                    </a:prstGeom>
                  </pic:spPr>
                </pic:pic>
              </a:graphicData>
            </a:graphic>
          </wp:inline>
        </w:drawing>
      </w:r>
      <w:r w:rsidR="004E6EA9">
        <w:rPr>
          <w:rFonts w:ascii="Verdana" w:hAnsi="Verdana" w:cs="Verdana"/>
          <w:noProof/>
          <w:w w:val="104"/>
          <w:sz w:val="19"/>
          <w:szCs w:val="19"/>
          <w:lang w:eastAsia="sr-Latn-RS"/>
        </w:rPr>
        <w:t xml:space="preserve"> </w:t>
      </w:r>
    </w:p>
    <w:p w:rsidR="00866F3E" w:rsidRPr="004E6EA9" w:rsidRDefault="004E6EA9" w:rsidP="004E6EA9">
      <w:pPr>
        <w:spacing w:after="0" w:line="240" w:lineRule="auto"/>
        <w:ind w:left="1416"/>
        <w:jc w:val="both"/>
        <w:rPr>
          <w:rFonts w:ascii="Times New Roman" w:hAnsi="Times New Roman" w:cs="Times New Roman"/>
          <w:shd w:val="clear" w:color="auto" w:fill="FFFFFF"/>
        </w:rPr>
      </w:pPr>
      <w:r>
        <w:rPr>
          <w:rFonts w:ascii="Times New Roman" w:hAnsi="Times New Roman" w:cs="Times New Roman"/>
          <w:sz w:val="20"/>
          <w:szCs w:val="20"/>
          <w:shd w:val="clear" w:color="auto" w:fill="FFFFFF"/>
        </w:rPr>
        <w:t xml:space="preserve">     </w:t>
      </w:r>
      <w:r>
        <w:rPr>
          <w:rFonts w:ascii="Times New Roman" w:hAnsi="Times New Roman" w:cs="Times New Roman"/>
          <w:shd w:val="clear" w:color="auto" w:fill="FFFFFF"/>
        </w:rPr>
        <w:t>A)</w:t>
      </w:r>
      <w:r w:rsidR="00806A2C" w:rsidRPr="004E6EA9">
        <w:rPr>
          <w:rFonts w:ascii="Times New Roman" w:hAnsi="Times New Roman" w:cs="Times New Roman"/>
          <w:sz w:val="20"/>
          <w:szCs w:val="20"/>
          <w:shd w:val="clear" w:color="auto" w:fill="FFFFFF"/>
        </w:rPr>
        <w:t xml:space="preserve">                 </w:t>
      </w:r>
      <w:r w:rsidR="00806A2C" w:rsidRPr="004E6EA9">
        <w:rPr>
          <w:rFonts w:ascii="Times New Roman" w:hAnsi="Times New Roman" w:cs="Times New Roman"/>
          <w:shd w:val="clear" w:color="auto" w:fill="FFFFFF"/>
        </w:rPr>
        <w:t xml:space="preserve">           </w:t>
      </w:r>
      <w:r w:rsidR="00806A2C" w:rsidRPr="004E6EA9">
        <w:rPr>
          <w:rFonts w:ascii="Times New Roman" w:hAnsi="Times New Roman" w:cs="Times New Roman"/>
          <w:shd w:val="clear" w:color="auto" w:fill="FFFFFF"/>
        </w:rPr>
        <w:tab/>
      </w:r>
      <w:r w:rsidR="00806A2C" w:rsidRPr="004E6EA9">
        <w:rPr>
          <w:rFonts w:ascii="Times New Roman" w:hAnsi="Times New Roman" w:cs="Times New Roman"/>
          <w:shd w:val="clear" w:color="auto" w:fill="FFFFFF"/>
        </w:rPr>
        <w:tab/>
        <w:t xml:space="preserve">   B)</w:t>
      </w:r>
      <w:r w:rsidR="00806A2C" w:rsidRPr="004E6EA9">
        <w:rPr>
          <w:rFonts w:ascii="Times New Roman" w:hAnsi="Times New Roman" w:cs="Times New Roman"/>
          <w:shd w:val="clear" w:color="auto" w:fill="FFFFFF"/>
        </w:rPr>
        <w:tab/>
      </w:r>
      <w:r w:rsidR="00806A2C" w:rsidRPr="004E6EA9">
        <w:rPr>
          <w:rFonts w:ascii="Times New Roman" w:hAnsi="Times New Roman" w:cs="Times New Roman"/>
          <w:shd w:val="clear" w:color="auto" w:fill="FFFFFF"/>
        </w:rPr>
        <w:tab/>
      </w:r>
      <w:r w:rsidR="00806A2C" w:rsidRPr="004E6EA9">
        <w:rPr>
          <w:rFonts w:ascii="Times New Roman" w:hAnsi="Times New Roman" w:cs="Times New Roman"/>
          <w:shd w:val="clear" w:color="auto" w:fill="FFFFFF"/>
        </w:rPr>
        <w:tab/>
      </w:r>
      <w:r w:rsidR="00806A2C" w:rsidRPr="004E6EA9">
        <w:rPr>
          <w:rFonts w:ascii="Times New Roman" w:hAnsi="Times New Roman" w:cs="Times New Roman"/>
          <w:shd w:val="clear" w:color="auto" w:fill="FFFFFF"/>
        </w:rPr>
        <w:tab/>
        <w:t xml:space="preserve">     C)</w:t>
      </w:r>
    </w:p>
    <w:p w:rsidR="00866F3E" w:rsidRDefault="00866F3E" w:rsidP="009B7BC1">
      <w:pPr>
        <w:spacing w:after="0" w:line="240" w:lineRule="auto"/>
        <w:rPr>
          <w:rFonts w:ascii="Verdana" w:hAnsi="Verdana" w:cs="Verdana"/>
          <w:i/>
          <w:noProof/>
          <w:w w:val="104"/>
          <w:sz w:val="19"/>
          <w:szCs w:val="19"/>
          <w:lang w:eastAsia="sr-Latn-RS"/>
        </w:rPr>
      </w:pPr>
      <w:r>
        <w:rPr>
          <w:rFonts w:ascii="Verdana" w:hAnsi="Verdana" w:cs="Verdana"/>
          <w:noProof/>
          <w:w w:val="104"/>
          <w:sz w:val="19"/>
          <w:szCs w:val="19"/>
          <w:lang w:eastAsia="sr-Latn-RS"/>
        </w:rPr>
        <w:drawing>
          <wp:inline distT="0" distB="0" distL="0" distR="0" wp14:anchorId="5CE1267B" wp14:editId="448E145A">
            <wp:extent cx="2108443" cy="2474595"/>
            <wp:effectExtent l="0" t="0" r="635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4.jpg"/>
                    <pic:cNvPicPr/>
                  </pic:nvPicPr>
                  <pic:blipFill>
                    <a:blip r:embed="rId11">
                      <a:extLst>
                        <a:ext uri="{28A0092B-C50C-407E-A947-70E740481C1C}">
                          <a14:useLocalDpi xmlns:a14="http://schemas.microsoft.com/office/drawing/2010/main" val="0"/>
                        </a:ext>
                      </a:extLst>
                    </a:blip>
                    <a:stretch>
                      <a:fillRect/>
                    </a:stretch>
                  </pic:blipFill>
                  <pic:spPr>
                    <a:xfrm>
                      <a:off x="0" y="0"/>
                      <a:ext cx="2118187" cy="2486031"/>
                    </a:xfrm>
                    <a:prstGeom prst="rect">
                      <a:avLst/>
                    </a:prstGeom>
                  </pic:spPr>
                </pic:pic>
              </a:graphicData>
            </a:graphic>
          </wp:inline>
        </w:drawing>
      </w:r>
      <w:r>
        <w:rPr>
          <w:rFonts w:ascii="Verdana" w:hAnsi="Verdana" w:cs="Verdana"/>
          <w:noProof/>
          <w:w w:val="104"/>
          <w:sz w:val="19"/>
          <w:szCs w:val="19"/>
          <w:lang w:eastAsia="sr-Latn-RS"/>
        </w:rPr>
        <w:t xml:space="preserve"> </w:t>
      </w:r>
      <w:r>
        <w:rPr>
          <w:rFonts w:ascii="Verdana" w:hAnsi="Verdana" w:cs="Verdana"/>
          <w:i/>
          <w:noProof/>
          <w:w w:val="104"/>
          <w:sz w:val="19"/>
          <w:szCs w:val="19"/>
          <w:lang w:eastAsia="sr-Latn-RS"/>
        </w:rPr>
        <w:drawing>
          <wp:inline distT="0" distB="0" distL="0" distR="0" wp14:anchorId="19AF881B" wp14:editId="7E052B41">
            <wp:extent cx="1641351" cy="248666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5.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56541" cy="2509673"/>
                    </a:xfrm>
                    <a:prstGeom prst="rect">
                      <a:avLst/>
                    </a:prstGeom>
                  </pic:spPr>
                </pic:pic>
              </a:graphicData>
            </a:graphic>
          </wp:inline>
        </w:drawing>
      </w:r>
      <w:r>
        <w:rPr>
          <w:rFonts w:ascii="Verdana" w:hAnsi="Verdana" w:cs="Verdana"/>
          <w:i/>
          <w:noProof/>
          <w:w w:val="104"/>
          <w:sz w:val="19"/>
          <w:szCs w:val="19"/>
          <w:lang w:eastAsia="sr-Latn-RS"/>
        </w:rPr>
        <w:t xml:space="preserve"> </w:t>
      </w:r>
      <w:r>
        <w:rPr>
          <w:rFonts w:ascii="Verdana" w:hAnsi="Verdana" w:cs="Verdana"/>
          <w:i/>
          <w:noProof/>
          <w:w w:val="104"/>
          <w:sz w:val="19"/>
          <w:szCs w:val="19"/>
          <w:lang w:eastAsia="sr-Latn-RS"/>
        </w:rPr>
        <w:drawing>
          <wp:inline distT="0" distB="0" distL="0" distR="0" wp14:anchorId="27594657" wp14:editId="26EC3679">
            <wp:extent cx="1885950" cy="24765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6.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85950" cy="2476500"/>
                    </a:xfrm>
                    <a:prstGeom prst="rect">
                      <a:avLst/>
                    </a:prstGeom>
                  </pic:spPr>
                </pic:pic>
              </a:graphicData>
            </a:graphic>
          </wp:inline>
        </w:drawing>
      </w:r>
    </w:p>
    <w:p w:rsidR="009B7BC1" w:rsidRDefault="00866F3E" w:rsidP="009B7BC1">
      <w:pPr>
        <w:spacing w:after="0" w:line="240" w:lineRule="auto"/>
        <w:ind w:left="708" w:firstLine="708"/>
        <w:rPr>
          <w:rFonts w:ascii="Times New Roman" w:hAnsi="Times New Roman" w:cs="Times New Roman"/>
          <w:w w:val="104"/>
        </w:rPr>
      </w:pPr>
      <w:r>
        <w:rPr>
          <w:rFonts w:ascii="Verdana" w:hAnsi="Verdana" w:cs="Verdana"/>
          <w:w w:val="104"/>
          <w:sz w:val="19"/>
          <w:szCs w:val="19"/>
        </w:rPr>
        <w:t xml:space="preserve"> </w:t>
      </w:r>
      <w:r w:rsidRPr="004E6EA9">
        <w:rPr>
          <w:rFonts w:ascii="Times New Roman" w:hAnsi="Times New Roman" w:cs="Times New Roman"/>
          <w:w w:val="104"/>
        </w:rPr>
        <w:t>D)</w:t>
      </w:r>
      <w:r w:rsidRPr="004E6EA9">
        <w:rPr>
          <w:rFonts w:ascii="Times New Roman" w:hAnsi="Times New Roman" w:cs="Times New Roman"/>
          <w:w w:val="104"/>
        </w:rPr>
        <w:tab/>
      </w:r>
      <w:r w:rsidRPr="004E6EA9">
        <w:rPr>
          <w:rFonts w:ascii="Times New Roman" w:hAnsi="Times New Roman" w:cs="Times New Roman"/>
          <w:w w:val="104"/>
        </w:rPr>
        <w:tab/>
      </w:r>
      <w:r w:rsidRPr="004E6EA9">
        <w:rPr>
          <w:rFonts w:ascii="Times New Roman" w:hAnsi="Times New Roman" w:cs="Times New Roman"/>
          <w:w w:val="104"/>
        </w:rPr>
        <w:tab/>
      </w:r>
      <w:r w:rsidRPr="004E6EA9">
        <w:rPr>
          <w:rFonts w:ascii="Times New Roman" w:hAnsi="Times New Roman" w:cs="Times New Roman"/>
          <w:w w:val="104"/>
        </w:rPr>
        <w:tab/>
        <w:t xml:space="preserve">   E)</w:t>
      </w:r>
      <w:r w:rsidRPr="004E6EA9">
        <w:rPr>
          <w:rFonts w:ascii="Times New Roman" w:hAnsi="Times New Roman" w:cs="Times New Roman"/>
          <w:w w:val="104"/>
        </w:rPr>
        <w:tab/>
      </w:r>
      <w:r w:rsidRPr="004E6EA9">
        <w:rPr>
          <w:rFonts w:ascii="Times New Roman" w:hAnsi="Times New Roman" w:cs="Times New Roman"/>
          <w:w w:val="104"/>
        </w:rPr>
        <w:tab/>
      </w:r>
      <w:r w:rsidRPr="004E6EA9">
        <w:rPr>
          <w:rFonts w:ascii="Times New Roman" w:hAnsi="Times New Roman" w:cs="Times New Roman"/>
          <w:w w:val="104"/>
        </w:rPr>
        <w:tab/>
      </w:r>
      <w:r w:rsidRPr="004E6EA9">
        <w:rPr>
          <w:rFonts w:ascii="Times New Roman" w:hAnsi="Times New Roman" w:cs="Times New Roman"/>
          <w:w w:val="104"/>
        </w:rPr>
        <w:tab/>
        <w:t xml:space="preserve">     F)</w:t>
      </w:r>
      <w:r w:rsidRPr="004E6EA9">
        <w:rPr>
          <w:rFonts w:ascii="Times New Roman" w:hAnsi="Times New Roman" w:cs="Times New Roman"/>
          <w:w w:val="104"/>
        </w:rPr>
        <w:tab/>
      </w:r>
    </w:p>
    <w:p w:rsidR="009B7BC1" w:rsidRDefault="009B7BC1" w:rsidP="009B7BC1">
      <w:pPr>
        <w:spacing w:after="0" w:line="240" w:lineRule="auto"/>
        <w:jc w:val="center"/>
        <w:rPr>
          <w:rFonts w:ascii="Times New Roman" w:hAnsi="Times New Roman" w:cs="Times New Roman"/>
          <w:noProof/>
          <w:w w:val="104"/>
          <w:lang w:eastAsia="sr-Latn-RS"/>
        </w:rPr>
      </w:pPr>
      <w:r w:rsidRPr="009B7BC1">
        <w:rPr>
          <w:rFonts w:ascii="Times New Roman" w:hAnsi="Times New Roman" w:cs="Times New Roman"/>
          <w:w w:val="104"/>
        </w:rPr>
        <w:t xml:space="preserve">Slika 2. </w:t>
      </w:r>
      <w:r w:rsidRPr="009B7BC1">
        <w:rPr>
          <w:rFonts w:ascii="Times New Roman" w:hAnsi="Times New Roman" w:cs="Times New Roman"/>
          <w:noProof/>
          <w:w w:val="104"/>
          <w:lang w:eastAsia="sr-Latn-RS"/>
        </w:rPr>
        <w:t>Prikaz ispitivanih tačaka A) Profil sa leve strane glave; B) Lice; C) Profil sa desne strane glave; D) Leđa; E) Noge i glutealni deo i F) Stopalo</w:t>
      </w:r>
    </w:p>
    <w:p w:rsidR="009B7BC1" w:rsidRDefault="009B7BC1" w:rsidP="009B7BC1">
      <w:pPr>
        <w:spacing w:after="0" w:line="240" w:lineRule="auto"/>
        <w:rPr>
          <w:rFonts w:ascii="Times New Roman" w:hAnsi="Times New Roman" w:cs="Times New Roman"/>
          <w:noProof/>
          <w:w w:val="104"/>
          <w:lang w:eastAsia="sr-Latn-RS"/>
        </w:rPr>
      </w:pPr>
    </w:p>
    <w:p w:rsidR="009B7BC1" w:rsidRDefault="009B7BC1" w:rsidP="009B7BC1">
      <w:pPr>
        <w:spacing w:after="0" w:line="240" w:lineRule="auto"/>
        <w:rPr>
          <w:rFonts w:ascii="Times New Roman" w:hAnsi="Times New Roman" w:cs="Times New Roman"/>
          <w:w w:val="104"/>
        </w:rPr>
      </w:pPr>
    </w:p>
    <w:p w:rsidR="009B7BC1" w:rsidRPr="00C2505F" w:rsidRDefault="009B7BC1" w:rsidP="00C2505F">
      <w:pPr>
        <w:spacing w:after="0" w:line="240" w:lineRule="auto"/>
        <w:jc w:val="center"/>
        <w:rPr>
          <w:rFonts w:ascii="Times New Roman" w:hAnsi="Times New Roman" w:cs="Times New Roman"/>
          <w:b/>
          <w:w w:val="104"/>
        </w:rPr>
      </w:pPr>
      <w:r w:rsidRPr="00C2505F">
        <w:rPr>
          <w:rFonts w:ascii="Times New Roman" w:hAnsi="Times New Roman" w:cs="Times New Roman"/>
          <w:b/>
          <w:w w:val="104"/>
        </w:rPr>
        <w:t>Rezultati</w:t>
      </w:r>
    </w:p>
    <w:p w:rsidR="009B7BC1" w:rsidRDefault="009B7BC1" w:rsidP="009B7BC1">
      <w:pPr>
        <w:spacing w:after="0" w:line="240" w:lineRule="auto"/>
        <w:rPr>
          <w:rFonts w:ascii="Times New Roman" w:hAnsi="Times New Roman" w:cs="Times New Roman"/>
          <w:w w:val="104"/>
        </w:rPr>
      </w:pPr>
    </w:p>
    <w:p w:rsidR="009B7BC1" w:rsidRPr="009B7BC1" w:rsidRDefault="009B7BC1" w:rsidP="009B7BC1">
      <w:pPr>
        <w:pStyle w:val="NoSpacing"/>
        <w:ind w:firstLine="708"/>
        <w:jc w:val="both"/>
        <w:rPr>
          <w:rFonts w:ascii="Times New Roman" w:hAnsi="Times New Roman" w:cs="Times New Roman"/>
          <w:sz w:val="20"/>
          <w:szCs w:val="20"/>
        </w:rPr>
      </w:pPr>
      <w:r w:rsidRPr="009B7BC1">
        <w:rPr>
          <w:rFonts w:ascii="Times New Roman" w:hAnsi="Times New Roman" w:cs="Times New Roman"/>
          <w:sz w:val="20"/>
          <w:szCs w:val="20"/>
        </w:rPr>
        <w:t xml:space="preserve">Istraživanje je sprovedeno na 59 ispitanika, od kojih su 27 bile žene (45,8%), a 32 muškarci (54,2%). Ispitanici su podeljeni u tri grupe: </w:t>
      </w:r>
    </w:p>
    <w:p w:rsidR="009B7BC1" w:rsidRPr="009B7BC1" w:rsidRDefault="009B7BC1" w:rsidP="009B7BC1">
      <w:pPr>
        <w:pStyle w:val="NoSpacing"/>
        <w:numPr>
          <w:ilvl w:val="0"/>
          <w:numId w:val="15"/>
        </w:numPr>
        <w:jc w:val="both"/>
        <w:rPr>
          <w:rFonts w:ascii="Times New Roman" w:hAnsi="Times New Roman" w:cs="Times New Roman"/>
          <w:sz w:val="20"/>
          <w:szCs w:val="20"/>
        </w:rPr>
      </w:pPr>
      <w:r w:rsidRPr="009B7BC1">
        <w:rPr>
          <w:rFonts w:ascii="Times New Roman" w:hAnsi="Times New Roman" w:cs="Times New Roman"/>
          <w:sz w:val="20"/>
          <w:szCs w:val="20"/>
        </w:rPr>
        <w:t>zdravi (25 ispitanika);</w:t>
      </w:r>
    </w:p>
    <w:p w:rsidR="009B7BC1" w:rsidRPr="009B7BC1" w:rsidRDefault="009B7BC1" w:rsidP="009B7BC1">
      <w:pPr>
        <w:pStyle w:val="NoSpacing"/>
        <w:numPr>
          <w:ilvl w:val="0"/>
          <w:numId w:val="15"/>
        </w:numPr>
        <w:jc w:val="both"/>
        <w:rPr>
          <w:rFonts w:ascii="Times New Roman" w:hAnsi="Times New Roman" w:cs="Times New Roman"/>
          <w:sz w:val="20"/>
          <w:szCs w:val="20"/>
        </w:rPr>
      </w:pPr>
      <w:r w:rsidRPr="009B7BC1">
        <w:rPr>
          <w:rFonts w:ascii="Times New Roman" w:hAnsi="Times New Roman" w:cs="Times New Roman"/>
          <w:sz w:val="20"/>
          <w:szCs w:val="20"/>
        </w:rPr>
        <w:t>pacijenti sa glavoboljom tenzionog tipa (15 ispitanika);</w:t>
      </w:r>
    </w:p>
    <w:p w:rsidR="009B7BC1" w:rsidRPr="009B7BC1" w:rsidRDefault="009B7BC1" w:rsidP="009B7BC1">
      <w:pPr>
        <w:pStyle w:val="NoSpacing"/>
        <w:numPr>
          <w:ilvl w:val="0"/>
          <w:numId w:val="15"/>
        </w:numPr>
        <w:jc w:val="both"/>
        <w:rPr>
          <w:rFonts w:ascii="Times New Roman" w:hAnsi="Times New Roman" w:cs="Times New Roman"/>
          <w:sz w:val="20"/>
          <w:szCs w:val="20"/>
        </w:rPr>
      </w:pPr>
      <w:r w:rsidRPr="009B7BC1">
        <w:rPr>
          <w:rFonts w:ascii="Times New Roman" w:hAnsi="Times New Roman" w:cs="Times New Roman"/>
          <w:sz w:val="20"/>
          <w:szCs w:val="20"/>
        </w:rPr>
        <w:t>pacijenti sa lumboishialgijom (19 ispitanika):</w:t>
      </w:r>
    </w:p>
    <w:p w:rsidR="009B7BC1" w:rsidRPr="009B7BC1" w:rsidRDefault="009B7BC1" w:rsidP="009B7BC1">
      <w:pPr>
        <w:pStyle w:val="NoSpacing"/>
        <w:numPr>
          <w:ilvl w:val="1"/>
          <w:numId w:val="15"/>
        </w:numPr>
        <w:jc w:val="both"/>
        <w:rPr>
          <w:rFonts w:ascii="Times New Roman" w:hAnsi="Times New Roman" w:cs="Times New Roman"/>
          <w:sz w:val="20"/>
          <w:szCs w:val="20"/>
        </w:rPr>
      </w:pPr>
      <w:r w:rsidRPr="009B7BC1">
        <w:rPr>
          <w:rFonts w:ascii="Times New Roman" w:hAnsi="Times New Roman" w:cs="Times New Roman"/>
          <w:sz w:val="20"/>
          <w:szCs w:val="20"/>
        </w:rPr>
        <w:t>iradijacija u levu nogu (11 ispitanika)</w:t>
      </w:r>
    </w:p>
    <w:p w:rsidR="00066185" w:rsidRDefault="009B7BC1" w:rsidP="009B7BC1">
      <w:pPr>
        <w:pStyle w:val="NoSpacing"/>
        <w:numPr>
          <w:ilvl w:val="1"/>
          <w:numId w:val="15"/>
        </w:numPr>
        <w:jc w:val="both"/>
        <w:rPr>
          <w:rFonts w:ascii="Times New Roman" w:hAnsi="Times New Roman" w:cs="Times New Roman"/>
          <w:sz w:val="20"/>
          <w:szCs w:val="20"/>
        </w:rPr>
      </w:pPr>
      <w:r w:rsidRPr="009B7BC1">
        <w:rPr>
          <w:rFonts w:ascii="Times New Roman" w:hAnsi="Times New Roman" w:cs="Times New Roman"/>
          <w:sz w:val="20"/>
          <w:szCs w:val="20"/>
        </w:rPr>
        <w:t>iradijacija u desnu nogu (8 ispitanika).</w:t>
      </w:r>
    </w:p>
    <w:p w:rsidR="009B7BC1" w:rsidRPr="009B7BC1" w:rsidRDefault="00066185" w:rsidP="00066185">
      <w:pPr>
        <w:pStyle w:val="NoSpacing"/>
        <w:ind w:left="1788"/>
        <w:jc w:val="both"/>
        <w:rPr>
          <w:rFonts w:ascii="Times New Roman" w:hAnsi="Times New Roman" w:cs="Times New Roman"/>
          <w:sz w:val="20"/>
          <w:szCs w:val="20"/>
        </w:rPr>
      </w:pPr>
      <w:r w:rsidRPr="009B7BC1">
        <w:rPr>
          <w:rFonts w:ascii="Times New Roman" w:hAnsi="Times New Roman" w:cs="Times New Roman"/>
          <w:noProof/>
          <w:sz w:val="20"/>
          <w:szCs w:val="20"/>
          <w:lang w:eastAsia="sr-Latn-RS"/>
        </w:rPr>
        <w:lastRenderedPageBreak/>
        <w:drawing>
          <wp:anchor distT="0" distB="0" distL="114300" distR="114300" simplePos="0" relativeHeight="251663360" behindDoc="0" locked="0" layoutInCell="1" allowOverlap="1" wp14:anchorId="2023016C" wp14:editId="79FA5E94">
            <wp:simplePos x="0" y="0"/>
            <wp:positionH relativeFrom="margin">
              <wp:align>right</wp:align>
            </wp:positionH>
            <wp:positionV relativeFrom="paragraph">
              <wp:posOffset>158115</wp:posOffset>
            </wp:positionV>
            <wp:extent cx="1571625" cy="1571625"/>
            <wp:effectExtent l="0" t="0" r="9525" b="9525"/>
            <wp:wrapTopAndBottom/>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rsidRPr="009B7BC1">
        <w:rPr>
          <w:rFonts w:ascii="Times New Roman" w:hAnsi="Times New Roman" w:cs="Times New Roman"/>
          <w:noProof/>
          <w:sz w:val="20"/>
          <w:szCs w:val="20"/>
          <w:lang w:eastAsia="sr-Latn-RS"/>
        </w:rPr>
        <w:drawing>
          <wp:anchor distT="0" distB="0" distL="114300" distR="114300" simplePos="0" relativeHeight="251661312" behindDoc="0" locked="0" layoutInCell="1" allowOverlap="1" wp14:anchorId="1AC11951" wp14:editId="7CF4FC4F">
            <wp:simplePos x="0" y="0"/>
            <wp:positionH relativeFrom="margin">
              <wp:align>center</wp:align>
            </wp:positionH>
            <wp:positionV relativeFrom="paragraph">
              <wp:posOffset>151765</wp:posOffset>
            </wp:positionV>
            <wp:extent cx="1600200" cy="1571625"/>
            <wp:effectExtent l="0" t="0" r="0" b="9525"/>
            <wp:wrapSquare wrapText="bothSides"/>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r w:rsidRPr="009B7BC1">
        <w:rPr>
          <w:rFonts w:ascii="Times New Roman" w:hAnsi="Times New Roman" w:cs="Times New Roman"/>
          <w:noProof/>
          <w:sz w:val="20"/>
          <w:szCs w:val="20"/>
          <w:lang w:eastAsia="sr-Latn-RS"/>
        </w:rPr>
        <w:drawing>
          <wp:anchor distT="0" distB="0" distL="114300" distR="114300" simplePos="0" relativeHeight="251662336" behindDoc="0" locked="0" layoutInCell="1" allowOverlap="1" wp14:anchorId="5D805244" wp14:editId="1EE0E661">
            <wp:simplePos x="0" y="0"/>
            <wp:positionH relativeFrom="margin">
              <wp:align>left</wp:align>
            </wp:positionH>
            <wp:positionV relativeFrom="paragraph">
              <wp:posOffset>148590</wp:posOffset>
            </wp:positionV>
            <wp:extent cx="1533525" cy="1562100"/>
            <wp:effectExtent l="0" t="0" r="9525" b="0"/>
            <wp:wrapTopAndBottom/>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p>
    <w:p w:rsidR="009B7BC1" w:rsidRDefault="009B7BC1" w:rsidP="00C2505F">
      <w:pPr>
        <w:spacing w:after="0" w:line="240" w:lineRule="auto"/>
        <w:jc w:val="center"/>
        <w:rPr>
          <w:rFonts w:ascii="Times New Roman" w:hAnsi="Times New Roman" w:cs="Times New Roman"/>
          <w:w w:val="104"/>
        </w:rPr>
      </w:pPr>
      <w:r>
        <w:rPr>
          <w:rFonts w:ascii="Times New Roman" w:hAnsi="Times New Roman" w:cs="Times New Roman"/>
          <w:w w:val="104"/>
        </w:rPr>
        <w:t xml:space="preserve">Grafik 1. </w:t>
      </w:r>
      <w:r w:rsidR="00C2505F">
        <w:rPr>
          <w:rFonts w:ascii="Times New Roman" w:hAnsi="Times New Roman" w:cs="Times New Roman"/>
          <w:w w:val="104"/>
        </w:rPr>
        <w:t>Polna distribucija po grupama ispitanika</w:t>
      </w:r>
    </w:p>
    <w:p w:rsidR="00C2505F" w:rsidRDefault="00C2505F" w:rsidP="00C2505F">
      <w:pPr>
        <w:spacing w:after="0" w:line="240" w:lineRule="auto"/>
        <w:jc w:val="center"/>
        <w:rPr>
          <w:rFonts w:ascii="Times New Roman" w:hAnsi="Times New Roman" w:cs="Times New Roman"/>
          <w:w w:val="104"/>
          <w:sz w:val="20"/>
          <w:szCs w:val="20"/>
        </w:rPr>
      </w:pPr>
    </w:p>
    <w:p w:rsidR="00C2505F" w:rsidRPr="00C2505F" w:rsidRDefault="00C2505F" w:rsidP="00C2505F">
      <w:pPr>
        <w:spacing w:after="0" w:line="240" w:lineRule="auto"/>
        <w:jc w:val="center"/>
        <w:rPr>
          <w:rFonts w:ascii="Times New Roman" w:hAnsi="Times New Roman" w:cs="Times New Roman"/>
          <w:w w:val="104"/>
          <w:sz w:val="20"/>
          <w:szCs w:val="20"/>
        </w:rPr>
      </w:pPr>
    </w:p>
    <w:p w:rsidR="00C2505F" w:rsidRDefault="00C2505F" w:rsidP="00C2505F">
      <w:pPr>
        <w:pStyle w:val="NormalWeb"/>
        <w:shd w:val="clear" w:color="auto" w:fill="FFFFFF"/>
        <w:spacing w:before="0" w:beforeAutospacing="0" w:after="0" w:afterAutospacing="0"/>
        <w:ind w:firstLine="708"/>
        <w:jc w:val="both"/>
        <w:rPr>
          <w:sz w:val="20"/>
          <w:szCs w:val="20"/>
        </w:rPr>
      </w:pPr>
      <w:r w:rsidRPr="00540604">
        <w:rPr>
          <w:sz w:val="20"/>
          <w:szCs w:val="20"/>
        </w:rPr>
        <w:t>Analizom praga bolnosti ispitanih tačaka poglavine došli smo do sledećih rezultata: prag bola kod pacijenata sa glavoboljom tenzionog tipa sa perikranijalnom osetljivošću niži je u svim izmerenim tačkama (G1-G8) u odnosu na ostale dve ispitivane studijske grupe</w:t>
      </w:r>
      <w:r>
        <w:rPr>
          <w:sz w:val="20"/>
          <w:szCs w:val="20"/>
        </w:rPr>
        <w:t xml:space="preserve"> (G</w:t>
      </w:r>
      <w:r w:rsidRPr="00540604">
        <w:rPr>
          <w:sz w:val="20"/>
          <w:szCs w:val="20"/>
        </w:rPr>
        <w:t>r</w:t>
      </w:r>
      <w:r>
        <w:rPr>
          <w:sz w:val="20"/>
          <w:szCs w:val="20"/>
        </w:rPr>
        <w:t>afik</w:t>
      </w:r>
      <w:r w:rsidRPr="00540604">
        <w:rPr>
          <w:sz w:val="20"/>
          <w:szCs w:val="20"/>
        </w:rPr>
        <w:t xml:space="preserve"> 2).</w:t>
      </w:r>
    </w:p>
    <w:p w:rsidR="00C2505F" w:rsidRDefault="00C2505F" w:rsidP="00C2505F">
      <w:pPr>
        <w:pStyle w:val="NormalWeb"/>
        <w:shd w:val="clear" w:color="auto" w:fill="FFFFFF"/>
        <w:spacing w:before="0" w:beforeAutospacing="0" w:after="0" w:afterAutospacing="0"/>
        <w:rPr>
          <w:color w:val="FF0000"/>
          <w:sz w:val="20"/>
          <w:szCs w:val="20"/>
        </w:rPr>
      </w:pPr>
    </w:p>
    <w:p w:rsidR="00C2505F" w:rsidRPr="00540604" w:rsidRDefault="00C2505F" w:rsidP="00C2505F">
      <w:pPr>
        <w:pStyle w:val="NormalWeb"/>
        <w:shd w:val="clear" w:color="auto" w:fill="FFFFFF"/>
        <w:spacing w:before="0" w:beforeAutospacing="0" w:after="0" w:afterAutospacing="0"/>
        <w:jc w:val="center"/>
        <w:rPr>
          <w:color w:val="FF0000"/>
          <w:sz w:val="20"/>
          <w:szCs w:val="20"/>
        </w:rPr>
      </w:pPr>
      <w:r>
        <w:rPr>
          <w:noProof/>
        </w:rPr>
        <w:drawing>
          <wp:inline distT="0" distB="0" distL="0" distR="0" wp14:anchorId="3F787774" wp14:editId="0B8B81C6">
            <wp:extent cx="5257800" cy="2447925"/>
            <wp:effectExtent l="0" t="0" r="0" b="952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C2505F" w:rsidRDefault="00C2505F" w:rsidP="00C2505F">
      <w:pPr>
        <w:spacing w:after="0" w:line="240" w:lineRule="auto"/>
        <w:jc w:val="center"/>
        <w:rPr>
          <w:rFonts w:ascii="Times New Roman" w:hAnsi="Times New Roman" w:cs="Times New Roman"/>
          <w:w w:val="104"/>
        </w:rPr>
      </w:pPr>
      <w:r>
        <w:rPr>
          <w:rFonts w:ascii="Times New Roman" w:hAnsi="Times New Roman" w:cs="Times New Roman"/>
          <w:w w:val="104"/>
        </w:rPr>
        <w:t>Grafik 2. Prag bola ispitanih tačaka poglavine</w:t>
      </w:r>
    </w:p>
    <w:p w:rsidR="00C2505F" w:rsidRDefault="00C2505F" w:rsidP="00C2505F">
      <w:pPr>
        <w:spacing w:after="0" w:line="240" w:lineRule="auto"/>
        <w:jc w:val="center"/>
        <w:rPr>
          <w:rFonts w:ascii="Times New Roman" w:hAnsi="Times New Roman" w:cs="Times New Roman"/>
          <w:w w:val="104"/>
          <w:sz w:val="20"/>
          <w:szCs w:val="20"/>
        </w:rPr>
      </w:pPr>
    </w:p>
    <w:p w:rsidR="00C2505F" w:rsidRDefault="00C2505F" w:rsidP="00C2505F">
      <w:pPr>
        <w:spacing w:after="0" w:line="240" w:lineRule="auto"/>
        <w:jc w:val="center"/>
        <w:rPr>
          <w:rFonts w:ascii="Times New Roman" w:hAnsi="Times New Roman" w:cs="Times New Roman"/>
          <w:w w:val="104"/>
          <w:sz w:val="20"/>
          <w:szCs w:val="20"/>
        </w:rPr>
      </w:pPr>
    </w:p>
    <w:p w:rsidR="00C2505F" w:rsidRPr="00C2505F" w:rsidRDefault="00C2505F" w:rsidP="00235A71">
      <w:pPr>
        <w:spacing w:after="0" w:line="240" w:lineRule="auto"/>
        <w:ind w:firstLine="708"/>
        <w:jc w:val="both"/>
        <w:rPr>
          <w:rFonts w:ascii="Times New Roman" w:hAnsi="Times New Roman" w:cs="Times New Roman"/>
          <w:sz w:val="20"/>
          <w:szCs w:val="20"/>
        </w:rPr>
      </w:pPr>
      <w:r w:rsidRPr="00C2505F">
        <w:rPr>
          <w:rFonts w:ascii="Times New Roman" w:hAnsi="Times New Roman" w:cs="Times New Roman"/>
          <w:sz w:val="20"/>
          <w:szCs w:val="20"/>
        </w:rPr>
        <w:t>Prosečan prag bola ispitivanih tačaka poglavine kod pacijenata sa glavoboljom je 179,51±51,76 kPa/cm</w:t>
      </w:r>
      <w:r w:rsidRPr="00C2505F">
        <w:rPr>
          <w:rFonts w:ascii="Times New Roman" w:hAnsi="Times New Roman" w:cs="Times New Roman"/>
          <w:sz w:val="20"/>
          <w:szCs w:val="20"/>
          <w:vertAlign w:val="superscript"/>
        </w:rPr>
        <w:t>2</w:t>
      </w:r>
      <w:r w:rsidRPr="00C2505F">
        <w:rPr>
          <w:rFonts w:ascii="Times New Roman" w:hAnsi="Times New Roman" w:cs="Times New Roman"/>
          <w:sz w:val="20"/>
          <w:szCs w:val="20"/>
        </w:rPr>
        <w:t xml:space="preserve">. Nešto viši prag bola imaju pacijenti sa lumboishialgijom koji iznosi </w:t>
      </w:r>
      <w:r>
        <w:rPr>
          <w:rFonts w:ascii="Times New Roman" w:hAnsi="Times New Roman" w:cs="Times New Roman"/>
          <w:sz w:val="20"/>
          <w:szCs w:val="20"/>
        </w:rPr>
        <w:t>285</w:t>
      </w:r>
      <w:r w:rsidRPr="00C2505F">
        <w:rPr>
          <w:rFonts w:ascii="Times New Roman" w:hAnsi="Times New Roman" w:cs="Times New Roman"/>
          <w:sz w:val="20"/>
          <w:szCs w:val="20"/>
        </w:rPr>
        <w:t>,14±72,26 kPa/cm</w:t>
      </w:r>
      <w:r w:rsidRPr="00C2505F">
        <w:rPr>
          <w:rFonts w:ascii="Times New Roman" w:hAnsi="Times New Roman" w:cs="Times New Roman"/>
          <w:sz w:val="20"/>
          <w:szCs w:val="20"/>
          <w:vertAlign w:val="superscript"/>
        </w:rPr>
        <w:t>2</w:t>
      </w:r>
      <w:r w:rsidRPr="00C2505F">
        <w:rPr>
          <w:rFonts w:ascii="Times New Roman" w:hAnsi="Times New Roman" w:cs="Times New Roman"/>
          <w:sz w:val="20"/>
          <w:szCs w:val="20"/>
        </w:rPr>
        <w:t xml:space="preserve">, </w:t>
      </w:r>
      <w:r w:rsidR="00333251">
        <w:rPr>
          <w:rFonts w:ascii="Times New Roman" w:hAnsi="Times New Roman" w:cs="Times New Roman"/>
          <w:sz w:val="20"/>
          <w:szCs w:val="20"/>
        </w:rPr>
        <w:t>a</w:t>
      </w:r>
      <w:r w:rsidRPr="00C2505F">
        <w:rPr>
          <w:rFonts w:ascii="Times New Roman" w:hAnsi="Times New Roman" w:cs="Times New Roman"/>
          <w:sz w:val="20"/>
          <w:szCs w:val="20"/>
        </w:rPr>
        <w:t xml:space="preserve"> za njima slede zdravi ispitanici sa pragom bola od 455,05±125,37 kPa/cm</w:t>
      </w:r>
      <w:r w:rsidRPr="00C2505F">
        <w:rPr>
          <w:rFonts w:ascii="Times New Roman" w:hAnsi="Times New Roman" w:cs="Times New Roman"/>
          <w:sz w:val="20"/>
          <w:szCs w:val="20"/>
          <w:vertAlign w:val="superscript"/>
        </w:rPr>
        <w:t>2</w:t>
      </w:r>
      <w:r w:rsidRPr="00C2505F">
        <w:rPr>
          <w:rFonts w:ascii="Times New Roman" w:hAnsi="Times New Roman" w:cs="Times New Roman"/>
          <w:sz w:val="20"/>
          <w:szCs w:val="20"/>
        </w:rPr>
        <w:t xml:space="preserve">. </w:t>
      </w:r>
      <w:r w:rsidR="00235A71" w:rsidRPr="00C2505F">
        <w:rPr>
          <w:rFonts w:ascii="Times New Roman" w:hAnsi="Times New Roman" w:cs="Times New Roman"/>
          <w:sz w:val="20"/>
          <w:szCs w:val="20"/>
        </w:rPr>
        <w:t xml:space="preserve">Analitička funkcija One Simple T test pri upoređivanju praga bola </w:t>
      </w:r>
      <w:r w:rsidR="00BF149C">
        <w:rPr>
          <w:rFonts w:ascii="Times New Roman" w:hAnsi="Times New Roman" w:cs="Times New Roman"/>
          <w:sz w:val="20"/>
          <w:szCs w:val="20"/>
        </w:rPr>
        <w:t xml:space="preserve">ispitanih </w:t>
      </w:r>
      <w:r w:rsidR="00235A71" w:rsidRPr="00C2505F">
        <w:rPr>
          <w:rFonts w:ascii="Times New Roman" w:hAnsi="Times New Roman" w:cs="Times New Roman"/>
          <w:sz w:val="20"/>
          <w:szCs w:val="20"/>
        </w:rPr>
        <w:t xml:space="preserve">tačaka poglavine kod pacijenata sa </w:t>
      </w:r>
      <w:r w:rsidR="00235A71">
        <w:rPr>
          <w:rFonts w:ascii="Times New Roman" w:hAnsi="Times New Roman" w:cs="Times New Roman"/>
          <w:sz w:val="20"/>
          <w:szCs w:val="20"/>
        </w:rPr>
        <w:t xml:space="preserve">glavoboljom </w:t>
      </w:r>
      <w:r w:rsidR="00235A71" w:rsidRPr="00C2505F">
        <w:rPr>
          <w:rFonts w:ascii="Times New Roman" w:hAnsi="Times New Roman" w:cs="Times New Roman"/>
          <w:sz w:val="20"/>
          <w:szCs w:val="20"/>
        </w:rPr>
        <w:t xml:space="preserve">i zdravih ispitanika kao kontrolne grupe daje nam vrednost </w:t>
      </w:r>
      <w:r w:rsidR="00235A71" w:rsidRPr="00C2505F">
        <w:rPr>
          <w:rFonts w:ascii="Times New Roman" w:hAnsi="Times New Roman" w:cs="Times New Roman"/>
          <w:i/>
          <w:sz w:val="20"/>
          <w:szCs w:val="20"/>
        </w:rPr>
        <w:t>Asymp. Sig (2-tailed)=0,000</w:t>
      </w:r>
      <w:r w:rsidR="00235A71" w:rsidRPr="00C2505F">
        <w:rPr>
          <w:rFonts w:ascii="Times New Roman" w:hAnsi="Times New Roman" w:cs="Times New Roman"/>
          <w:sz w:val="20"/>
          <w:szCs w:val="20"/>
        </w:rPr>
        <w:t xml:space="preserve">, što je manje od 0,05 te stoga zaključujemo da postoji statistički značajna razlika visine praga bola </w:t>
      </w:r>
      <w:r w:rsidR="0006496F">
        <w:rPr>
          <w:rFonts w:ascii="Times New Roman" w:hAnsi="Times New Roman" w:cs="Times New Roman"/>
          <w:sz w:val="20"/>
          <w:szCs w:val="20"/>
        </w:rPr>
        <w:t>poredbenih</w:t>
      </w:r>
      <w:r w:rsidR="00235A71" w:rsidRPr="00C2505F">
        <w:rPr>
          <w:rFonts w:ascii="Times New Roman" w:hAnsi="Times New Roman" w:cs="Times New Roman"/>
          <w:sz w:val="20"/>
          <w:szCs w:val="20"/>
        </w:rPr>
        <w:t xml:space="preserve"> studijskih grupa.</w:t>
      </w:r>
      <w:r w:rsidR="00235A71">
        <w:rPr>
          <w:rFonts w:ascii="Times New Roman" w:hAnsi="Times New Roman" w:cs="Times New Roman"/>
          <w:sz w:val="20"/>
          <w:szCs w:val="20"/>
        </w:rPr>
        <w:t xml:space="preserve"> </w:t>
      </w:r>
      <w:r w:rsidR="009D34C2">
        <w:rPr>
          <w:rFonts w:ascii="Times New Roman" w:hAnsi="Times New Roman" w:cs="Times New Roman"/>
          <w:sz w:val="20"/>
          <w:szCs w:val="20"/>
        </w:rPr>
        <w:t>Ako uporedimo prag</w:t>
      </w:r>
      <w:r w:rsidRPr="00C2505F">
        <w:rPr>
          <w:rFonts w:ascii="Times New Roman" w:hAnsi="Times New Roman" w:cs="Times New Roman"/>
          <w:sz w:val="20"/>
          <w:szCs w:val="20"/>
        </w:rPr>
        <w:t xml:space="preserve"> bola </w:t>
      </w:r>
      <w:r w:rsidR="00BF3361">
        <w:rPr>
          <w:rFonts w:ascii="Times New Roman" w:hAnsi="Times New Roman" w:cs="Times New Roman"/>
          <w:sz w:val="20"/>
          <w:szCs w:val="20"/>
        </w:rPr>
        <w:t>u</w:t>
      </w:r>
      <w:r w:rsidR="009D34C2">
        <w:rPr>
          <w:rFonts w:ascii="Times New Roman" w:hAnsi="Times New Roman" w:cs="Times New Roman"/>
          <w:sz w:val="20"/>
          <w:szCs w:val="20"/>
        </w:rPr>
        <w:t xml:space="preserve"> </w:t>
      </w:r>
      <w:r w:rsidR="00BF3361">
        <w:rPr>
          <w:rFonts w:ascii="Times New Roman" w:hAnsi="Times New Roman" w:cs="Times New Roman"/>
          <w:sz w:val="20"/>
          <w:szCs w:val="20"/>
        </w:rPr>
        <w:t>tač</w:t>
      </w:r>
      <w:r w:rsidRPr="00C2505F">
        <w:rPr>
          <w:rFonts w:ascii="Times New Roman" w:hAnsi="Times New Roman" w:cs="Times New Roman"/>
          <w:sz w:val="20"/>
          <w:szCs w:val="20"/>
        </w:rPr>
        <w:t>ka</w:t>
      </w:r>
      <w:r w:rsidR="00BF3361">
        <w:rPr>
          <w:rFonts w:ascii="Times New Roman" w:hAnsi="Times New Roman" w:cs="Times New Roman"/>
          <w:sz w:val="20"/>
          <w:szCs w:val="20"/>
        </w:rPr>
        <w:t>ma</w:t>
      </w:r>
      <w:r w:rsidRPr="00C2505F">
        <w:rPr>
          <w:rFonts w:ascii="Times New Roman" w:hAnsi="Times New Roman" w:cs="Times New Roman"/>
          <w:sz w:val="20"/>
          <w:szCs w:val="20"/>
        </w:rPr>
        <w:t xml:space="preserve"> poglavine kod pacijenata sa lumboishialgijom i zdravih ispitanika kao kontrolne grupe </w:t>
      </w:r>
      <w:r w:rsidR="009D34C2">
        <w:rPr>
          <w:rFonts w:ascii="Times New Roman" w:hAnsi="Times New Roman" w:cs="Times New Roman"/>
          <w:sz w:val="20"/>
          <w:szCs w:val="20"/>
        </w:rPr>
        <w:t xml:space="preserve">takođe dobijamo </w:t>
      </w:r>
      <w:r w:rsidRPr="00C2505F">
        <w:rPr>
          <w:rFonts w:ascii="Times New Roman" w:hAnsi="Times New Roman" w:cs="Times New Roman"/>
          <w:sz w:val="20"/>
          <w:szCs w:val="20"/>
        </w:rPr>
        <w:t xml:space="preserve">vrednost </w:t>
      </w:r>
      <w:r w:rsidRPr="00C2505F">
        <w:rPr>
          <w:rFonts w:ascii="Times New Roman" w:hAnsi="Times New Roman" w:cs="Times New Roman"/>
          <w:i/>
          <w:sz w:val="20"/>
          <w:szCs w:val="20"/>
        </w:rPr>
        <w:t>Asymp. Sig (2-tailed)=0,000</w:t>
      </w:r>
      <w:r w:rsidRPr="00C2505F">
        <w:rPr>
          <w:rFonts w:ascii="Times New Roman" w:hAnsi="Times New Roman" w:cs="Times New Roman"/>
          <w:sz w:val="20"/>
          <w:szCs w:val="20"/>
        </w:rPr>
        <w:t xml:space="preserve">, što je manje od 0,05 te stoga zaključujemo da postoji statistički značajna razlika </w:t>
      </w:r>
      <w:r w:rsidR="00BF3361">
        <w:rPr>
          <w:rFonts w:ascii="Times New Roman" w:hAnsi="Times New Roman" w:cs="Times New Roman"/>
          <w:sz w:val="20"/>
          <w:szCs w:val="20"/>
        </w:rPr>
        <w:t>u visini</w:t>
      </w:r>
      <w:r w:rsidRPr="00C2505F">
        <w:rPr>
          <w:rFonts w:ascii="Times New Roman" w:hAnsi="Times New Roman" w:cs="Times New Roman"/>
          <w:sz w:val="20"/>
          <w:szCs w:val="20"/>
        </w:rPr>
        <w:t xml:space="preserve"> praga bola </w:t>
      </w:r>
      <w:r w:rsidR="00556B14">
        <w:rPr>
          <w:rFonts w:ascii="Times New Roman" w:hAnsi="Times New Roman" w:cs="Times New Roman"/>
          <w:sz w:val="20"/>
          <w:szCs w:val="20"/>
        </w:rPr>
        <w:t>ispitivanih</w:t>
      </w:r>
      <w:r w:rsidRPr="00C2505F">
        <w:rPr>
          <w:rFonts w:ascii="Times New Roman" w:hAnsi="Times New Roman" w:cs="Times New Roman"/>
          <w:sz w:val="20"/>
          <w:szCs w:val="20"/>
        </w:rPr>
        <w:t xml:space="preserve"> studijskih grupa.</w:t>
      </w:r>
      <w:r w:rsidR="009D34C2">
        <w:rPr>
          <w:rFonts w:ascii="Times New Roman" w:hAnsi="Times New Roman" w:cs="Times New Roman"/>
          <w:sz w:val="20"/>
          <w:szCs w:val="20"/>
        </w:rPr>
        <w:t xml:space="preserve"> Međutim, uporedivši vrednosti visine praga bola ispit</w:t>
      </w:r>
      <w:r w:rsidR="00233B04">
        <w:rPr>
          <w:rFonts w:ascii="Times New Roman" w:hAnsi="Times New Roman" w:cs="Times New Roman"/>
          <w:sz w:val="20"/>
          <w:szCs w:val="20"/>
        </w:rPr>
        <w:t>iv</w:t>
      </w:r>
      <w:r w:rsidR="009D34C2">
        <w:rPr>
          <w:rFonts w:ascii="Times New Roman" w:hAnsi="Times New Roman" w:cs="Times New Roman"/>
          <w:sz w:val="20"/>
          <w:szCs w:val="20"/>
        </w:rPr>
        <w:t xml:space="preserve">anih tačaka poglavine </w:t>
      </w:r>
      <w:r w:rsidR="00BF149C">
        <w:rPr>
          <w:rFonts w:ascii="Times New Roman" w:hAnsi="Times New Roman" w:cs="Times New Roman"/>
          <w:sz w:val="20"/>
          <w:szCs w:val="20"/>
        </w:rPr>
        <w:t xml:space="preserve">kod </w:t>
      </w:r>
      <w:r w:rsidR="009D34C2">
        <w:rPr>
          <w:rFonts w:ascii="Times New Roman" w:hAnsi="Times New Roman" w:cs="Times New Roman"/>
          <w:sz w:val="20"/>
          <w:szCs w:val="20"/>
        </w:rPr>
        <w:t>pacijenata sa glavoboljom i pacijenata sa lumboishialgijom</w:t>
      </w:r>
      <w:r w:rsidR="009B3FC2">
        <w:rPr>
          <w:rFonts w:ascii="Times New Roman" w:hAnsi="Times New Roman" w:cs="Times New Roman"/>
          <w:sz w:val="20"/>
          <w:szCs w:val="20"/>
        </w:rPr>
        <w:t xml:space="preserve"> dobili smo vrednost</w:t>
      </w:r>
      <w:r w:rsidR="009D34C2">
        <w:rPr>
          <w:rFonts w:ascii="Times New Roman" w:hAnsi="Times New Roman" w:cs="Times New Roman"/>
          <w:sz w:val="20"/>
          <w:szCs w:val="20"/>
        </w:rPr>
        <w:t xml:space="preserve"> </w:t>
      </w:r>
      <w:r w:rsidR="009D34C2">
        <w:rPr>
          <w:rFonts w:ascii="Times New Roman" w:hAnsi="Times New Roman" w:cs="Times New Roman"/>
          <w:i/>
          <w:sz w:val="20"/>
          <w:szCs w:val="20"/>
        </w:rPr>
        <w:t>Asymp. Sig (2-tailed)&gt;0,05</w:t>
      </w:r>
      <w:r w:rsidR="008C37C8" w:rsidRPr="00233B04">
        <w:rPr>
          <w:rFonts w:ascii="Times New Roman" w:hAnsi="Times New Roman" w:cs="Times New Roman"/>
          <w:sz w:val="20"/>
          <w:szCs w:val="20"/>
        </w:rPr>
        <w:t>,</w:t>
      </w:r>
      <w:r w:rsidR="009D34C2">
        <w:rPr>
          <w:rFonts w:ascii="Times New Roman" w:hAnsi="Times New Roman" w:cs="Times New Roman"/>
          <w:i/>
          <w:sz w:val="20"/>
          <w:szCs w:val="20"/>
        </w:rPr>
        <w:t xml:space="preserve"> </w:t>
      </w:r>
      <w:r w:rsidR="009D34C2">
        <w:rPr>
          <w:rFonts w:ascii="Times New Roman" w:hAnsi="Times New Roman" w:cs="Times New Roman"/>
          <w:sz w:val="20"/>
          <w:szCs w:val="20"/>
        </w:rPr>
        <w:t xml:space="preserve">te stoga zaključujemo da ne postoji statistički značajna razlika visine praga bola </w:t>
      </w:r>
      <w:r w:rsidR="00B91E9F">
        <w:rPr>
          <w:rFonts w:ascii="Times New Roman" w:hAnsi="Times New Roman" w:cs="Times New Roman"/>
          <w:sz w:val="20"/>
          <w:szCs w:val="20"/>
        </w:rPr>
        <w:t>u ispit</w:t>
      </w:r>
      <w:r w:rsidR="00446BBC">
        <w:rPr>
          <w:rFonts w:ascii="Times New Roman" w:hAnsi="Times New Roman" w:cs="Times New Roman"/>
          <w:sz w:val="20"/>
          <w:szCs w:val="20"/>
        </w:rPr>
        <w:t>iv</w:t>
      </w:r>
      <w:r w:rsidR="00B91E9F">
        <w:rPr>
          <w:rFonts w:ascii="Times New Roman" w:hAnsi="Times New Roman" w:cs="Times New Roman"/>
          <w:sz w:val="20"/>
          <w:szCs w:val="20"/>
        </w:rPr>
        <w:t>anim tačkama</w:t>
      </w:r>
      <w:r w:rsidR="00146806">
        <w:rPr>
          <w:rFonts w:ascii="Times New Roman" w:hAnsi="Times New Roman" w:cs="Times New Roman"/>
          <w:sz w:val="20"/>
          <w:szCs w:val="20"/>
        </w:rPr>
        <w:t xml:space="preserve"> poglavine </w:t>
      </w:r>
      <w:r w:rsidR="00446BBC">
        <w:rPr>
          <w:rFonts w:ascii="Times New Roman" w:hAnsi="Times New Roman" w:cs="Times New Roman"/>
          <w:sz w:val="20"/>
          <w:szCs w:val="20"/>
        </w:rPr>
        <w:t>između ove dve</w:t>
      </w:r>
      <w:r w:rsidR="00B91E9F">
        <w:rPr>
          <w:rFonts w:ascii="Times New Roman" w:hAnsi="Times New Roman" w:cs="Times New Roman"/>
          <w:sz w:val="20"/>
          <w:szCs w:val="20"/>
        </w:rPr>
        <w:t xml:space="preserve"> grupe</w:t>
      </w:r>
      <w:r w:rsidR="00074B70">
        <w:rPr>
          <w:rFonts w:ascii="Times New Roman" w:hAnsi="Times New Roman" w:cs="Times New Roman"/>
          <w:sz w:val="20"/>
          <w:szCs w:val="20"/>
        </w:rPr>
        <w:t xml:space="preserve"> ispitanika</w:t>
      </w:r>
      <w:r w:rsidR="00B91E9F">
        <w:rPr>
          <w:rFonts w:ascii="Times New Roman" w:hAnsi="Times New Roman" w:cs="Times New Roman"/>
          <w:sz w:val="20"/>
          <w:szCs w:val="20"/>
        </w:rPr>
        <w:t>.</w:t>
      </w:r>
    </w:p>
    <w:p w:rsidR="00C2505F" w:rsidRPr="00C2505F" w:rsidRDefault="00C2505F" w:rsidP="00C2505F">
      <w:pPr>
        <w:spacing w:after="0" w:line="240" w:lineRule="auto"/>
        <w:ind w:firstLine="708"/>
        <w:jc w:val="both"/>
        <w:rPr>
          <w:rFonts w:ascii="Times New Roman" w:hAnsi="Times New Roman" w:cs="Times New Roman"/>
          <w:sz w:val="20"/>
          <w:szCs w:val="20"/>
        </w:rPr>
      </w:pPr>
      <w:r w:rsidRPr="00C2505F">
        <w:rPr>
          <w:rFonts w:ascii="Times New Roman" w:hAnsi="Times New Roman" w:cs="Times New Roman"/>
          <w:sz w:val="20"/>
          <w:szCs w:val="20"/>
        </w:rPr>
        <w:t>Najbolnija tačka poglavine kod pacijenata sa glavoboljom je tačka G2 smeštena u središtu desne fose temporalis, sa pragom bola od 104,02 kPa/cm</w:t>
      </w:r>
      <w:r w:rsidRPr="00C2505F">
        <w:rPr>
          <w:rFonts w:ascii="Times New Roman" w:hAnsi="Times New Roman" w:cs="Times New Roman"/>
          <w:sz w:val="20"/>
          <w:szCs w:val="20"/>
          <w:vertAlign w:val="superscript"/>
        </w:rPr>
        <w:t>2</w:t>
      </w:r>
      <w:r w:rsidRPr="00C2505F">
        <w:rPr>
          <w:rFonts w:ascii="Times New Roman" w:hAnsi="Times New Roman" w:cs="Times New Roman"/>
          <w:sz w:val="20"/>
          <w:szCs w:val="20"/>
        </w:rPr>
        <w:t>, dok je najmanje bolna tačka poglavine, odnosno tačka gde je zabeležen najveći prag, tačka G4 (centralna sagitalna tačka) sa pragom bola od 242,89 kPa/cm</w:t>
      </w:r>
      <w:r w:rsidRPr="00C2505F">
        <w:rPr>
          <w:rFonts w:ascii="Times New Roman" w:hAnsi="Times New Roman" w:cs="Times New Roman"/>
          <w:sz w:val="20"/>
          <w:szCs w:val="20"/>
          <w:vertAlign w:val="superscript"/>
        </w:rPr>
        <w:t>2</w:t>
      </w:r>
      <w:r w:rsidRPr="00C2505F">
        <w:rPr>
          <w:rFonts w:ascii="Times New Roman" w:hAnsi="Times New Roman" w:cs="Times New Roman"/>
          <w:sz w:val="20"/>
          <w:szCs w:val="20"/>
        </w:rPr>
        <w:t xml:space="preserve"> (</w:t>
      </w:r>
      <w:r w:rsidR="00E42BCB">
        <w:rPr>
          <w:rFonts w:ascii="Times New Roman" w:hAnsi="Times New Roman" w:cs="Times New Roman"/>
          <w:sz w:val="20"/>
          <w:szCs w:val="20"/>
        </w:rPr>
        <w:t>Grafik</w:t>
      </w:r>
      <w:r w:rsidRPr="00C2505F">
        <w:rPr>
          <w:rFonts w:ascii="Times New Roman" w:hAnsi="Times New Roman" w:cs="Times New Roman"/>
          <w:sz w:val="20"/>
          <w:szCs w:val="20"/>
        </w:rPr>
        <w:t xml:space="preserve"> 2).</w:t>
      </w:r>
    </w:p>
    <w:p w:rsidR="00C2505F" w:rsidRPr="00C2505F" w:rsidRDefault="00C2505F" w:rsidP="008C37C8">
      <w:pPr>
        <w:spacing w:after="0" w:line="240" w:lineRule="auto"/>
        <w:ind w:firstLine="708"/>
        <w:jc w:val="both"/>
        <w:rPr>
          <w:rFonts w:ascii="Times New Roman" w:hAnsi="Times New Roman" w:cs="Times New Roman"/>
          <w:sz w:val="20"/>
          <w:szCs w:val="20"/>
        </w:rPr>
      </w:pPr>
      <w:r w:rsidRPr="00C2505F">
        <w:rPr>
          <w:rFonts w:ascii="Times New Roman" w:hAnsi="Times New Roman" w:cs="Times New Roman"/>
          <w:sz w:val="20"/>
          <w:szCs w:val="20"/>
        </w:rPr>
        <w:t>Aritmetičke sredine praga bola lumbalnih tačaka pokazale su da je kod pacijenata sa lumboishialgijom povećana bolnost u svim ispitivanim tačkama, osim u tačkama L2 i L7 u kojima pacijenti sa glavoboljom pokazu</w:t>
      </w:r>
      <w:r w:rsidR="00556B14">
        <w:rPr>
          <w:rFonts w:ascii="Times New Roman" w:hAnsi="Times New Roman" w:cs="Times New Roman"/>
          <w:sz w:val="20"/>
          <w:szCs w:val="20"/>
        </w:rPr>
        <w:t>ju</w:t>
      </w:r>
      <w:r w:rsidRPr="00C2505F">
        <w:rPr>
          <w:rFonts w:ascii="Times New Roman" w:hAnsi="Times New Roman" w:cs="Times New Roman"/>
          <w:sz w:val="20"/>
          <w:szCs w:val="20"/>
        </w:rPr>
        <w:t xml:space="preserve"> nešto niže vrednosti. Prosečan prag bola lumbalnih tačaka kod pacijenata sa lumboishialgijom iznosi 424,72±47,91 kPa/cm</w:t>
      </w:r>
      <w:r w:rsidRPr="00C2505F">
        <w:rPr>
          <w:rFonts w:ascii="Times New Roman" w:hAnsi="Times New Roman" w:cs="Times New Roman"/>
          <w:sz w:val="20"/>
          <w:szCs w:val="20"/>
          <w:vertAlign w:val="superscript"/>
        </w:rPr>
        <w:t>2</w:t>
      </w:r>
      <w:r w:rsidRPr="00C2505F">
        <w:rPr>
          <w:rFonts w:ascii="Times New Roman" w:hAnsi="Times New Roman" w:cs="Times New Roman"/>
          <w:sz w:val="20"/>
          <w:szCs w:val="20"/>
        </w:rPr>
        <w:t xml:space="preserve">. Nešto viši prag bola imaju  pacijenti sa glavoboljom </w:t>
      </w:r>
      <w:r w:rsidR="0006496F">
        <w:rPr>
          <w:rFonts w:ascii="Times New Roman" w:hAnsi="Times New Roman" w:cs="Times New Roman"/>
          <w:sz w:val="20"/>
          <w:szCs w:val="20"/>
        </w:rPr>
        <w:t xml:space="preserve">koji iznosi </w:t>
      </w:r>
      <w:r w:rsidR="00520AE0">
        <w:rPr>
          <w:rFonts w:ascii="Times New Roman" w:hAnsi="Times New Roman" w:cs="Times New Roman"/>
          <w:sz w:val="20"/>
          <w:szCs w:val="20"/>
        </w:rPr>
        <w:t>477</w:t>
      </w:r>
      <w:r w:rsidRPr="00C2505F">
        <w:rPr>
          <w:rFonts w:ascii="Times New Roman" w:hAnsi="Times New Roman" w:cs="Times New Roman"/>
          <w:sz w:val="20"/>
          <w:szCs w:val="20"/>
        </w:rPr>
        <w:t>,29±67,39 kPa/cm</w:t>
      </w:r>
      <w:r w:rsidRPr="00C2505F">
        <w:rPr>
          <w:rFonts w:ascii="Times New Roman" w:hAnsi="Times New Roman" w:cs="Times New Roman"/>
          <w:sz w:val="20"/>
          <w:szCs w:val="20"/>
          <w:vertAlign w:val="superscript"/>
        </w:rPr>
        <w:t>2</w:t>
      </w:r>
      <w:r w:rsidRPr="00C2505F">
        <w:rPr>
          <w:rFonts w:ascii="Times New Roman" w:hAnsi="Times New Roman" w:cs="Times New Roman"/>
          <w:sz w:val="20"/>
          <w:szCs w:val="20"/>
        </w:rPr>
        <w:t>, dok zdravi ispitanici navode da količina pritiska koja kod njih izaziva bol iznosi 803,02±55,17 kPa/cm</w:t>
      </w:r>
      <w:r w:rsidRPr="00C2505F">
        <w:rPr>
          <w:rFonts w:ascii="Times New Roman" w:hAnsi="Times New Roman" w:cs="Times New Roman"/>
          <w:sz w:val="20"/>
          <w:szCs w:val="20"/>
          <w:vertAlign w:val="superscript"/>
        </w:rPr>
        <w:t>2</w:t>
      </w:r>
      <w:r w:rsidRPr="00C2505F">
        <w:rPr>
          <w:rFonts w:ascii="Times New Roman" w:hAnsi="Times New Roman" w:cs="Times New Roman"/>
          <w:sz w:val="20"/>
          <w:szCs w:val="20"/>
        </w:rPr>
        <w:t>. Analitička funkcija One Simple T test pri upoređivanju praga bola lumbalnih tača</w:t>
      </w:r>
      <w:r w:rsidR="002976A3">
        <w:rPr>
          <w:rFonts w:ascii="Times New Roman" w:hAnsi="Times New Roman" w:cs="Times New Roman"/>
          <w:sz w:val="20"/>
          <w:szCs w:val="20"/>
        </w:rPr>
        <w:t>ka kod pacijenata sa lumboishialgijom</w:t>
      </w:r>
      <w:r w:rsidRPr="00C2505F">
        <w:rPr>
          <w:rFonts w:ascii="Times New Roman" w:hAnsi="Times New Roman" w:cs="Times New Roman"/>
          <w:sz w:val="20"/>
          <w:szCs w:val="20"/>
        </w:rPr>
        <w:t xml:space="preserve"> i zdravih ispitanika daje nam vrednost </w:t>
      </w:r>
      <w:r w:rsidRPr="00C2505F">
        <w:rPr>
          <w:rFonts w:ascii="Times New Roman" w:hAnsi="Times New Roman" w:cs="Times New Roman"/>
          <w:i/>
          <w:sz w:val="20"/>
          <w:szCs w:val="20"/>
        </w:rPr>
        <w:t>Asymp. Sig (2-tailed)=0,000</w:t>
      </w:r>
      <w:r w:rsidRPr="00C2505F">
        <w:rPr>
          <w:rFonts w:ascii="Times New Roman" w:hAnsi="Times New Roman" w:cs="Times New Roman"/>
          <w:sz w:val="20"/>
          <w:szCs w:val="20"/>
        </w:rPr>
        <w:t xml:space="preserve">, što je manje od 0,05 te stoga zaključujemo da postoji statistički značajna razlika u visini praga bola </w:t>
      </w:r>
      <w:r w:rsidR="00BF3361">
        <w:rPr>
          <w:rFonts w:ascii="Times New Roman" w:hAnsi="Times New Roman" w:cs="Times New Roman"/>
          <w:sz w:val="20"/>
          <w:szCs w:val="20"/>
        </w:rPr>
        <w:t xml:space="preserve">između </w:t>
      </w:r>
      <w:r w:rsidR="00BF3361">
        <w:rPr>
          <w:rFonts w:ascii="Times New Roman" w:hAnsi="Times New Roman" w:cs="Times New Roman"/>
          <w:sz w:val="20"/>
          <w:szCs w:val="20"/>
        </w:rPr>
        <w:lastRenderedPageBreak/>
        <w:t>ispitanih</w:t>
      </w:r>
      <w:r w:rsidRPr="00C2505F">
        <w:rPr>
          <w:rFonts w:ascii="Times New Roman" w:hAnsi="Times New Roman" w:cs="Times New Roman"/>
          <w:sz w:val="20"/>
          <w:szCs w:val="20"/>
        </w:rPr>
        <w:t xml:space="preserve"> studijskih grupa.</w:t>
      </w:r>
      <w:r w:rsidR="002976A3">
        <w:rPr>
          <w:rFonts w:ascii="Times New Roman" w:hAnsi="Times New Roman" w:cs="Times New Roman"/>
          <w:sz w:val="20"/>
          <w:szCs w:val="20"/>
        </w:rPr>
        <w:t xml:space="preserve"> Uporedivši prag bola ispitanih tačaka lumbosakralnog predela kod pacijenata sa glavoboljom i zdravih ispitanika, takođe dobijamo vrednost </w:t>
      </w:r>
      <w:r w:rsidR="002976A3" w:rsidRPr="00C2505F">
        <w:rPr>
          <w:rFonts w:ascii="Times New Roman" w:hAnsi="Times New Roman" w:cs="Times New Roman"/>
          <w:i/>
          <w:sz w:val="20"/>
          <w:szCs w:val="20"/>
        </w:rPr>
        <w:t>Asymp. Sig (2-tailed)=0,000</w:t>
      </w:r>
      <w:r w:rsidR="008C37C8" w:rsidRPr="00A81F0D">
        <w:rPr>
          <w:rFonts w:ascii="Times New Roman" w:hAnsi="Times New Roman" w:cs="Times New Roman"/>
          <w:sz w:val="20"/>
          <w:szCs w:val="20"/>
        </w:rPr>
        <w:t>,</w:t>
      </w:r>
      <w:r w:rsidR="008C37C8">
        <w:rPr>
          <w:rFonts w:ascii="Times New Roman" w:hAnsi="Times New Roman" w:cs="Times New Roman"/>
          <w:sz w:val="20"/>
          <w:szCs w:val="20"/>
        </w:rPr>
        <w:t xml:space="preserve"> što je manje od 0,05 te stoga zaključujemo da postoji statistički značajna razlika visine prag</w:t>
      </w:r>
      <w:r w:rsidR="009B3FC2">
        <w:rPr>
          <w:rFonts w:ascii="Times New Roman" w:hAnsi="Times New Roman" w:cs="Times New Roman"/>
          <w:sz w:val="20"/>
          <w:szCs w:val="20"/>
        </w:rPr>
        <w:t xml:space="preserve">a bola između </w:t>
      </w:r>
      <w:r w:rsidR="00D707C5">
        <w:rPr>
          <w:rFonts w:ascii="Times New Roman" w:hAnsi="Times New Roman" w:cs="Times New Roman"/>
          <w:sz w:val="20"/>
          <w:szCs w:val="20"/>
        </w:rPr>
        <w:t>ove dve studijske grupe</w:t>
      </w:r>
      <w:r w:rsidR="008C37C8">
        <w:rPr>
          <w:rFonts w:ascii="Times New Roman" w:hAnsi="Times New Roman" w:cs="Times New Roman"/>
          <w:sz w:val="20"/>
          <w:szCs w:val="20"/>
        </w:rPr>
        <w:t>.</w:t>
      </w:r>
      <w:r w:rsidR="009C1F0A">
        <w:rPr>
          <w:rFonts w:ascii="Times New Roman" w:hAnsi="Times New Roman" w:cs="Times New Roman"/>
          <w:sz w:val="20"/>
          <w:szCs w:val="20"/>
        </w:rPr>
        <w:t xml:space="preserve"> </w:t>
      </w:r>
      <w:r w:rsidR="008C37C8">
        <w:rPr>
          <w:rFonts w:ascii="Times New Roman" w:hAnsi="Times New Roman" w:cs="Times New Roman"/>
          <w:sz w:val="20"/>
          <w:szCs w:val="20"/>
        </w:rPr>
        <w:t>Međutim, uporedivši vrednosti visine praga bola u ispitanim tačkama lumbosakralnog predela kod pacijenata sa lumboishialgijom i pacijenata s</w:t>
      </w:r>
      <w:r w:rsidR="009B3FC2">
        <w:rPr>
          <w:rFonts w:ascii="Times New Roman" w:hAnsi="Times New Roman" w:cs="Times New Roman"/>
          <w:sz w:val="20"/>
          <w:szCs w:val="20"/>
        </w:rPr>
        <w:t>a glavoboljom dobijamo vrednos</w:t>
      </w:r>
      <w:r w:rsidR="00BF3361">
        <w:rPr>
          <w:rFonts w:ascii="Times New Roman" w:hAnsi="Times New Roman" w:cs="Times New Roman"/>
          <w:sz w:val="20"/>
          <w:szCs w:val="20"/>
        </w:rPr>
        <w:t>t</w:t>
      </w:r>
      <w:r w:rsidR="008C37C8">
        <w:rPr>
          <w:rFonts w:ascii="Times New Roman" w:hAnsi="Times New Roman" w:cs="Times New Roman"/>
          <w:sz w:val="20"/>
          <w:szCs w:val="20"/>
        </w:rPr>
        <w:t xml:space="preserve"> </w:t>
      </w:r>
      <w:r w:rsidR="008C37C8">
        <w:rPr>
          <w:rFonts w:ascii="Times New Roman" w:hAnsi="Times New Roman" w:cs="Times New Roman"/>
          <w:i/>
          <w:sz w:val="20"/>
          <w:szCs w:val="20"/>
        </w:rPr>
        <w:t>Asymp. Sig (2-tailed)&gt;</w:t>
      </w:r>
      <w:r w:rsidR="008C37C8" w:rsidRPr="00C2505F">
        <w:rPr>
          <w:rFonts w:ascii="Times New Roman" w:hAnsi="Times New Roman" w:cs="Times New Roman"/>
          <w:i/>
          <w:sz w:val="20"/>
          <w:szCs w:val="20"/>
        </w:rPr>
        <w:t>0,0</w:t>
      </w:r>
      <w:r w:rsidR="008C37C8">
        <w:rPr>
          <w:rFonts w:ascii="Times New Roman" w:hAnsi="Times New Roman" w:cs="Times New Roman"/>
          <w:i/>
          <w:sz w:val="20"/>
          <w:szCs w:val="20"/>
        </w:rPr>
        <w:t>5</w:t>
      </w:r>
      <w:r w:rsidR="008C37C8">
        <w:rPr>
          <w:rFonts w:ascii="Times New Roman" w:hAnsi="Times New Roman" w:cs="Times New Roman"/>
          <w:sz w:val="20"/>
          <w:szCs w:val="20"/>
        </w:rPr>
        <w:t>, te stoga zaključujemo da ne postoji statistički značajna r</w:t>
      </w:r>
      <w:r w:rsidR="00BF3361">
        <w:rPr>
          <w:rFonts w:ascii="Times New Roman" w:hAnsi="Times New Roman" w:cs="Times New Roman"/>
          <w:sz w:val="20"/>
          <w:szCs w:val="20"/>
        </w:rPr>
        <w:t>azlika praga bola u isp</w:t>
      </w:r>
      <w:r w:rsidR="009B3FC2">
        <w:rPr>
          <w:rFonts w:ascii="Times New Roman" w:hAnsi="Times New Roman" w:cs="Times New Roman"/>
          <w:sz w:val="20"/>
          <w:szCs w:val="20"/>
        </w:rPr>
        <w:t>i</w:t>
      </w:r>
      <w:r w:rsidR="00BF3361">
        <w:rPr>
          <w:rFonts w:ascii="Times New Roman" w:hAnsi="Times New Roman" w:cs="Times New Roman"/>
          <w:sz w:val="20"/>
          <w:szCs w:val="20"/>
        </w:rPr>
        <w:t>t</w:t>
      </w:r>
      <w:r w:rsidR="008C37C8">
        <w:rPr>
          <w:rFonts w:ascii="Times New Roman" w:hAnsi="Times New Roman" w:cs="Times New Roman"/>
          <w:sz w:val="20"/>
          <w:szCs w:val="20"/>
        </w:rPr>
        <w:t xml:space="preserve">anim tačkama </w:t>
      </w:r>
      <w:r w:rsidR="009C1F0A">
        <w:rPr>
          <w:rFonts w:ascii="Times New Roman" w:hAnsi="Times New Roman" w:cs="Times New Roman"/>
          <w:sz w:val="20"/>
          <w:szCs w:val="20"/>
        </w:rPr>
        <w:t>lumbosakralnog predela</w:t>
      </w:r>
      <w:r w:rsidR="008C37C8">
        <w:rPr>
          <w:rFonts w:ascii="Times New Roman" w:hAnsi="Times New Roman" w:cs="Times New Roman"/>
          <w:sz w:val="20"/>
          <w:szCs w:val="20"/>
        </w:rPr>
        <w:t xml:space="preserve"> </w:t>
      </w:r>
      <w:r w:rsidR="00D707C5">
        <w:rPr>
          <w:rFonts w:ascii="Times New Roman" w:hAnsi="Times New Roman" w:cs="Times New Roman"/>
          <w:sz w:val="20"/>
          <w:szCs w:val="20"/>
        </w:rPr>
        <w:t>poredbenih</w:t>
      </w:r>
      <w:r w:rsidR="001619A1">
        <w:rPr>
          <w:rFonts w:ascii="Times New Roman" w:hAnsi="Times New Roman" w:cs="Times New Roman"/>
          <w:sz w:val="20"/>
          <w:szCs w:val="20"/>
        </w:rPr>
        <w:t xml:space="preserve"> studijskih grupa</w:t>
      </w:r>
      <w:r w:rsidR="008C37C8">
        <w:rPr>
          <w:rFonts w:ascii="Times New Roman" w:hAnsi="Times New Roman" w:cs="Times New Roman"/>
          <w:sz w:val="20"/>
          <w:szCs w:val="20"/>
        </w:rPr>
        <w:t>.</w:t>
      </w:r>
    </w:p>
    <w:p w:rsidR="00C2505F" w:rsidRPr="00C2505F" w:rsidRDefault="00C2505F" w:rsidP="00C2505F">
      <w:pPr>
        <w:spacing w:after="0" w:line="240" w:lineRule="auto"/>
        <w:ind w:firstLine="708"/>
        <w:jc w:val="both"/>
        <w:rPr>
          <w:rFonts w:ascii="Times New Roman" w:hAnsi="Times New Roman" w:cs="Times New Roman"/>
          <w:sz w:val="20"/>
          <w:szCs w:val="20"/>
        </w:rPr>
      </w:pPr>
      <w:r w:rsidRPr="00C2505F">
        <w:rPr>
          <w:rFonts w:ascii="Times New Roman" w:hAnsi="Times New Roman" w:cs="Times New Roman"/>
          <w:sz w:val="20"/>
          <w:szCs w:val="20"/>
        </w:rPr>
        <w:t>Najbolnija lumbalna tačka kod pacijenata sa lumboishialgijom je tačka L6, sa izmerenom vrednosti od 354,41 kPa/cm</w:t>
      </w:r>
      <w:r w:rsidRPr="00C2505F">
        <w:rPr>
          <w:rFonts w:ascii="Times New Roman" w:hAnsi="Times New Roman" w:cs="Times New Roman"/>
          <w:sz w:val="20"/>
          <w:szCs w:val="20"/>
          <w:vertAlign w:val="superscript"/>
        </w:rPr>
        <w:t>2</w:t>
      </w:r>
      <w:r w:rsidRPr="00C2505F">
        <w:rPr>
          <w:rFonts w:ascii="Times New Roman" w:hAnsi="Times New Roman" w:cs="Times New Roman"/>
          <w:sz w:val="20"/>
          <w:szCs w:val="20"/>
        </w:rPr>
        <w:t>, dok je najmanje bolna tačka, tj. tačka u kojoj je zabeležen najveći prag tačka L9, sa pragom bola od 499,3 kPa/cm</w:t>
      </w:r>
      <w:r w:rsidRPr="00C2505F">
        <w:rPr>
          <w:rFonts w:ascii="Times New Roman" w:hAnsi="Times New Roman" w:cs="Times New Roman"/>
          <w:sz w:val="20"/>
          <w:szCs w:val="20"/>
          <w:vertAlign w:val="superscript"/>
        </w:rPr>
        <w:t>2</w:t>
      </w:r>
      <w:r w:rsidRPr="00C2505F">
        <w:rPr>
          <w:rFonts w:ascii="Times New Roman" w:hAnsi="Times New Roman" w:cs="Times New Roman"/>
          <w:sz w:val="20"/>
          <w:szCs w:val="20"/>
        </w:rPr>
        <w:t xml:space="preserve"> (</w:t>
      </w:r>
      <w:r w:rsidR="000162D9">
        <w:rPr>
          <w:rFonts w:ascii="Times New Roman" w:hAnsi="Times New Roman" w:cs="Times New Roman"/>
          <w:sz w:val="20"/>
          <w:szCs w:val="20"/>
        </w:rPr>
        <w:t>Grafik</w:t>
      </w:r>
      <w:r w:rsidRPr="00C2505F">
        <w:rPr>
          <w:rFonts w:ascii="Times New Roman" w:hAnsi="Times New Roman" w:cs="Times New Roman"/>
          <w:sz w:val="20"/>
          <w:szCs w:val="20"/>
        </w:rPr>
        <w:t xml:space="preserve"> 3).</w:t>
      </w:r>
    </w:p>
    <w:p w:rsidR="00C2505F" w:rsidRPr="00C2505F" w:rsidRDefault="00C2505F" w:rsidP="00C2505F">
      <w:pPr>
        <w:spacing w:after="0" w:line="240" w:lineRule="auto"/>
        <w:rPr>
          <w:rFonts w:ascii="Times New Roman" w:hAnsi="Times New Roman" w:cs="Times New Roman"/>
          <w:w w:val="104"/>
          <w:sz w:val="20"/>
          <w:szCs w:val="20"/>
        </w:rPr>
      </w:pPr>
    </w:p>
    <w:p w:rsidR="00C2505F" w:rsidRDefault="009C1F0A" w:rsidP="009C1F0A">
      <w:pPr>
        <w:spacing w:after="0" w:line="240" w:lineRule="auto"/>
        <w:jc w:val="center"/>
        <w:rPr>
          <w:rFonts w:ascii="Times New Roman" w:hAnsi="Times New Roman" w:cs="Times New Roman"/>
          <w:w w:val="104"/>
        </w:rPr>
      </w:pPr>
      <w:r>
        <w:rPr>
          <w:noProof/>
          <w:lang w:eastAsia="sr-Latn-RS"/>
        </w:rPr>
        <w:drawing>
          <wp:inline distT="0" distB="0" distL="0" distR="0" wp14:anchorId="4636506A" wp14:editId="2CB7CFDF">
            <wp:extent cx="5324475" cy="2771775"/>
            <wp:effectExtent l="0" t="0" r="9525" b="952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9C1F0A" w:rsidRDefault="009C1F0A" w:rsidP="009C1F0A">
      <w:pPr>
        <w:spacing w:after="0" w:line="240" w:lineRule="auto"/>
        <w:jc w:val="center"/>
        <w:rPr>
          <w:rFonts w:ascii="Times New Roman" w:hAnsi="Times New Roman" w:cs="Times New Roman"/>
          <w:w w:val="104"/>
        </w:rPr>
      </w:pPr>
      <w:r>
        <w:rPr>
          <w:rFonts w:ascii="Times New Roman" w:hAnsi="Times New Roman" w:cs="Times New Roman"/>
          <w:w w:val="104"/>
        </w:rPr>
        <w:t>Grafik 3. Prag bola ispitanih tačaka lumbosakralnog predela</w:t>
      </w:r>
    </w:p>
    <w:p w:rsidR="009C1F0A" w:rsidRPr="00B763CA" w:rsidRDefault="009C1F0A" w:rsidP="009C1F0A">
      <w:pPr>
        <w:spacing w:after="0" w:line="240" w:lineRule="auto"/>
        <w:rPr>
          <w:rFonts w:ascii="Times New Roman" w:hAnsi="Times New Roman" w:cs="Times New Roman"/>
          <w:w w:val="104"/>
          <w:sz w:val="20"/>
          <w:szCs w:val="20"/>
        </w:rPr>
      </w:pPr>
    </w:p>
    <w:p w:rsidR="009C1F0A" w:rsidRPr="00B763CA" w:rsidRDefault="009C1F0A" w:rsidP="009C1F0A">
      <w:pPr>
        <w:spacing w:after="0" w:line="240" w:lineRule="auto"/>
        <w:rPr>
          <w:rFonts w:ascii="Times New Roman" w:hAnsi="Times New Roman" w:cs="Times New Roman"/>
          <w:w w:val="104"/>
          <w:sz w:val="20"/>
          <w:szCs w:val="20"/>
        </w:rPr>
      </w:pPr>
    </w:p>
    <w:p w:rsidR="009C1F0A" w:rsidRPr="009C1F0A" w:rsidRDefault="009C1F0A" w:rsidP="009C1F0A">
      <w:pPr>
        <w:spacing w:after="0" w:line="240" w:lineRule="auto"/>
        <w:ind w:firstLine="708"/>
        <w:jc w:val="both"/>
        <w:rPr>
          <w:rFonts w:ascii="Times New Roman" w:hAnsi="Times New Roman" w:cs="Times New Roman"/>
          <w:sz w:val="20"/>
          <w:szCs w:val="20"/>
        </w:rPr>
      </w:pPr>
      <w:r w:rsidRPr="009C1F0A">
        <w:rPr>
          <w:rFonts w:ascii="Times New Roman" w:hAnsi="Times New Roman" w:cs="Times New Roman"/>
          <w:sz w:val="20"/>
          <w:szCs w:val="20"/>
        </w:rPr>
        <w:t>Analizom praga bola ispitivanih tačaka na nogama došli smo do sledećih rezultata: pacijenati sa lumboishialgijom pokazali su povećanu bolnost u svim tačkama noge osim u tački N9 u kojoj pacijenti sa glavoboljom navode nešto niže vrednosti. Prosečna bolnost svih tačaka na nogama kod pacijenata sa lumboishialgijom je 409,24±90,41 kPa/cm</w:t>
      </w:r>
      <w:r w:rsidRPr="009C1F0A">
        <w:rPr>
          <w:rFonts w:ascii="Times New Roman" w:hAnsi="Times New Roman" w:cs="Times New Roman"/>
          <w:sz w:val="20"/>
          <w:szCs w:val="20"/>
          <w:vertAlign w:val="superscript"/>
        </w:rPr>
        <w:t>2</w:t>
      </w:r>
      <w:r w:rsidRPr="009C1F0A">
        <w:rPr>
          <w:rFonts w:ascii="Times New Roman" w:hAnsi="Times New Roman" w:cs="Times New Roman"/>
          <w:sz w:val="20"/>
          <w:szCs w:val="20"/>
        </w:rPr>
        <w:t>. Po bolnosti za njima slede pacijenti sa glavoboljom kod kojih s</w:t>
      </w:r>
      <w:r>
        <w:rPr>
          <w:rFonts w:ascii="Times New Roman" w:hAnsi="Times New Roman" w:cs="Times New Roman"/>
          <w:sz w:val="20"/>
          <w:szCs w:val="20"/>
        </w:rPr>
        <w:t>e bol javlja pri pritisku od 511</w:t>
      </w:r>
      <w:r w:rsidRPr="009C1F0A">
        <w:rPr>
          <w:rFonts w:ascii="Times New Roman" w:hAnsi="Times New Roman" w:cs="Times New Roman"/>
          <w:sz w:val="20"/>
          <w:szCs w:val="20"/>
        </w:rPr>
        <w:t>,08±177,85 kPa/cm</w:t>
      </w:r>
      <w:r w:rsidRPr="009C1F0A">
        <w:rPr>
          <w:rFonts w:ascii="Times New Roman" w:hAnsi="Times New Roman" w:cs="Times New Roman"/>
          <w:sz w:val="20"/>
          <w:szCs w:val="20"/>
          <w:vertAlign w:val="superscript"/>
        </w:rPr>
        <w:t>2</w:t>
      </w:r>
      <w:r w:rsidRPr="009C1F0A">
        <w:rPr>
          <w:rFonts w:ascii="Times New Roman" w:hAnsi="Times New Roman" w:cs="Times New Roman"/>
          <w:sz w:val="20"/>
          <w:szCs w:val="20"/>
        </w:rPr>
        <w:t>, a zatim slede zdravi ispitanici sa pragom bola od 672,15±96,43 kPa/cm</w:t>
      </w:r>
      <w:r w:rsidRPr="009C1F0A">
        <w:rPr>
          <w:rFonts w:ascii="Times New Roman" w:hAnsi="Times New Roman" w:cs="Times New Roman"/>
          <w:sz w:val="20"/>
          <w:szCs w:val="20"/>
          <w:vertAlign w:val="superscript"/>
        </w:rPr>
        <w:t>2</w:t>
      </w:r>
      <w:r w:rsidRPr="009C1F0A">
        <w:rPr>
          <w:rFonts w:ascii="Times New Roman" w:hAnsi="Times New Roman" w:cs="Times New Roman"/>
          <w:sz w:val="20"/>
          <w:szCs w:val="20"/>
        </w:rPr>
        <w:t xml:space="preserve">. Analitička funkcija One Simple T test pri upoređivanju praga bola ispitivanih tačaka na nozi kod pacijenata sa glavoboljom i zdravih pojedinaca daje nam vrednost </w:t>
      </w:r>
      <w:r w:rsidRPr="009C1F0A">
        <w:rPr>
          <w:rFonts w:ascii="Times New Roman" w:hAnsi="Times New Roman" w:cs="Times New Roman"/>
          <w:i/>
          <w:sz w:val="20"/>
          <w:szCs w:val="20"/>
        </w:rPr>
        <w:t>Asymp. Sig (2-tailed)=0,000</w:t>
      </w:r>
      <w:r w:rsidRPr="009C1F0A">
        <w:rPr>
          <w:rFonts w:ascii="Times New Roman" w:hAnsi="Times New Roman" w:cs="Times New Roman"/>
          <w:sz w:val="20"/>
          <w:szCs w:val="20"/>
        </w:rPr>
        <w:t xml:space="preserve">, što je manje od 0,05 te stoga zaključujemo da postoji statistički značajna razlika u visini praga bola </w:t>
      </w:r>
      <w:r w:rsidR="00D45B6A">
        <w:rPr>
          <w:rFonts w:ascii="Times New Roman" w:hAnsi="Times New Roman" w:cs="Times New Roman"/>
          <w:sz w:val="20"/>
          <w:szCs w:val="20"/>
        </w:rPr>
        <w:t>ove dve</w:t>
      </w:r>
      <w:r w:rsidR="00D707C5">
        <w:rPr>
          <w:rFonts w:ascii="Times New Roman" w:hAnsi="Times New Roman" w:cs="Times New Roman"/>
          <w:sz w:val="20"/>
          <w:szCs w:val="20"/>
        </w:rPr>
        <w:t xml:space="preserve"> grupe</w:t>
      </w:r>
      <w:r w:rsidR="00D45B6A">
        <w:rPr>
          <w:rFonts w:ascii="Times New Roman" w:hAnsi="Times New Roman" w:cs="Times New Roman"/>
          <w:sz w:val="20"/>
          <w:szCs w:val="20"/>
        </w:rPr>
        <w:t xml:space="preserve"> pacijenata</w:t>
      </w:r>
      <w:r w:rsidRPr="009C1F0A">
        <w:rPr>
          <w:rFonts w:ascii="Times New Roman" w:hAnsi="Times New Roman" w:cs="Times New Roman"/>
          <w:sz w:val="20"/>
          <w:szCs w:val="20"/>
        </w:rPr>
        <w:t xml:space="preserve">. </w:t>
      </w:r>
      <w:r>
        <w:rPr>
          <w:rFonts w:ascii="Times New Roman" w:hAnsi="Times New Roman" w:cs="Times New Roman"/>
          <w:sz w:val="20"/>
          <w:szCs w:val="20"/>
        </w:rPr>
        <w:t>Uporedivši prag bola ispit</w:t>
      </w:r>
      <w:r w:rsidR="008F416D">
        <w:rPr>
          <w:rFonts w:ascii="Times New Roman" w:hAnsi="Times New Roman" w:cs="Times New Roman"/>
          <w:sz w:val="20"/>
          <w:szCs w:val="20"/>
        </w:rPr>
        <w:t>iv</w:t>
      </w:r>
      <w:r>
        <w:rPr>
          <w:rFonts w:ascii="Times New Roman" w:hAnsi="Times New Roman" w:cs="Times New Roman"/>
          <w:sz w:val="20"/>
          <w:szCs w:val="20"/>
        </w:rPr>
        <w:t xml:space="preserve">anih tačaka na nozi kod pacijenata sa glavoboljom i zdravih ispitanika, takođe dobijamo vrednost </w:t>
      </w:r>
      <w:r w:rsidRPr="00C2505F">
        <w:rPr>
          <w:rFonts w:ascii="Times New Roman" w:hAnsi="Times New Roman" w:cs="Times New Roman"/>
          <w:i/>
          <w:sz w:val="20"/>
          <w:szCs w:val="20"/>
        </w:rPr>
        <w:t>Asymp. Sig (2-tailed)=0,000</w:t>
      </w:r>
      <w:r>
        <w:rPr>
          <w:rFonts w:ascii="Times New Roman" w:hAnsi="Times New Roman" w:cs="Times New Roman"/>
          <w:sz w:val="20"/>
          <w:szCs w:val="20"/>
        </w:rPr>
        <w:t xml:space="preserve">, što je manje od 0,05 te stoga zaključujemo da postoji statistički značajna razlika </w:t>
      </w:r>
      <w:r w:rsidR="00D707C5">
        <w:rPr>
          <w:rFonts w:ascii="Times New Roman" w:hAnsi="Times New Roman" w:cs="Times New Roman"/>
          <w:sz w:val="20"/>
          <w:szCs w:val="20"/>
        </w:rPr>
        <w:t>u visini</w:t>
      </w:r>
      <w:r>
        <w:rPr>
          <w:rFonts w:ascii="Times New Roman" w:hAnsi="Times New Roman" w:cs="Times New Roman"/>
          <w:sz w:val="20"/>
          <w:szCs w:val="20"/>
        </w:rPr>
        <w:t xml:space="preserve"> praga bola između ove dve </w:t>
      </w:r>
      <w:r w:rsidR="008F416D">
        <w:rPr>
          <w:rFonts w:ascii="Times New Roman" w:hAnsi="Times New Roman" w:cs="Times New Roman"/>
          <w:sz w:val="20"/>
          <w:szCs w:val="20"/>
        </w:rPr>
        <w:t>studijske</w:t>
      </w:r>
      <w:r>
        <w:rPr>
          <w:rFonts w:ascii="Times New Roman" w:hAnsi="Times New Roman" w:cs="Times New Roman"/>
          <w:sz w:val="20"/>
          <w:szCs w:val="20"/>
        </w:rPr>
        <w:t xml:space="preserve"> grupe. Međutim, uporedivši vrednosti visine praga bola u ispit</w:t>
      </w:r>
      <w:r w:rsidR="008F416D">
        <w:rPr>
          <w:rFonts w:ascii="Times New Roman" w:hAnsi="Times New Roman" w:cs="Times New Roman"/>
          <w:sz w:val="20"/>
          <w:szCs w:val="20"/>
        </w:rPr>
        <w:t>iva</w:t>
      </w:r>
      <w:r>
        <w:rPr>
          <w:rFonts w:ascii="Times New Roman" w:hAnsi="Times New Roman" w:cs="Times New Roman"/>
          <w:sz w:val="20"/>
          <w:szCs w:val="20"/>
        </w:rPr>
        <w:t xml:space="preserve">nim tačkama na nozi kod pacijenata sa lumboishialgijom i pacijenata sa glavoboljom dobijamo vrednost </w:t>
      </w:r>
      <w:r>
        <w:rPr>
          <w:rFonts w:ascii="Times New Roman" w:hAnsi="Times New Roman" w:cs="Times New Roman"/>
          <w:i/>
          <w:sz w:val="20"/>
          <w:szCs w:val="20"/>
        </w:rPr>
        <w:t>Asymp. Sig (2-tailed)&gt;</w:t>
      </w:r>
      <w:r w:rsidRPr="00C2505F">
        <w:rPr>
          <w:rFonts w:ascii="Times New Roman" w:hAnsi="Times New Roman" w:cs="Times New Roman"/>
          <w:i/>
          <w:sz w:val="20"/>
          <w:szCs w:val="20"/>
        </w:rPr>
        <w:t>0,0</w:t>
      </w:r>
      <w:r>
        <w:rPr>
          <w:rFonts w:ascii="Times New Roman" w:hAnsi="Times New Roman" w:cs="Times New Roman"/>
          <w:i/>
          <w:sz w:val="20"/>
          <w:szCs w:val="20"/>
        </w:rPr>
        <w:t>5</w:t>
      </w:r>
      <w:r w:rsidRPr="008F416D">
        <w:rPr>
          <w:rFonts w:ascii="Times New Roman" w:hAnsi="Times New Roman" w:cs="Times New Roman"/>
          <w:sz w:val="20"/>
          <w:szCs w:val="20"/>
        </w:rPr>
        <w:t>,</w:t>
      </w:r>
      <w:r>
        <w:rPr>
          <w:rFonts w:ascii="Times New Roman" w:hAnsi="Times New Roman" w:cs="Times New Roman"/>
          <w:sz w:val="20"/>
          <w:szCs w:val="20"/>
        </w:rPr>
        <w:t xml:space="preserve"> te stoga zaključujemo da ne postoji statistički značajna razlika visine praga bola u ispit</w:t>
      </w:r>
      <w:r w:rsidR="008F416D">
        <w:rPr>
          <w:rFonts w:ascii="Times New Roman" w:hAnsi="Times New Roman" w:cs="Times New Roman"/>
          <w:sz w:val="20"/>
          <w:szCs w:val="20"/>
        </w:rPr>
        <w:t>iv</w:t>
      </w:r>
      <w:r>
        <w:rPr>
          <w:rFonts w:ascii="Times New Roman" w:hAnsi="Times New Roman" w:cs="Times New Roman"/>
          <w:sz w:val="20"/>
          <w:szCs w:val="20"/>
        </w:rPr>
        <w:t xml:space="preserve">anim tačkama na nozi između ove dve </w:t>
      </w:r>
      <w:r w:rsidR="008F416D">
        <w:rPr>
          <w:rFonts w:ascii="Times New Roman" w:hAnsi="Times New Roman" w:cs="Times New Roman"/>
          <w:sz w:val="20"/>
          <w:szCs w:val="20"/>
        </w:rPr>
        <w:t>poredbene</w:t>
      </w:r>
      <w:r>
        <w:rPr>
          <w:rFonts w:ascii="Times New Roman" w:hAnsi="Times New Roman" w:cs="Times New Roman"/>
          <w:sz w:val="20"/>
          <w:szCs w:val="20"/>
        </w:rPr>
        <w:t xml:space="preserve"> grupe.</w:t>
      </w:r>
    </w:p>
    <w:p w:rsidR="009C1F0A" w:rsidRPr="009C1F0A" w:rsidRDefault="009C1F0A" w:rsidP="009C1F0A">
      <w:pPr>
        <w:spacing w:after="0" w:line="240" w:lineRule="auto"/>
        <w:ind w:firstLine="708"/>
        <w:jc w:val="both"/>
        <w:rPr>
          <w:rFonts w:ascii="Times New Roman" w:hAnsi="Times New Roman" w:cs="Times New Roman"/>
          <w:sz w:val="20"/>
          <w:szCs w:val="20"/>
        </w:rPr>
      </w:pPr>
      <w:r w:rsidRPr="009C1F0A">
        <w:rPr>
          <w:rFonts w:ascii="Times New Roman" w:hAnsi="Times New Roman" w:cs="Times New Roman"/>
          <w:sz w:val="20"/>
          <w:szCs w:val="20"/>
        </w:rPr>
        <w:t>Najbolnija tačka na nozi kod pacijenata sa lumboishialgijom je tačka N5, smeštena u desnoj poplitealnoj jami sa pragom bola od 305,42 kPa/cm</w:t>
      </w:r>
      <w:r w:rsidRPr="009C1F0A">
        <w:rPr>
          <w:rFonts w:ascii="Times New Roman" w:hAnsi="Times New Roman" w:cs="Times New Roman"/>
          <w:sz w:val="20"/>
          <w:szCs w:val="20"/>
          <w:vertAlign w:val="superscript"/>
        </w:rPr>
        <w:t>2</w:t>
      </w:r>
      <w:r w:rsidRPr="009C1F0A">
        <w:rPr>
          <w:rFonts w:ascii="Times New Roman" w:hAnsi="Times New Roman" w:cs="Times New Roman"/>
          <w:sz w:val="20"/>
          <w:szCs w:val="20"/>
        </w:rPr>
        <w:t>, dok je najmanje bolna tačka, tj. tačka u kojoj je zabeležen najveći prag bola tačka N1, kod koje prag bola iznosi 615,89 kPa/cm</w:t>
      </w:r>
      <w:r w:rsidRPr="009C1F0A">
        <w:rPr>
          <w:rFonts w:ascii="Times New Roman" w:hAnsi="Times New Roman" w:cs="Times New Roman"/>
          <w:sz w:val="20"/>
          <w:szCs w:val="20"/>
          <w:vertAlign w:val="superscript"/>
        </w:rPr>
        <w:t>2</w:t>
      </w:r>
      <w:r w:rsidRPr="009C1F0A">
        <w:rPr>
          <w:rFonts w:ascii="Times New Roman" w:hAnsi="Times New Roman" w:cs="Times New Roman"/>
          <w:sz w:val="20"/>
          <w:szCs w:val="20"/>
        </w:rPr>
        <w:t xml:space="preserve"> </w:t>
      </w:r>
      <w:r w:rsidR="00F32B99">
        <w:rPr>
          <w:rFonts w:ascii="Times New Roman" w:hAnsi="Times New Roman" w:cs="Times New Roman"/>
          <w:sz w:val="20"/>
          <w:szCs w:val="20"/>
        </w:rPr>
        <w:t>(G</w:t>
      </w:r>
      <w:r w:rsidR="004D264D">
        <w:rPr>
          <w:rFonts w:ascii="Times New Roman" w:hAnsi="Times New Roman" w:cs="Times New Roman"/>
          <w:sz w:val="20"/>
          <w:szCs w:val="20"/>
        </w:rPr>
        <w:t>rafik</w:t>
      </w:r>
      <w:r w:rsidRPr="009C1F0A">
        <w:rPr>
          <w:rFonts w:ascii="Times New Roman" w:hAnsi="Times New Roman" w:cs="Times New Roman"/>
          <w:sz w:val="20"/>
          <w:szCs w:val="20"/>
        </w:rPr>
        <w:t xml:space="preserve"> 4).</w:t>
      </w:r>
    </w:p>
    <w:p w:rsidR="009C1F0A" w:rsidRDefault="009C1F0A" w:rsidP="009C1F0A">
      <w:pPr>
        <w:spacing w:after="0" w:line="240" w:lineRule="auto"/>
        <w:rPr>
          <w:rFonts w:ascii="Times New Roman" w:hAnsi="Times New Roman" w:cs="Times New Roman"/>
          <w:w w:val="104"/>
        </w:rPr>
      </w:pPr>
    </w:p>
    <w:p w:rsidR="00D24D17" w:rsidRDefault="00D24D17" w:rsidP="00D24D17">
      <w:pPr>
        <w:spacing w:after="0" w:line="240" w:lineRule="auto"/>
        <w:jc w:val="center"/>
        <w:rPr>
          <w:rFonts w:ascii="Times New Roman" w:hAnsi="Times New Roman" w:cs="Times New Roman"/>
          <w:w w:val="104"/>
        </w:rPr>
      </w:pPr>
      <w:r>
        <w:rPr>
          <w:noProof/>
          <w:lang w:eastAsia="sr-Latn-RS"/>
        </w:rPr>
        <w:lastRenderedPageBreak/>
        <w:drawing>
          <wp:inline distT="0" distB="0" distL="0" distR="0" wp14:anchorId="3ED92119" wp14:editId="2AD79F37">
            <wp:extent cx="5276850" cy="2743200"/>
            <wp:effectExtent l="0" t="0" r="0" b="9525"/>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D24D17" w:rsidRDefault="00D24D17" w:rsidP="00D24D17">
      <w:pPr>
        <w:spacing w:after="0" w:line="240" w:lineRule="auto"/>
        <w:jc w:val="center"/>
        <w:rPr>
          <w:rFonts w:ascii="Times New Roman" w:hAnsi="Times New Roman" w:cs="Times New Roman"/>
          <w:w w:val="104"/>
        </w:rPr>
      </w:pPr>
      <w:r>
        <w:rPr>
          <w:rFonts w:ascii="Times New Roman" w:hAnsi="Times New Roman" w:cs="Times New Roman"/>
          <w:w w:val="104"/>
        </w:rPr>
        <w:t>Grafik 4. Prag bola ispitanih tačaka na nozi</w:t>
      </w:r>
    </w:p>
    <w:p w:rsidR="00D24D17" w:rsidRPr="00FD610F" w:rsidRDefault="00D24D17" w:rsidP="00D24D17">
      <w:pPr>
        <w:spacing w:after="0" w:line="240" w:lineRule="auto"/>
        <w:rPr>
          <w:rFonts w:ascii="Times New Roman" w:hAnsi="Times New Roman" w:cs="Times New Roman"/>
          <w:w w:val="104"/>
          <w:sz w:val="20"/>
          <w:szCs w:val="20"/>
        </w:rPr>
      </w:pPr>
    </w:p>
    <w:p w:rsidR="00D24D17" w:rsidRPr="00FD610F" w:rsidRDefault="00D24D17" w:rsidP="00D24D17">
      <w:pPr>
        <w:spacing w:after="0" w:line="240" w:lineRule="auto"/>
        <w:rPr>
          <w:rFonts w:ascii="Times New Roman" w:hAnsi="Times New Roman" w:cs="Times New Roman"/>
          <w:w w:val="104"/>
          <w:sz w:val="20"/>
          <w:szCs w:val="20"/>
        </w:rPr>
      </w:pPr>
    </w:p>
    <w:p w:rsidR="00FD610F" w:rsidRPr="0021324C" w:rsidRDefault="00FD610F" w:rsidP="00FD610F">
      <w:pPr>
        <w:spacing w:after="0" w:line="240" w:lineRule="auto"/>
        <w:ind w:firstLine="708"/>
        <w:jc w:val="both"/>
        <w:rPr>
          <w:rFonts w:ascii="Times New Roman" w:hAnsi="Times New Roman" w:cs="Times New Roman"/>
          <w:sz w:val="20"/>
          <w:szCs w:val="20"/>
        </w:rPr>
      </w:pPr>
      <w:r w:rsidRPr="0021324C">
        <w:rPr>
          <w:rFonts w:ascii="Times New Roman" w:hAnsi="Times New Roman" w:cs="Times New Roman"/>
          <w:sz w:val="20"/>
          <w:szCs w:val="20"/>
        </w:rPr>
        <w:t>Među pacijentima sa lumboishialgijom, 11 njih u anamnestičkim podacima navodi tipičnu iradijaciju bola u levu nogu, dok se iradijacija bola u desnu nogu javljala kod njih 8-oro. Kod ispitanika koji navode širenje bola u desnu nogu prag bola u predelu lumbalne kičme sa desne strane iznosi 443,02 kPa/cm</w:t>
      </w:r>
      <w:r w:rsidRPr="0021324C">
        <w:rPr>
          <w:rFonts w:ascii="Times New Roman" w:hAnsi="Times New Roman" w:cs="Times New Roman"/>
          <w:sz w:val="20"/>
          <w:szCs w:val="20"/>
          <w:vertAlign w:val="superscript"/>
        </w:rPr>
        <w:t>2</w:t>
      </w:r>
      <w:r w:rsidRPr="0021324C">
        <w:rPr>
          <w:rFonts w:ascii="Times New Roman" w:hAnsi="Times New Roman" w:cs="Times New Roman"/>
          <w:sz w:val="20"/>
          <w:szCs w:val="20"/>
        </w:rPr>
        <w:t>, a sa leve strane 523,19 kPa/cm</w:t>
      </w:r>
      <w:r w:rsidRPr="0021324C">
        <w:rPr>
          <w:rFonts w:ascii="Times New Roman" w:hAnsi="Times New Roman" w:cs="Times New Roman"/>
          <w:sz w:val="20"/>
          <w:szCs w:val="20"/>
          <w:vertAlign w:val="superscript"/>
        </w:rPr>
        <w:t>2</w:t>
      </w:r>
      <w:r w:rsidRPr="0021324C">
        <w:rPr>
          <w:rFonts w:ascii="Times New Roman" w:hAnsi="Times New Roman" w:cs="Times New Roman"/>
          <w:sz w:val="20"/>
          <w:szCs w:val="20"/>
        </w:rPr>
        <w:t>. Vrednost praga bola na nozi kod ovih ispitanika sa desne strane iznosi 386,50 kPa/cm</w:t>
      </w:r>
      <w:r w:rsidRPr="0021324C">
        <w:rPr>
          <w:rFonts w:ascii="Times New Roman" w:hAnsi="Times New Roman" w:cs="Times New Roman"/>
          <w:sz w:val="20"/>
          <w:szCs w:val="20"/>
          <w:vertAlign w:val="superscript"/>
        </w:rPr>
        <w:t>2</w:t>
      </w:r>
      <w:r w:rsidRPr="0021324C">
        <w:rPr>
          <w:rFonts w:ascii="Times New Roman" w:hAnsi="Times New Roman" w:cs="Times New Roman"/>
          <w:sz w:val="20"/>
          <w:szCs w:val="20"/>
        </w:rPr>
        <w:t>, dok su sa leve strane vrednosti nešto više i iznose 463,02 kPa/cm</w:t>
      </w:r>
      <w:r w:rsidRPr="0021324C">
        <w:rPr>
          <w:rFonts w:ascii="Times New Roman" w:hAnsi="Times New Roman" w:cs="Times New Roman"/>
          <w:sz w:val="20"/>
          <w:szCs w:val="20"/>
          <w:vertAlign w:val="superscript"/>
        </w:rPr>
        <w:t>2</w:t>
      </w:r>
      <w:r w:rsidRPr="0021324C">
        <w:rPr>
          <w:rFonts w:ascii="Times New Roman" w:hAnsi="Times New Roman" w:cs="Times New Roman"/>
          <w:sz w:val="20"/>
          <w:szCs w:val="20"/>
        </w:rPr>
        <w:t>.</w:t>
      </w:r>
    </w:p>
    <w:p w:rsidR="00FD610F" w:rsidRPr="0021324C" w:rsidRDefault="00FD610F" w:rsidP="00FD610F">
      <w:pPr>
        <w:spacing w:after="0" w:line="240" w:lineRule="auto"/>
        <w:ind w:firstLine="708"/>
        <w:jc w:val="both"/>
        <w:rPr>
          <w:rFonts w:ascii="Times New Roman" w:hAnsi="Times New Roman" w:cs="Times New Roman"/>
          <w:color w:val="FF0000"/>
          <w:sz w:val="20"/>
          <w:szCs w:val="20"/>
        </w:rPr>
      </w:pPr>
      <w:r w:rsidRPr="0021324C">
        <w:rPr>
          <w:rFonts w:ascii="Times New Roman" w:hAnsi="Times New Roman" w:cs="Times New Roman"/>
          <w:sz w:val="20"/>
          <w:szCs w:val="20"/>
        </w:rPr>
        <w:t>Kod ispitanika koji navode širenje bola u levu nogu, prag bola u predelu lumbalne kičme sa leve strane iznosi 365,84 kPa/cm</w:t>
      </w:r>
      <w:r w:rsidRPr="0021324C">
        <w:rPr>
          <w:rFonts w:ascii="Times New Roman" w:hAnsi="Times New Roman" w:cs="Times New Roman"/>
          <w:sz w:val="20"/>
          <w:szCs w:val="20"/>
          <w:vertAlign w:val="superscript"/>
        </w:rPr>
        <w:t>2</w:t>
      </w:r>
      <w:r w:rsidRPr="0021324C">
        <w:rPr>
          <w:rFonts w:ascii="Times New Roman" w:hAnsi="Times New Roman" w:cs="Times New Roman"/>
          <w:sz w:val="20"/>
          <w:szCs w:val="20"/>
        </w:rPr>
        <w:t>, a sa desne strane 398,69 kPa/cm</w:t>
      </w:r>
      <w:r w:rsidRPr="0021324C">
        <w:rPr>
          <w:rFonts w:ascii="Times New Roman" w:hAnsi="Times New Roman" w:cs="Times New Roman"/>
          <w:sz w:val="20"/>
          <w:szCs w:val="20"/>
          <w:vertAlign w:val="superscript"/>
        </w:rPr>
        <w:t>2</w:t>
      </w:r>
      <w:r w:rsidRPr="0021324C">
        <w:rPr>
          <w:rFonts w:ascii="Times New Roman" w:hAnsi="Times New Roman" w:cs="Times New Roman"/>
          <w:sz w:val="20"/>
          <w:szCs w:val="20"/>
        </w:rPr>
        <w:t>. Vrednost praga bola na nozi kod ovih ispitanika sa leve strane iznosi 372,30 kPa/cm</w:t>
      </w:r>
      <w:r w:rsidRPr="0021324C">
        <w:rPr>
          <w:rFonts w:ascii="Times New Roman" w:hAnsi="Times New Roman" w:cs="Times New Roman"/>
          <w:sz w:val="20"/>
          <w:szCs w:val="20"/>
          <w:vertAlign w:val="superscript"/>
        </w:rPr>
        <w:t>2</w:t>
      </w:r>
      <w:r w:rsidRPr="0021324C">
        <w:rPr>
          <w:rFonts w:ascii="Times New Roman" w:hAnsi="Times New Roman" w:cs="Times New Roman"/>
          <w:sz w:val="20"/>
          <w:szCs w:val="20"/>
        </w:rPr>
        <w:t>, dok su sa desne strane vrednosti nešto više i iznose 423,60 kPa/cm</w:t>
      </w:r>
      <w:r w:rsidRPr="0021324C">
        <w:rPr>
          <w:rFonts w:ascii="Times New Roman" w:hAnsi="Times New Roman" w:cs="Times New Roman"/>
          <w:sz w:val="20"/>
          <w:szCs w:val="20"/>
          <w:vertAlign w:val="superscript"/>
        </w:rPr>
        <w:t>2</w:t>
      </w:r>
      <w:r w:rsidRPr="0021324C">
        <w:rPr>
          <w:rFonts w:ascii="Times New Roman" w:hAnsi="Times New Roman" w:cs="Times New Roman"/>
          <w:sz w:val="20"/>
          <w:szCs w:val="20"/>
        </w:rPr>
        <w:t>.</w:t>
      </w:r>
    </w:p>
    <w:p w:rsidR="00FD610F" w:rsidRPr="0021324C" w:rsidRDefault="00BF3361" w:rsidP="00FD610F">
      <w:pPr>
        <w:pStyle w:val="NoSpacing"/>
        <w:ind w:firstLine="708"/>
        <w:jc w:val="both"/>
        <w:rPr>
          <w:rFonts w:ascii="Times New Roman" w:hAnsi="Times New Roman" w:cs="Times New Roman"/>
          <w:sz w:val="20"/>
          <w:szCs w:val="20"/>
        </w:rPr>
      </w:pPr>
      <w:r>
        <w:rPr>
          <w:rFonts w:ascii="Times New Roman" w:hAnsi="Times New Roman" w:cs="Times New Roman"/>
          <w:sz w:val="20"/>
          <w:szCs w:val="20"/>
        </w:rPr>
        <w:t>Na T</w:t>
      </w:r>
      <w:r w:rsidR="00FD610F" w:rsidRPr="0021324C">
        <w:rPr>
          <w:rFonts w:ascii="Times New Roman" w:hAnsi="Times New Roman" w:cs="Times New Roman"/>
          <w:sz w:val="20"/>
          <w:szCs w:val="20"/>
        </w:rPr>
        <w:t>abeli 1 prikazane su najbolnije i najmanje bolne tačke na poglavini, lumbalnom predelu i nogama u ispitanim studijskim grupama.</w:t>
      </w:r>
    </w:p>
    <w:p w:rsidR="00D24D17" w:rsidRDefault="00D24D17" w:rsidP="00D24D17">
      <w:pPr>
        <w:spacing w:after="0" w:line="240" w:lineRule="auto"/>
        <w:rPr>
          <w:rFonts w:ascii="Times New Roman" w:hAnsi="Times New Roman" w:cs="Times New Roman"/>
          <w:w w:val="104"/>
        </w:rPr>
      </w:pPr>
    </w:p>
    <w:p w:rsidR="00FD610F" w:rsidRDefault="00FD610F" w:rsidP="00F42BE7">
      <w:pPr>
        <w:spacing w:after="0" w:line="240" w:lineRule="auto"/>
        <w:jc w:val="center"/>
        <w:rPr>
          <w:rFonts w:ascii="Times New Roman" w:hAnsi="Times New Roman" w:cs="Times New Roman"/>
          <w:w w:val="104"/>
        </w:rPr>
      </w:pPr>
      <w:r>
        <w:rPr>
          <w:rFonts w:ascii="Times New Roman" w:hAnsi="Times New Roman" w:cs="Times New Roman"/>
          <w:w w:val="104"/>
        </w:rPr>
        <w:t>Tabela 1. Najbolnije i najmanje bolne tačke ispitanih studijskih grupa</w:t>
      </w:r>
    </w:p>
    <w:tbl>
      <w:tblPr>
        <w:tblStyle w:val="TableGrid"/>
        <w:tblpPr w:leftFromText="180" w:rightFromText="180" w:vertAnchor="text" w:horzAnchor="margin" w:tblpXSpec="center" w:tblpY="-81"/>
        <w:tblW w:w="0" w:type="auto"/>
        <w:tblLook w:val="04A0" w:firstRow="1" w:lastRow="0" w:firstColumn="1" w:lastColumn="0" w:noHBand="0" w:noVBand="1"/>
      </w:tblPr>
      <w:tblGrid>
        <w:gridCol w:w="1713"/>
        <w:gridCol w:w="1716"/>
        <w:gridCol w:w="1713"/>
        <w:gridCol w:w="1713"/>
        <w:gridCol w:w="1713"/>
      </w:tblGrid>
      <w:tr w:rsidR="00FD610F" w:rsidRPr="00FD610F" w:rsidTr="003524AB">
        <w:trPr>
          <w:trHeight w:val="340"/>
        </w:trPr>
        <w:tc>
          <w:tcPr>
            <w:tcW w:w="3429" w:type="dxa"/>
            <w:gridSpan w:val="2"/>
            <w:shd w:val="clear" w:color="auto" w:fill="E5B8B7" w:themeFill="accent2" w:themeFillTint="66"/>
            <w:vAlign w:val="center"/>
          </w:tcPr>
          <w:p w:rsidR="00FD610F" w:rsidRPr="00FD610F" w:rsidRDefault="00FD610F" w:rsidP="00FD610F">
            <w:pPr>
              <w:jc w:val="center"/>
              <w:rPr>
                <w:rFonts w:ascii="Times New Roman" w:hAnsi="Times New Roman" w:cs="Times New Roman"/>
                <w:sz w:val="20"/>
                <w:szCs w:val="20"/>
              </w:rPr>
            </w:pPr>
          </w:p>
        </w:tc>
        <w:tc>
          <w:tcPr>
            <w:tcW w:w="1713" w:type="dxa"/>
            <w:shd w:val="clear" w:color="auto" w:fill="E5B8B7" w:themeFill="accent2" w:themeFillTint="66"/>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Zdravi</w:t>
            </w:r>
          </w:p>
        </w:tc>
        <w:tc>
          <w:tcPr>
            <w:tcW w:w="1713" w:type="dxa"/>
            <w:shd w:val="clear" w:color="auto" w:fill="E5B8B7" w:themeFill="accent2" w:themeFillTint="66"/>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Glavobolje</w:t>
            </w:r>
          </w:p>
        </w:tc>
        <w:tc>
          <w:tcPr>
            <w:tcW w:w="1713" w:type="dxa"/>
            <w:shd w:val="clear" w:color="auto" w:fill="E5B8B7" w:themeFill="accent2" w:themeFillTint="66"/>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Lumbalni</w:t>
            </w:r>
          </w:p>
        </w:tc>
      </w:tr>
      <w:tr w:rsidR="003524AB" w:rsidRPr="00FD610F" w:rsidTr="003524AB">
        <w:trPr>
          <w:trHeight w:val="900"/>
        </w:trPr>
        <w:tc>
          <w:tcPr>
            <w:tcW w:w="1713" w:type="dxa"/>
            <w:vMerge w:val="restart"/>
            <w:shd w:val="clear" w:color="auto" w:fill="E5B8B7" w:themeFill="accent2" w:themeFillTint="66"/>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Glava</w:t>
            </w:r>
          </w:p>
        </w:tc>
        <w:tc>
          <w:tcPr>
            <w:tcW w:w="1716" w:type="dxa"/>
            <w:shd w:val="clear" w:color="auto" w:fill="95B3D7" w:themeFill="accent1" w:themeFillTint="99"/>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NAJBOLNIJA TAČKA</w:t>
            </w:r>
          </w:p>
        </w:tc>
        <w:tc>
          <w:tcPr>
            <w:tcW w:w="1713" w:type="dxa"/>
            <w:shd w:val="clear" w:color="auto" w:fill="DBE5F1" w:themeFill="accent1" w:themeFillTint="33"/>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G3</w:t>
            </w:r>
          </w:p>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259,94 kPa/cm</w:t>
            </w:r>
            <w:r w:rsidRPr="00FD610F">
              <w:rPr>
                <w:rFonts w:ascii="Times New Roman" w:hAnsi="Times New Roman" w:cs="Times New Roman"/>
                <w:sz w:val="20"/>
                <w:szCs w:val="20"/>
                <w:vertAlign w:val="superscript"/>
              </w:rPr>
              <w:t>2</w:t>
            </w:r>
          </w:p>
        </w:tc>
        <w:tc>
          <w:tcPr>
            <w:tcW w:w="1713" w:type="dxa"/>
            <w:shd w:val="clear" w:color="auto" w:fill="DBE5F1" w:themeFill="accent1" w:themeFillTint="33"/>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G2</w:t>
            </w:r>
          </w:p>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104,02 kPa/cm</w:t>
            </w:r>
            <w:r w:rsidRPr="00FD610F">
              <w:rPr>
                <w:rFonts w:ascii="Times New Roman" w:hAnsi="Times New Roman" w:cs="Times New Roman"/>
                <w:sz w:val="20"/>
                <w:szCs w:val="20"/>
                <w:vertAlign w:val="superscript"/>
              </w:rPr>
              <w:t>2</w:t>
            </w:r>
          </w:p>
        </w:tc>
        <w:tc>
          <w:tcPr>
            <w:tcW w:w="1713" w:type="dxa"/>
            <w:shd w:val="clear" w:color="auto" w:fill="DBE5F1" w:themeFill="accent1" w:themeFillTint="33"/>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G2</w:t>
            </w:r>
          </w:p>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200,46 kPa/cm</w:t>
            </w:r>
            <w:r w:rsidRPr="00FD610F">
              <w:rPr>
                <w:rFonts w:ascii="Times New Roman" w:hAnsi="Times New Roman" w:cs="Times New Roman"/>
                <w:sz w:val="20"/>
                <w:szCs w:val="20"/>
                <w:vertAlign w:val="superscript"/>
              </w:rPr>
              <w:t>2</w:t>
            </w:r>
          </w:p>
        </w:tc>
      </w:tr>
      <w:tr w:rsidR="003524AB" w:rsidRPr="00FD610F" w:rsidTr="003524AB">
        <w:trPr>
          <w:trHeight w:val="954"/>
        </w:trPr>
        <w:tc>
          <w:tcPr>
            <w:tcW w:w="1713" w:type="dxa"/>
            <w:vMerge/>
            <w:shd w:val="clear" w:color="auto" w:fill="E5B8B7" w:themeFill="accent2" w:themeFillTint="66"/>
            <w:vAlign w:val="center"/>
          </w:tcPr>
          <w:p w:rsidR="00FD610F" w:rsidRPr="00FD610F" w:rsidRDefault="00FD610F" w:rsidP="00FD610F">
            <w:pPr>
              <w:jc w:val="center"/>
              <w:rPr>
                <w:rFonts w:ascii="Times New Roman" w:hAnsi="Times New Roman" w:cs="Times New Roman"/>
                <w:sz w:val="20"/>
                <w:szCs w:val="20"/>
              </w:rPr>
            </w:pPr>
          </w:p>
        </w:tc>
        <w:tc>
          <w:tcPr>
            <w:tcW w:w="1716" w:type="dxa"/>
            <w:shd w:val="clear" w:color="auto" w:fill="95B3D7" w:themeFill="accent1" w:themeFillTint="99"/>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NAJMANJE BOLNA TAČKA</w:t>
            </w:r>
          </w:p>
        </w:tc>
        <w:tc>
          <w:tcPr>
            <w:tcW w:w="1713" w:type="dxa"/>
            <w:shd w:val="clear" w:color="auto" w:fill="DBE5F1" w:themeFill="accent1" w:themeFillTint="33"/>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G4</w:t>
            </w:r>
          </w:p>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566,58 kPa/cm</w:t>
            </w:r>
            <w:r w:rsidRPr="00FD610F">
              <w:rPr>
                <w:rFonts w:ascii="Times New Roman" w:hAnsi="Times New Roman" w:cs="Times New Roman"/>
                <w:sz w:val="20"/>
                <w:szCs w:val="20"/>
                <w:vertAlign w:val="superscript"/>
              </w:rPr>
              <w:t>2</w:t>
            </w:r>
          </w:p>
        </w:tc>
        <w:tc>
          <w:tcPr>
            <w:tcW w:w="1713" w:type="dxa"/>
            <w:shd w:val="clear" w:color="auto" w:fill="DBE5F1" w:themeFill="accent1" w:themeFillTint="33"/>
            <w:vAlign w:val="center"/>
          </w:tcPr>
          <w:p w:rsidR="00FD610F" w:rsidRPr="00FD610F" w:rsidRDefault="00FD610F" w:rsidP="00FD610F">
            <w:pPr>
              <w:jc w:val="center"/>
              <w:rPr>
                <w:rFonts w:ascii="Times New Roman" w:hAnsi="Times New Roman" w:cs="Times New Roman"/>
                <w:color w:val="000000" w:themeColor="text1"/>
                <w:sz w:val="20"/>
                <w:szCs w:val="20"/>
              </w:rPr>
            </w:pPr>
            <w:r w:rsidRPr="00FD610F">
              <w:rPr>
                <w:rFonts w:ascii="Times New Roman" w:hAnsi="Times New Roman" w:cs="Times New Roman"/>
                <w:color w:val="000000" w:themeColor="text1"/>
                <w:sz w:val="20"/>
                <w:szCs w:val="20"/>
              </w:rPr>
              <w:t>G4</w:t>
            </w:r>
          </w:p>
          <w:p w:rsidR="00FD610F" w:rsidRPr="00FD610F" w:rsidRDefault="00FD610F" w:rsidP="00FD610F">
            <w:pPr>
              <w:jc w:val="center"/>
              <w:rPr>
                <w:rFonts w:ascii="Times New Roman" w:hAnsi="Times New Roman" w:cs="Times New Roman"/>
                <w:color w:val="000000" w:themeColor="text1"/>
                <w:sz w:val="20"/>
                <w:szCs w:val="20"/>
              </w:rPr>
            </w:pPr>
            <w:r w:rsidRPr="00FD610F">
              <w:rPr>
                <w:rFonts w:ascii="Times New Roman" w:hAnsi="Times New Roman" w:cs="Times New Roman"/>
                <w:color w:val="000000" w:themeColor="text1"/>
                <w:sz w:val="20"/>
                <w:szCs w:val="20"/>
              </w:rPr>
              <w:t>242,89</w:t>
            </w:r>
            <w:r w:rsidRPr="00FD610F">
              <w:rPr>
                <w:rFonts w:ascii="Times New Roman" w:hAnsi="Times New Roman" w:cs="Times New Roman"/>
                <w:sz w:val="20"/>
                <w:szCs w:val="20"/>
              </w:rPr>
              <w:t xml:space="preserve"> kPa/cm</w:t>
            </w:r>
            <w:r w:rsidRPr="00FD610F">
              <w:rPr>
                <w:rFonts w:ascii="Times New Roman" w:hAnsi="Times New Roman" w:cs="Times New Roman"/>
                <w:sz w:val="20"/>
                <w:szCs w:val="20"/>
                <w:vertAlign w:val="superscript"/>
              </w:rPr>
              <w:t>2</w:t>
            </w:r>
          </w:p>
        </w:tc>
        <w:tc>
          <w:tcPr>
            <w:tcW w:w="1713" w:type="dxa"/>
            <w:shd w:val="clear" w:color="auto" w:fill="DBE5F1" w:themeFill="accent1" w:themeFillTint="33"/>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G8</w:t>
            </w:r>
          </w:p>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343,36 kPa/cm</w:t>
            </w:r>
            <w:r w:rsidRPr="00FD610F">
              <w:rPr>
                <w:rFonts w:ascii="Times New Roman" w:hAnsi="Times New Roman" w:cs="Times New Roman"/>
                <w:sz w:val="20"/>
                <w:szCs w:val="20"/>
                <w:vertAlign w:val="superscript"/>
              </w:rPr>
              <w:t>2</w:t>
            </w:r>
          </w:p>
        </w:tc>
      </w:tr>
      <w:tr w:rsidR="003524AB" w:rsidRPr="00FD610F" w:rsidTr="003524AB">
        <w:trPr>
          <w:trHeight w:val="900"/>
        </w:trPr>
        <w:tc>
          <w:tcPr>
            <w:tcW w:w="1713" w:type="dxa"/>
            <w:vMerge w:val="restart"/>
            <w:shd w:val="clear" w:color="auto" w:fill="E5B8B7" w:themeFill="accent2" w:themeFillTint="66"/>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Lumbalni deo kičme</w:t>
            </w:r>
          </w:p>
        </w:tc>
        <w:tc>
          <w:tcPr>
            <w:tcW w:w="1716" w:type="dxa"/>
            <w:shd w:val="clear" w:color="auto" w:fill="95B3D7" w:themeFill="accent1" w:themeFillTint="99"/>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NAJBOLNIJA TAČKA</w:t>
            </w:r>
          </w:p>
        </w:tc>
        <w:tc>
          <w:tcPr>
            <w:tcW w:w="1713" w:type="dxa"/>
            <w:shd w:val="clear" w:color="auto" w:fill="DBE5F1" w:themeFill="accent1" w:themeFillTint="33"/>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L10</w:t>
            </w:r>
          </w:p>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713,53 kPa/cm</w:t>
            </w:r>
            <w:r w:rsidRPr="00FD610F">
              <w:rPr>
                <w:rFonts w:ascii="Times New Roman" w:hAnsi="Times New Roman" w:cs="Times New Roman"/>
                <w:sz w:val="20"/>
                <w:szCs w:val="20"/>
                <w:vertAlign w:val="superscript"/>
              </w:rPr>
              <w:t>2</w:t>
            </w:r>
          </w:p>
        </w:tc>
        <w:tc>
          <w:tcPr>
            <w:tcW w:w="1713" w:type="dxa"/>
            <w:shd w:val="clear" w:color="auto" w:fill="DBE5F1" w:themeFill="accent1" w:themeFillTint="33"/>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L1</w:t>
            </w:r>
          </w:p>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412,22 kPa/cm</w:t>
            </w:r>
            <w:r w:rsidRPr="00FD610F">
              <w:rPr>
                <w:rFonts w:ascii="Times New Roman" w:hAnsi="Times New Roman" w:cs="Times New Roman"/>
                <w:sz w:val="20"/>
                <w:szCs w:val="20"/>
                <w:vertAlign w:val="superscript"/>
              </w:rPr>
              <w:t>2</w:t>
            </w:r>
          </w:p>
        </w:tc>
        <w:tc>
          <w:tcPr>
            <w:tcW w:w="1713" w:type="dxa"/>
            <w:shd w:val="clear" w:color="auto" w:fill="DBE5F1" w:themeFill="accent1" w:themeFillTint="33"/>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L6</w:t>
            </w:r>
          </w:p>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354,42 kPa/cm</w:t>
            </w:r>
            <w:r w:rsidRPr="00FD610F">
              <w:rPr>
                <w:rFonts w:ascii="Times New Roman" w:hAnsi="Times New Roman" w:cs="Times New Roman"/>
                <w:sz w:val="20"/>
                <w:szCs w:val="20"/>
                <w:vertAlign w:val="superscript"/>
              </w:rPr>
              <w:t>2</w:t>
            </w:r>
          </w:p>
        </w:tc>
      </w:tr>
      <w:tr w:rsidR="003524AB" w:rsidRPr="00FD610F" w:rsidTr="003524AB">
        <w:trPr>
          <w:trHeight w:val="954"/>
        </w:trPr>
        <w:tc>
          <w:tcPr>
            <w:tcW w:w="1713" w:type="dxa"/>
            <w:vMerge/>
            <w:shd w:val="clear" w:color="auto" w:fill="E5B8B7" w:themeFill="accent2" w:themeFillTint="66"/>
            <w:vAlign w:val="center"/>
          </w:tcPr>
          <w:p w:rsidR="00FD610F" w:rsidRPr="00FD610F" w:rsidRDefault="00FD610F" w:rsidP="00FD610F">
            <w:pPr>
              <w:jc w:val="center"/>
              <w:rPr>
                <w:rFonts w:ascii="Times New Roman" w:hAnsi="Times New Roman" w:cs="Times New Roman"/>
                <w:sz w:val="20"/>
                <w:szCs w:val="20"/>
              </w:rPr>
            </w:pPr>
          </w:p>
        </w:tc>
        <w:tc>
          <w:tcPr>
            <w:tcW w:w="1716" w:type="dxa"/>
            <w:shd w:val="clear" w:color="auto" w:fill="95B3D7" w:themeFill="accent1" w:themeFillTint="99"/>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NAJMANJE BOLNA TAČKA</w:t>
            </w:r>
          </w:p>
        </w:tc>
        <w:tc>
          <w:tcPr>
            <w:tcW w:w="1713" w:type="dxa"/>
            <w:shd w:val="clear" w:color="auto" w:fill="DBE5F1" w:themeFill="accent1" w:themeFillTint="33"/>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L5</w:t>
            </w:r>
          </w:p>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882,14 kPa/cm</w:t>
            </w:r>
            <w:r w:rsidRPr="00FD610F">
              <w:rPr>
                <w:rFonts w:ascii="Times New Roman" w:hAnsi="Times New Roman" w:cs="Times New Roman"/>
                <w:sz w:val="20"/>
                <w:szCs w:val="20"/>
                <w:vertAlign w:val="superscript"/>
              </w:rPr>
              <w:t>2</w:t>
            </w:r>
          </w:p>
        </w:tc>
        <w:tc>
          <w:tcPr>
            <w:tcW w:w="1713" w:type="dxa"/>
            <w:shd w:val="clear" w:color="auto" w:fill="DBE5F1" w:themeFill="accent1" w:themeFillTint="33"/>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L9</w:t>
            </w:r>
          </w:p>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621,00 kPa/cm</w:t>
            </w:r>
            <w:r w:rsidRPr="00FD610F">
              <w:rPr>
                <w:rFonts w:ascii="Times New Roman" w:hAnsi="Times New Roman" w:cs="Times New Roman"/>
                <w:sz w:val="20"/>
                <w:szCs w:val="20"/>
                <w:vertAlign w:val="superscript"/>
              </w:rPr>
              <w:t>2</w:t>
            </w:r>
          </w:p>
        </w:tc>
        <w:tc>
          <w:tcPr>
            <w:tcW w:w="1713" w:type="dxa"/>
            <w:shd w:val="clear" w:color="auto" w:fill="DBE5F1" w:themeFill="accent1" w:themeFillTint="33"/>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L9</w:t>
            </w:r>
          </w:p>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499,31 kPa/cm</w:t>
            </w:r>
            <w:r w:rsidRPr="00FD610F">
              <w:rPr>
                <w:rFonts w:ascii="Times New Roman" w:hAnsi="Times New Roman" w:cs="Times New Roman"/>
                <w:sz w:val="20"/>
                <w:szCs w:val="20"/>
                <w:vertAlign w:val="superscript"/>
              </w:rPr>
              <w:t>2</w:t>
            </w:r>
          </w:p>
        </w:tc>
      </w:tr>
      <w:tr w:rsidR="003524AB" w:rsidRPr="00FD610F" w:rsidTr="003524AB">
        <w:trPr>
          <w:trHeight w:val="900"/>
        </w:trPr>
        <w:tc>
          <w:tcPr>
            <w:tcW w:w="1713" w:type="dxa"/>
            <w:vMerge w:val="restart"/>
            <w:shd w:val="clear" w:color="auto" w:fill="E5B8B7" w:themeFill="accent2" w:themeFillTint="66"/>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Noga</w:t>
            </w:r>
          </w:p>
        </w:tc>
        <w:tc>
          <w:tcPr>
            <w:tcW w:w="1716" w:type="dxa"/>
            <w:shd w:val="clear" w:color="auto" w:fill="95B3D7" w:themeFill="accent1" w:themeFillTint="99"/>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NAJBOLNIJA TAČKA</w:t>
            </w:r>
          </w:p>
        </w:tc>
        <w:tc>
          <w:tcPr>
            <w:tcW w:w="1713" w:type="dxa"/>
            <w:shd w:val="clear" w:color="auto" w:fill="DBE5F1" w:themeFill="accent1" w:themeFillTint="33"/>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N10</w:t>
            </w:r>
          </w:p>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520,18 kPa/cm</w:t>
            </w:r>
            <w:r w:rsidRPr="00FD610F">
              <w:rPr>
                <w:rFonts w:ascii="Times New Roman" w:hAnsi="Times New Roman" w:cs="Times New Roman"/>
                <w:sz w:val="20"/>
                <w:szCs w:val="20"/>
                <w:vertAlign w:val="superscript"/>
              </w:rPr>
              <w:t>2</w:t>
            </w:r>
          </w:p>
        </w:tc>
        <w:tc>
          <w:tcPr>
            <w:tcW w:w="1713" w:type="dxa"/>
            <w:shd w:val="clear" w:color="auto" w:fill="DBE5F1" w:themeFill="accent1" w:themeFillTint="33"/>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N10</w:t>
            </w:r>
          </w:p>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279,46 kPa/cm</w:t>
            </w:r>
            <w:r w:rsidRPr="00FD610F">
              <w:rPr>
                <w:rFonts w:ascii="Times New Roman" w:hAnsi="Times New Roman" w:cs="Times New Roman"/>
                <w:sz w:val="20"/>
                <w:szCs w:val="20"/>
                <w:vertAlign w:val="superscript"/>
              </w:rPr>
              <w:t>2</w:t>
            </w:r>
          </w:p>
          <w:p w:rsidR="00FD610F" w:rsidRPr="00FD610F" w:rsidRDefault="00FD610F" w:rsidP="00FD610F">
            <w:pPr>
              <w:jc w:val="center"/>
              <w:rPr>
                <w:rFonts w:ascii="Times New Roman" w:hAnsi="Times New Roman" w:cs="Times New Roman"/>
                <w:sz w:val="20"/>
                <w:szCs w:val="20"/>
              </w:rPr>
            </w:pPr>
          </w:p>
        </w:tc>
        <w:tc>
          <w:tcPr>
            <w:tcW w:w="1713" w:type="dxa"/>
            <w:shd w:val="clear" w:color="auto" w:fill="DBE5F1" w:themeFill="accent1" w:themeFillTint="33"/>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N10</w:t>
            </w:r>
          </w:p>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316,27 kPa/cm</w:t>
            </w:r>
            <w:r w:rsidRPr="00FD610F">
              <w:rPr>
                <w:rFonts w:ascii="Times New Roman" w:hAnsi="Times New Roman" w:cs="Times New Roman"/>
                <w:sz w:val="20"/>
                <w:szCs w:val="20"/>
                <w:vertAlign w:val="superscript"/>
              </w:rPr>
              <w:t>2</w:t>
            </w:r>
          </w:p>
          <w:p w:rsidR="00FD610F" w:rsidRPr="00FD610F" w:rsidRDefault="00FD610F" w:rsidP="00FD610F">
            <w:pPr>
              <w:jc w:val="center"/>
              <w:rPr>
                <w:rFonts w:ascii="Times New Roman" w:hAnsi="Times New Roman" w:cs="Times New Roman"/>
                <w:sz w:val="20"/>
                <w:szCs w:val="20"/>
              </w:rPr>
            </w:pPr>
          </w:p>
        </w:tc>
      </w:tr>
      <w:tr w:rsidR="003524AB" w:rsidRPr="00FD610F" w:rsidTr="003524AB">
        <w:trPr>
          <w:trHeight w:val="954"/>
        </w:trPr>
        <w:tc>
          <w:tcPr>
            <w:tcW w:w="1713" w:type="dxa"/>
            <w:vMerge/>
            <w:shd w:val="clear" w:color="auto" w:fill="E5B8B7" w:themeFill="accent2" w:themeFillTint="66"/>
            <w:vAlign w:val="center"/>
          </w:tcPr>
          <w:p w:rsidR="00FD610F" w:rsidRPr="00FD610F" w:rsidRDefault="00FD610F" w:rsidP="00FD610F">
            <w:pPr>
              <w:jc w:val="center"/>
              <w:rPr>
                <w:rFonts w:ascii="Times New Roman" w:hAnsi="Times New Roman" w:cs="Times New Roman"/>
                <w:sz w:val="20"/>
                <w:szCs w:val="20"/>
              </w:rPr>
            </w:pPr>
          </w:p>
        </w:tc>
        <w:tc>
          <w:tcPr>
            <w:tcW w:w="1716" w:type="dxa"/>
            <w:shd w:val="clear" w:color="auto" w:fill="95B3D7" w:themeFill="accent1" w:themeFillTint="99"/>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NAJMANJE BOLNA TAČKA</w:t>
            </w:r>
          </w:p>
        </w:tc>
        <w:tc>
          <w:tcPr>
            <w:tcW w:w="1713" w:type="dxa"/>
            <w:shd w:val="clear" w:color="auto" w:fill="DBE5F1" w:themeFill="accent1" w:themeFillTint="33"/>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N2</w:t>
            </w:r>
          </w:p>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789,68 kPa/cm</w:t>
            </w:r>
            <w:r w:rsidRPr="00FD610F">
              <w:rPr>
                <w:rFonts w:ascii="Times New Roman" w:hAnsi="Times New Roman" w:cs="Times New Roman"/>
                <w:sz w:val="20"/>
                <w:szCs w:val="20"/>
                <w:vertAlign w:val="superscript"/>
              </w:rPr>
              <w:t>2</w:t>
            </w:r>
          </w:p>
        </w:tc>
        <w:tc>
          <w:tcPr>
            <w:tcW w:w="1713" w:type="dxa"/>
            <w:shd w:val="clear" w:color="auto" w:fill="DBE5F1" w:themeFill="accent1" w:themeFillTint="33"/>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N2</w:t>
            </w:r>
          </w:p>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846,70 kPa/cm</w:t>
            </w:r>
            <w:r w:rsidRPr="00FD610F">
              <w:rPr>
                <w:rFonts w:ascii="Times New Roman" w:hAnsi="Times New Roman" w:cs="Times New Roman"/>
                <w:sz w:val="20"/>
                <w:szCs w:val="20"/>
                <w:vertAlign w:val="superscript"/>
              </w:rPr>
              <w:t>2</w:t>
            </w:r>
          </w:p>
        </w:tc>
        <w:tc>
          <w:tcPr>
            <w:tcW w:w="1713" w:type="dxa"/>
            <w:shd w:val="clear" w:color="auto" w:fill="DBE5F1" w:themeFill="accent1" w:themeFillTint="33"/>
            <w:vAlign w:val="center"/>
          </w:tcPr>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N1</w:t>
            </w:r>
          </w:p>
          <w:p w:rsidR="00FD610F" w:rsidRPr="00FD610F" w:rsidRDefault="00FD610F" w:rsidP="00FD610F">
            <w:pPr>
              <w:jc w:val="center"/>
              <w:rPr>
                <w:rFonts w:ascii="Times New Roman" w:hAnsi="Times New Roman" w:cs="Times New Roman"/>
                <w:sz w:val="20"/>
                <w:szCs w:val="20"/>
              </w:rPr>
            </w:pPr>
            <w:r w:rsidRPr="00FD610F">
              <w:rPr>
                <w:rFonts w:ascii="Times New Roman" w:hAnsi="Times New Roman" w:cs="Times New Roman"/>
                <w:sz w:val="20"/>
                <w:szCs w:val="20"/>
              </w:rPr>
              <w:t>615,88 kPa/cm</w:t>
            </w:r>
            <w:r w:rsidRPr="00FD610F">
              <w:rPr>
                <w:rFonts w:ascii="Times New Roman" w:hAnsi="Times New Roman" w:cs="Times New Roman"/>
                <w:sz w:val="20"/>
                <w:szCs w:val="20"/>
                <w:vertAlign w:val="superscript"/>
              </w:rPr>
              <w:t>2</w:t>
            </w:r>
          </w:p>
        </w:tc>
      </w:tr>
    </w:tbl>
    <w:p w:rsidR="00FD610F" w:rsidRDefault="00FD610F" w:rsidP="00D24D17">
      <w:pPr>
        <w:spacing w:after="0" w:line="240" w:lineRule="auto"/>
        <w:rPr>
          <w:rFonts w:ascii="Times New Roman" w:hAnsi="Times New Roman" w:cs="Times New Roman"/>
          <w:w w:val="104"/>
          <w:sz w:val="20"/>
          <w:szCs w:val="20"/>
        </w:rPr>
      </w:pPr>
    </w:p>
    <w:p w:rsidR="00FD610F" w:rsidRDefault="00FD610F" w:rsidP="00D24D17">
      <w:pPr>
        <w:spacing w:after="0" w:line="240" w:lineRule="auto"/>
        <w:rPr>
          <w:rFonts w:ascii="Times New Roman" w:hAnsi="Times New Roman" w:cs="Times New Roman"/>
          <w:w w:val="104"/>
          <w:sz w:val="20"/>
          <w:szCs w:val="20"/>
        </w:rPr>
      </w:pPr>
    </w:p>
    <w:p w:rsidR="00FD610F" w:rsidRDefault="00E05A28" w:rsidP="00E05A28">
      <w:pPr>
        <w:spacing w:after="0" w:line="240" w:lineRule="auto"/>
        <w:jc w:val="center"/>
        <w:rPr>
          <w:rFonts w:ascii="Times New Roman" w:hAnsi="Times New Roman" w:cs="Times New Roman"/>
          <w:b/>
          <w:w w:val="104"/>
        </w:rPr>
      </w:pPr>
      <w:r w:rsidRPr="00E05A28">
        <w:rPr>
          <w:rFonts w:ascii="Times New Roman" w:hAnsi="Times New Roman" w:cs="Times New Roman"/>
          <w:b/>
          <w:w w:val="104"/>
        </w:rPr>
        <w:t>Diskusija</w:t>
      </w:r>
    </w:p>
    <w:p w:rsidR="00E05A28" w:rsidRDefault="00E05A28" w:rsidP="00E05A28">
      <w:pPr>
        <w:spacing w:after="0" w:line="240" w:lineRule="auto"/>
        <w:rPr>
          <w:rFonts w:ascii="Times New Roman" w:hAnsi="Times New Roman" w:cs="Times New Roman"/>
          <w:b/>
          <w:w w:val="104"/>
          <w:sz w:val="20"/>
          <w:szCs w:val="20"/>
        </w:rPr>
      </w:pPr>
    </w:p>
    <w:p w:rsidR="004D03B3" w:rsidRPr="004D03B3" w:rsidRDefault="004D03B3" w:rsidP="004D03B3">
      <w:pPr>
        <w:spacing w:after="0" w:line="240" w:lineRule="auto"/>
        <w:ind w:firstLine="708"/>
        <w:jc w:val="both"/>
        <w:rPr>
          <w:rFonts w:ascii="Times New Roman" w:hAnsi="Times New Roman" w:cs="Times New Roman"/>
          <w:sz w:val="20"/>
          <w:szCs w:val="20"/>
        </w:rPr>
      </w:pPr>
      <w:r w:rsidRPr="004D03B3">
        <w:rPr>
          <w:rFonts w:ascii="Times New Roman" w:hAnsi="Times New Roman" w:cs="Times New Roman"/>
          <w:sz w:val="20"/>
          <w:szCs w:val="20"/>
        </w:rPr>
        <w:t>Validnost digitalne algometrije i dalje je predmet debata. Uopšteno govoreći, jedan od nedostataka digitalne algometrije je poteškoća kontinuiranog pojačavanja pritiska od strane ispitivača. Bez prethodne obuke, prilično je teško ravnomerno povećavati pritisak na ispitivanu tačku. Na pojedinim tačkama, vrh algometra teži da sklizne sa mišića i pokvari dobijene rezultate tako da su ponovna merenja ponekad neophodna [13]. Ali sa druge strane, upotreba digitalnog algometra je u sve većem porastu pre svega zbog njegove dokazane efikasnosti i pouzdanosti u dijagnostifikovanju mišićnih bolnih sindroma [14, 15].</w:t>
      </w:r>
    </w:p>
    <w:p w:rsidR="004D03B3" w:rsidRPr="004D03B3" w:rsidRDefault="004D03B3" w:rsidP="004D03B3">
      <w:pPr>
        <w:spacing w:after="0" w:line="240" w:lineRule="auto"/>
        <w:ind w:firstLine="708"/>
        <w:jc w:val="both"/>
        <w:rPr>
          <w:rFonts w:ascii="Times New Roman" w:hAnsi="Times New Roman" w:cs="Times New Roman"/>
          <w:sz w:val="20"/>
          <w:szCs w:val="20"/>
        </w:rPr>
      </w:pPr>
      <w:r w:rsidRPr="004D03B3">
        <w:rPr>
          <w:rFonts w:ascii="Times New Roman" w:hAnsi="Times New Roman" w:cs="Times New Roman"/>
          <w:sz w:val="20"/>
          <w:szCs w:val="20"/>
        </w:rPr>
        <w:t xml:space="preserve">Tokom studije sprovedene u Italiji 1998. godine utvrđen je prag bola zdravih pojedinaca.  </w:t>
      </w:r>
      <w:r w:rsidRPr="004D03B3">
        <w:rPr>
          <w:rFonts w:ascii="Times New Roman" w:hAnsi="Times New Roman" w:cs="Times New Roman"/>
          <w:i/>
          <w:sz w:val="20"/>
          <w:szCs w:val="20"/>
        </w:rPr>
        <w:t>Fabio Antonaci</w:t>
      </w:r>
      <w:r w:rsidRPr="004D03B3">
        <w:rPr>
          <w:rFonts w:ascii="Times New Roman" w:hAnsi="Times New Roman" w:cs="Times New Roman"/>
          <w:sz w:val="20"/>
          <w:szCs w:val="20"/>
        </w:rPr>
        <w:t xml:space="preserve">  utvrdio je prag bola na ispitivanim tačkama poglavine i došao do rezultata od 414,82 kPa/cm</w:t>
      </w:r>
      <w:r w:rsidRPr="004D03B3">
        <w:rPr>
          <w:rFonts w:ascii="Times New Roman" w:hAnsi="Times New Roman" w:cs="Times New Roman"/>
          <w:sz w:val="20"/>
          <w:szCs w:val="20"/>
          <w:vertAlign w:val="superscript"/>
        </w:rPr>
        <w:t>2</w:t>
      </w:r>
      <w:r w:rsidRPr="004D03B3">
        <w:rPr>
          <w:rFonts w:ascii="Times New Roman" w:hAnsi="Times New Roman" w:cs="Times New Roman"/>
          <w:sz w:val="20"/>
          <w:szCs w:val="20"/>
        </w:rPr>
        <w:t xml:space="preserve">. Njegove kolege sa Klinike za neurologiju u Pavii, </w:t>
      </w:r>
      <w:r w:rsidRPr="004D03B3">
        <w:rPr>
          <w:rFonts w:ascii="Times New Roman" w:hAnsi="Times New Roman" w:cs="Times New Roman"/>
          <w:i/>
          <w:sz w:val="20"/>
          <w:szCs w:val="20"/>
        </w:rPr>
        <w:t>Trond Sand i</w:t>
      </w:r>
      <w:r w:rsidRPr="004D03B3">
        <w:rPr>
          <w:rFonts w:ascii="Times New Roman" w:hAnsi="Times New Roman" w:cs="Times New Roman"/>
          <w:sz w:val="20"/>
          <w:szCs w:val="20"/>
        </w:rPr>
        <w:t xml:space="preserve"> </w:t>
      </w:r>
      <w:r w:rsidRPr="004D03B3">
        <w:rPr>
          <w:rFonts w:ascii="Times New Roman" w:hAnsi="Times New Roman" w:cs="Times New Roman"/>
          <w:i/>
          <w:sz w:val="20"/>
          <w:szCs w:val="20"/>
        </w:rPr>
        <w:t>Guilherme Lucas</w:t>
      </w:r>
      <w:r w:rsidRPr="004D03B3">
        <w:rPr>
          <w:rFonts w:ascii="Times New Roman" w:hAnsi="Times New Roman" w:cs="Times New Roman"/>
          <w:sz w:val="20"/>
          <w:szCs w:val="20"/>
        </w:rPr>
        <w:t>, došli do sličnih rezultata i oni su iznosili 430,51 kPa/cm</w:t>
      </w:r>
      <w:r w:rsidRPr="004D03B3">
        <w:rPr>
          <w:rFonts w:ascii="Times New Roman" w:hAnsi="Times New Roman" w:cs="Times New Roman"/>
          <w:sz w:val="20"/>
          <w:szCs w:val="20"/>
          <w:vertAlign w:val="superscript"/>
        </w:rPr>
        <w:t>2</w:t>
      </w:r>
      <w:r w:rsidRPr="004D03B3">
        <w:rPr>
          <w:rFonts w:ascii="Times New Roman" w:hAnsi="Times New Roman" w:cs="Times New Roman"/>
          <w:sz w:val="20"/>
          <w:szCs w:val="20"/>
        </w:rPr>
        <w:t xml:space="preserve"> [13].</w:t>
      </w:r>
    </w:p>
    <w:p w:rsidR="004D03B3" w:rsidRPr="004D03B3" w:rsidRDefault="004D03B3" w:rsidP="004D03B3">
      <w:pPr>
        <w:spacing w:after="0" w:line="240" w:lineRule="auto"/>
        <w:jc w:val="both"/>
        <w:rPr>
          <w:rFonts w:ascii="Times New Roman" w:hAnsi="Times New Roman" w:cs="Times New Roman"/>
          <w:sz w:val="20"/>
          <w:szCs w:val="20"/>
        </w:rPr>
      </w:pPr>
      <w:r w:rsidRPr="004D03B3">
        <w:rPr>
          <w:rFonts w:ascii="Times New Roman" w:hAnsi="Times New Roman" w:cs="Times New Roman"/>
          <w:sz w:val="20"/>
          <w:szCs w:val="20"/>
        </w:rPr>
        <w:tab/>
        <w:t>Italijanski naučnik</w:t>
      </w:r>
      <w:r w:rsidRPr="004D03B3">
        <w:rPr>
          <w:rFonts w:ascii="Times New Roman" w:hAnsi="Times New Roman" w:cs="Times New Roman"/>
          <w:i/>
          <w:sz w:val="20"/>
          <w:szCs w:val="20"/>
        </w:rPr>
        <w:t>, Georgio Sandarini</w:t>
      </w:r>
      <w:r w:rsidRPr="004D03B3">
        <w:rPr>
          <w:rFonts w:ascii="Times New Roman" w:hAnsi="Times New Roman" w:cs="Times New Roman"/>
          <w:sz w:val="20"/>
          <w:szCs w:val="20"/>
        </w:rPr>
        <w:t>, tokom prospektivne studije iz 1994. godine uporedio je prag bola na poglavini kod raznih vrsta glavobolja. Između ostalog došao je do rezultata koji pokazuju da pacijenti sa hroničnom glavoboljom tenzionog tipa imaju prag bola od 259,45 kPa/cm</w:t>
      </w:r>
      <w:r w:rsidRPr="004D03B3">
        <w:rPr>
          <w:rFonts w:ascii="Times New Roman" w:hAnsi="Times New Roman" w:cs="Times New Roman"/>
          <w:sz w:val="20"/>
          <w:szCs w:val="20"/>
          <w:vertAlign w:val="superscript"/>
        </w:rPr>
        <w:t>2</w:t>
      </w:r>
      <w:r w:rsidRPr="004D03B3">
        <w:rPr>
          <w:rFonts w:ascii="Times New Roman" w:hAnsi="Times New Roman" w:cs="Times New Roman"/>
          <w:sz w:val="20"/>
          <w:szCs w:val="20"/>
        </w:rPr>
        <w:t>, dok su pacijenti sa epizodičnom glavoboljom tenzionog tipa pokazali nešto niže vrednosti koje su iznosile 240,36 kPa/cm</w:t>
      </w:r>
      <w:r w:rsidRPr="004D03B3">
        <w:rPr>
          <w:rFonts w:ascii="Times New Roman" w:hAnsi="Times New Roman" w:cs="Times New Roman"/>
          <w:sz w:val="20"/>
          <w:szCs w:val="20"/>
          <w:vertAlign w:val="superscript"/>
        </w:rPr>
        <w:t xml:space="preserve">2 </w:t>
      </w:r>
      <w:r w:rsidRPr="004D03B3">
        <w:rPr>
          <w:rFonts w:ascii="Times New Roman" w:hAnsi="Times New Roman" w:cs="Times New Roman"/>
          <w:sz w:val="20"/>
          <w:szCs w:val="20"/>
        </w:rPr>
        <w:t>[16].</w:t>
      </w:r>
    </w:p>
    <w:p w:rsidR="00D32A39" w:rsidRPr="00190147" w:rsidRDefault="004D03B3" w:rsidP="00124BF0">
      <w:pPr>
        <w:spacing w:after="0" w:line="240" w:lineRule="auto"/>
        <w:jc w:val="both"/>
        <w:rPr>
          <w:rFonts w:ascii="Times New Roman" w:hAnsi="Times New Roman" w:cs="Times New Roman"/>
          <w:i/>
          <w:sz w:val="20"/>
          <w:szCs w:val="20"/>
        </w:rPr>
      </w:pPr>
      <w:r w:rsidRPr="004D03B3">
        <w:rPr>
          <w:rFonts w:ascii="Times New Roman" w:hAnsi="Times New Roman" w:cs="Times New Roman"/>
          <w:sz w:val="20"/>
          <w:szCs w:val="20"/>
        </w:rPr>
        <w:tab/>
        <w:t>Naša studija pokazala je sli</w:t>
      </w:r>
      <w:r w:rsidR="001D1A5A">
        <w:rPr>
          <w:rFonts w:ascii="Times New Roman" w:hAnsi="Times New Roman" w:cs="Times New Roman"/>
          <w:sz w:val="20"/>
          <w:szCs w:val="20"/>
        </w:rPr>
        <w:t>čne rezultate. Prag bola</w:t>
      </w:r>
      <w:r w:rsidRPr="004D03B3">
        <w:rPr>
          <w:rFonts w:ascii="Times New Roman" w:hAnsi="Times New Roman" w:cs="Times New Roman"/>
          <w:sz w:val="20"/>
          <w:szCs w:val="20"/>
        </w:rPr>
        <w:t xml:space="preserve"> zdravih pojedinaca iznosi 455,05 kPa/cm</w:t>
      </w:r>
      <w:r w:rsidRPr="004D03B3">
        <w:rPr>
          <w:rFonts w:ascii="Times New Roman" w:hAnsi="Times New Roman" w:cs="Times New Roman"/>
          <w:sz w:val="20"/>
          <w:szCs w:val="20"/>
          <w:vertAlign w:val="superscript"/>
        </w:rPr>
        <w:t>2</w:t>
      </w:r>
      <w:r w:rsidR="00124BF0">
        <w:rPr>
          <w:rFonts w:ascii="Times New Roman" w:hAnsi="Times New Roman" w:cs="Times New Roman"/>
          <w:sz w:val="20"/>
          <w:szCs w:val="20"/>
        </w:rPr>
        <w:t>. Kod pacijenata</w:t>
      </w:r>
      <w:r w:rsidRPr="004D03B3">
        <w:rPr>
          <w:rFonts w:ascii="Times New Roman" w:hAnsi="Times New Roman" w:cs="Times New Roman"/>
          <w:sz w:val="20"/>
          <w:szCs w:val="20"/>
        </w:rPr>
        <w:t xml:space="preserve"> sa glavoboljom tenzionog tipa sa perikranij</w:t>
      </w:r>
      <w:r w:rsidR="00124BF0">
        <w:rPr>
          <w:rFonts w:ascii="Times New Roman" w:hAnsi="Times New Roman" w:cs="Times New Roman"/>
          <w:sz w:val="20"/>
          <w:szCs w:val="20"/>
        </w:rPr>
        <w:t xml:space="preserve">alnom osetljivošću izmerena </w:t>
      </w:r>
      <w:r w:rsidRPr="004D03B3">
        <w:rPr>
          <w:rFonts w:ascii="Times New Roman" w:hAnsi="Times New Roman" w:cs="Times New Roman"/>
          <w:sz w:val="20"/>
          <w:szCs w:val="20"/>
        </w:rPr>
        <w:t xml:space="preserve">vrednost </w:t>
      </w:r>
      <w:r w:rsidR="00124BF0">
        <w:rPr>
          <w:rFonts w:ascii="Times New Roman" w:hAnsi="Times New Roman" w:cs="Times New Roman"/>
          <w:sz w:val="20"/>
          <w:szCs w:val="20"/>
        </w:rPr>
        <w:t>iznosi</w:t>
      </w:r>
      <w:r w:rsidRPr="004D03B3">
        <w:rPr>
          <w:rFonts w:ascii="Times New Roman" w:hAnsi="Times New Roman" w:cs="Times New Roman"/>
          <w:sz w:val="20"/>
          <w:szCs w:val="20"/>
        </w:rPr>
        <w:t xml:space="preserve"> </w:t>
      </w:r>
      <w:r w:rsidR="00EB43E9">
        <w:rPr>
          <w:rFonts w:ascii="Times New Roman" w:hAnsi="Times New Roman" w:cs="Times New Roman"/>
          <w:sz w:val="20"/>
          <w:szCs w:val="20"/>
        </w:rPr>
        <w:t>179,51</w:t>
      </w:r>
      <w:r w:rsidRPr="004D03B3">
        <w:rPr>
          <w:rFonts w:ascii="Times New Roman" w:hAnsi="Times New Roman" w:cs="Times New Roman"/>
          <w:sz w:val="20"/>
          <w:szCs w:val="20"/>
        </w:rPr>
        <w:t xml:space="preserve"> kPa/cm</w:t>
      </w:r>
      <w:r w:rsidRPr="004D03B3">
        <w:rPr>
          <w:rFonts w:ascii="Times New Roman" w:hAnsi="Times New Roman" w:cs="Times New Roman"/>
          <w:sz w:val="20"/>
          <w:szCs w:val="20"/>
          <w:vertAlign w:val="superscript"/>
        </w:rPr>
        <w:t>2</w:t>
      </w:r>
      <w:r w:rsidR="00124BF0">
        <w:rPr>
          <w:rFonts w:ascii="Times New Roman" w:hAnsi="Times New Roman" w:cs="Times New Roman"/>
          <w:sz w:val="20"/>
          <w:szCs w:val="20"/>
        </w:rPr>
        <w:t xml:space="preserve">, dok je kod pacijenata sa lumboishialgijom izmerena vrednost iznosila 292,14 </w:t>
      </w:r>
      <w:r w:rsidR="00124BF0" w:rsidRPr="004D03B3">
        <w:rPr>
          <w:rFonts w:ascii="Times New Roman" w:hAnsi="Times New Roman" w:cs="Times New Roman"/>
          <w:sz w:val="20"/>
          <w:szCs w:val="20"/>
        </w:rPr>
        <w:t>kPa/cm</w:t>
      </w:r>
      <w:r w:rsidR="00124BF0" w:rsidRPr="004D03B3">
        <w:rPr>
          <w:rFonts w:ascii="Times New Roman" w:hAnsi="Times New Roman" w:cs="Times New Roman"/>
          <w:sz w:val="20"/>
          <w:szCs w:val="20"/>
          <w:vertAlign w:val="superscript"/>
        </w:rPr>
        <w:t>2</w:t>
      </w:r>
      <w:r w:rsidR="00124BF0">
        <w:rPr>
          <w:rFonts w:ascii="Times New Roman" w:hAnsi="Times New Roman" w:cs="Times New Roman"/>
          <w:sz w:val="20"/>
          <w:szCs w:val="20"/>
        </w:rPr>
        <w:t xml:space="preserve">. </w:t>
      </w:r>
      <w:r w:rsidRPr="004D03B3">
        <w:rPr>
          <w:rFonts w:ascii="Times New Roman" w:hAnsi="Times New Roman" w:cs="Times New Roman"/>
          <w:sz w:val="20"/>
          <w:szCs w:val="20"/>
        </w:rPr>
        <w:t xml:space="preserve">Na osnovu navedenih rezultata </w:t>
      </w:r>
      <w:r>
        <w:rPr>
          <w:rFonts w:ascii="Times New Roman" w:hAnsi="Times New Roman" w:cs="Times New Roman"/>
          <w:sz w:val="20"/>
          <w:szCs w:val="20"/>
        </w:rPr>
        <w:t>dolazimo do zaključka</w:t>
      </w:r>
      <w:r w:rsidR="00124BF0">
        <w:rPr>
          <w:rFonts w:ascii="Times New Roman" w:hAnsi="Times New Roman" w:cs="Times New Roman"/>
          <w:sz w:val="20"/>
          <w:szCs w:val="20"/>
        </w:rPr>
        <w:t xml:space="preserve"> </w:t>
      </w:r>
      <w:r w:rsidR="00124BF0" w:rsidRPr="00190147">
        <w:rPr>
          <w:rFonts w:ascii="Times New Roman" w:hAnsi="Times New Roman" w:cs="Times New Roman"/>
          <w:i/>
          <w:sz w:val="20"/>
          <w:szCs w:val="20"/>
        </w:rPr>
        <w:t>d</w:t>
      </w:r>
      <w:r w:rsidRPr="00190147">
        <w:rPr>
          <w:rFonts w:ascii="Times New Roman" w:hAnsi="Times New Roman" w:cs="Times New Roman"/>
          <w:i/>
          <w:sz w:val="20"/>
          <w:szCs w:val="20"/>
        </w:rPr>
        <w:t>a p</w:t>
      </w:r>
      <w:r w:rsidRPr="004D03B3">
        <w:rPr>
          <w:rFonts w:ascii="Times New Roman" w:hAnsi="Times New Roman" w:cs="Times New Roman"/>
          <w:i/>
          <w:sz w:val="20"/>
          <w:szCs w:val="20"/>
        </w:rPr>
        <w:t xml:space="preserve">acijenti sa glavoboljom tenzionog tipa sa perikranijalnom osetljivošću </w:t>
      </w:r>
      <w:r w:rsidR="00124BF0" w:rsidRPr="00190147">
        <w:rPr>
          <w:rFonts w:ascii="Times New Roman" w:hAnsi="Times New Roman" w:cs="Times New Roman"/>
          <w:i/>
          <w:sz w:val="20"/>
          <w:szCs w:val="20"/>
        </w:rPr>
        <w:t xml:space="preserve">i pacijenti sa lumboishialgijom </w:t>
      </w:r>
      <w:r w:rsidRPr="004D03B3">
        <w:rPr>
          <w:rFonts w:ascii="Times New Roman" w:hAnsi="Times New Roman" w:cs="Times New Roman"/>
          <w:i/>
          <w:sz w:val="20"/>
          <w:szCs w:val="20"/>
        </w:rPr>
        <w:t xml:space="preserve">imaju </w:t>
      </w:r>
      <w:r w:rsidR="00921C14" w:rsidRPr="00190147">
        <w:rPr>
          <w:rFonts w:ascii="Times New Roman" w:hAnsi="Times New Roman" w:cs="Times New Roman"/>
          <w:i/>
          <w:sz w:val="20"/>
          <w:szCs w:val="20"/>
        </w:rPr>
        <w:t xml:space="preserve">statistički značajno </w:t>
      </w:r>
      <w:r w:rsidRPr="004D03B3">
        <w:rPr>
          <w:rFonts w:ascii="Times New Roman" w:hAnsi="Times New Roman" w:cs="Times New Roman"/>
          <w:i/>
          <w:sz w:val="20"/>
          <w:szCs w:val="20"/>
        </w:rPr>
        <w:t>niži prag bola na ispitivanim tačkama poglavine u odnosu na zdrave ispitanike.</w:t>
      </w:r>
    </w:p>
    <w:p w:rsidR="00124BF0" w:rsidRPr="004D03B3" w:rsidRDefault="00124BF0" w:rsidP="00124BF0">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 xml:space="preserve">Na osnovu vrednosti praga bola kod pacijenata sa glavoboljom i pacijenata sa lumboishialgijom na ispitivanim tačkama poglavine odbacuje se početno postavljena hipoteza, te izvodimo zaključak </w:t>
      </w:r>
      <w:r w:rsidRPr="00190147">
        <w:rPr>
          <w:rFonts w:ascii="Times New Roman" w:hAnsi="Times New Roman" w:cs="Times New Roman"/>
          <w:i/>
          <w:sz w:val="20"/>
          <w:szCs w:val="20"/>
        </w:rPr>
        <w:t xml:space="preserve">da </w:t>
      </w:r>
      <w:r w:rsidR="00A45DEB">
        <w:rPr>
          <w:rFonts w:ascii="Times New Roman" w:hAnsi="Times New Roman" w:cs="Times New Roman"/>
          <w:i/>
          <w:sz w:val="20"/>
          <w:szCs w:val="20"/>
        </w:rPr>
        <w:t>nema statistički značajnerazlike  u visini praga bola kod pacijenata</w:t>
      </w:r>
      <w:r w:rsidRPr="00190147">
        <w:rPr>
          <w:rFonts w:ascii="Times New Roman" w:hAnsi="Times New Roman" w:cs="Times New Roman"/>
          <w:i/>
          <w:sz w:val="20"/>
          <w:szCs w:val="20"/>
        </w:rPr>
        <w:t xml:space="preserve"> sa glavoboljom tenzionog tipa sa perikranijalnom osetljivošću  </w:t>
      </w:r>
      <w:r w:rsidR="00A45DEB">
        <w:rPr>
          <w:rFonts w:ascii="Times New Roman" w:hAnsi="Times New Roman" w:cs="Times New Roman"/>
          <w:i/>
          <w:sz w:val="20"/>
          <w:szCs w:val="20"/>
        </w:rPr>
        <w:t>i pacijenata sa lumboishialgijom</w:t>
      </w:r>
      <w:r w:rsidRPr="00190147">
        <w:rPr>
          <w:rFonts w:ascii="Times New Roman" w:hAnsi="Times New Roman" w:cs="Times New Roman"/>
          <w:i/>
          <w:sz w:val="20"/>
          <w:szCs w:val="20"/>
        </w:rPr>
        <w:t xml:space="preserve"> na ispitanim tačkama poglavine.</w:t>
      </w:r>
    </w:p>
    <w:p w:rsidR="004D03B3" w:rsidRPr="004D03B3" w:rsidRDefault="004D03B3" w:rsidP="004D03B3">
      <w:pPr>
        <w:spacing w:after="0" w:line="240" w:lineRule="auto"/>
        <w:ind w:firstLine="708"/>
        <w:jc w:val="both"/>
        <w:rPr>
          <w:rFonts w:ascii="Times New Roman" w:hAnsi="Times New Roman" w:cs="Times New Roman"/>
          <w:sz w:val="20"/>
          <w:szCs w:val="20"/>
        </w:rPr>
      </w:pPr>
      <w:r w:rsidRPr="004D03B3">
        <w:rPr>
          <w:rFonts w:ascii="Times New Roman" w:hAnsi="Times New Roman" w:cs="Times New Roman"/>
          <w:sz w:val="20"/>
          <w:szCs w:val="20"/>
        </w:rPr>
        <w:t xml:space="preserve">U turskoj studiji </w:t>
      </w:r>
      <w:r w:rsidRPr="004D03B3">
        <w:rPr>
          <w:rFonts w:ascii="Times New Roman" w:hAnsi="Times New Roman" w:cs="Times New Roman"/>
          <w:i/>
          <w:sz w:val="20"/>
          <w:szCs w:val="20"/>
        </w:rPr>
        <w:t>Özdolapa, Sarikaya i Köktürka</w:t>
      </w:r>
      <w:r w:rsidRPr="004D03B3">
        <w:rPr>
          <w:rFonts w:ascii="Times New Roman" w:hAnsi="Times New Roman" w:cs="Times New Roman"/>
          <w:sz w:val="20"/>
          <w:szCs w:val="20"/>
        </w:rPr>
        <w:t xml:space="preserve"> iz 2014. godine utvrđen je prag bola kod pacijenata sa hroničnim bolom u donjem delu leđa, a vrednosti praga bola kod ovih pacijenata poređene su sa zdravim pojedincima. Prag bola kod zdravih ispitanika iznosio je 686,47 kPa/cm</w:t>
      </w:r>
      <w:r w:rsidRPr="004D03B3">
        <w:rPr>
          <w:rFonts w:ascii="Times New Roman" w:hAnsi="Times New Roman" w:cs="Times New Roman"/>
          <w:sz w:val="20"/>
          <w:szCs w:val="20"/>
          <w:vertAlign w:val="superscript"/>
        </w:rPr>
        <w:t>2</w:t>
      </w:r>
      <w:r w:rsidRPr="004D03B3">
        <w:rPr>
          <w:rFonts w:ascii="Times New Roman" w:hAnsi="Times New Roman" w:cs="Times New Roman"/>
          <w:sz w:val="20"/>
          <w:szCs w:val="20"/>
        </w:rPr>
        <w:t>, dok su pacijenti sa lumboishialgijom pokazali znatno niže vrednosti - 460,91 kPa/cm</w:t>
      </w:r>
      <w:r w:rsidRPr="004D03B3">
        <w:rPr>
          <w:rFonts w:ascii="Times New Roman" w:hAnsi="Times New Roman" w:cs="Times New Roman"/>
          <w:sz w:val="20"/>
          <w:szCs w:val="20"/>
          <w:vertAlign w:val="superscript"/>
        </w:rPr>
        <w:t>2</w:t>
      </w:r>
      <w:r w:rsidRPr="004D03B3">
        <w:rPr>
          <w:rFonts w:ascii="Times New Roman" w:hAnsi="Times New Roman" w:cs="Times New Roman"/>
          <w:sz w:val="20"/>
          <w:szCs w:val="20"/>
        </w:rPr>
        <w:t>.</w:t>
      </w:r>
    </w:p>
    <w:p w:rsidR="004D03B3" w:rsidRPr="004D03B3" w:rsidRDefault="004D03B3" w:rsidP="004D03B3">
      <w:pPr>
        <w:spacing w:after="0" w:line="240" w:lineRule="auto"/>
        <w:ind w:firstLine="708"/>
        <w:jc w:val="both"/>
        <w:rPr>
          <w:rFonts w:ascii="Times New Roman" w:hAnsi="Times New Roman" w:cs="Times New Roman"/>
          <w:sz w:val="20"/>
          <w:szCs w:val="20"/>
          <w:vertAlign w:val="superscript"/>
        </w:rPr>
      </w:pPr>
      <w:r w:rsidRPr="004D03B3">
        <w:rPr>
          <w:rFonts w:ascii="Times New Roman" w:hAnsi="Times New Roman" w:cs="Times New Roman"/>
          <w:sz w:val="20"/>
          <w:szCs w:val="20"/>
        </w:rPr>
        <w:t>Istraživanjem je takođe utvrđen i prag bola na nozi. Kod zdravih ispitanika zabeležen je prag bola od 762,96 kPa/cm</w:t>
      </w:r>
      <w:r w:rsidRPr="004D03B3">
        <w:rPr>
          <w:rFonts w:ascii="Times New Roman" w:hAnsi="Times New Roman" w:cs="Times New Roman"/>
          <w:sz w:val="20"/>
          <w:szCs w:val="20"/>
          <w:vertAlign w:val="superscript"/>
        </w:rPr>
        <w:t>2</w:t>
      </w:r>
      <w:r w:rsidRPr="004D03B3">
        <w:rPr>
          <w:rFonts w:ascii="Times New Roman" w:hAnsi="Times New Roman" w:cs="Times New Roman"/>
          <w:sz w:val="20"/>
          <w:szCs w:val="20"/>
        </w:rPr>
        <w:t>, dok je kod pacijenata sa lumboishialgijom količina pritiska od 641,35 kPa/cm</w:t>
      </w:r>
      <w:r w:rsidRPr="004D03B3">
        <w:rPr>
          <w:rFonts w:ascii="Times New Roman" w:hAnsi="Times New Roman" w:cs="Times New Roman"/>
          <w:sz w:val="20"/>
          <w:szCs w:val="20"/>
          <w:vertAlign w:val="superscript"/>
        </w:rPr>
        <w:t>2</w:t>
      </w:r>
      <w:r w:rsidRPr="004D03B3">
        <w:rPr>
          <w:rFonts w:ascii="Times New Roman" w:hAnsi="Times New Roman" w:cs="Times New Roman"/>
          <w:sz w:val="20"/>
          <w:szCs w:val="20"/>
        </w:rPr>
        <w:t xml:space="preserve"> izazivala osećaj bola [17].</w:t>
      </w:r>
    </w:p>
    <w:p w:rsidR="004D03B3" w:rsidRDefault="004D03B3" w:rsidP="00F52A22">
      <w:pPr>
        <w:spacing w:after="0" w:line="240" w:lineRule="auto"/>
        <w:ind w:firstLine="708"/>
        <w:jc w:val="both"/>
        <w:rPr>
          <w:rFonts w:ascii="Times New Roman" w:hAnsi="Times New Roman" w:cs="Times New Roman"/>
          <w:sz w:val="20"/>
          <w:szCs w:val="20"/>
        </w:rPr>
      </w:pPr>
      <w:r w:rsidRPr="004D03B3">
        <w:rPr>
          <w:rFonts w:ascii="Times New Roman" w:hAnsi="Times New Roman" w:cs="Times New Roman"/>
          <w:sz w:val="20"/>
          <w:szCs w:val="20"/>
        </w:rPr>
        <w:t>Tokom našeg istraživanja utvrđeno je da je vrednost praga bola u ispitivanim tačkama postavljenim paravertebralno od kičmenog stuba kod zdravih ispitanika 803,02 kPa/cm</w:t>
      </w:r>
      <w:r w:rsidRPr="004D03B3">
        <w:rPr>
          <w:rFonts w:ascii="Times New Roman" w:hAnsi="Times New Roman" w:cs="Times New Roman"/>
          <w:sz w:val="20"/>
          <w:szCs w:val="20"/>
          <w:vertAlign w:val="superscript"/>
        </w:rPr>
        <w:t>2</w:t>
      </w:r>
      <w:r w:rsidR="00F52A22">
        <w:rPr>
          <w:rFonts w:ascii="Times New Roman" w:hAnsi="Times New Roman" w:cs="Times New Roman"/>
          <w:sz w:val="20"/>
          <w:szCs w:val="20"/>
        </w:rPr>
        <w:t>. K</w:t>
      </w:r>
      <w:r w:rsidRPr="004D03B3">
        <w:rPr>
          <w:rFonts w:ascii="Times New Roman" w:hAnsi="Times New Roman" w:cs="Times New Roman"/>
          <w:sz w:val="20"/>
          <w:szCs w:val="20"/>
        </w:rPr>
        <w:t xml:space="preserve">od pacijenata sa lumboishialgijom vrednosti </w:t>
      </w:r>
      <w:r w:rsidR="00F52A22">
        <w:rPr>
          <w:rFonts w:ascii="Times New Roman" w:hAnsi="Times New Roman" w:cs="Times New Roman"/>
          <w:sz w:val="20"/>
          <w:szCs w:val="20"/>
        </w:rPr>
        <w:t xml:space="preserve">su </w:t>
      </w:r>
      <w:r w:rsidRPr="004D03B3">
        <w:rPr>
          <w:rFonts w:ascii="Times New Roman" w:hAnsi="Times New Roman" w:cs="Times New Roman"/>
          <w:sz w:val="20"/>
          <w:szCs w:val="20"/>
        </w:rPr>
        <w:t>iznosile 424,72 kPa/cm</w:t>
      </w:r>
      <w:r w:rsidRPr="004D03B3">
        <w:rPr>
          <w:rFonts w:ascii="Times New Roman" w:hAnsi="Times New Roman" w:cs="Times New Roman"/>
          <w:sz w:val="20"/>
          <w:szCs w:val="20"/>
          <w:vertAlign w:val="superscript"/>
        </w:rPr>
        <w:t>2</w:t>
      </w:r>
      <w:r w:rsidR="00F52A22">
        <w:rPr>
          <w:rFonts w:ascii="Times New Roman" w:hAnsi="Times New Roman" w:cs="Times New Roman"/>
          <w:sz w:val="20"/>
          <w:szCs w:val="20"/>
        </w:rPr>
        <w:t>, dok su vrednosti kod pacijenata sa glavoboljom bile nešto više i iznosile 477,29</w:t>
      </w:r>
      <w:r w:rsidR="00F52A22" w:rsidRPr="00F52A22">
        <w:rPr>
          <w:rFonts w:ascii="Times New Roman" w:hAnsi="Times New Roman" w:cs="Times New Roman"/>
          <w:sz w:val="20"/>
          <w:szCs w:val="20"/>
        </w:rPr>
        <w:t xml:space="preserve"> </w:t>
      </w:r>
      <w:r w:rsidR="00F52A22" w:rsidRPr="004D03B3">
        <w:rPr>
          <w:rFonts w:ascii="Times New Roman" w:hAnsi="Times New Roman" w:cs="Times New Roman"/>
          <w:sz w:val="20"/>
          <w:szCs w:val="20"/>
        </w:rPr>
        <w:t>kPa/cm</w:t>
      </w:r>
      <w:r w:rsidR="00F52A22" w:rsidRPr="004D03B3">
        <w:rPr>
          <w:rFonts w:ascii="Times New Roman" w:hAnsi="Times New Roman" w:cs="Times New Roman"/>
          <w:sz w:val="20"/>
          <w:szCs w:val="20"/>
          <w:vertAlign w:val="superscript"/>
        </w:rPr>
        <w:t>2</w:t>
      </w:r>
      <w:r w:rsidR="00F52A22" w:rsidRPr="004D03B3">
        <w:rPr>
          <w:rFonts w:ascii="Times New Roman" w:hAnsi="Times New Roman" w:cs="Times New Roman"/>
          <w:sz w:val="20"/>
          <w:szCs w:val="20"/>
        </w:rPr>
        <w:t>.</w:t>
      </w:r>
      <w:r w:rsidR="00F52A22">
        <w:rPr>
          <w:rFonts w:ascii="Times New Roman" w:hAnsi="Times New Roman" w:cs="Times New Roman"/>
          <w:sz w:val="20"/>
          <w:szCs w:val="20"/>
        </w:rPr>
        <w:t xml:space="preserve">  </w:t>
      </w:r>
      <w:r w:rsidRPr="004D03B3">
        <w:rPr>
          <w:rFonts w:ascii="Times New Roman" w:hAnsi="Times New Roman" w:cs="Times New Roman"/>
          <w:sz w:val="20"/>
          <w:szCs w:val="20"/>
        </w:rPr>
        <w:t xml:space="preserve">Na </w:t>
      </w:r>
      <w:r w:rsidRPr="004D03B3">
        <w:rPr>
          <w:rFonts w:ascii="Times New Roman" w:hAnsi="Times New Roman" w:cs="Times New Roman"/>
          <w:sz w:val="20"/>
          <w:szCs w:val="20"/>
        </w:rPr>
        <w:lastRenderedPageBreak/>
        <w:t>osnovu navedenih rezultata izvodimo zaključak</w:t>
      </w:r>
      <w:r w:rsidR="00F52A22">
        <w:rPr>
          <w:rFonts w:ascii="Times New Roman" w:hAnsi="Times New Roman" w:cs="Times New Roman"/>
          <w:sz w:val="20"/>
          <w:szCs w:val="20"/>
        </w:rPr>
        <w:t xml:space="preserve"> </w:t>
      </w:r>
      <w:r w:rsidR="00F52A22" w:rsidRPr="00222F7E">
        <w:rPr>
          <w:rFonts w:ascii="Times New Roman" w:hAnsi="Times New Roman" w:cs="Times New Roman"/>
          <w:i/>
          <w:sz w:val="20"/>
          <w:szCs w:val="20"/>
        </w:rPr>
        <w:t>d</w:t>
      </w:r>
      <w:r w:rsidRPr="004D03B3">
        <w:rPr>
          <w:rFonts w:ascii="Times New Roman" w:hAnsi="Times New Roman" w:cs="Times New Roman"/>
          <w:i/>
          <w:sz w:val="20"/>
          <w:szCs w:val="20"/>
        </w:rPr>
        <w:t xml:space="preserve">a pacijenti sa lumboishialgijom </w:t>
      </w:r>
      <w:r w:rsidR="00222F7E">
        <w:rPr>
          <w:rFonts w:ascii="Times New Roman" w:hAnsi="Times New Roman" w:cs="Times New Roman"/>
          <w:i/>
          <w:sz w:val="20"/>
          <w:szCs w:val="20"/>
        </w:rPr>
        <w:t xml:space="preserve">i pacijenti sa glavoboljom tenzionog tipa sa perikranijalnom osetljivošću </w:t>
      </w:r>
      <w:r w:rsidRPr="004D03B3">
        <w:rPr>
          <w:rFonts w:ascii="Times New Roman" w:hAnsi="Times New Roman" w:cs="Times New Roman"/>
          <w:i/>
          <w:sz w:val="20"/>
          <w:szCs w:val="20"/>
        </w:rPr>
        <w:t xml:space="preserve">imaju </w:t>
      </w:r>
      <w:r w:rsidR="00222F7E">
        <w:rPr>
          <w:rFonts w:ascii="Times New Roman" w:hAnsi="Times New Roman" w:cs="Times New Roman"/>
          <w:i/>
          <w:sz w:val="20"/>
          <w:szCs w:val="20"/>
        </w:rPr>
        <w:t>statistički značajno niži prag bola na</w:t>
      </w:r>
      <w:r w:rsidRPr="004D03B3">
        <w:rPr>
          <w:rFonts w:ascii="Times New Roman" w:hAnsi="Times New Roman" w:cs="Times New Roman"/>
          <w:i/>
          <w:sz w:val="20"/>
          <w:szCs w:val="20"/>
        </w:rPr>
        <w:t xml:space="preserve"> ispitivanim tačkama lumbosakralnog predela u odnosu na zdrave ispitanike.</w:t>
      </w:r>
    </w:p>
    <w:p w:rsidR="004A2190" w:rsidRPr="004D03B3" w:rsidRDefault="004A2190" w:rsidP="00F52A22">
      <w:pPr>
        <w:spacing w:after="0" w:line="240" w:lineRule="auto"/>
        <w:ind w:firstLine="708"/>
        <w:jc w:val="both"/>
        <w:rPr>
          <w:rFonts w:ascii="Times New Roman" w:hAnsi="Times New Roman" w:cs="Times New Roman"/>
          <w:i/>
          <w:sz w:val="20"/>
          <w:szCs w:val="20"/>
        </w:rPr>
      </w:pPr>
      <w:r>
        <w:rPr>
          <w:rFonts w:ascii="Times New Roman" w:hAnsi="Times New Roman" w:cs="Times New Roman"/>
          <w:sz w:val="20"/>
          <w:szCs w:val="20"/>
        </w:rPr>
        <w:t xml:space="preserve">Uporedivši </w:t>
      </w:r>
      <w:r w:rsidR="003E7A87">
        <w:rPr>
          <w:rFonts w:ascii="Times New Roman" w:hAnsi="Times New Roman" w:cs="Times New Roman"/>
          <w:sz w:val="20"/>
          <w:szCs w:val="20"/>
        </w:rPr>
        <w:t xml:space="preserve">i analizirajući </w:t>
      </w:r>
      <w:r>
        <w:rPr>
          <w:rFonts w:ascii="Times New Roman" w:hAnsi="Times New Roman" w:cs="Times New Roman"/>
          <w:sz w:val="20"/>
          <w:szCs w:val="20"/>
        </w:rPr>
        <w:t xml:space="preserve">vrednosti praga bola na ispitanim tačkama lumbosakralnog predela kod pacijenata sa lumboishialgijom i pacijenata sa glavoboljom, odbacujemo početno postavljenu hipotezu i dolazimo do zaključka </w:t>
      </w:r>
      <w:r>
        <w:rPr>
          <w:rFonts w:ascii="Times New Roman" w:hAnsi="Times New Roman" w:cs="Times New Roman"/>
          <w:i/>
          <w:sz w:val="20"/>
          <w:szCs w:val="20"/>
        </w:rPr>
        <w:t xml:space="preserve">da </w:t>
      </w:r>
      <w:r w:rsidR="003E7A87">
        <w:rPr>
          <w:rFonts w:ascii="Times New Roman" w:hAnsi="Times New Roman" w:cs="Times New Roman"/>
          <w:i/>
          <w:sz w:val="20"/>
          <w:szCs w:val="20"/>
        </w:rPr>
        <w:t>nema statistički značajne razlike i visini praga bola kod pacijenata</w:t>
      </w:r>
      <w:r>
        <w:rPr>
          <w:rFonts w:ascii="Times New Roman" w:hAnsi="Times New Roman" w:cs="Times New Roman"/>
          <w:i/>
          <w:sz w:val="20"/>
          <w:szCs w:val="20"/>
        </w:rPr>
        <w:t xml:space="preserve"> sa lumboishialgijom </w:t>
      </w:r>
      <w:r w:rsidR="003E7A87">
        <w:rPr>
          <w:rFonts w:ascii="Times New Roman" w:hAnsi="Times New Roman" w:cs="Times New Roman"/>
          <w:i/>
          <w:sz w:val="20"/>
          <w:szCs w:val="20"/>
        </w:rPr>
        <w:t>i pacijenata</w:t>
      </w:r>
      <w:r>
        <w:rPr>
          <w:rFonts w:ascii="Times New Roman" w:hAnsi="Times New Roman" w:cs="Times New Roman"/>
          <w:i/>
          <w:sz w:val="20"/>
          <w:szCs w:val="20"/>
        </w:rPr>
        <w:t xml:space="preserve"> sa glavoboljom tenzionog tipa sa perikranijalnom osetljivošću</w:t>
      </w:r>
      <w:r w:rsidR="002B6375">
        <w:rPr>
          <w:rFonts w:ascii="Times New Roman" w:hAnsi="Times New Roman" w:cs="Times New Roman"/>
          <w:i/>
          <w:sz w:val="20"/>
          <w:szCs w:val="20"/>
        </w:rPr>
        <w:t xml:space="preserve"> na ispitivanim tačkama lumbosakralnog predela</w:t>
      </w:r>
      <w:r>
        <w:rPr>
          <w:rFonts w:ascii="Times New Roman" w:hAnsi="Times New Roman" w:cs="Times New Roman"/>
          <w:i/>
          <w:sz w:val="20"/>
          <w:szCs w:val="20"/>
        </w:rPr>
        <w:t>.</w:t>
      </w:r>
    </w:p>
    <w:p w:rsidR="004D03B3" w:rsidRPr="004D03B3" w:rsidRDefault="003E7A87" w:rsidP="007E2C89">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Takođe smo utvrdili da</w:t>
      </w:r>
      <w:r w:rsidR="004D03B3" w:rsidRPr="004D03B3">
        <w:rPr>
          <w:rFonts w:ascii="Times New Roman" w:hAnsi="Times New Roman" w:cs="Times New Roman"/>
          <w:sz w:val="20"/>
          <w:szCs w:val="20"/>
        </w:rPr>
        <w:t xml:space="preserve"> vrednost praga bola u ispitivanim tačkama na nozi kod zdravih ispitanika </w:t>
      </w:r>
      <w:r>
        <w:rPr>
          <w:rFonts w:ascii="Times New Roman" w:hAnsi="Times New Roman" w:cs="Times New Roman"/>
          <w:sz w:val="20"/>
          <w:szCs w:val="20"/>
        </w:rPr>
        <w:t xml:space="preserve">iznosi </w:t>
      </w:r>
      <w:r w:rsidR="004D03B3" w:rsidRPr="004D03B3">
        <w:rPr>
          <w:rFonts w:ascii="Times New Roman" w:hAnsi="Times New Roman" w:cs="Times New Roman"/>
          <w:sz w:val="20"/>
          <w:szCs w:val="20"/>
        </w:rPr>
        <w:t>672,15 kPa/cm</w:t>
      </w:r>
      <w:r w:rsidR="004D03B3" w:rsidRPr="004D03B3">
        <w:rPr>
          <w:rFonts w:ascii="Times New Roman" w:hAnsi="Times New Roman" w:cs="Times New Roman"/>
          <w:sz w:val="20"/>
          <w:szCs w:val="20"/>
          <w:vertAlign w:val="superscript"/>
        </w:rPr>
        <w:t>2</w:t>
      </w:r>
      <w:r w:rsidR="004D03B3" w:rsidRPr="004D03B3">
        <w:rPr>
          <w:rFonts w:ascii="Times New Roman" w:hAnsi="Times New Roman" w:cs="Times New Roman"/>
          <w:sz w:val="20"/>
          <w:szCs w:val="20"/>
        </w:rPr>
        <w:t>, dok kod pacijenata sa lumboishialgijom količina pritiska koja izaziva bol iznosi 409,24 kPa/cm</w:t>
      </w:r>
      <w:r w:rsidR="004D03B3" w:rsidRPr="004D03B3">
        <w:rPr>
          <w:rFonts w:ascii="Times New Roman" w:hAnsi="Times New Roman" w:cs="Times New Roman"/>
          <w:sz w:val="20"/>
          <w:szCs w:val="20"/>
          <w:vertAlign w:val="superscript"/>
        </w:rPr>
        <w:t>2</w:t>
      </w:r>
      <w:r w:rsidR="00440A58">
        <w:rPr>
          <w:rFonts w:ascii="Times New Roman" w:hAnsi="Times New Roman" w:cs="Times New Roman"/>
          <w:sz w:val="20"/>
          <w:szCs w:val="20"/>
        </w:rPr>
        <w:t>. Vrednost</w:t>
      </w:r>
      <w:r w:rsidR="00AF0B62">
        <w:rPr>
          <w:rFonts w:ascii="Times New Roman" w:hAnsi="Times New Roman" w:cs="Times New Roman"/>
          <w:sz w:val="20"/>
          <w:szCs w:val="20"/>
        </w:rPr>
        <w:t xml:space="preserve"> praga bola </w:t>
      </w:r>
      <w:r w:rsidR="00440A58">
        <w:rPr>
          <w:rFonts w:ascii="Times New Roman" w:hAnsi="Times New Roman" w:cs="Times New Roman"/>
          <w:sz w:val="20"/>
          <w:szCs w:val="20"/>
        </w:rPr>
        <w:t>kod pacijenata sa glavoboljom je</w:t>
      </w:r>
      <w:r w:rsidR="00AF0B62">
        <w:rPr>
          <w:rFonts w:ascii="Times New Roman" w:hAnsi="Times New Roman" w:cs="Times New Roman"/>
          <w:sz w:val="20"/>
          <w:szCs w:val="20"/>
        </w:rPr>
        <w:t xml:space="preserve"> nešto</w:t>
      </w:r>
      <w:r w:rsidR="00440A58">
        <w:rPr>
          <w:rFonts w:ascii="Times New Roman" w:hAnsi="Times New Roman" w:cs="Times New Roman"/>
          <w:sz w:val="20"/>
          <w:szCs w:val="20"/>
        </w:rPr>
        <w:t xml:space="preserve"> viša i iznosi</w:t>
      </w:r>
      <w:r w:rsidR="00AF0B62">
        <w:rPr>
          <w:rFonts w:ascii="Times New Roman" w:hAnsi="Times New Roman" w:cs="Times New Roman"/>
          <w:sz w:val="20"/>
          <w:szCs w:val="20"/>
        </w:rPr>
        <w:t xml:space="preserve"> </w:t>
      </w:r>
      <w:r w:rsidR="007E2C89">
        <w:rPr>
          <w:rFonts w:ascii="Times New Roman" w:hAnsi="Times New Roman" w:cs="Times New Roman"/>
          <w:sz w:val="20"/>
          <w:szCs w:val="20"/>
        </w:rPr>
        <w:t>511</w:t>
      </w:r>
      <w:r w:rsidR="007E2C89" w:rsidRPr="009C1F0A">
        <w:rPr>
          <w:rFonts w:ascii="Times New Roman" w:hAnsi="Times New Roman" w:cs="Times New Roman"/>
          <w:sz w:val="20"/>
          <w:szCs w:val="20"/>
        </w:rPr>
        <w:t>,08</w:t>
      </w:r>
      <w:r w:rsidR="004D03B3" w:rsidRPr="004D03B3">
        <w:rPr>
          <w:rFonts w:ascii="Times New Roman" w:hAnsi="Times New Roman" w:cs="Times New Roman"/>
          <w:sz w:val="20"/>
          <w:szCs w:val="20"/>
        </w:rPr>
        <w:t xml:space="preserve"> </w:t>
      </w:r>
      <w:r w:rsidR="007E2C89" w:rsidRPr="004D03B3">
        <w:rPr>
          <w:rFonts w:ascii="Times New Roman" w:hAnsi="Times New Roman" w:cs="Times New Roman"/>
          <w:sz w:val="20"/>
          <w:szCs w:val="20"/>
        </w:rPr>
        <w:t>kPa/cm</w:t>
      </w:r>
      <w:r w:rsidR="007E2C89" w:rsidRPr="004D03B3">
        <w:rPr>
          <w:rFonts w:ascii="Times New Roman" w:hAnsi="Times New Roman" w:cs="Times New Roman"/>
          <w:sz w:val="20"/>
          <w:szCs w:val="20"/>
          <w:vertAlign w:val="superscript"/>
        </w:rPr>
        <w:t>2</w:t>
      </w:r>
      <w:r w:rsidR="009D0664">
        <w:rPr>
          <w:rFonts w:ascii="Times New Roman" w:hAnsi="Times New Roman" w:cs="Times New Roman"/>
          <w:sz w:val="20"/>
          <w:szCs w:val="20"/>
        </w:rPr>
        <w:t>, a uporedivši i anal</w:t>
      </w:r>
      <w:r w:rsidR="00440A58">
        <w:rPr>
          <w:rFonts w:ascii="Times New Roman" w:hAnsi="Times New Roman" w:cs="Times New Roman"/>
          <w:sz w:val="20"/>
          <w:szCs w:val="20"/>
        </w:rPr>
        <w:t>irajući ove podatke dolazimo do zaključka</w:t>
      </w:r>
      <w:r w:rsidR="007E2C89">
        <w:rPr>
          <w:rFonts w:ascii="Times New Roman" w:hAnsi="Times New Roman" w:cs="Times New Roman"/>
          <w:sz w:val="20"/>
          <w:szCs w:val="20"/>
        </w:rPr>
        <w:t xml:space="preserve"> </w:t>
      </w:r>
      <w:r w:rsidR="007E2C89" w:rsidRPr="007E2C89">
        <w:rPr>
          <w:rFonts w:ascii="Times New Roman" w:hAnsi="Times New Roman" w:cs="Times New Roman"/>
          <w:i/>
          <w:sz w:val="20"/>
          <w:szCs w:val="20"/>
        </w:rPr>
        <w:t>d</w:t>
      </w:r>
      <w:r w:rsidR="004D03B3" w:rsidRPr="004D03B3">
        <w:rPr>
          <w:rFonts w:ascii="Times New Roman" w:hAnsi="Times New Roman" w:cs="Times New Roman"/>
          <w:i/>
          <w:sz w:val="20"/>
          <w:szCs w:val="20"/>
        </w:rPr>
        <w:t xml:space="preserve">a pacijenti sa lumboishialgijom </w:t>
      </w:r>
      <w:r w:rsidR="007E2C89" w:rsidRPr="007E2C89">
        <w:rPr>
          <w:rFonts w:ascii="Times New Roman" w:hAnsi="Times New Roman" w:cs="Times New Roman"/>
          <w:i/>
          <w:sz w:val="20"/>
          <w:szCs w:val="20"/>
        </w:rPr>
        <w:t xml:space="preserve">i pacijenti sa glavoboljom tenzionog tipa sa perikranijalnom osetljivošću </w:t>
      </w:r>
      <w:r w:rsidR="004D03B3" w:rsidRPr="004D03B3">
        <w:rPr>
          <w:rFonts w:ascii="Times New Roman" w:hAnsi="Times New Roman" w:cs="Times New Roman"/>
          <w:i/>
          <w:sz w:val="20"/>
          <w:szCs w:val="20"/>
        </w:rPr>
        <w:t xml:space="preserve">imaju </w:t>
      </w:r>
      <w:r w:rsidR="007E2C89" w:rsidRPr="007E2C89">
        <w:rPr>
          <w:rFonts w:ascii="Times New Roman" w:hAnsi="Times New Roman" w:cs="Times New Roman"/>
          <w:i/>
          <w:sz w:val="20"/>
          <w:szCs w:val="20"/>
        </w:rPr>
        <w:t xml:space="preserve">statistički značajno </w:t>
      </w:r>
      <w:r w:rsidR="004D03B3" w:rsidRPr="004D03B3">
        <w:rPr>
          <w:rFonts w:ascii="Times New Roman" w:hAnsi="Times New Roman" w:cs="Times New Roman"/>
          <w:i/>
          <w:sz w:val="20"/>
          <w:szCs w:val="20"/>
        </w:rPr>
        <w:t>niži prag bola u ispitivanim tačkama na nozi u odnosu na zdrave ispitanike.</w:t>
      </w:r>
    </w:p>
    <w:p w:rsidR="004D03B3" w:rsidRPr="004D03B3" w:rsidRDefault="002B6375" w:rsidP="00440A58">
      <w:pPr>
        <w:spacing w:after="0" w:line="240" w:lineRule="auto"/>
        <w:ind w:firstLine="708"/>
        <w:jc w:val="both"/>
        <w:rPr>
          <w:rFonts w:ascii="Times New Roman" w:hAnsi="Times New Roman" w:cs="Times New Roman"/>
          <w:i/>
          <w:sz w:val="20"/>
          <w:szCs w:val="20"/>
        </w:rPr>
      </w:pPr>
      <w:r>
        <w:rPr>
          <w:rFonts w:ascii="Times New Roman" w:hAnsi="Times New Roman" w:cs="Times New Roman"/>
          <w:sz w:val="20"/>
          <w:szCs w:val="20"/>
        </w:rPr>
        <w:t>Analiziravši</w:t>
      </w:r>
      <w:r w:rsidR="007E2C89">
        <w:rPr>
          <w:rFonts w:ascii="Times New Roman" w:hAnsi="Times New Roman" w:cs="Times New Roman"/>
          <w:sz w:val="20"/>
          <w:szCs w:val="20"/>
        </w:rPr>
        <w:t xml:space="preserve"> </w:t>
      </w:r>
      <w:r w:rsidR="009D0664">
        <w:rPr>
          <w:rFonts w:ascii="Times New Roman" w:hAnsi="Times New Roman" w:cs="Times New Roman"/>
          <w:sz w:val="20"/>
          <w:szCs w:val="20"/>
        </w:rPr>
        <w:t xml:space="preserve">i obradivši rezultate koji pokazuju </w:t>
      </w:r>
      <w:r w:rsidR="007E2C89">
        <w:rPr>
          <w:rFonts w:ascii="Times New Roman" w:hAnsi="Times New Roman" w:cs="Times New Roman"/>
          <w:sz w:val="20"/>
          <w:szCs w:val="20"/>
        </w:rPr>
        <w:t>količinu pritiska dovoljnu da izazove bol kod pacijenata sa lumboishialgijom i pacijenata sa glavoboljom</w:t>
      </w:r>
      <w:r>
        <w:rPr>
          <w:rFonts w:ascii="Times New Roman" w:hAnsi="Times New Roman" w:cs="Times New Roman"/>
          <w:sz w:val="20"/>
          <w:szCs w:val="20"/>
        </w:rPr>
        <w:t xml:space="preserve"> na ispitivanim tačkama na nozi, odbacujemo početno postavljenu hipotezu i dolazimo do zaključka </w:t>
      </w:r>
      <w:r>
        <w:rPr>
          <w:rFonts w:ascii="Times New Roman" w:hAnsi="Times New Roman" w:cs="Times New Roman"/>
          <w:i/>
          <w:sz w:val="20"/>
          <w:szCs w:val="20"/>
        </w:rPr>
        <w:t xml:space="preserve">da </w:t>
      </w:r>
      <w:r w:rsidR="009D0664">
        <w:rPr>
          <w:rFonts w:ascii="Times New Roman" w:hAnsi="Times New Roman" w:cs="Times New Roman"/>
          <w:i/>
          <w:sz w:val="20"/>
          <w:szCs w:val="20"/>
        </w:rPr>
        <w:t>nema statistički značajne razlike u visini praga bola na ispitivanim tačkama na nozi između pacijenata</w:t>
      </w:r>
      <w:r>
        <w:rPr>
          <w:rFonts w:ascii="Times New Roman" w:hAnsi="Times New Roman" w:cs="Times New Roman"/>
          <w:i/>
          <w:sz w:val="20"/>
          <w:szCs w:val="20"/>
        </w:rPr>
        <w:t xml:space="preserve"> sa lumboishialgijom </w:t>
      </w:r>
      <w:r w:rsidR="009D0664">
        <w:rPr>
          <w:rFonts w:ascii="Times New Roman" w:hAnsi="Times New Roman" w:cs="Times New Roman"/>
          <w:i/>
          <w:sz w:val="20"/>
          <w:szCs w:val="20"/>
        </w:rPr>
        <w:t>i pacijenata</w:t>
      </w:r>
      <w:r>
        <w:rPr>
          <w:rFonts w:ascii="Times New Roman" w:hAnsi="Times New Roman" w:cs="Times New Roman"/>
          <w:i/>
          <w:sz w:val="20"/>
          <w:szCs w:val="20"/>
        </w:rPr>
        <w:t xml:space="preserve"> sa glavoboljom tenzionog tipa sa perikranijalnom osetljivošću.</w:t>
      </w:r>
    </w:p>
    <w:p w:rsidR="004D03B3" w:rsidRPr="004D03B3" w:rsidRDefault="004D03B3" w:rsidP="004D03B3">
      <w:pPr>
        <w:spacing w:after="0" w:line="240" w:lineRule="auto"/>
        <w:ind w:firstLine="708"/>
        <w:jc w:val="both"/>
        <w:rPr>
          <w:rFonts w:ascii="Times New Roman" w:hAnsi="Times New Roman" w:cs="Times New Roman"/>
          <w:sz w:val="20"/>
          <w:szCs w:val="20"/>
        </w:rPr>
      </w:pPr>
      <w:r w:rsidRPr="004D03B3">
        <w:rPr>
          <w:rFonts w:ascii="Times New Roman" w:hAnsi="Times New Roman" w:cs="Times New Roman"/>
          <w:sz w:val="20"/>
          <w:szCs w:val="20"/>
        </w:rPr>
        <w:t>Kod svih pacijenata sa hroničnim bolnim sindromom utvrđeno je statistički značajno difuzno snižavanje praga bola u odnosu na zdravu kontrolnu grupu. Navedeni podaci kompatibilni su sa rezultatima studije</w:t>
      </w:r>
      <w:r w:rsidRPr="004D03B3">
        <w:rPr>
          <w:rFonts w:ascii="Times New Roman" w:hAnsi="Times New Roman" w:cs="Times New Roman"/>
          <w:i/>
          <w:sz w:val="20"/>
          <w:szCs w:val="20"/>
        </w:rPr>
        <w:t xml:space="preserve"> Madelon Petersa i Antona Schmidta</w:t>
      </w:r>
      <w:r w:rsidRPr="004D03B3">
        <w:rPr>
          <w:rFonts w:ascii="Times New Roman" w:hAnsi="Times New Roman" w:cs="Times New Roman"/>
          <w:sz w:val="20"/>
          <w:szCs w:val="20"/>
        </w:rPr>
        <w:t xml:space="preserve"> iz 1992. godine [18], kao i studija </w:t>
      </w:r>
      <w:r w:rsidRPr="004D03B3">
        <w:rPr>
          <w:rFonts w:ascii="Times New Roman" w:hAnsi="Times New Roman" w:cs="Times New Roman"/>
          <w:i/>
          <w:sz w:val="20"/>
          <w:szCs w:val="20"/>
          <w:shd w:val="clear" w:color="auto" w:fill="FFFFFF"/>
        </w:rPr>
        <w:t>Mone Koelbaek</w:t>
      </w:r>
      <w:r w:rsidRPr="004D03B3">
        <w:rPr>
          <w:rFonts w:ascii="Times New Roman" w:hAnsi="Times New Roman" w:cs="Times New Roman"/>
          <w:sz w:val="20"/>
          <w:szCs w:val="20"/>
          <w:shd w:val="clear" w:color="auto" w:fill="FFFFFF"/>
        </w:rPr>
        <w:t xml:space="preserve"> </w:t>
      </w:r>
      <w:r w:rsidRPr="004D03B3">
        <w:rPr>
          <w:rFonts w:ascii="Times New Roman" w:hAnsi="Times New Roman" w:cs="Times New Roman"/>
          <w:sz w:val="20"/>
          <w:szCs w:val="20"/>
        </w:rPr>
        <w:t>[19]</w:t>
      </w:r>
      <w:r w:rsidRPr="004D03B3">
        <w:rPr>
          <w:rFonts w:ascii="Times New Roman" w:hAnsi="Times New Roman" w:cs="Times New Roman"/>
          <w:sz w:val="20"/>
          <w:szCs w:val="20"/>
          <w:shd w:val="clear" w:color="auto" w:fill="FFFFFF"/>
        </w:rPr>
        <w:t xml:space="preserve"> i </w:t>
      </w:r>
      <w:r w:rsidRPr="004D03B3">
        <w:rPr>
          <w:rFonts w:ascii="Times New Roman" w:hAnsi="Times New Roman" w:cs="Times New Roman"/>
          <w:i/>
          <w:sz w:val="20"/>
          <w:szCs w:val="20"/>
          <w:shd w:val="clear" w:color="auto" w:fill="FFFFFF"/>
        </w:rPr>
        <w:t>Bajaj Pritija</w:t>
      </w:r>
      <w:r w:rsidRPr="004D03B3">
        <w:rPr>
          <w:rFonts w:ascii="Times New Roman" w:hAnsi="Times New Roman" w:cs="Times New Roman"/>
          <w:sz w:val="20"/>
          <w:szCs w:val="20"/>
          <w:shd w:val="clear" w:color="auto" w:fill="FFFFFF"/>
        </w:rPr>
        <w:t xml:space="preserve"> </w:t>
      </w:r>
      <w:r w:rsidRPr="004D03B3">
        <w:rPr>
          <w:rFonts w:ascii="Times New Roman" w:hAnsi="Times New Roman" w:cs="Times New Roman"/>
          <w:sz w:val="20"/>
          <w:szCs w:val="20"/>
        </w:rPr>
        <w:t>[20]</w:t>
      </w:r>
      <w:r w:rsidRPr="004D03B3">
        <w:rPr>
          <w:rFonts w:ascii="Times New Roman" w:hAnsi="Times New Roman" w:cs="Times New Roman"/>
          <w:color w:val="333333"/>
          <w:sz w:val="20"/>
          <w:szCs w:val="20"/>
          <w:shd w:val="clear" w:color="auto" w:fill="FFFFFF"/>
        </w:rPr>
        <w:t xml:space="preserve"> iz 1999-te, odnosno 2001. godine.</w:t>
      </w:r>
    </w:p>
    <w:p w:rsidR="004D03B3" w:rsidRPr="004D03B3" w:rsidRDefault="004D03B3" w:rsidP="004D03B3">
      <w:pPr>
        <w:spacing w:after="0" w:line="240" w:lineRule="auto"/>
        <w:ind w:firstLine="708"/>
        <w:jc w:val="both"/>
        <w:rPr>
          <w:rFonts w:ascii="Times New Roman" w:hAnsi="Times New Roman" w:cs="Times New Roman"/>
          <w:sz w:val="20"/>
          <w:szCs w:val="20"/>
        </w:rPr>
      </w:pPr>
      <w:r w:rsidRPr="004D03B3">
        <w:rPr>
          <w:rFonts w:ascii="Times New Roman" w:hAnsi="Times New Roman" w:cs="Times New Roman"/>
          <w:sz w:val="20"/>
          <w:szCs w:val="20"/>
        </w:rPr>
        <w:t>Pretpostavlja se da je razlog ovakvih rezultata centralna senzitizacija koja je odgovorna za snižavanje praga bola i povećanje osetljivosti udaljenih delova tela [19,21,22]. Oštećena tkiva uzrokuju oslobađanje brojnih medijatora zapaljenja koji aktiviraju nocioceptore povređene regije, dovode do njihove hipersenzitivnosti i širenja receptivnog polja sa smanjenjem praga bola.  Lokalni nadražaj koegzistira sa stanjem sekundarne hiperalgezije i dovodi do difuznog doživljavanja bola. U opisanom stanju, potpražne draži postaju dovoljne da aktiviraju nocioceptore povređene regije, a „lažne“ informacije preko aferentnih vlakana odlaze do centara za kontrolu bola i uzrokuju njihovu aktivaciju [17].</w:t>
      </w:r>
    </w:p>
    <w:p w:rsidR="00E05A28" w:rsidRDefault="00E05A28" w:rsidP="00E05A28">
      <w:pPr>
        <w:spacing w:after="0" w:line="240" w:lineRule="auto"/>
        <w:rPr>
          <w:rFonts w:ascii="Times New Roman" w:hAnsi="Times New Roman" w:cs="Times New Roman"/>
          <w:b/>
          <w:w w:val="104"/>
          <w:sz w:val="20"/>
          <w:szCs w:val="20"/>
        </w:rPr>
      </w:pPr>
    </w:p>
    <w:p w:rsidR="00816111" w:rsidRDefault="00816111" w:rsidP="00E05A28">
      <w:pPr>
        <w:spacing w:after="0" w:line="240" w:lineRule="auto"/>
        <w:rPr>
          <w:rFonts w:ascii="Times New Roman" w:hAnsi="Times New Roman" w:cs="Times New Roman"/>
          <w:b/>
          <w:w w:val="104"/>
          <w:sz w:val="20"/>
          <w:szCs w:val="20"/>
        </w:rPr>
      </w:pPr>
    </w:p>
    <w:p w:rsidR="00816111" w:rsidRPr="00816111" w:rsidRDefault="00816111" w:rsidP="00816111">
      <w:pPr>
        <w:spacing w:after="0" w:line="240" w:lineRule="auto"/>
        <w:jc w:val="center"/>
        <w:rPr>
          <w:rFonts w:ascii="Times New Roman" w:hAnsi="Times New Roman" w:cs="Times New Roman"/>
          <w:b/>
          <w:w w:val="104"/>
        </w:rPr>
      </w:pPr>
      <w:r w:rsidRPr="00816111">
        <w:rPr>
          <w:rFonts w:ascii="Times New Roman" w:hAnsi="Times New Roman" w:cs="Times New Roman"/>
          <w:b/>
          <w:w w:val="104"/>
        </w:rPr>
        <w:t>Zaključak</w:t>
      </w:r>
    </w:p>
    <w:p w:rsidR="00816111" w:rsidRDefault="00816111" w:rsidP="00E05A28">
      <w:pPr>
        <w:spacing w:after="0" w:line="240" w:lineRule="auto"/>
        <w:rPr>
          <w:rFonts w:ascii="Times New Roman" w:hAnsi="Times New Roman" w:cs="Times New Roman"/>
          <w:b/>
          <w:w w:val="104"/>
          <w:sz w:val="20"/>
          <w:szCs w:val="20"/>
        </w:rPr>
      </w:pPr>
    </w:p>
    <w:p w:rsidR="001D523D" w:rsidRPr="00046873" w:rsidRDefault="001D523D" w:rsidP="001D523D">
      <w:pPr>
        <w:pStyle w:val="ListParagraph"/>
        <w:numPr>
          <w:ilvl w:val="0"/>
          <w:numId w:val="16"/>
        </w:numPr>
        <w:spacing w:after="0" w:line="240" w:lineRule="auto"/>
        <w:jc w:val="both"/>
        <w:rPr>
          <w:rFonts w:ascii="Times New Roman" w:hAnsi="Times New Roman" w:cs="Times New Roman"/>
          <w:i/>
          <w:sz w:val="20"/>
          <w:szCs w:val="20"/>
        </w:rPr>
      </w:pPr>
      <w:r w:rsidRPr="00046873">
        <w:rPr>
          <w:rFonts w:ascii="Times New Roman" w:hAnsi="Times New Roman" w:cs="Times New Roman"/>
          <w:i/>
          <w:sz w:val="20"/>
          <w:szCs w:val="20"/>
        </w:rPr>
        <w:t>Pacijenti sa glavoboljom tenzionog tipa sa perikranijalnom osetljivošću imaju statistički značajno niži prag bola na ispitivanim tačkama poglavine u odnosu na zdrave ispitanike.</w:t>
      </w:r>
    </w:p>
    <w:p w:rsidR="001D523D" w:rsidRPr="00046873" w:rsidRDefault="001D523D" w:rsidP="001D523D">
      <w:pPr>
        <w:pStyle w:val="ListParagraph"/>
        <w:numPr>
          <w:ilvl w:val="0"/>
          <w:numId w:val="16"/>
        </w:numPr>
        <w:spacing w:after="0" w:line="240" w:lineRule="auto"/>
        <w:jc w:val="both"/>
        <w:rPr>
          <w:rFonts w:ascii="Times New Roman" w:hAnsi="Times New Roman" w:cs="Times New Roman"/>
          <w:i/>
          <w:sz w:val="20"/>
          <w:szCs w:val="20"/>
        </w:rPr>
      </w:pPr>
      <w:r w:rsidRPr="00046873">
        <w:rPr>
          <w:rFonts w:ascii="Times New Roman" w:hAnsi="Times New Roman" w:cs="Times New Roman"/>
          <w:i/>
          <w:sz w:val="20"/>
          <w:szCs w:val="20"/>
        </w:rPr>
        <w:t>Pacijenti sa lumboishialgijom imaju statistički značajno niži prag bola u ispitivanim tačkama lumbosakralnog predela i noge u odnosu na zdrave ispitanike.</w:t>
      </w:r>
    </w:p>
    <w:p w:rsidR="001D523D" w:rsidRPr="00046873" w:rsidRDefault="001D523D" w:rsidP="001D523D">
      <w:pPr>
        <w:pStyle w:val="ListParagraph"/>
        <w:numPr>
          <w:ilvl w:val="0"/>
          <w:numId w:val="16"/>
        </w:numPr>
        <w:spacing w:after="0" w:line="240" w:lineRule="auto"/>
        <w:jc w:val="both"/>
        <w:rPr>
          <w:rFonts w:ascii="Times New Roman" w:hAnsi="Times New Roman" w:cs="Times New Roman"/>
          <w:i/>
          <w:sz w:val="20"/>
          <w:szCs w:val="20"/>
        </w:rPr>
      </w:pPr>
      <w:r w:rsidRPr="00046873">
        <w:rPr>
          <w:rFonts w:ascii="Times New Roman" w:hAnsi="Times New Roman" w:cs="Times New Roman"/>
          <w:i/>
          <w:sz w:val="20"/>
          <w:szCs w:val="20"/>
        </w:rPr>
        <w:t>Pacijenti sa lumboishialgijom imaju statistički značajno niži prag bola na ispitivanim tačkama poglavine u odnosu na zdrave ispitanike.</w:t>
      </w:r>
    </w:p>
    <w:p w:rsidR="001D523D" w:rsidRPr="00046873" w:rsidRDefault="001D523D" w:rsidP="001D523D">
      <w:pPr>
        <w:pStyle w:val="ListParagraph"/>
        <w:numPr>
          <w:ilvl w:val="0"/>
          <w:numId w:val="16"/>
        </w:numPr>
        <w:spacing w:after="0" w:line="240" w:lineRule="auto"/>
        <w:jc w:val="both"/>
        <w:rPr>
          <w:rFonts w:ascii="Times New Roman" w:hAnsi="Times New Roman" w:cs="Times New Roman"/>
          <w:i/>
          <w:sz w:val="20"/>
          <w:szCs w:val="20"/>
        </w:rPr>
      </w:pPr>
      <w:r w:rsidRPr="00046873">
        <w:rPr>
          <w:rFonts w:ascii="Times New Roman" w:hAnsi="Times New Roman" w:cs="Times New Roman"/>
          <w:i/>
          <w:sz w:val="20"/>
          <w:szCs w:val="20"/>
        </w:rPr>
        <w:t>Pacijenti sa glavoboljom tenzionog tipa sa perikranijalnom osetljivošću imaju statistički značajno niži prag bola u ispitivanim tačkama lumbosakralnog predela i noge u odnosu na zdrave ispitanike.</w:t>
      </w:r>
    </w:p>
    <w:p w:rsidR="001D523D" w:rsidRPr="00046873" w:rsidRDefault="001D523D" w:rsidP="001D523D">
      <w:pPr>
        <w:pStyle w:val="ListParagraph"/>
        <w:numPr>
          <w:ilvl w:val="0"/>
          <w:numId w:val="16"/>
        </w:numPr>
        <w:spacing w:after="0" w:line="240" w:lineRule="auto"/>
        <w:jc w:val="both"/>
        <w:rPr>
          <w:rFonts w:ascii="Times New Roman" w:hAnsi="Times New Roman" w:cs="Times New Roman"/>
          <w:i/>
          <w:sz w:val="20"/>
          <w:szCs w:val="20"/>
        </w:rPr>
      </w:pPr>
      <w:r w:rsidRPr="00046873">
        <w:rPr>
          <w:rFonts w:ascii="Times New Roman" w:hAnsi="Times New Roman" w:cs="Times New Roman"/>
          <w:i/>
          <w:sz w:val="20"/>
          <w:szCs w:val="20"/>
        </w:rPr>
        <w:t>Nema statistički značajne razlike u visini praga bola kod pacijenata sa glavoboljom tenzionog tipa sa perikranijalnom osetljivošću i pacijenata sa lumboishialgijom na ispitivanim tačkama poglavine</w:t>
      </w:r>
    </w:p>
    <w:p w:rsidR="001D523D" w:rsidRPr="00046873" w:rsidRDefault="001D523D" w:rsidP="001D523D">
      <w:pPr>
        <w:pStyle w:val="ListParagraph"/>
        <w:numPr>
          <w:ilvl w:val="0"/>
          <w:numId w:val="16"/>
        </w:numPr>
        <w:spacing w:after="0" w:line="240" w:lineRule="auto"/>
        <w:jc w:val="both"/>
        <w:rPr>
          <w:rFonts w:ascii="Times New Roman" w:hAnsi="Times New Roman" w:cs="Times New Roman"/>
          <w:i/>
          <w:sz w:val="20"/>
          <w:szCs w:val="20"/>
        </w:rPr>
      </w:pPr>
      <w:r w:rsidRPr="00046873">
        <w:rPr>
          <w:rFonts w:ascii="Times New Roman" w:hAnsi="Times New Roman" w:cs="Times New Roman"/>
          <w:i/>
          <w:sz w:val="20"/>
          <w:szCs w:val="20"/>
        </w:rPr>
        <w:t>Nema statistički značajne razlike u visini praga bola kod pacijenata sa lumboishialgijom i pacijenata sa glavoboljom tenzionog tipa sa perikranijalnnom osetljivošću na ispitivanim tačkama lumbosakralnog predela i noge</w:t>
      </w:r>
    </w:p>
    <w:p w:rsidR="001D523D" w:rsidRPr="00046873" w:rsidRDefault="001D523D" w:rsidP="001D523D">
      <w:pPr>
        <w:spacing w:after="0" w:line="240" w:lineRule="auto"/>
        <w:jc w:val="both"/>
        <w:rPr>
          <w:rFonts w:ascii="Times New Roman" w:hAnsi="Times New Roman" w:cs="Times New Roman"/>
          <w:sz w:val="20"/>
          <w:szCs w:val="20"/>
        </w:rPr>
      </w:pPr>
      <w:r w:rsidRPr="00046873">
        <w:rPr>
          <w:rFonts w:ascii="Times New Roman" w:hAnsi="Times New Roman" w:cs="Times New Roman"/>
          <w:sz w:val="20"/>
          <w:szCs w:val="20"/>
        </w:rPr>
        <w:tab/>
        <w:t>Odbacivanjem početno postavljenih hipoteza dolazimo do zaključka da osobe sa hroničnim bolnim sindromom imaju difuzno snižen prag bola u čitavom telu, a ne samo u oblasti za koju anamnestički navode da je bolna. Ovi rezultati mogli bi biti od pomoći prilikom postavke početih hipoteza u nekom  budućem istraživanju sprovedenom na većem broju ispitanika nakon kojeg bismo mogli uočiti izvesne zakonitosti koje bi predstavljale osnovu terapijskih protokola u lečenju hroničnih bolnih stanja.</w:t>
      </w:r>
    </w:p>
    <w:p w:rsidR="00816111" w:rsidRDefault="00816111" w:rsidP="00E05A28">
      <w:pPr>
        <w:spacing w:after="0" w:line="240" w:lineRule="auto"/>
        <w:rPr>
          <w:rFonts w:ascii="Times New Roman" w:hAnsi="Times New Roman" w:cs="Times New Roman"/>
          <w:b/>
          <w:w w:val="104"/>
          <w:sz w:val="20"/>
          <w:szCs w:val="20"/>
        </w:rPr>
      </w:pPr>
    </w:p>
    <w:p w:rsidR="001D523D" w:rsidRDefault="001D523D" w:rsidP="00E05A28">
      <w:pPr>
        <w:spacing w:after="0" w:line="240" w:lineRule="auto"/>
        <w:rPr>
          <w:rFonts w:ascii="Times New Roman" w:hAnsi="Times New Roman" w:cs="Times New Roman"/>
          <w:b/>
          <w:w w:val="104"/>
          <w:sz w:val="20"/>
          <w:szCs w:val="20"/>
        </w:rPr>
      </w:pPr>
    </w:p>
    <w:p w:rsidR="001D523D" w:rsidRDefault="001D523D" w:rsidP="001D523D">
      <w:pPr>
        <w:spacing w:after="0" w:line="240" w:lineRule="auto"/>
        <w:jc w:val="center"/>
        <w:rPr>
          <w:rFonts w:ascii="Times New Roman" w:hAnsi="Times New Roman" w:cs="Times New Roman"/>
          <w:b/>
          <w:w w:val="104"/>
        </w:rPr>
      </w:pPr>
      <w:r w:rsidRPr="001D523D">
        <w:rPr>
          <w:rFonts w:ascii="Times New Roman" w:hAnsi="Times New Roman" w:cs="Times New Roman"/>
          <w:b/>
          <w:w w:val="104"/>
        </w:rPr>
        <w:t>Literatura</w:t>
      </w:r>
    </w:p>
    <w:p w:rsidR="001D523D" w:rsidRDefault="001D523D" w:rsidP="001D523D">
      <w:pPr>
        <w:spacing w:after="0" w:line="240" w:lineRule="auto"/>
        <w:jc w:val="center"/>
        <w:rPr>
          <w:rFonts w:ascii="Times New Roman" w:hAnsi="Times New Roman" w:cs="Times New Roman"/>
          <w:b/>
          <w:w w:val="104"/>
          <w:sz w:val="20"/>
          <w:szCs w:val="20"/>
        </w:rPr>
      </w:pPr>
    </w:p>
    <w:p w:rsidR="00200AEA" w:rsidRPr="00200AEA" w:rsidRDefault="00200AEA" w:rsidP="00200AEA">
      <w:pPr>
        <w:numPr>
          <w:ilvl w:val="0"/>
          <w:numId w:val="17"/>
        </w:numPr>
        <w:spacing w:after="0" w:line="240" w:lineRule="auto"/>
        <w:contextualSpacing/>
        <w:jc w:val="both"/>
        <w:rPr>
          <w:rFonts w:ascii="Times New Roman" w:eastAsia="Times New Roman" w:hAnsi="Times New Roman" w:cs="Times New Roman"/>
          <w:sz w:val="20"/>
          <w:szCs w:val="20"/>
          <w:lang w:eastAsia="zh-CN"/>
        </w:rPr>
      </w:pPr>
      <w:r w:rsidRPr="00200AEA">
        <w:rPr>
          <w:rFonts w:ascii="Times New Roman" w:eastAsia="Times New Roman" w:hAnsi="Times New Roman" w:cs="Times New Roman"/>
          <w:sz w:val="20"/>
          <w:szCs w:val="20"/>
          <w:lang w:eastAsia="zh-CN"/>
        </w:rPr>
        <w:t>Kostić V. Neurologija za studente medicine. Medicinski fakultet Beograd. 2015; 93.</w:t>
      </w:r>
    </w:p>
    <w:p w:rsidR="00200AEA" w:rsidRPr="00200AEA" w:rsidRDefault="00200AEA" w:rsidP="00200AEA">
      <w:pPr>
        <w:numPr>
          <w:ilvl w:val="0"/>
          <w:numId w:val="17"/>
        </w:numPr>
        <w:spacing w:line="240" w:lineRule="auto"/>
        <w:contextualSpacing/>
        <w:jc w:val="both"/>
        <w:rPr>
          <w:rFonts w:ascii="Times New Roman" w:hAnsi="Times New Roman" w:cs="Times New Roman"/>
          <w:sz w:val="20"/>
          <w:szCs w:val="20"/>
        </w:rPr>
      </w:pPr>
      <w:r w:rsidRPr="00200AEA">
        <w:rPr>
          <w:rFonts w:ascii="Times New Roman" w:hAnsi="Times New Roman" w:cs="Times New Roman"/>
          <w:sz w:val="20"/>
          <w:szCs w:val="20"/>
        </w:rPr>
        <w:t>Ely J, Milićević N, Downing J, Haraldsdottir E. Priručnik za studente iz predmeta palijativna medicina. Ministarstvo zdravlja Republike Srbije. 2012; 34.</w:t>
      </w:r>
    </w:p>
    <w:p w:rsidR="00200AEA" w:rsidRPr="00200AEA" w:rsidRDefault="00200AEA" w:rsidP="00200AEA">
      <w:pPr>
        <w:numPr>
          <w:ilvl w:val="0"/>
          <w:numId w:val="17"/>
        </w:numPr>
        <w:spacing w:line="240" w:lineRule="auto"/>
        <w:contextualSpacing/>
        <w:jc w:val="both"/>
        <w:rPr>
          <w:rFonts w:ascii="Times New Roman" w:hAnsi="Times New Roman" w:cs="Times New Roman"/>
          <w:sz w:val="20"/>
          <w:szCs w:val="20"/>
        </w:rPr>
      </w:pPr>
      <w:r w:rsidRPr="00200AEA">
        <w:rPr>
          <w:rFonts w:ascii="Times New Roman" w:hAnsi="Times New Roman" w:cs="Times New Roman"/>
          <w:sz w:val="20"/>
          <w:szCs w:val="20"/>
        </w:rPr>
        <w:t>Bošković Ž, Jančić J, Jovanović M, Kopitović A, Ljubisavljević S, Maid K, et al. Medjunarodna klasifikacija glavobolja 3 izdanje (beta verzija). Medicinski fakultet Beograd. 2014; 37-9.</w:t>
      </w:r>
    </w:p>
    <w:p w:rsidR="00200AEA" w:rsidRPr="00200AEA" w:rsidRDefault="00200AEA" w:rsidP="00200AEA">
      <w:pPr>
        <w:numPr>
          <w:ilvl w:val="0"/>
          <w:numId w:val="17"/>
        </w:numPr>
        <w:spacing w:line="240" w:lineRule="auto"/>
        <w:contextualSpacing/>
        <w:jc w:val="both"/>
        <w:rPr>
          <w:rFonts w:ascii="Times New Roman" w:hAnsi="Times New Roman" w:cs="Times New Roman"/>
          <w:sz w:val="20"/>
          <w:szCs w:val="20"/>
        </w:rPr>
      </w:pPr>
      <w:r w:rsidRPr="00200AEA">
        <w:rPr>
          <w:rFonts w:ascii="Times New Roman" w:hAnsi="Times New Roman" w:cs="Times New Roman"/>
          <w:sz w:val="20"/>
          <w:szCs w:val="20"/>
        </w:rPr>
        <w:t>Capkin E, Karkucak M, Cakirbay H, Topbas M, Karaca A, Kose M.M, et al. The prevalence of low back pain in the eastern Black Sea region of Turkey. Journal of Back and Musculoskeletal Rehabilitation. 2015;28: 783-7.</w:t>
      </w:r>
    </w:p>
    <w:p w:rsidR="00200AEA" w:rsidRPr="00200AEA" w:rsidRDefault="00200AEA" w:rsidP="00200AEA">
      <w:pPr>
        <w:numPr>
          <w:ilvl w:val="0"/>
          <w:numId w:val="17"/>
        </w:numPr>
        <w:spacing w:line="240" w:lineRule="auto"/>
        <w:contextualSpacing/>
        <w:jc w:val="both"/>
        <w:rPr>
          <w:rFonts w:ascii="Times New Roman" w:hAnsi="Times New Roman" w:cs="Times New Roman"/>
          <w:sz w:val="20"/>
          <w:szCs w:val="20"/>
        </w:rPr>
      </w:pPr>
      <w:r w:rsidRPr="00200AEA">
        <w:rPr>
          <w:rFonts w:ascii="Times New Roman" w:hAnsi="Times New Roman" w:cs="Times New Roman"/>
          <w:sz w:val="20"/>
          <w:szCs w:val="20"/>
        </w:rPr>
        <w:lastRenderedPageBreak/>
        <w:t>Viniol A, Jegan N, Hirsch O, Leonhardt C, Brugger M, Strauch K. Chronic back pain patient groups in primary care. BMC Muskuloskeletal Disorders. 2013; 14: 294.</w:t>
      </w:r>
    </w:p>
    <w:p w:rsidR="00200AEA" w:rsidRPr="00200AEA" w:rsidRDefault="00200AEA" w:rsidP="00200AEA">
      <w:pPr>
        <w:numPr>
          <w:ilvl w:val="0"/>
          <w:numId w:val="17"/>
        </w:numPr>
        <w:spacing w:line="240" w:lineRule="auto"/>
        <w:contextualSpacing/>
        <w:jc w:val="both"/>
        <w:rPr>
          <w:rFonts w:ascii="Times New Roman" w:hAnsi="Times New Roman" w:cs="Times New Roman"/>
          <w:sz w:val="20"/>
          <w:szCs w:val="20"/>
        </w:rPr>
      </w:pPr>
      <w:r w:rsidRPr="00200AEA">
        <w:rPr>
          <w:rFonts w:ascii="Times New Roman" w:hAnsi="Times New Roman" w:cs="Times New Roman"/>
          <w:sz w:val="20"/>
          <w:szCs w:val="20"/>
        </w:rPr>
        <w:t>Vällfors B. Acute, subacute and chronic low back pain: clinical symptoms, absenteeism and working environment. Scand J Rehabil Med Suppl. 1985; 11: 1-98.</w:t>
      </w:r>
    </w:p>
    <w:p w:rsidR="00200AEA" w:rsidRPr="00200AEA" w:rsidRDefault="00200AEA" w:rsidP="00200AEA">
      <w:pPr>
        <w:numPr>
          <w:ilvl w:val="0"/>
          <w:numId w:val="17"/>
        </w:numPr>
        <w:spacing w:line="240" w:lineRule="auto"/>
        <w:contextualSpacing/>
        <w:jc w:val="both"/>
        <w:rPr>
          <w:rFonts w:ascii="Times New Roman" w:hAnsi="Times New Roman" w:cs="Times New Roman"/>
          <w:sz w:val="20"/>
          <w:szCs w:val="20"/>
        </w:rPr>
      </w:pPr>
      <w:r w:rsidRPr="00200AEA">
        <w:rPr>
          <w:rFonts w:ascii="Times New Roman" w:hAnsi="Times New Roman" w:cs="Times New Roman"/>
          <w:sz w:val="20"/>
          <w:szCs w:val="20"/>
        </w:rPr>
        <w:t>Vukadinov J. Gerijatrija za studente medicine. Medicinski fakultet Novi Sad. 2008.</w:t>
      </w:r>
    </w:p>
    <w:p w:rsidR="00200AEA" w:rsidRPr="00200AEA" w:rsidRDefault="00200AEA" w:rsidP="00200AEA">
      <w:pPr>
        <w:numPr>
          <w:ilvl w:val="0"/>
          <w:numId w:val="17"/>
        </w:numPr>
        <w:spacing w:line="240" w:lineRule="auto"/>
        <w:contextualSpacing/>
        <w:jc w:val="both"/>
        <w:rPr>
          <w:rFonts w:ascii="Times New Roman" w:hAnsi="Times New Roman" w:cs="Times New Roman"/>
          <w:sz w:val="20"/>
          <w:szCs w:val="20"/>
        </w:rPr>
      </w:pPr>
      <w:r w:rsidRPr="00200AEA">
        <w:rPr>
          <w:rFonts w:ascii="Times New Roman" w:hAnsi="Times New Roman" w:cs="Times New Roman"/>
          <w:sz w:val="20"/>
          <w:szCs w:val="20"/>
        </w:rPr>
        <w:t>Casazza BA. Diagnosis and treatment of acute low back pain. Am Fam Physician. 2012</w:t>
      </w:r>
      <w:r w:rsidRPr="00200AEA">
        <w:rPr>
          <w:rFonts w:ascii="Times New Roman" w:hAnsi="Times New Roman" w:cs="Times New Roman"/>
          <w:sz w:val="20"/>
          <w:szCs w:val="20"/>
          <w:shd w:val="clear" w:color="auto" w:fill="FFFFFF"/>
        </w:rPr>
        <w:t>; 85(4): 343-50.</w:t>
      </w:r>
    </w:p>
    <w:p w:rsidR="00200AEA" w:rsidRPr="00200AEA" w:rsidRDefault="00200AEA" w:rsidP="00200AEA">
      <w:pPr>
        <w:numPr>
          <w:ilvl w:val="0"/>
          <w:numId w:val="17"/>
        </w:numPr>
        <w:spacing w:line="240" w:lineRule="auto"/>
        <w:contextualSpacing/>
        <w:jc w:val="both"/>
        <w:rPr>
          <w:rFonts w:ascii="Times New Roman" w:hAnsi="Times New Roman" w:cs="Times New Roman"/>
          <w:sz w:val="20"/>
          <w:szCs w:val="20"/>
        </w:rPr>
      </w:pPr>
      <w:r w:rsidRPr="00200AEA">
        <w:rPr>
          <w:rFonts w:ascii="Times New Roman" w:hAnsi="Times New Roman" w:cs="Times New Roman"/>
          <w:sz w:val="20"/>
          <w:szCs w:val="20"/>
          <w:shd w:val="clear" w:color="auto" w:fill="FFFFFF"/>
        </w:rPr>
        <w:t>Kostić V. Osnovi neurološkog pregleda. Medicinski fakultet Beograd. 2013.</w:t>
      </w:r>
    </w:p>
    <w:p w:rsidR="00200AEA" w:rsidRPr="00200AEA" w:rsidRDefault="00163A19" w:rsidP="00200AEA">
      <w:pPr>
        <w:numPr>
          <w:ilvl w:val="0"/>
          <w:numId w:val="17"/>
        </w:numPr>
        <w:spacing w:line="240" w:lineRule="auto"/>
        <w:contextualSpacing/>
        <w:jc w:val="both"/>
        <w:rPr>
          <w:rFonts w:ascii="Times New Roman" w:hAnsi="Times New Roman" w:cs="Times New Roman"/>
          <w:sz w:val="20"/>
          <w:szCs w:val="20"/>
        </w:rPr>
      </w:pPr>
      <w:hyperlink r:id="rId20" w:history="1">
        <w:r w:rsidR="00200AEA" w:rsidRPr="00200AEA">
          <w:rPr>
            <w:rFonts w:ascii="Times New Roman" w:eastAsia="Times New Roman" w:hAnsi="Times New Roman" w:cs="Times New Roman"/>
            <w:sz w:val="20"/>
            <w:szCs w:val="20"/>
            <w:lang w:eastAsia="sr-Latn-RS"/>
          </w:rPr>
          <w:t>Kelly GA</w:t>
        </w:r>
      </w:hyperlink>
      <w:r w:rsidR="00200AEA" w:rsidRPr="00200AEA">
        <w:rPr>
          <w:rFonts w:ascii="Times New Roman" w:eastAsia="Times New Roman" w:hAnsi="Times New Roman" w:cs="Times New Roman"/>
          <w:sz w:val="20"/>
          <w:szCs w:val="20"/>
          <w:lang w:eastAsia="sr-Latn-RS"/>
        </w:rPr>
        <w:t>,</w:t>
      </w:r>
      <w:r w:rsidR="00200AEA" w:rsidRPr="00200AEA">
        <w:rPr>
          <w:rFonts w:ascii="Times New Roman" w:eastAsia="Times New Roman" w:hAnsi="Times New Roman" w:cs="Times New Roman"/>
          <w:sz w:val="20"/>
          <w:szCs w:val="20"/>
          <w:vertAlign w:val="superscript"/>
          <w:lang w:eastAsia="sr-Latn-RS"/>
        </w:rPr>
        <w:t xml:space="preserve"> </w:t>
      </w:r>
      <w:hyperlink r:id="rId21" w:history="1">
        <w:r w:rsidR="00200AEA" w:rsidRPr="00200AEA">
          <w:rPr>
            <w:rFonts w:ascii="Times New Roman" w:eastAsia="Times New Roman" w:hAnsi="Times New Roman" w:cs="Times New Roman"/>
            <w:sz w:val="20"/>
            <w:szCs w:val="20"/>
            <w:lang w:eastAsia="sr-Latn-RS"/>
          </w:rPr>
          <w:t>Blake C</w:t>
        </w:r>
      </w:hyperlink>
      <w:r w:rsidR="00200AEA" w:rsidRPr="00200AEA">
        <w:rPr>
          <w:rFonts w:ascii="Times New Roman" w:eastAsia="Times New Roman" w:hAnsi="Times New Roman" w:cs="Times New Roman"/>
          <w:sz w:val="20"/>
          <w:szCs w:val="20"/>
          <w:lang w:eastAsia="sr-Latn-RS"/>
        </w:rPr>
        <w:t>, </w:t>
      </w:r>
      <w:hyperlink r:id="rId22" w:history="1">
        <w:r w:rsidR="00200AEA" w:rsidRPr="00200AEA">
          <w:rPr>
            <w:rFonts w:ascii="Times New Roman" w:eastAsia="Times New Roman" w:hAnsi="Times New Roman" w:cs="Times New Roman"/>
            <w:sz w:val="20"/>
            <w:szCs w:val="20"/>
            <w:lang w:eastAsia="sr-Latn-RS"/>
          </w:rPr>
          <w:t>Power CK</w:t>
        </w:r>
      </w:hyperlink>
      <w:r w:rsidR="00200AEA" w:rsidRPr="00200AEA">
        <w:rPr>
          <w:rFonts w:ascii="Times New Roman" w:eastAsia="Times New Roman" w:hAnsi="Times New Roman" w:cs="Times New Roman"/>
          <w:sz w:val="20"/>
          <w:szCs w:val="20"/>
          <w:lang w:eastAsia="sr-Latn-RS"/>
        </w:rPr>
        <w:t>, </w:t>
      </w:r>
      <w:hyperlink r:id="rId23" w:history="1">
        <w:r w:rsidR="00200AEA" w:rsidRPr="00200AEA">
          <w:rPr>
            <w:rFonts w:ascii="Times New Roman" w:eastAsia="Times New Roman" w:hAnsi="Times New Roman" w:cs="Times New Roman"/>
            <w:sz w:val="20"/>
            <w:szCs w:val="20"/>
            <w:lang w:eastAsia="sr-Latn-RS"/>
          </w:rPr>
          <w:t>O'keeffe D</w:t>
        </w:r>
      </w:hyperlink>
      <w:r w:rsidR="00200AEA" w:rsidRPr="00200AEA">
        <w:rPr>
          <w:rFonts w:ascii="Times New Roman" w:eastAsia="Times New Roman" w:hAnsi="Times New Roman" w:cs="Times New Roman"/>
          <w:sz w:val="20"/>
          <w:szCs w:val="20"/>
          <w:lang w:eastAsia="sr-Latn-RS"/>
        </w:rPr>
        <w:t>, </w:t>
      </w:r>
      <w:hyperlink r:id="rId24" w:history="1">
        <w:r w:rsidR="00200AEA" w:rsidRPr="00200AEA">
          <w:rPr>
            <w:rFonts w:ascii="Times New Roman" w:eastAsia="Times New Roman" w:hAnsi="Times New Roman" w:cs="Times New Roman"/>
            <w:sz w:val="20"/>
            <w:szCs w:val="20"/>
            <w:lang w:eastAsia="sr-Latn-RS"/>
          </w:rPr>
          <w:t>Fullen BM</w:t>
        </w:r>
      </w:hyperlink>
      <w:r w:rsidR="00200AEA" w:rsidRPr="00200AEA">
        <w:rPr>
          <w:rFonts w:ascii="Times New Roman" w:eastAsia="Times New Roman" w:hAnsi="Times New Roman" w:cs="Times New Roman"/>
          <w:sz w:val="20"/>
          <w:szCs w:val="20"/>
          <w:lang w:eastAsia="sr-Latn-RS"/>
        </w:rPr>
        <w:t xml:space="preserve">. </w:t>
      </w:r>
      <w:r w:rsidR="00200AEA" w:rsidRPr="00200AEA">
        <w:rPr>
          <w:rFonts w:ascii="Times New Roman" w:eastAsia="Times New Roman" w:hAnsi="Times New Roman" w:cs="Times New Roman"/>
          <w:bCs/>
          <w:kern w:val="36"/>
          <w:sz w:val="20"/>
          <w:szCs w:val="20"/>
          <w:lang w:eastAsia="sr-Latn-RS"/>
        </w:rPr>
        <w:t xml:space="preserve">The association between chronic low back pain and sleep: a systematic review. </w:t>
      </w:r>
      <w:hyperlink r:id="rId25" w:tooltip="The Clinical journal of pain." w:history="1">
        <w:r w:rsidR="00200AEA" w:rsidRPr="00200AEA">
          <w:rPr>
            <w:rFonts w:ascii="Times New Roman" w:eastAsia="Times New Roman" w:hAnsi="Times New Roman" w:cs="Times New Roman"/>
            <w:sz w:val="20"/>
            <w:szCs w:val="20"/>
            <w:lang w:eastAsia="sr-Latn-RS"/>
          </w:rPr>
          <w:t>Clin J Pain.</w:t>
        </w:r>
      </w:hyperlink>
      <w:r w:rsidR="00200AEA" w:rsidRPr="00200AEA">
        <w:rPr>
          <w:rFonts w:ascii="Times New Roman" w:eastAsia="Times New Roman" w:hAnsi="Times New Roman" w:cs="Times New Roman"/>
          <w:sz w:val="20"/>
          <w:szCs w:val="20"/>
          <w:lang w:eastAsia="sr-Latn-RS"/>
        </w:rPr>
        <w:t> 2011; 27(2): 169-81.</w:t>
      </w:r>
    </w:p>
    <w:p w:rsidR="00200AEA" w:rsidRPr="00200AEA" w:rsidRDefault="00200AEA" w:rsidP="00200AEA">
      <w:pPr>
        <w:numPr>
          <w:ilvl w:val="0"/>
          <w:numId w:val="17"/>
        </w:numPr>
        <w:spacing w:line="240" w:lineRule="auto"/>
        <w:contextualSpacing/>
        <w:jc w:val="both"/>
        <w:rPr>
          <w:rFonts w:ascii="Times New Roman" w:hAnsi="Times New Roman" w:cs="Times New Roman"/>
          <w:sz w:val="20"/>
          <w:szCs w:val="20"/>
        </w:rPr>
      </w:pPr>
      <w:r w:rsidRPr="00200AEA">
        <w:rPr>
          <w:rFonts w:ascii="Times New Roman" w:eastAsia="Times New Roman" w:hAnsi="Times New Roman" w:cs="Times New Roman"/>
          <w:sz w:val="20"/>
          <w:szCs w:val="20"/>
          <w:lang w:eastAsia="sr-Latn-RS"/>
        </w:rPr>
        <w:t xml:space="preserve">Miller SM. Low back pain: pharmacologic management. </w:t>
      </w:r>
      <w:hyperlink r:id="rId26" w:tooltip="Primary care." w:history="1">
        <w:r w:rsidRPr="00200AEA">
          <w:rPr>
            <w:rFonts w:ascii="Times New Roman" w:eastAsia="Times New Roman" w:hAnsi="Times New Roman" w:cs="Times New Roman"/>
            <w:sz w:val="20"/>
            <w:szCs w:val="20"/>
            <w:lang w:eastAsia="sr-Latn-RS"/>
          </w:rPr>
          <w:t>Prim Care.</w:t>
        </w:r>
      </w:hyperlink>
      <w:r w:rsidRPr="00200AEA">
        <w:rPr>
          <w:rFonts w:ascii="Times New Roman" w:eastAsia="Times New Roman" w:hAnsi="Times New Roman" w:cs="Times New Roman"/>
          <w:sz w:val="20"/>
          <w:szCs w:val="20"/>
          <w:lang w:eastAsia="sr-Latn-RS"/>
        </w:rPr>
        <w:t> 2012; 39(3): 499-510.</w:t>
      </w:r>
    </w:p>
    <w:p w:rsidR="00200AEA" w:rsidRPr="00200AEA" w:rsidRDefault="00200AEA" w:rsidP="00200AEA">
      <w:pPr>
        <w:numPr>
          <w:ilvl w:val="0"/>
          <w:numId w:val="17"/>
        </w:numPr>
        <w:spacing w:line="240" w:lineRule="auto"/>
        <w:contextualSpacing/>
        <w:jc w:val="both"/>
        <w:rPr>
          <w:rFonts w:ascii="Times New Roman" w:hAnsi="Times New Roman" w:cs="Times New Roman"/>
          <w:sz w:val="20"/>
          <w:szCs w:val="20"/>
        </w:rPr>
      </w:pPr>
      <w:r w:rsidRPr="00200AEA">
        <w:rPr>
          <w:rFonts w:ascii="Times New Roman" w:eastAsia="Times New Roman" w:hAnsi="Times New Roman" w:cs="Times New Roman"/>
          <w:sz w:val="20"/>
          <w:szCs w:val="20"/>
          <w:lang w:eastAsia="sr-Latn-RS"/>
        </w:rPr>
        <w:t xml:space="preserve">Marlowe D. Complementary and alternative medicine treatments for low back pain. </w:t>
      </w:r>
      <w:hyperlink r:id="rId27" w:tooltip="Primary care." w:history="1">
        <w:r w:rsidRPr="00200AEA">
          <w:rPr>
            <w:rFonts w:ascii="Times New Roman" w:eastAsia="Times New Roman" w:hAnsi="Times New Roman" w:cs="Times New Roman"/>
            <w:sz w:val="20"/>
            <w:szCs w:val="20"/>
            <w:lang w:eastAsia="sr-Latn-RS"/>
          </w:rPr>
          <w:t>Prim Care.</w:t>
        </w:r>
      </w:hyperlink>
      <w:r w:rsidRPr="00200AEA">
        <w:rPr>
          <w:rFonts w:ascii="Times New Roman" w:eastAsia="Times New Roman" w:hAnsi="Times New Roman" w:cs="Times New Roman"/>
          <w:sz w:val="20"/>
          <w:szCs w:val="20"/>
          <w:lang w:eastAsia="sr-Latn-RS"/>
        </w:rPr>
        <w:t> 2012; 39(3): 533-46.</w:t>
      </w:r>
    </w:p>
    <w:p w:rsidR="00200AEA" w:rsidRPr="00200AEA" w:rsidRDefault="00200AEA" w:rsidP="00200AEA">
      <w:pPr>
        <w:numPr>
          <w:ilvl w:val="0"/>
          <w:numId w:val="17"/>
        </w:numPr>
        <w:spacing w:line="240" w:lineRule="auto"/>
        <w:contextualSpacing/>
        <w:jc w:val="both"/>
        <w:rPr>
          <w:rFonts w:ascii="Times New Roman" w:hAnsi="Times New Roman" w:cs="Times New Roman"/>
          <w:sz w:val="20"/>
          <w:szCs w:val="20"/>
        </w:rPr>
      </w:pPr>
      <w:r w:rsidRPr="00200AEA">
        <w:rPr>
          <w:rFonts w:ascii="Times New Roman" w:hAnsi="Times New Roman" w:cs="Times New Roman"/>
          <w:sz w:val="20"/>
          <w:szCs w:val="20"/>
        </w:rPr>
        <w:t>Antonaci F, Sand T, Lucas G. Pressure algometry in healthy subjects: inter–examiner variability. Scand J Rehab Med. 1998; 30: 3-8.</w:t>
      </w:r>
    </w:p>
    <w:p w:rsidR="00200AEA" w:rsidRPr="00200AEA" w:rsidRDefault="00200AEA" w:rsidP="00200AEA">
      <w:pPr>
        <w:numPr>
          <w:ilvl w:val="0"/>
          <w:numId w:val="17"/>
        </w:numPr>
        <w:spacing w:line="240" w:lineRule="auto"/>
        <w:contextualSpacing/>
        <w:jc w:val="both"/>
        <w:rPr>
          <w:rFonts w:ascii="Times New Roman" w:hAnsi="Times New Roman" w:cs="Times New Roman"/>
          <w:sz w:val="20"/>
          <w:szCs w:val="20"/>
        </w:rPr>
      </w:pPr>
      <w:r w:rsidRPr="00200AEA">
        <w:rPr>
          <w:rFonts w:ascii="Times New Roman" w:hAnsi="Times New Roman" w:cs="Times New Roman"/>
          <w:sz w:val="20"/>
          <w:szCs w:val="20"/>
        </w:rPr>
        <w:t>Langemark M, Jensen K, Jensen TS, Olesen J. Pressure pain thresholds and thermal nociceptive thresholds in chronic tension-type headache. Pain. 1989; 38: 203-10.</w:t>
      </w:r>
    </w:p>
    <w:p w:rsidR="00200AEA" w:rsidRPr="00200AEA" w:rsidRDefault="00200AEA" w:rsidP="00200AEA">
      <w:pPr>
        <w:numPr>
          <w:ilvl w:val="0"/>
          <w:numId w:val="17"/>
        </w:numPr>
        <w:spacing w:line="240" w:lineRule="auto"/>
        <w:contextualSpacing/>
        <w:jc w:val="both"/>
        <w:rPr>
          <w:rFonts w:ascii="Times New Roman" w:hAnsi="Times New Roman" w:cs="Times New Roman"/>
          <w:sz w:val="20"/>
          <w:szCs w:val="20"/>
        </w:rPr>
      </w:pPr>
      <w:r w:rsidRPr="00200AEA">
        <w:rPr>
          <w:rFonts w:ascii="Times New Roman" w:hAnsi="Times New Roman" w:cs="Times New Roman"/>
          <w:sz w:val="20"/>
          <w:szCs w:val="20"/>
        </w:rPr>
        <w:t>Langemark M, Olesen J. Pericranial tenderness in tension headache. A blind controlled study. Cephalalgia. 1987; 6: 249-55.</w:t>
      </w:r>
    </w:p>
    <w:p w:rsidR="00200AEA" w:rsidRPr="00200AEA" w:rsidRDefault="00200AEA" w:rsidP="00200AEA">
      <w:pPr>
        <w:numPr>
          <w:ilvl w:val="0"/>
          <w:numId w:val="17"/>
        </w:numPr>
        <w:spacing w:line="240" w:lineRule="auto"/>
        <w:contextualSpacing/>
        <w:jc w:val="both"/>
        <w:rPr>
          <w:rFonts w:ascii="Times New Roman" w:hAnsi="Times New Roman" w:cs="Times New Roman"/>
          <w:sz w:val="20"/>
          <w:szCs w:val="20"/>
        </w:rPr>
      </w:pPr>
      <w:r w:rsidRPr="00200AEA">
        <w:rPr>
          <w:rFonts w:ascii="Times New Roman" w:hAnsi="Times New Roman" w:cs="Times New Roman"/>
          <w:sz w:val="20"/>
          <w:szCs w:val="20"/>
        </w:rPr>
        <w:t>Sandrini G, Antonaci F, Pucci E, Bono G, Nappi G. Comparative study with EMG, pressure algometry and manual palpation in tension-type headache and migraine. Cephalalgia. 1994; 14: 451-7.</w:t>
      </w:r>
    </w:p>
    <w:p w:rsidR="00200AEA" w:rsidRPr="00200AEA" w:rsidRDefault="00200AEA" w:rsidP="00200AEA">
      <w:pPr>
        <w:numPr>
          <w:ilvl w:val="0"/>
          <w:numId w:val="17"/>
        </w:numPr>
        <w:spacing w:line="240" w:lineRule="auto"/>
        <w:contextualSpacing/>
        <w:jc w:val="both"/>
        <w:rPr>
          <w:rFonts w:ascii="Times New Roman" w:hAnsi="Times New Roman" w:cs="Times New Roman"/>
          <w:sz w:val="20"/>
          <w:szCs w:val="20"/>
        </w:rPr>
      </w:pPr>
      <w:r w:rsidRPr="00200AEA">
        <w:rPr>
          <w:rFonts w:ascii="Times New Roman" w:hAnsi="Times New Roman" w:cs="Times New Roman"/>
          <w:sz w:val="20"/>
          <w:szCs w:val="20"/>
        </w:rPr>
        <w:t>Özdolap Ş, Sarikaya S, Köktürk F. Evaluation of Pain Pressure Threshold and Widespread Pain in Chronic Low Back Pain. Turk J Phys Med Rehab. 2014; 60: 32-6.</w:t>
      </w:r>
    </w:p>
    <w:p w:rsidR="00200AEA" w:rsidRPr="00200AEA" w:rsidRDefault="00200AEA" w:rsidP="00200AEA">
      <w:pPr>
        <w:numPr>
          <w:ilvl w:val="0"/>
          <w:numId w:val="17"/>
        </w:numPr>
        <w:spacing w:line="240" w:lineRule="auto"/>
        <w:contextualSpacing/>
        <w:jc w:val="both"/>
        <w:rPr>
          <w:rFonts w:ascii="Times New Roman" w:hAnsi="Times New Roman" w:cs="Times New Roman"/>
          <w:sz w:val="20"/>
          <w:szCs w:val="20"/>
        </w:rPr>
      </w:pPr>
      <w:r w:rsidRPr="00200AEA">
        <w:rPr>
          <w:rFonts w:ascii="Times New Roman" w:hAnsi="Times New Roman" w:cs="Times New Roman"/>
          <w:sz w:val="20"/>
          <w:szCs w:val="20"/>
        </w:rPr>
        <w:t>Peters ML, Schmidt AJ. Differences in pain perception and sensory discrimination between chronic low back pain patients and healthy controls. J Psychosom Res. 1992; 36: 47-53.</w:t>
      </w:r>
    </w:p>
    <w:p w:rsidR="00200AEA" w:rsidRPr="00200AEA" w:rsidRDefault="00200AEA" w:rsidP="00200AEA">
      <w:pPr>
        <w:numPr>
          <w:ilvl w:val="0"/>
          <w:numId w:val="17"/>
        </w:numPr>
        <w:spacing w:line="240" w:lineRule="auto"/>
        <w:contextualSpacing/>
        <w:jc w:val="both"/>
        <w:rPr>
          <w:rFonts w:ascii="Times New Roman" w:hAnsi="Times New Roman" w:cs="Times New Roman"/>
          <w:sz w:val="20"/>
          <w:szCs w:val="20"/>
        </w:rPr>
      </w:pPr>
      <w:r w:rsidRPr="00200AEA">
        <w:rPr>
          <w:rFonts w:ascii="Times New Roman" w:hAnsi="Times New Roman" w:cs="Times New Roman"/>
          <w:sz w:val="20"/>
          <w:szCs w:val="20"/>
        </w:rPr>
        <w:t>Koelbaek Johansen M, Graven-Nielsen T, Schou Olesen A, ArendtNielsen L. Generalised muscular hyperalgesia in chronic whiplash syndrome. Pain. 1999; 83: 229-34.</w:t>
      </w:r>
    </w:p>
    <w:p w:rsidR="00200AEA" w:rsidRPr="00200AEA" w:rsidRDefault="00200AEA" w:rsidP="00200AEA">
      <w:pPr>
        <w:numPr>
          <w:ilvl w:val="0"/>
          <w:numId w:val="17"/>
        </w:numPr>
        <w:spacing w:line="240" w:lineRule="auto"/>
        <w:contextualSpacing/>
        <w:jc w:val="both"/>
        <w:rPr>
          <w:rFonts w:ascii="Times New Roman" w:hAnsi="Times New Roman" w:cs="Times New Roman"/>
          <w:sz w:val="20"/>
          <w:szCs w:val="20"/>
        </w:rPr>
      </w:pPr>
      <w:r w:rsidRPr="00200AEA">
        <w:rPr>
          <w:rFonts w:ascii="Times New Roman" w:hAnsi="Times New Roman" w:cs="Times New Roman"/>
          <w:sz w:val="20"/>
          <w:szCs w:val="20"/>
        </w:rPr>
        <w:t>Bajaj P, Bajaj P, Graven-Nielsen T, Arendt-Nielsen L. Osteoarthritis and its association with muscle hyperalgesia: an experimental controlled study. Pain. 2001; 93: 107-14.</w:t>
      </w:r>
    </w:p>
    <w:p w:rsidR="00200AEA" w:rsidRPr="00200AEA" w:rsidRDefault="00200AEA" w:rsidP="00200AEA">
      <w:pPr>
        <w:numPr>
          <w:ilvl w:val="0"/>
          <w:numId w:val="17"/>
        </w:numPr>
        <w:spacing w:line="240" w:lineRule="auto"/>
        <w:contextualSpacing/>
        <w:jc w:val="both"/>
        <w:rPr>
          <w:rFonts w:ascii="Times New Roman" w:hAnsi="Times New Roman" w:cs="Times New Roman"/>
          <w:sz w:val="20"/>
          <w:szCs w:val="20"/>
        </w:rPr>
      </w:pPr>
      <w:r w:rsidRPr="00200AEA">
        <w:rPr>
          <w:rFonts w:ascii="Times New Roman" w:hAnsi="Times New Roman" w:cs="Times New Roman"/>
          <w:sz w:val="20"/>
          <w:szCs w:val="20"/>
        </w:rPr>
        <w:t>Giesecke T, Gracely RH, Grant MA, Nachemson A, Petzke F, Williams DA, et al. Evidence of augmented central pain processing in idiopathic chronic low back pain. Arthritis Rheum. 2004; 50: 613-23.</w:t>
      </w:r>
    </w:p>
    <w:p w:rsidR="001D523D" w:rsidRPr="0050522C" w:rsidRDefault="00200AEA" w:rsidP="0050522C">
      <w:pPr>
        <w:numPr>
          <w:ilvl w:val="0"/>
          <w:numId w:val="17"/>
        </w:numPr>
        <w:spacing w:line="240" w:lineRule="auto"/>
        <w:contextualSpacing/>
        <w:jc w:val="both"/>
        <w:rPr>
          <w:rFonts w:ascii="Times New Roman" w:hAnsi="Times New Roman" w:cs="Times New Roman"/>
          <w:sz w:val="20"/>
          <w:szCs w:val="20"/>
        </w:rPr>
      </w:pPr>
      <w:r w:rsidRPr="00200AEA">
        <w:rPr>
          <w:rFonts w:ascii="Times New Roman" w:hAnsi="Times New Roman" w:cs="Times New Roman"/>
          <w:sz w:val="20"/>
          <w:szCs w:val="20"/>
        </w:rPr>
        <w:t>Staud R. Is it all central sensitization? Role of peripheral tissue nociception in chronic musculoskeletal pain. Curr Rheumatol Rep. 2010; 12: 448-54.</w:t>
      </w:r>
    </w:p>
    <w:sectPr w:rsidR="001D523D" w:rsidRPr="0050522C" w:rsidSect="005414F8">
      <w:pgSz w:w="11906" w:h="16838"/>
      <w:pgMar w:top="1418" w:right="1134"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D1BFB"/>
    <w:multiLevelType w:val="hybridMultilevel"/>
    <w:tmpl w:val="3932BB24"/>
    <w:lvl w:ilvl="0" w:tplc="241A000F">
      <w:start w:val="1"/>
      <w:numFmt w:val="decimal"/>
      <w:lvlText w:val="%1."/>
      <w:lvlJc w:val="left"/>
      <w:pPr>
        <w:ind w:left="1068" w:hanging="360"/>
      </w:pPr>
    </w:lvl>
    <w:lvl w:ilvl="1" w:tplc="241A0019" w:tentative="1">
      <w:start w:val="1"/>
      <w:numFmt w:val="lowerLetter"/>
      <w:lvlText w:val="%2."/>
      <w:lvlJc w:val="left"/>
      <w:pPr>
        <w:ind w:left="1788" w:hanging="360"/>
      </w:pPr>
    </w:lvl>
    <w:lvl w:ilvl="2" w:tplc="241A001B" w:tentative="1">
      <w:start w:val="1"/>
      <w:numFmt w:val="lowerRoman"/>
      <w:lvlText w:val="%3."/>
      <w:lvlJc w:val="right"/>
      <w:pPr>
        <w:ind w:left="2508" w:hanging="180"/>
      </w:pPr>
    </w:lvl>
    <w:lvl w:ilvl="3" w:tplc="241A000F" w:tentative="1">
      <w:start w:val="1"/>
      <w:numFmt w:val="decimal"/>
      <w:lvlText w:val="%4."/>
      <w:lvlJc w:val="left"/>
      <w:pPr>
        <w:ind w:left="3228" w:hanging="360"/>
      </w:pPr>
    </w:lvl>
    <w:lvl w:ilvl="4" w:tplc="241A0019" w:tentative="1">
      <w:start w:val="1"/>
      <w:numFmt w:val="lowerLetter"/>
      <w:lvlText w:val="%5."/>
      <w:lvlJc w:val="left"/>
      <w:pPr>
        <w:ind w:left="3948" w:hanging="360"/>
      </w:pPr>
    </w:lvl>
    <w:lvl w:ilvl="5" w:tplc="241A001B" w:tentative="1">
      <w:start w:val="1"/>
      <w:numFmt w:val="lowerRoman"/>
      <w:lvlText w:val="%6."/>
      <w:lvlJc w:val="right"/>
      <w:pPr>
        <w:ind w:left="4668" w:hanging="180"/>
      </w:pPr>
    </w:lvl>
    <w:lvl w:ilvl="6" w:tplc="241A000F" w:tentative="1">
      <w:start w:val="1"/>
      <w:numFmt w:val="decimal"/>
      <w:lvlText w:val="%7."/>
      <w:lvlJc w:val="left"/>
      <w:pPr>
        <w:ind w:left="5388" w:hanging="360"/>
      </w:pPr>
    </w:lvl>
    <w:lvl w:ilvl="7" w:tplc="241A0019" w:tentative="1">
      <w:start w:val="1"/>
      <w:numFmt w:val="lowerLetter"/>
      <w:lvlText w:val="%8."/>
      <w:lvlJc w:val="left"/>
      <w:pPr>
        <w:ind w:left="6108" w:hanging="360"/>
      </w:pPr>
    </w:lvl>
    <w:lvl w:ilvl="8" w:tplc="241A001B" w:tentative="1">
      <w:start w:val="1"/>
      <w:numFmt w:val="lowerRoman"/>
      <w:lvlText w:val="%9."/>
      <w:lvlJc w:val="right"/>
      <w:pPr>
        <w:ind w:left="6828" w:hanging="180"/>
      </w:pPr>
    </w:lvl>
  </w:abstractNum>
  <w:abstractNum w:abstractNumId="1" w15:restartNumberingAfterBreak="0">
    <w:nsid w:val="0D1F0DB9"/>
    <w:multiLevelType w:val="hybridMultilevel"/>
    <w:tmpl w:val="6F08132A"/>
    <w:lvl w:ilvl="0" w:tplc="241A0001">
      <w:start w:val="1"/>
      <w:numFmt w:val="bullet"/>
      <w:lvlText w:val=""/>
      <w:lvlJc w:val="left"/>
      <w:pPr>
        <w:ind w:left="1425" w:hanging="360"/>
      </w:pPr>
      <w:rPr>
        <w:rFonts w:ascii="Symbol" w:hAnsi="Symbol" w:hint="default"/>
      </w:rPr>
    </w:lvl>
    <w:lvl w:ilvl="1" w:tplc="241A0003" w:tentative="1">
      <w:start w:val="1"/>
      <w:numFmt w:val="bullet"/>
      <w:lvlText w:val="o"/>
      <w:lvlJc w:val="left"/>
      <w:pPr>
        <w:ind w:left="2145" w:hanging="360"/>
      </w:pPr>
      <w:rPr>
        <w:rFonts w:ascii="Courier New" w:hAnsi="Courier New" w:cs="Courier New" w:hint="default"/>
      </w:rPr>
    </w:lvl>
    <w:lvl w:ilvl="2" w:tplc="241A0005" w:tentative="1">
      <w:start w:val="1"/>
      <w:numFmt w:val="bullet"/>
      <w:lvlText w:val=""/>
      <w:lvlJc w:val="left"/>
      <w:pPr>
        <w:ind w:left="2865" w:hanging="360"/>
      </w:pPr>
      <w:rPr>
        <w:rFonts w:ascii="Wingdings" w:hAnsi="Wingdings" w:hint="default"/>
      </w:rPr>
    </w:lvl>
    <w:lvl w:ilvl="3" w:tplc="241A0001" w:tentative="1">
      <w:start w:val="1"/>
      <w:numFmt w:val="bullet"/>
      <w:lvlText w:val=""/>
      <w:lvlJc w:val="left"/>
      <w:pPr>
        <w:ind w:left="3585" w:hanging="360"/>
      </w:pPr>
      <w:rPr>
        <w:rFonts w:ascii="Symbol" w:hAnsi="Symbol" w:hint="default"/>
      </w:rPr>
    </w:lvl>
    <w:lvl w:ilvl="4" w:tplc="241A0003" w:tentative="1">
      <w:start w:val="1"/>
      <w:numFmt w:val="bullet"/>
      <w:lvlText w:val="o"/>
      <w:lvlJc w:val="left"/>
      <w:pPr>
        <w:ind w:left="4305" w:hanging="360"/>
      </w:pPr>
      <w:rPr>
        <w:rFonts w:ascii="Courier New" w:hAnsi="Courier New" w:cs="Courier New" w:hint="default"/>
      </w:rPr>
    </w:lvl>
    <w:lvl w:ilvl="5" w:tplc="241A0005" w:tentative="1">
      <w:start w:val="1"/>
      <w:numFmt w:val="bullet"/>
      <w:lvlText w:val=""/>
      <w:lvlJc w:val="left"/>
      <w:pPr>
        <w:ind w:left="5025" w:hanging="360"/>
      </w:pPr>
      <w:rPr>
        <w:rFonts w:ascii="Wingdings" w:hAnsi="Wingdings" w:hint="default"/>
      </w:rPr>
    </w:lvl>
    <w:lvl w:ilvl="6" w:tplc="241A0001" w:tentative="1">
      <w:start w:val="1"/>
      <w:numFmt w:val="bullet"/>
      <w:lvlText w:val=""/>
      <w:lvlJc w:val="left"/>
      <w:pPr>
        <w:ind w:left="5745" w:hanging="360"/>
      </w:pPr>
      <w:rPr>
        <w:rFonts w:ascii="Symbol" w:hAnsi="Symbol" w:hint="default"/>
      </w:rPr>
    </w:lvl>
    <w:lvl w:ilvl="7" w:tplc="241A0003" w:tentative="1">
      <w:start w:val="1"/>
      <w:numFmt w:val="bullet"/>
      <w:lvlText w:val="o"/>
      <w:lvlJc w:val="left"/>
      <w:pPr>
        <w:ind w:left="6465" w:hanging="360"/>
      </w:pPr>
      <w:rPr>
        <w:rFonts w:ascii="Courier New" w:hAnsi="Courier New" w:cs="Courier New" w:hint="default"/>
      </w:rPr>
    </w:lvl>
    <w:lvl w:ilvl="8" w:tplc="241A0005" w:tentative="1">
      <w:start w:val="1"/>
      <w:numFmt w:val="bullet"/>
      <w:lvlText w:val=""/>
      <w:lvlJc w:val="left"/>
      <w:pPr>
        <w:ind w:left="7185" w:hanging="360"/>
      </w:pPr>
      <w:rPr>
        <w:rFonts w:ascii="Wingdings" w:hAnsi="Wingdings" w:hint="default"/>
      </w:rPr>
    </w:lvl>
  </w:abstractNum>
  <w:abstractNum w:abstractNumId="2" w15:restartNumberingAfterBreak="0">
    <w:nsid w:val="0F555074"/>
    <w:multiLevelType w:val="hybridMultilevel"/>
    <w:tmpl w:val="33DC0FD0"/>
    <w:lvl w:ilvl="0" w:tplc="33885FF8">
      <w:start w:val="1"/>
      <w:numFmt w:val="upperLetter"/>
      <w:lvlText w:val="%1)"/>
      <w:lvlJc w:val="left"/>
      <w:pPr>
        <w:ind w:left="2484" w:hanging="360"/>
      </w:pPr>
      <w:rPr>
        <w:rFonts w:hint="default"/>
      </w:rPr>
    </w:lvl>
    <w:lvl w:ilvl="1" w:tplc="241A0019" w:tentative="1">
      <w:start w:val="1"/>
      <w:numFmt w:val="lowerLetter"/>
      <w:lvlText w:val="%2."/>
      <w:lvlJc w:val="left"/>
      <w:pPr>
        <w:ind w:left="3204" w:hanging="360"/>
      </w:pPr>
    </w:lvl>
    <w:lvl w:ilvl="2" w:tplc="241A001B" w:tentative="1">
      <w:start w:val="1"/>
      <w:numFmt w:val="lowerRoman"/>
      <w:lvlText w:val="%3."/>
      <w:lvlJc w:val="right"/>
      <w:pPr>
        <w:ind w:left="3924" w:hanging="180"/>
      </w:pPr>
    </w:lvl>
    <w:lvl w:ilvl="3" w:tplc="241A000F" w:tentative="1">
      <w:start w:val="1"/>
      <w:numFmt w:val="decimal"/>
      <w:lvlText w:val="%4."/>
      <w:lvlJc w:val="left"/>
      <w:pPr>
        <w:ind w:left="4644" w:hanging="360"/>
      </w:pPr>
    </w:lvl>
    <w:lvl w:ilvl="4" w:tplc="241A0019" w:tentative="1">
      <w:start w:val="1"/>
      <w:numFmt w:val="lowerLetter"/>
      <w:lvlText w:val="%5."/>
      <w:lvlJc w:val="left"/>
      <w:pPr>
        <w:ind w:left="5364" w:hanging="360"/>
      </w:pPr>
    </w:lvl>
    <w:lvl w:ilvl="5" w:tplc="241A001B" w:tentative="1">
      <w:start w:val="1"/>
      <w:numFmt w:val="lowerRoman"/>
      <w:lvlText w:val="%6."/>
      <w:lvlJc w:val="right"/>
      <w:pPr>
        <w:ind w:left="6084" w:hanging="180"/>
      </w:pPr>
    </w:lvl>
    <w:lvl w:ilvl="6" w:tplc="241A000F" w:tentative="1">
      <w:start w:val="1"/>
      <w:numFmt w:val="decimal"/>
      <w:lvlText w:val="%7."/>
      <w:lvlJc w:val="left"/>
      <w:pPr>
        <w:ind w:left="6804" w:hanging="360"/>
      </w:pPr>
    </w:lvl>
    <w:lvl w:ilvl="7" w:tplc="241A0019" w:tentative="1">
      <w:start w:val="1"/>
      <w:numFmt w:val="lowerLetter"/>
      <w:lvlText w:val="%8."/>
      <w:lvlJc w:val="left"/>
      <w:pPr>
        <w:ind w:left="7524" w:hanging="360"/>
      </w:pPr>
    </w:lvl>
    <w:lvl w:ilvl="8" w:tplc="241A001B" w:tentative="1">
      <w:start w:val="1"/>
      <w:numFmt w:val="lowerRoman"/>
      <w:lvlText w:val="%9."/>
      <w:lvlJc w:val="right"/>
      <w:pPr>
        <w:ind w:left="8244" w:hanging="180"/>
      </w:pPr>
    </w:lvl>
  </w:abstractNum>
  <w:abstractNum w:abstractNumId="3" w15:restartNumberingAfterBreak="0">
    <w:nsid w:val="10967EA7"/>
    <w:multiLevelType w:val="hybridMultilevel"/>
    <w:tmpl w:val="0AF49E50"/>
    <w:lvl w:ilvl="0" w:tplc="241A000F">
      <w:start w:val="1"/>
      <w:numFmt w:val="decimal"/>
      <w:lvlText w:val="%1."/>
      <w:lvlJc w:val="left"/>
      <w:pPr>
        <w:ind w:left="720" w:hanging="360"/>
      </w:pPr>
      <w:rPr>
        <w:rFonts w:hint="default"/>
      </w:rPr>
    </w:lvl>
    <w:lvl w:ilvl="1" w:tplc="241A0019">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4" w15:restartNumberingAfterBreak="0">
    <w:nsid w:val="1279716C"/>
    <w:multiLevelType w:val="hybridMultilevel"/>
    <w:tmpl w:val="9DFEC7FA"/>
    <w:lvl w:ilvl="0" w:tplc="D8D8742E">
      <w:start w:val="1"/>
      <w:numFmt w:val="decimal"/>
      <w:lvlText w:val="%1."/>
      <w:lvlJc w:val="left"/>
      <w:pPr>
        <w:ind w:left="1068" w:hanging="360"/>
      </w:pPr>
      <w:rPr>
        <w:rFonts w:hint="default"/>
      </w:rPr>
    </w:lvl>
    <w:lvl w:ilvl="1" w:tplc="241A0019">
      <w:start w:val="1"/>
      <w:numFmt w:val="lowerLetter"/>
      <w:lvlText w:val="%2."/>
      <w:lvlJc w:val="left"/>
      <w:pPr>
        <w:ind w:left="1788" w:hanging="360"/>
      </w:pPr>
    </w:lvl>
    <w:lvl w:ilvl="2" w:tplc="241A001B" w:tentative="1">
      <w:start w:val="1"/>
      <w:numFmt w:val="lowerRoman"/>
      <w:lvlText w:val="%3."/>
      <w:lvlJc w:val="right"/>
      <w:pPr>
        <w:ind w:left="2508" w:hanging="180"/>
      </w:pPr>
    </w:lvl>
    <w:lvl w:ilvl="3" w:tplc="241A000F" w:tentative="1">
      <w:start w:val="1"/>
      <w:numFmt w:val="decimal"/>
      <w:lvlText w:val="%4."/>
      <w:lvlJc w:val="left"/>
      <w:pPr>
        <w:ind w:left="3228" w:hanging="360"/>
      </w:pPr>
    </w:lvl>
    <w:lvl w:ilvl="4" w:tplc="241A0019" w:tentative="1">
      <w:start w:val="1"/>
      <w:numFmt w:val="lowerLetter"/>
      <w:lvlText w:val="%5."/>
      <w:lvlJc w:val="left"/>
      <w:pPr>
        <w:ind w:left="3948" w:hanging="360"/>
      </w:pPr>
    </w:lvl>
    <w:lvl w:ilvl="5" w:tplc="241A001B" w:tentative="1">
      <w:start w:val="1"/>
      <w:numFmt w:val="lowerRoman"/>
      <w:lvlText w:val="%6."/>
      <w:lvlJc w:val="right"/>
      <w:pPr>
        <w:ind w:left="4668" w:hanging="180"/>
      </w:pPr>
    </w:lvl>
    <w:lvl w:ilvl="6" w:tplc="241A000F" w:tentative="1">
      <w:start w:val="1"/>
      <w:numFmt w:val="decimal"/>
      <w:lvlText w:val="%7."/>
      <w:lvlJc w:val="left"/>
      <w:pPr>
        <w:ind w:left="5388" w:hanging="360"/>
      </w:pPr>
    </w:lvl>
    <w:lvl w:ilvl="7" w:tplc="241A0019" w:tentative="1">
      <w:start w:val="1"/>
      <w:numFmt w:val="lowerLetter"/>
      <w:lvlText w:val="%8."/>
      <w:lvlJc w:val="left"/>
      <w:pPr>
        <w:ind w:left="6108" w:hanging="360"/>
      </w:pPr>
    </w:lvl>
    <w:lvl w:ilvl="8" w:tplc="241A001B" w:tentative="1">
      <w:start w:val="1"/>
      <w:numFmt w:val="lowerRoman"/>
      <w:lvlText w:val="%9."/>
      <w:lvlJc w:val="right"/>
      <w:pPr>
        <w:ind w:left="6828" w:hanging="180"/>
      </w:pPr>
    </w:lvl>
  </w:abstractNum>
  <w:abstractNum w:abstractNumId="5" w15:restartNumberingAfterBreak="0">
    <w:nsid w:val="154D5B7E"/>
    <w:multiLevelType w:val="hybridMultilevel"/>
    <w:tmpl w:val="4F8AE6A6"/>
    <w:lvl w:ilvl="0" w:tplc="241A0001">
      <w:start w:val="1"/>
      <w:numFmt w:val="bullet"/>
      <w:lvlText w:val=""/>
      <w:lvlJc w:val="left"/>
      <w:pPr>
        <w:ind w:left="1788" w:hanging="360"/>
      </w:pPr>
      <w:rPr>
        <w:rFonts w:ascii="Symbol" w:hAnsi="Symbol" w:hint="default"/>
      </w:rPr>
    </w:lvl>
    <w:lvl w:ilvl="1" w:tplc="241A0003" w:tentative="1">
      <w:start w:val="1"/>
      <w:numFmt w:val="bullet"/>
      <w:lvlText w:val="o"/>
      <w:lvlJc w:val="left"/>
      <w:pPr>
        <w:ind w:left="2508" w:hanging="360"/>
      </w:pPr>
      <w:rPr>
        <w:rFonts w:ascii="Courier New" w:hAnsi="Courier New" w:cs="Courier New" w:hint="default"/>
      </w:rPr>
    </w:lvl>
    <w:lvl w:ilvl="2" w:tplc="241A0005" w:tentative="1">
      <w:start w:val="1"/>
      <w:numFmt w:val="bullet"/>
      <w:lvlText w:val=""/>
      <w:lvlJc w:val="left"/>
      <w:pPr>
        <w:ind w:left="3228" w:hanging="360"/>
      </w:pPr>
      <w:rPr>
        <w:rFonts w:ascii="Wingdings" w:hAnsi="Wingdings" w:hint="default"/>
      </w:rPr>
    </w:lvl>
    <w:lvl w:ilvl="3" w:tplc="241A0001" w:tentative="1">
      <w:start w:val="1"/>
      <w:numFmt w:val="bullet"/>
      <w:lvlText w:val=""/>
      <w:lvlJc w:val="left"/>
      <w:pPr>
        <w:ind w:left="3948" w:hanging="360"/>
      </w:pPr>
      <w:rPr>
        <w:rFonts w:ascii="Symbol" w:hAnsi="Symbol" w:hint="default"/>
      </w:rPr>
    </w:lvl>
    <w:lvl w:ilvl="4" w:tplc="241A0003" w:tentative="1">
      <w:start w:val="1"/>
      <w:numFmt w:val="bullet"/>
      <w:lvlText w:val="o"/>
      <w:lvlJc w:val="left"/>
      <w:pPr>
        <w:ind w:left="4668" w:hanging="360"/>
      </w:pPr>
      <w:rPr>
        <w:rFonts w:ascii="Courier New" w:hAnsi="Courier New" w:cs="Courier New" w:hint="default"/>
      </w:rPr>
    </w:lvl>
    <w:lvl w:ilvl="5" w:tplc="241A0005" w:tentative="1">
      <w:start w:val="1"/>
      <w:numFmt w:val="bullet"/>
      <w:lvlText w:val=""/>
      <w:lvlJc w:val="left"/>
      <w:pPr>
        <w:ind w:left="5388" w:hanging="360"/>
      </w:pPr>
      <w:rPr>
        <w:rFonts w:ascii="Wingdings" w:hAnsi="Wingdings" w:hint="default"/>
      </w:rPr>
    </w:lvl>
    <w:lvl w:ilvl="6" w:tplc="241A0001" w:tentative="1">
      <w:start w:val="1"/>
      <w:numFmt w:val="bullet"/>
      <w:lvlText w:val=""/>
      <w:lvlJc w:val="left"/>
      <w:pPr>
        <w:ind w:left="6108" w:hanging="360"/>
      </w:pPr>
      <w:rPr>
        <w:rFonts w:ascii="Symbol" w:hAnsi="Symbol" w:hint="default"/>
      </w:rPr>
    </w:lvl>
    <w:lvl w:ilvl="7" w:tplc="241A0003" w:tentative="1">
      <w:start w:val="1"/>
      <w:numFmt w:val="bullet"/>
      <w:lvlText w:val="o"/>
      <w:lvlJc w:val="left"/>
      <w:pPr>
        <w:ind w:left="6828" w:hanging="360"/>
      </w:pPr>
      <w:rPr>
        <w:rFonts w:ascii="Courier New" w:hAnsi="Courier New" w:cs="Courier New" w:hint="default"/>
      </w:rPr>
    </w:lvl>
    <w:lvl w:ilvl="8" w:tplc="241A0005" w:tentative="1">
      <w:start w:val="1"/>
      <w:numFmt w:val="bullet"/>
      <w:lvlText w:val=""/>
      <w:lvlJc w:val="left"/>
      <w:pPr>
        <w:ind w:left="7548" w:hanging="360"/>
      </w:pPr>
      <w:rPr>
        <w:rFonts w:ascii="Wingdings" w:hAnsi="Wingdings" w:hint="default"/>
      </w:rPr>
    </w:lvl>
  </w:abstractNum>
  <w:abstractNum w:abstractNumId="6" w15:restartNumberingAfterBreak="0">
    <w:nsid w:val="1A0B580E"/>
    <w:multiLevelType w:val="hybridMultilevel"/>
    <w:tmpl w:val="8FBCB2A6"/>
    <w:lvl w:ilvl="0" w:tplc="241A0001">
      <w:start w:val="1"/>
      <w:numFmt w:val="bullet"/>
      <w:lvlText w:val=""/>
      <w:lvlJc w:val="left"/>
      <w:pPr>
        <w:ind w:left="2136" w:hanging="360"/>
      </w:pPr>
      <w:rPr>
        <w:rFonts w:ascii="Symbol" w:hAnsi="Symbol" w:hint="default"/>
      </w:rPr>
    </w:lvl>
    <w:lvl w:ilvl="1" w:tplc="241A0003" w:tentative="1">
      <w:start w:val="1"/>
      <w:numFmt w:val="bullet"/>
      <w:lvlText w:val="o"/>
      <w:lvlJc w:val="left"/>
      <w:pPr>
        <w:ind w:left="2856" w:hanging="360"/>
      </w:pPr>
      <w:rPr>
        <w:rFonts w:ascii="Courier New" w:hAnsi="Courier New" w:cs="Courier New" w:hint="default"/>
      </w:rPr>
    </w:lvl>
    <w:lvl w:ilvl="2" w:tplc="241A0005" w:tentative="1">
      <w:start w:val="1"/>
      <w:numFmt w:val="bullet"/>
      <w:lvlText w:val=""/>
      <w:lvlJc w:val="left"/>
      <w:pPr>
        <w:ind w:left="3576" w:hanging="360"/>
      </w:pPr>
      <w:rPr>
        <w:rFonts w:ascii="Wingdings" w:hAnsi="Wingdings" w:hint="default"/>
      </w:rPr>
    </w:lvl>
    <w:lvl w:ilvl="3" w:tplc="241A0001" w:tentative="1">
      <w:start w:val="1"/>
      <w:numFmt w:val="bullet"/>
      <w:lvlText w:val=""/>
      <w:lvlJc w:val="left"/>
      <w:pPr>
        <w:ind w:left="4296" w:hanging="360"/>
      </w:pPr>
      <w:rPr>
        <w:rFonts w:ascii="Symbol" w:hAnsi="Symbol" w:hint="default"/>
      </w:rPr>
    </w:lvl>
    <w:lvl w:ilvl="4" w:tplc="241A0003" w:tentative="1">
      <w:start w:val="1"/>
      <w:numFmt w:val="bullet"/>
      <w:lvlText w:val="o"/>
      <w:lvlJc w:val="left"/>
      <w:pPr>
        <w:ind w:left="5016" w:hanging="360"/>
      </w:pPr>
      <w:rPr>
        <w:rFonts w:ascii="Courier New" w:hAnsi="Courier New" w:cs="Courier New" w:hint="default"/>
      </w:rPr>
    </w:lvl>
    <w:lvl w:ilvl="5" w:tplc="241A0005" w:tentative="1">
      <w:start w:val="1"/>
      <w:numFmt w:val="bullet"/>
      <w:lvlText w:val=""/>
      <w:lvlJc w:val="left"/>
      <w:pPr>
        <w:ind w:left="5736" w:hanging="360"/>
      </w:pPr>
      <w:rPr>
        <w:rFonts w:ascii="Wingdings" w:hAnsi="Wingdings" w:hint="default"/>
      </w:rPr>
    </w:lvl>
    <w:lvl w:ilvl="6" w:tplc="241A0001" w:tentative="1">
      <w:start w:val="1"/>
      <w:numFmt w:val="bullet"/>
      <w:lvlText w:val=""/>
      <w:lvlJc w:val="left"/>
      <w:pPr>
        <w:ind w:left="6456" w:hanging="360"/>
      </w:pPr>
      <w:rPr>
        <w:rFonts w:ascii="Symbol" w:hAnsi="Symbol" w:hint="default"/>
      </w:rPr>
    </w:lvl>
    <w:lvl w:ilvl="7" w:tplc="241A0003" w:tentative="1">
      <w:start w:val="1"/>
      <w:numFmt w:val="bullet"/>
      <w:lvlText w:val="o"/>
      <w:lvlJc w:val="left"/>
      <w:pPr>
        <w:ind w:left="7176" w:hanging="360"/>
      </w:pPr>
      <w:rPr>
        <w:rFonts w:ascii="Courier New" w:hAnsi="Courier New" w:cs="Courier New" w:hint="default"/>
      </w:rPr>
    </w:lvl>
    <w:lvl w:ilvl="8" w:tplc="241A0005" w:tentative="1">
      <w:start w:val="1"/>
      <w:numFmt w:val="bullet"/>
      <w:lvlText w:val=""/>
      <w:lvlJc w:val="left"/>
      <w:pPr>
        <w:ind w:left="7896" w:hanging="360"/>
      </w:pPr>
      <w:rPr>
        <w:rFonts w:ascii="Wingdings" w:hAnsi="Wingdings" w:hint="default"/>
      </w:rPr>
    </w:lvl>
  </w:abstractNum>
  <w:abstractNum w:abstractNumId="7" w15:restartNumberingAfterBreak="0">
    <w:nsid w:val="1BDA3D12"/>
    <w:multiLevelType w:val="hybridMultilevel"/>
    <w:tmpl w:val="73F27A44"/>
    <w:lvl w:ilvl="0" w:tplc="241A0017">
      <w:start w:val="1"/>
      <w:numFmt w:val="lowerLetter"/>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8" w15:restartNumberingAfterBreak="0">
    <w:nsid w:val="21381A2B"/>
    <w:multiLevelType w:val="hybridMultilevel"/>
    <w:tmpl w:val="4732B0E6"/>
    <w:lvl w:ilvl="0" w:tplc="189219E8">
      <w:start w:val="1"/>
      <w:numFmt w:val="upperLetter"/>
      <w:lvlText w:val="%1)"/>
      <w:lvlJc w:val="left"/>
      <w:pPr>
        <w:ind w:left="1776" w:hanging="360"/>
      </w:pPr>
      <w:rPr>
        <w:rFonts w:hint="default"/>
        <w:sz w:val="22"/>
        <w:szCs w:val="22"/>
      </w:rPr>
    </w:lvl>
    <w:lvl w:ilvl="1" w:tplc="241A0019" w:tentative="1">
      <w:start w:val="1"/>
      <w:numFmt w:val="lowerLetter"/>
      <w:lvlText w:val="%2."/>
      <w:lvlJc w:val="left"/>
      <w:pPr>
        <w:ind w:left="2496" w:hanging="360"/>
      </w:pPr>
    </w:lvl>
    <w:lvl w:ilvl="2" w:tplc="241A001B" w:tentative="1">
      <w:start w:val="1"/>
      <w:numFmt w:val="lowerRoman"/>
      <w:lvlText w:val="%3."/>
      <w:lvlJc w:val="right"/>
      <w:pPr>
        <w:ind w:left="3216" w:hanging="180"/>
      </w:pPr>
    </w:lvl>
    <w:lvl w:ilvl="3" w:tplc="241A000F" w:tentative="1">
      <w:start w:val="1"/>
      <w:numFmt w:val="decimal"/>
      <w:lvlText w:val="%4."/>
      <w:lvlJc w:val="left"/>
      <w:pPr>
        <w:ind w:left="3936" w:hanging="360"/>
      </w:pPr>
    </w:lvl>
    <w:lvl w:ilvl="4" w:tplc="241A0019" w:tentative="1">
      <w:start w:val="1"/>
      <w:numFmt w:val="lowerLetter"/>
      <w:lvlText w:val="%5."/>
      <w:lvlJc w:val="left"/>
      <w:pPr>
        <w:ind w:left="4656" w:hanging="360"/>
      </w:pPr>
    </w:lvl>
    <w:lvl w:ilvl="5" w:tplc="241A001B" w:tentative="1">
      <w:start w:val="1"/>
      <w:numFmt w:val="lowerRoman"/>
      <w:lvlText w:val="%6."/>
      <w:lvlJc w:val="right"/>
      <w:pPr>
        <w:ind w:left="5376" w:hanging="180"/>
      </w:pPr>
    </w:lvl>
    <w:lvl w:ilvl="6" w:tplc="241A000F" w:tentative="1">
      <w:start w:val="1"/>
      <w:numFmt w:val="decimal"/>
      <w:lvlText w:val="%7."/>
      <w:lvlJc w:val="left"/>
      <w:pPr>
        <w:ind w:left="6096" w:hanging="360"/>
      </w:pPr>
    </w:lvl>
    <w:lvl w:ilvl="7" w:tplc="241A0019" w:tentative="1">
      <w:start w:val="1"/>
      <w:numFmt w:val="lowerLetter"/>
      <w:lvlText w:val="%8."/>
      <w:lvlJc w:val="left"/>
      <w:pPr>
        <w:ind w:left="6816" w:hanging="360"/>
      </w:pPr>
    </w:lvl>
    <w:lvl w:ilvl="8" w:tplc="241A001B" w:tentative="1">
      <w:start w:val="1"/>
      <w:numFmt w:val="lowerRoman"/>
      <w:lvlText w:val="%9."/>
      <w:lvlJc w:val="right"/>
      <w:pPr>
        <w:ind w:left="7536" w:hanging="180"/>
      </w:pPr>
    </w:lvl>
  </w:abstractNum>
  <w:abstractNum w:abstractNumId="9" w15:restartNumberingAfterBreak="0">
    <w:nsid w:val="24AE591F"/>
    <w:multiLevelType w:val="multilevel"/>
    <w:tmpl w:val="F000D28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color w:val="000000" w:themeColor="text1"/>
      </w:rPr>
    </w:lvl>
    <w:lvl w:ilvl="2">
      <w:start w:val="1"/>
      <w:numFmt w:val="bullet"/>
      <w:lvlText w:val=""/>
      <w:lvlJc w:val="left"/>
      <w:pPr>
        <w:tabs>
          <w:tab w:val="num" w:pos="2160"/>
        </w:tabs>
        <w:ind w:left="2160" w:hanging="360"/>
      </w:pPr>
      <w:rPr>
        <w:rFonts w:ascii="Symbol" w:hAnsi="Symbol" w:hint="default"/>
        <w:sz w:val="20"/>
      </w:rPr>
    </w:lvl>
    <w:lvl w:ilvl="3">
      <w:start w:val="1"/>
      <w:numFmt w:val="lowerLetter"/>
      <w:lvlText w:val="%4)"/>
      <w:lvlJc w:val="left"/>
      <w:pPr>
        <w:ind w:left="2880" w:hanging="360"/>
      </w:pPr>
      <w:rPr>
        <w:rFonts w:hint="default"/>
      </w:rPr>
    </w:lvl>
    <w:lvl w:ilvl="4">
      <w:start w:val="1"/>
      <w:numFmt w:val="upperLetter"/>
      <w:lvlText w:val="%5)"/>
      <w:lvlJc w:val="left"/>
      <w:pPr>
        <w:ind w:left="3600" w:hanging="360"/>
      </w:pPr>
      <w:rPr>
        <w:rFonts w:hint="default"/>
      </w:rPr>
    </w:lvl>
    <w:lvl w:ilvl="5">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BA62794"/>
    <w:multiLevelType w:val="hybridMultilevel"/>
    <w:tmpl w:val="56E03558"/>
    <w:lvl w:ilvl="0" w:tplc="72C67C1A">
      <w:start w:val="1"/>
      <w:numFmt w:val="upperLetter"/>
      <w:lvlText w:val="%1)"/>
      <w:lvlJc w:val="left"/>
      <w:pPr>
        <w:ind w:left="3192" w:hanging="360"/>
      </w:pPr>
      <w:rPr>
        <w:rFonts w:hint="default"/>
      </w:rPr>
    </w:lvl>
    <w:lvl w:ilvl="1" w:tplc="241A0019" w:tentative="1">
      <w:start w:val="1"/>
      <w:numFmt w:val="lowerLetter"/>
      <w:lvlText w:val="%2."/>
      <w:lvlJc w:val="left"/>
      <w:pPr>
        <w:ind w:left="3912" w:hanging="360"/>
      </w:pPr>
    </w:lvl>
    <w:lvl w:ilvl="2" w:tplc="241A001B" w:tentative="1">
      <w:start w:val="1"/>
      <w:numFmt w:val="lowerRoman"/>
      <w:lvlText w:val="%3."/>
      <w:lvlJc w:val="right"/>
      <w:pPr>
        <w:ind w:left="4632" w:hanging="180"/>
      </w:pPr>
    </w:lvl>
    <w:lvl w:ilvl="3" w:tplc="241A000F" w:tentative="1">
      <w:start w:val="1"/>
      <w:numFmt w:val="decimal"/>
      <w:lvlText w:val="%4."/>
      <w:lvlJc w:val="left"/>
      <w:pPr>
        <w:ind w:left="5352" w:hanging="360"/>
      </w:pPr>
    </w:lvl>
    <w:lvl w:ilvl="4" w:tplc="241A0019" w:tentative="1">
      <w:start w:val="1"/>
      <w:numFmt w:val="lowerLetter"/>
      <w:lvlText w:val="%5."/>
      <w:lvlJc w:val="left"/>
      <w:pPr>
        <w:ind w:left="6072" w:hanging="360"/>
      </w:pPr>
    </w:lvl>
    <w:lvl w:ilvl="5" w:tplc="241A001B" w:tentative="1">
      <w:start w:val="1"/>
      <w:numFmt w:val="lowerRoman"/>
      <w:lvlText w:val="%6."/>
      <w:lvlJc w:val="right"/>
      <w:pPr>
        <w:ind w:left="6792" w:hanging="180"/>
      </w:pPr>
    </w:lvl>
    <w:lvl w:ilvl="6" w:tplc="241A000F" w:tentative="1">
      <w:start w:val="1"/>
      <w:numFmt w:val="decimal"/>
      <w:lvlText w:val="%7."/>
      <w:lvlJc w:val="left"/>
      <w:pPr>
        <w:ind w:left="7512" w:hanging="360"/>
      </w:pPr>
    </w:lvl>
    <w:lvl w:ilvl="7" w:tplc="241A0019" w:tentative="1">
      <w:start w:val="1"/>
      <w:numFmt w:val="lowerLetter"/>
      <w:lvlText w:val="%8."/>
      <w:lvlJc w:val="left"/>
      <w:pPr>
        <w:ind w:left="8232" w:hanging="360"/>
      </w:pPr>
    </w:lvl>
    <w:lvl w:ilvl="8" w:tplc="241A001B" w:tentative="1">
      <w:start w:val="1"/>
      <w:numFmt w:val="lowerRoman"/>
      <w:lvlText w:val="%9."/>
      <w:lvlJc w:val="right"/>
      <w:pPr>
        <w:ind w:left="8952" w:hanging="180"/>
      </w:pPr>
    </w:lvl>
  </w:abstractNum>
  <w:abstractNum w:abstractNumId="11" w15:restartNumberingAfterBreak="0">
    <w:nsid w:val="42E91680"/>
    <w:multiLevelType w:val="hybridMultilevel"/>
    <w:tmpl w:val="64D01390"/>
    <w:lvl w:ilvl="0" w:tplc="241A000F">
      <w:start w:val="1"/>
      <w:numFmt w:val="decimal"/>
      <w:lvlText w:val="%1."/>
      <w:lvlJc w:val="left"/>
      <w:pPr>
        <w:ind w:left="1776" w:hanging="360"/>
      </w:pPr>
    </w:lvl>
    <w:lvl w:ilvl="1" w:tplc="241A0019" w:tentative="1">
      <w:start w:val="1"/>
      <w:numFmt w:val="lowerLetter"/>
      <w:lvlText w:val="%2."/>
      <w:lvlJc w:val="left"/>
      <w:pPr>
        <w:ind w:left="2496" w:hanging="360"/>
      </w:pPr>
    </w:lvl>
    <w:lvl w:ilvl="2" w:tplc="241A001B" w:tentative="1">
      <w:start w:val="1"/>
      <w:numFmt w:val="lowerRoman"/>
      <w:lvlText w:val="%3."/>
      <w:lvlJc w:val="right"/>
      <w:pPr>
        <w:ind w:left="3216" w:hanging="180"/>
      </w:pPr>
    </w:lvl>
    <w:lvl w:ilvl="3" w:tplc="241A000F" w:tentative="1">
      <w:start w:val="1"/>
      <w:numFmt w:val="decimal"/>
      <w:lvlText w:val="%4."/>
      <w:lvlJc w:val="left"/>
      <w:pPr>
        <w:ind w:left="3936" w:hanging="360"/>
      </w:pPr>
    </w:lvl>
    <w:lvl w:ilvl="4" w:tplc="241A0019" w:tentative="1">
      <w:start w:val="1"/>
      <w:numFmt w:val="lowerLetter"/>
      <w:lvlText w:val="%5."/>
      <w:lvlJc w:val="left"/>
      <w:pPr>
        <w:ind w:left="4656" w:hanging="360"/>
      </w:pPr>
    </w:lvl>
    <w:lvl w:ilvl="5" w:tplc="241A001B" w:tentative="1">
      <w:start w:val="1"/>
      <w:numFmt w:val="lowerRoman"/>
      <w:lvlText w:val="%6."/>
      <w:lvlJc w:val="right"/>
      <w:pPr>
        <w:ind w:left="5376" w:hanging="180"/>
      </w:pPr>
    </w:lvl>
    <w:lvl w:ilvl="6" w:tplc="241A000F" w:tentative="1">
      <w:start w:val="1"/>
      <w:numFmt w:val="decimal"/>
      <w:lvlText w:val="%7."/>
      <w:lvlJc w:val="left"/>
      <w:pPr>
        <w:ind w:left="6096" w:hanging="360"/>
      </w:pPr>
    </w:lvl>
    <w:lvl w:ilvl="7" w:tplc="241A0019" w:tentative="1">
      <w:start w:val="1"/>
      <w:numFmt w:val="lowerLetter"/>
      <w:lvlText w:val="%8."/>
      <w:lvlJc w:val="left"/>
      <w:pPr>
        <w:ind w:left="6816" w:hanging="360"/>
      </w:pPr>
    </w:lvl>
    <w:lvl w:ilvl="8" w:tplc="241A001B" w:tentative="1">
      <w:start w:val="1"/>
      <w:numFmt w:val="lowerRoman"/>
      <w:lvlText w:val="%9."/>
      <w:lvlJc w:val="right"/>
      <w:pPr>
        <w:ind w:left="7536" w:hanging="180"/>
      </w:pPr>
    </w:lvl>
  </w:abstractNum>
  <w:abstractNum w:abstractNumId="12" w15:restartNumberingAfterBreak="0">
    <w:nsid w:val="44774FC1"/>
    <w:multiLevelType w:val="hybridMultilevel"/>
    <w:tmpl w:val="D8B64ABC"/>
    <w:lvl w:ilvl="0" w:tplc="241A000F">
      <w:start w:val="1"/>
      <w:numFmt w:val="decimal"/>
      <w:lvlText w:val="%1."/>
      <w:lvlJc w:val="left"/>
      <w:pPr>
        <w:ind w:left="1428" w:hanging="360"/>
      </w:pPr>
    </w:lvl>
    <w:lvl w:ilvl="1" w:tplc="241A0019" w:tentative="1">
      <w:start w:val="1"/>
      <w:numFmt w:val="lowerLetter"/>
      <w:lvlText w:val="%2."/>
      <w:lvlJc w:val="left"/>
      <w:pPr>
        <w:ind w:left="2148" w:hanging="360"/>
      </w:pPr>
    </w:lvl>
    <w:lvl w:ilvl="2" w:tplc="241A001B" w:tentative="1">
      <w:start w:val="1"/>
      <w:numFmt w:val="lowerRoman"/>
      <w:lvlText w:val="%3."/>
      <w:lvlJc w:val="right"/>
      <w:pPr>
        <w:ind w:left="2868" w:hanging="180"/>
      </w:pPr>
    </w:lvl>
    <w:lvl w:ilvl="3" w:tplc="241A000F" w:tentative="1">
      <w:start w:val="1"/>
      <w:numFmt w:val="decimal"/>
      <w:lvlText w:val="%4."/>
      <w:lvlJc w:val="left"/>
      <w:pPr>
        <w:ind w:left="3588" w:hanging="360"/>
      </w:pPr>
    </w:lvl>
    <w:lvl w:ilvl="4" w:tplc="241A0019" w:tentative="1">
      <w:start w:val="1"/>
      <w:numFmt w:val="lowerLetter"/>
      <w:lvlText w:val="%5."/>
      <w:lvlJc w:val="left"/>
      <w:pPr>
        <w:ind w:left="4308" w:hanging="360"/>
      </w:pPr>
    </w:lvl>
    <w:lvl w:ilvl="5" w:tplc="241A001B" w:tentative="1">
      <w:start w:val="1"/>
      <w:numFmt w:val="lowerRoman"/>
      <w:lvlText w:val="%6."/>
      <w:lvlJc w:val="right"/>
      <w:pPr>
        <w:ind w:left="5028" w:hanging="180"/>
      </w:pPr>
    </w:lvl>
    <w:lvl w:ilvl="6" w:tplc="241A000F" w:tentative="1">
      <w:start w:val="1"/>
      <w:numFmt w:val="decimal"/>
      <w:lvlText w:val="%7."/>
      <w:lvlJc w:val="left"/>
      <w:pPr>
        <w:ind w:left="5748" w:hanging="360"/>
      </w:pPr>
    </w:lvl>
    <w:lvl w:ilvl="7" w:tplc="241A0019" w:tentative="1">
      <w:start w:val="1"/>
      <w:numFmt w:val="lowerLetter"/>
      <w:lvlText w:val="%8."/>
      <w:lvlJc w:val="left"/>
      <w:pPr>
        <w:ind w:left="6468" w:hanging="360"/>
      </w:pPr>
    </w:lvl>
    <w:lvl w:ilvl="8" w:tplc="241A001B" w:tentative="1">
      <w:start w:val="1"/>
      <w:numFmt w:val="lowerRoman"/>
      <w:lvlText w:val="%9."/>
      <w:lvlJc w:val="right"/>
      <w:pPr>
        <w:ind w:left="7188" w:hanging="180"/>
      </w:pPr>
    </w:lvl>
  </w:abstractNum>
  <w:abstractNum w:abstractNumId="13" w15:restartNumberingAfterBreak="0">
    <w:nsid w:val="660F1D0F"/>
    <w:multiLevelType w:val="hybridMultilevel"/>
    <w:tmpl w:val="EDCC3572"/>
    <w:lvl w:ilvl="0" w:tplc="241A0001">
      <w:start w:val="1"/>
      <w:numFmt w:val="bullet"/>
      <w:lvlText w:val=""/>
      <w:lvlJc w:val="left"/>
      <w:pPr>
        <w:ind w:left="1788" w:hanging="360"/>
      </w:pPr>
      <w:rPr>
        <w:rFonts w:ascii="Symbol" w:hAnsi="Symbol" w:hint="default"/>
      </w:rPr>
    </w:lvl>
    <w:lvl w:ilvl="1" w:tplc="241A0003" w:tentative="1">
      <w:start w:val="1"/>
      <w:numFmt w:val="bullet"/>
      <w:lvlText w:val="o"/>
      <w:lvlJc w:val="left"/>
      <w:pPr>
        <w:ind w:left="2508" w:hanging="360"/>
      </w:pPr>
      <w:rPr>
        <w:rFonts w:ascii="Courier New" w:hAnsi="Courier New" w:cs="Courier New" w:hint="default"/>
      </w:rPr>
    </w:lvl>
    <w:lvl w:ilvl="2" w:tplc="241A0005" w:tentative="1">
      <w:start w:val="1"/>
      <w:numFmt w:val="bullet"/>
      <w:lvlText w:val=""/>
      <w:lvlJc w:val="left"/>
      <w:pPr>
        <w:ind w:left="3228" w:hanging="360"/>
      </w:pPr>
      <w:rPr>
        <w:rFonts w:ascii="Wingdings" w:hAnsi="Wingdings" w:hint="default"/>
      </w:rPr>
    </w:lvl>
    <w:lvl w:ilvl="3" w:tplc="241A0001" w:tentative="1">
      <w:start w:val="1"/>
      <w:numFmt w:val="bullet"/>
      <w:lvlText w:val=""/>
      <w:lvlJc w:val="left"/>
      <w:pPr>
        <w:ind w:left="3948" w:hanging="360"/>
      </w:pPr>
      <w:rPr>
        <w:rFonts w:ascii="Symbol" w:hAnsi="Symbol" w:hint="default"/>
      </w:rPr>
    </w:lvl>
    <w:lvl w:ilvl="4" w:tplc="241A0003" w:tentative="1">
      <w:start w:val="1"/>
      <w:numFmt w:val="bullet"/>
      <w:lvlText w:val="o"/>
      <w:lvlJc w:val="left"/>
      <w:pPr>
        <w:ind w:left="4668" w:hanging="360"/>
      </w:pPr>
      <w:rPr>
        <w:rFonts w:ascii="Courier New" w:hAnsi="Courier New" w:cs="Courier New" w:hint="default"/>
      </w:rPr>
    </w:lvl>
    <w:lvl w:ilvl="5" w:tplc="241A0005" w:tentative="1">
      <w:start w:val="1"/>
      <w:numFmt w:val="bullet"/>
      <w:lvlText w:val=""/>
      <w:lvlJc w:val="left"/>
      <w:pPr>
        <w:ind w:left="5388" w:hanging="360"/>
      </w:pPr>
      <w:rPr>
        <w:rFonts w:ascii="Wingdings" w:hAnsi="Wingdings" w:hint="default"/>
      </w:rPr>
    </w:lvl>
    <w:lvl w:ilvl="6" w:tplc="241A0001" w:tentative="1">
      <w:start w:val="1"/>
      <w:numFmt w:val="bullet"/>
      <w:lvlText w:val=""/>
      <w:lvlJc w:val="left"/>
      <w:pPr>
        <w:ind w:left="6108" w:hanging="360"/>
      </w:pPr>
      <w:rPr>
        <w:rFonts w:ascii="Symbol" w:hAnsi="Symbol" w:hint="default"/>
      </w:rPr>
    </w:lvl>
    <w:lvl w:ilvl="7" w:tplc="241A0003" w:tentative="1">
      <w:start w:val="1"/>
      <w:numFmt w:val="bullet"/>
      <w:lvlText w:val="o"/>
      <w:lvlJc w:val="left"/>
      <w:pPr>
        <w:ind w:left="6828" w:hanging="360"/>
      </w:pPr>
      <w:rPr>
        <w:rFonts w:ascii="Courier New" w:hAnsi="Courier New" w:cs="Courier New" w:hint="default"/>
      </w:rPr>
    </w:lvl>
    <w:lvl w:ilvl="8" w:tplc="241A0005" w:tentative="1">
      <w:start w:val="1"/>
      <w:numFmt w:val="bullet"/>
      <w:lvlText w:val=""/>
      <w:lvlJc w:val="left"/>
      <w:pPr>
        <w:ind w:left="7548" w:hanging="360"/>
      </w:pPr>
      <w:rPr>
        <w:rFonts w:ascii="Wingdings" w:hAnsi="Wingdings" w:hint="default"/>
      </w:rPr>
    </w:lvl>
  </w:abstractNum>
  <w:abstractNum w:abstractNumId="14" w15:restartNumberingAfterBreak="0">
    <w:nsid w:val="7602064A"/>
    <w:multiLevelType w:val="hybridMultilevel"/>
    <w:tmpl w:val="23221CA0"/>
    <w:lvl w:ilvl="0" w:tplc="241A000F">
      <w:start w:val="1"/>
      <w:numFmt w:val="decimal"/>
      <w:lvlText w:val="%1."/>
      <w:lvlJc w:val="left"/>
      <w:pPr>
        <w:ind w:left="1776" w:hanging="360"/>
      </w:pPr>
    </w:lvl>
    <w:lvl w:ilvl="1" w:tplc="241A0019" w:tentative="1">
      <w:start w:val="1"/>
      <w:numFmt w:val="lowerLetter"/>
      <w:lvlText w:val="%2."/>
      <w:lvlJc w:val="left"/>
      <w:pPr>
        <w:ind w:left="2496" w:hanging="360"/>
      </w:pPr>
    </w:lvl>
    <w:lvl w:ilvl="2" w:tplc="241A001B" w:tentative="1">
      <w:start w:val="1"/>
      <w:numFmt w:val="lowerRoman"/>
      <w:lvlText w:val="%3."/>
      <w:lvlJc w:val="right"/>
      <w:pPr>
        <w:ind w:left="3216" w:hanging="180"/>
      </w:pPr>
    </w:lvl>
    <w:lvl w:ilvl="3" w:tplc="241A000F" w:tentative="1">
      <w:start w:val="1"/>
      <w:numFmt w:val="decimal"/>
      <w:lvlText w:val="%4."/>
      <w:lvlJc w:val="left"/>
      <w:pPr>
        <w:ind w:left="3936" w:hanging="360"/>
      </w:pPr>
    </w:lvl>
    <w:lvl w:ilvl="4" w:tplc="241A0019" w:tentative="1">
      <w:start w:val="1"/>
      <w:numFmt w:val="lowerLetter"/>
      <w:lvlText w:val="%5."/>
      <w:lvlJc w:val="left"/>
      <w:pPr>
        <w:ind w:left="4656" w:hanging="360"/>
      </w:pPr>
    </w:lvl>
    <w:lvl w:ilvl="5" w:tplc="241A001B" w:tentative="1">
      <w:start w:val="1"/>
      <w:numFmt w:val="lowerRoman"/>
      <w:lvlText w:val="%6."/>
      <w:lvlJc w:val="right"/>
      <w:pPr>
        <w:ind w:left="5376" w:hanging="180"/>
      </w:pPr>
    </w:lvl>
    <w:lvl w:ilvl="6" w:tplc="241A000F" w:tentative="1">
      <w:start w:val="1"/>
      <w:numFmt w:val="decimal"/>
      <w:lvlText w:val="%7."/>
      <w:lvlJc w:val="left"/>
      <w:pPr>
        <w:ind w:left="6096" w:hanging="360"/>
      </w:pPr>
    </w:lvl>
    <w:lvl w:ilvl="7" w:tplc="241A0019" w:tentative="1">
      <w:start w:val="1"/>
      <w:numFmt w:val="lowerLetter"/>
      <w:lvlText w:val="%8."/>
      <w:lvlJc w:val="left"/>
      <w:pPr>
        <w:ind w:left="6816" w:hanging="360"/>
      </w:pPr>
    </w:lvl>
    <w:lvl w:ilvl="8" w:tplc="241A001B" w:tentative="1">
      <w:start w:val="1"/>
      <w:numFmt w:val="lowerRoman"/>
      <w:lvlText w:val="%9."/>
      <w:lvlJc w:val="right"/>
      <w:pPr>
        <w:ind w:left="7536" w:hanging="180"/>
      </w:pPr>
    </w:lvl>
  </w:abstractNum>
  <w:abstractNum w:abstractNumId="15" w15:restartNumberingAfterBreak="0">
    <w:nsid w:val="76F43B6D"/>
    <w:multiLevelType w:val="hybridMultilevel"/>
    <w:tmpl w:val="1BE0EAB2"/>
    <w:lvl w:ilvl="0" w:tplc="4906C2BC">
      <w:start w:val="1"/>
      <w:numFmt w:val="decimal"/>
      <w:lvlText w:val="%1."/>
      <w:lvlJc w:val="left"/>
      <w:pPr>
        <w:ind w:left="1428" w:hanging="360"/>
      </w:pPr>
      <w:rPr>
        <w:rFonts w:hint="default"/>
      </w:rPr>
    </w:lvl>
    <w:lvl w:ilvl="1" w:tplc="241A0019" w:tentative="1">
      <w:start w:val="1"/>
      <w:numFmt w:val="lowerLetter"/>
      <w:lvlText w:val="%2."/>
      <w:lvlJc w:val="left"/>
      <w:pPr>
        <w:ind w:left="2148" w:hanging="360"/>
      </w:pPr>
    </w:lvl>
    <w:lvl w:ilvl="2" w:tplc="241A001B" w:tentative="1">
      <w:start w:val="1"/>
      <w:numFmt w:val="lowerRoman"/>
      <w:lvlText w:val="%3."/>
      <w:lvlJc w:val="right"/>
      <w:pPr>
        <w:ind w:left="2868" w:hanging="180"/>
      </w:pPr>
    </w:lvl>
    <w:lvl w:ilvl="3" w:tplc="241A000F" w:tentative="1">
      <w:start w:val="1"/>
      <w:numFmt w:val="decimal"/>
      <w:lvlText w:val="%4."/>
      <w:lvlJc w:val="left"/>
      <w:pPr>
        <w:ind w:left="3588" w:hanging="360"/>
      </w:pPr>
    </w:lvl>
    <w:lvl w:ilvl="4" w:tplc="241A0019" w:tentative="1">
      <w:start w:val="1"/>
      <w:numFmt w:val="lowerLetter"/>
      <w:lvlText w:val="%5."/>
      <w:lvlJc w:val="left"/>
      <w:pPr>
        <w:ind w:left="4308" w:hanging="360"/>
      </w:pPr>
    </w:lvl>
    <w:lvl w:ilvl="5" w:tplc="241A001B" w:tentative="1">
      <w:start w:val="1"/>
      <w:numFmt w:val="lowerRoman"/>
      <w:lvlText w:val="%6."/>
      <w:lvlJc w:val="right"/>
      <w:pPr>
        <w:ind w:left="5028" w:hanging="180"/>
      </w:pPr>
    </w:lvl>
    <w:lvl w:ilvl="6" w:tplc="241A000F" w:tentative="1">
      <w:start w:val="1"/>
      <w:numFmt w:val="decimal"/>
      <w:lvlText w:val="%7."/>
      <w:lvlJc w:val="left"/>
      <w:pPr>
        <w:ind w:left="5748" w:hanging="360"/>
      </w:pPr>
    </w:lvl>
    <w:lvl w:ilvl="7" w:tplc="241A0019" w:tentative="1">
      <w:start w:val="1"/>
      <w:numFmt w:val="lowerLetter"/>
      <w:lvlText w:val="%8."/>
      <w:lvlJc w:val="left"/>
      <w:pPr>
        <w:ind w:left="6468" w:hanging="360"/>
      </w:pPr>
    </w:lvl>
    <w:lvl w:ilvl="8" w:tplc="241A001B" w:tentative="1">
      <w:start w:val="1"/>
      <w:numFmt w:val="lowerRoman"/>
      <w:lvlText w:val="%9."/>
      <w:lvlJc w:val="right"/>
      <w:pPr>
        <w:ind w:left="7188" w:hanging="180"/>
      </w:pPr>
    </w:lvl>
  </w:abstractNum>
  <w:abstractNum w:abstractNumId="16" w15:restartNumberingAfterBreak="0">
    <w:nsid w:val="7B4566D4"/>
    <w:multiLevelType w:val="hybridMultilevel"/>
    <w:tmpl w:val="2150789E"/>
    <w:lvl w:ilvl="0" w:tplc="241A000F">
      <w:start w:val="1"/>
      <w:numFmt w:val="decimal"/>
      <w:lvlText w:val="%1."/>
      <w:lvlJc w:val="left"/>
      <w:pPr>
        <w:ind w:left="1428" w:hanging="360"/>
      </w:pPr>
    </w:lvl>
    <w:lvl w:ilvl="1" w:tplc="241A0019" w:tentative="1">
      <w:start w:val="1"/>
      <w:numFmt w:val="lowerLetter"/>
      <w:lvlText w:val="%2."/>
      <w:lvlJc w:val="left"/>
      <w:pPr>
        <w:ind w:left="2148" w:hanging="360"/>
      </w:pPr>
    </w:lvl>
    <w:lvl w:ilvl="2" w:tplc="241A001B" w:tentative="1">
      <w:start w:val="1"/>
      <w:numFmt w:val="lowerRoman"/>
      <w:lvlText w:val="%3."/>
      <w:lvlJc w:val="right"/>
      <w:pPr>
        <w:ind w:left="2868" w:hanging="180"/>
      </w:pPr>
    </w:lvl>
    <w:lvl w:ilvl="3" w:tplc="241A000F" w:tentative="1">
      <w:start w:val="1"/>
      <w:numFmt w:val="decimal"/>
      <w:lvlText w:val="%4."/>
      <w:lvlJc w:val="left"/>
      <w:pPr>
        <w:ind w:left="3588" w:hanging="360"/>
      </w:pPr>
    </w:lvl>
    <w:lvl w:ilvl="4" w:tplc="241A0019" w:tentative="1">
      <w:start w:val="1"/>
      <w:numFmt w:val="lowerLetter"/>
      <w:lvlText w:val="%5."/>
      <w:lvlJc w:val="left"/>
      <w:pPr>
        <w:ind w:left="4308" w:hanging="360"/>
      </w:pPr>
    </w:lvl>
    <w:lvl w:ilvl="5" w:tplc="241A001B" w:tentative="1">
      <w:start w:val="1"/>
      <w:numFmt w:val="lowerRoman"/>
      <w:lvlText w:val="%6."/>
      <w:lvlJc w:val="right"/>
      <w:pPr>
        <w:ind w:left="5028" w:hanging="180"/>
      </w:pPr>
    </w:lvl>
    <w:lvl w:ilvl="6" w:tplc="241A000F" w:tentative="1">
      <w:start w:val="1"/>
      <w:numFmt w:val="decimal"/>
      <w:lvlText w:val="%7."/>
      <w:lvlJc w:val="left"/>
      <w:pPr>
        <w:ind w:left="5748" w:hanging="360"/>
      </w:pPr>
    </w:lvl>
    <w:lvl w:ilvl="7" w:tplc="241A0019" w:tentative="1">
      <w:start w:val="1"/>
      <w:numFmt w:val="lowerLetter"/>
      <w:lvlText w:val="%8."/>
      <w:lvlJc w:val="left"/>
      <w:pPr>
        <w:ind w:left="6468" w:hanging="360"/>
      </w:pPr>
    </w:lvl>
    <w:lvl w:ilvl="8" w:tplc="241A001B" w:tentative="1">
      <w:start w:val="1"/>
      <w:numFmt w:val="lowerRoman"/>
      <w:lvlText w:val="%9."/>
      <w:lvlJc w:val="right"/>
      <w:pPr>
        <w:ind w:left="7188" w:hanging="180"/>
      </w:pPr>
    </w:lvl>
  </w:abstractNum>
  <w:num w:numId="1">
    <w:abstractNumId w:val="7"/>
  </w:num>
  <w:num w:numId="2">
    <w:abstractNumId w:val="0"/>
  </w:num>
  <w:num w:numId="3">
    <w:abstractNumId w:val="13"/>
  </w:num>
  <w:num w:numId="4">
    <w:abstractNumId w:val="16"/>
  </w:num>
  <w:num w:numId="5">
    <w:abstractNumId w:val="5"/>
  </w:num>
  <w:num w:numId="6">
    <w:abstractNumId w:val="9"/>
  </w:num>
  <w:num w:numId="7">
    <w:abstractNumId w:val="15"/>
  </w:num>
  <w:num w:numId="8">
    <w:abstractNumId w:val="12"/>
  </w:num>
  <w:num w:numId="9">
    <w:abstractNumId w:val="11"/>
  </w:num>
  <w:num w:numId="10">
    <w:abstractNumId w:val="14"/>
  </w:num>
  <w:num w:numId="11">
    <w:abstractNumId w:val="6"/>
  </w:num>
  <w:num w:numId="12">
    <w:abstractNumId w:val="10"/>
  </w:num>
  <w:num w:numId="13">
    <w:abstractNumId w:val="2"/>
  </w:num>
  <w:num w:numId="14">
    <w:abstractNumId w:val="8"/>
  </w:num>
  <w:num w:numId="15">
    <w:abstractNumId w:val="4"/>
  </w:num>
  <w:num w:numId="16">
    <w:abstractNumId w:val="1"/>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1228"/>
    <w:rsid w:val="00005D52"/>
    <w:rsid w:val="000162D9"/>
    <w:rsid w:val="00046366"/>
    <w:rsid w:val="0006496F"/>
    <w:rsid w:val="00066185"/>
    <w:rsid w:val="00074B70"/>
    <w:rsid w:val="000950FB"/>
    <w:rsid w:val="000B7DB2"/>
    <w:rsid w:val="000C63AD"/>
    <w:rsid w:val="00124BF0"/>
    <w:rsid w:val="00125365"/>
    <w:rsid w:val="00146806"/>
    <w:rsid w:val="001619A1"/>
    <w:rsid w:val="00163A19"/>
    <w:rsid w:val="00181504"/>
    <w:rsid w:val="00190147"/>
    <w:rsid w:val="001D1A5A"/>
    <w:rsid w:val="001D523D"/>
    <w:rsid w:val="00200AEA"/>
    <w:rsid w:val="00211964"/>
    <w:rsid w:val="0022169D"/>
    <w:rsid w:val="00222F7E"/>
    <w:rsid w:val="00233B04"/>
    <w:rsid w:val="00235A71"/>
    <w:rsid w:val="00285E06"/>
    <w:rsid w:val="002976A3"/>
    <w:rsid w:val="002B6375"/>
    <w:rsid w:val="00333251"/>
    <w:rsid w:val="003524AB"/>
    <w:rsid w:val="00395BD9"/>
    <w:rsid w:val="003B04E2"/>
    <w:rsid w:val="003E7A87"/>
    <w:rsid w:val="00440A58"/>
    <w:rsid w:val="00446BBC"/>
    <w:rsid w:val="004506F6"/>
    <w:rsid w:val="004507EC"/>
    <w:rsid w:val="004A2190"/>
    <w:rsid w:val="004D03B3"/>
    <w:rsid w:val="004D264D"/>
    <w:rsid w:val="004E6EA9"/>
    <w:rsid w:val="0050522C"/>
    <w:rsid w:val="00520AE0"/>
    <w:rsid w:val="005414F8"/>
    <w:rsid w:val="00556B14"/>
    <w:rsid w:val="00577C03"/>
    <w:rsid w:val="005D5B60"/>
    <w:rsid w:val="005E2FCA"/>
    <w:rsid w:val="006420BC"/>
    <w:rsid w:val="00667844"/>
    <w:rsid w:val="00741385"/>
    <w:rsid w:val="00757E90"/>
    <w:rsid w:val="007E2C89"/>
    <w:rsid w:val="00806A2C"/>
    <w:rsid w:val="00816111"/>
    <w:rsid w:val="00866F3E"/>
    <w:rsid w:val="00870AB8"/>
    <w:rsid w:val="008C37C8"/>
    <w:rsid w:val="008C40B1"/>
    <w:rsid w:val="008F416D"/>
    <w:rsid w:val="00921C14"/>
    <w:rsid w:val="009223CD"/>
    <w:rsid w:val="00943ABF"/>
    <w:rsid w:val="009B3567"/>
    <w:rsid w:val="009B3FC2"/>
    <w:rsid w:val="009B7BC1"/>
    <w:rsid w:val="009C1F0A"/>
    <w:rsid w:val="009D0664"/>
    <w:rsid w:val="009D34C2"/>
    <w:rsid w:val="00A077B5"/>
    <w:rsid w:val="00A3441A"/>
    <w:rsid w:val="00A45DEB"/>
    <w:rsid w:val="00A470ED"/>
    <w:rsid w:val="00A81F0D"/>
    <w:rsid w:val="00AF0B62"/>
    <w:rsid w:val="00AF25EB"/>
    <w:rsid w:val="00B763CA"/>
    <w:rsid w:val="00B83FF5"/>
    <w:rsid w:val="00B91E9F"/>
    <w:rsid w:val="00BD5BDB"/>
    <w:rsid w:val="00BF149C"/>
    <w:rsid w:val="00BF3361"/>
    <w:rsid w:val="00C2505F"/>
    <w:rsid w:val="00C5645D"/>
    <w:rsid w:val="00C658E5"/>
    <w:rsid w:val="00C70B64"/>
    <w:rsid w:val="00CE1D48"/>
    <w:rsid w:val="00D24D17"/>
    <w:rsid w:val="00D32A39"/>
    <w:rsid w:val="00D334A1"/>
    <w:rsid w:val="00D45B6A"/>
    <w:rsid w:val="00D707C5"/>
    <w:rsid w:val="00DB45FD"/>
    <w:rsid w:val="00DF1228"/>
    <w:rsid w:val="00E05A28"/>
    <w:rsid w:val="00E42BCB"/>
    <w:rsid w:val="00EB43E9"/>
    <w:rsid w:val="00EC1C41"/>
    <w:rsid w:val="00EF5220"/>
    <w:rsid w:val="00F149CD"/>
    <w:rsid w:val="00F32B99"/>
    <w:rsid w:val="00F42BE7"/>
    <w:rsid w:val="00F52A22"/>
    <w:rsid w:val="00FD610F"/>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E6E3C"/>
  <w15:chartTrackingRefBased/>
  <w15:docId w15:val="{AF9945A7-72DC-42DE-97F6-78DF50C5D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r-Latn-R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14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414F8"/>
    <w:rPr>
      <w:color w:val="0000FF"/>
      <w:u w:val="single"/>
    </w:rPr>
  </w:style>
  <w:style w:type="paragraph" w:customStyle="1" w:styleId="Default">
    <w:name w:val="Default"/>
    <w:rsid w:val="005414F8"/>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943ABF"/>
    <w:pPr>
      <w:ind w:left="720"/>
      <w:contextualSpacing/>
    </w:pPr>
  </w:style>
  <w:style w:type="character" w:customStyle="1" w:styleId="apple-converted-space">
    <w:name w:val="apple-converted-space"/>
    <w:basedOn w:val="DefaultParagraphFont"/>
    <w:rsid w:val="009B3567"/>
  </w:style>
  <w:style w:type="paragraph" w:styleId="NormalWeb">
    <w:name w:val="Normal (Web)"/>
    <w:basedOn w:val="Normal"/>
    <w:uiPriority w:val="99"/>
    <w:unhideWhenUsed/>
    <w:rsid w:val="00B83FF5"/>
    <w:pPr>
      <w:spacing w:before="100" w:beforeAutospacing="1" w:after="100" w:afterAutospacing="1" w:line="240" w:lineRule="auto"/>
    </w:pPr>
    <w:rPr>
      <w:rFonts w:ascii="Times New Roman" w:eastAsia="Times New Roman" w:hAnsi="Times New Roman" w:cs="Times New Roman"/>
      <w:sz w:val="24"/>
      <w:szCs w:val="24"/>
      <w:lang w:eastAsia="sr-Latn-RS"/>
    </w:rPr>
  </w:style>
  <w:style w:type="paragraph" w:styleId="NoSpacing">
    <w:name w:val="No Spacing"/>
    <w:uiPriority w:val="1"/>
    <w:qFormat/>
    <w:rsid w:val="009B7BC1"/>
    <w:pPr>
      <w:spacing w:after="0" w:line="240" w:lineRule="auto"/>
    </w:pPr>
  </w:style>
  <w:style w:type="table" w:styleId="TableGrid">
    <w:name w:val="Table Grid"/>
    <w:basedOn w:val="TableNormal"/>
    <w:uiPriority w:val="59"/>
    <w:rsid w:val="00FD61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chart" Target="charts/chart5.xml"/><Relationship Id="rId26" Type="http://schemas.openxmlformats.org/officeDocument/2006/relationships/hyperlink" Target="https://www.ncbi.nlm.nih.gov/pubmed/22958559" TargetMode="External"/><Relationship Id="rId3" Type="http://schemas.openxmlformats.org/officeDocument/2006/relationships/settings" Target="settings.xml"/><Relationship Id="rId21" Type="http://schemas.openxmlformats.org/officeDocument/2006/relationships/hyperlink" Target="https://www.ncbi.nlm.nih.gov/pubmed/?term=Blake%20C%5BAuthor%5D&amp;cauthor=true&amp;cauthor_uid=20842008" TargetMode="Externa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chart" Target="charts/chart4.xml"/><Relationship Id="rId25" Type="http://schemas.openxmlformats.org/officeDocument/2006/relationships/hyperlink" Target="https://www.ncbi.nlm.nih.gov/pubmed/20842008" TargetMode="External"/><Relationship Id="rId2" Type="http://schemas.openxmlformats.org/officeDocument/2006/relationships/styles" Target="styles.xml"/><Relationship Id="rId16" Type="http://schemas.openxmlformats.org/officeDocument/2006/relationships/chart" Target="charts/chart3.xml"/><Relationship Id="rId20" Type="http://schemas.openxmlformats.org/officeDocument/2006/relationships/hyperlink" Target="https://www.ncbi.nlm.nih.gov/pubmed/?term=Kelly%20GA%5BAuthor%5D&amp;cauthor=true&amp;cauthor_uid=20842008"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sr.wikipedia.org/wiki/%D0%90%D0%BD%D0%BA%D1%81%D0%B8%D0%BE%D0%B7%D0%BD%D0%BE%D1%81%D1%82" TargetMode="External"/><Relationship Id="rId11" Type="http://schemas.openxmlformats.org/officeDocument/2006/relationships/image" Target="media/image5.jpg"/><Relationship Id="rId24" Type="http://schemas.openxmlformats.org/officeDocument/2006/relationships/hyperlink" Target="https://www.ncbi.nlm.nih.gov/pubmed/?term=Fullen%20BM%5BAuthor%5D&amp;cauthor=true&amp;cauthor_uid=20842008" TargetMode="External"/><Relationship Id="rId5" Type="http://schemas.openxmlformats.org/officeDocument/2006/relationships/hyperlink" Target="https://sr.wikipedia.org/wiki/%D0%9D%D0%B5%D1%81%D0%B0%D0%BD%D0%B8%D1%86%D0%B0" TargetMode="External"/><Relationship Id="rId15" Type="http://schemas.openxmlformats.org/officeDocument/2006/relationships/chart" Target="charts/chart2.xml"/><Relationship Id="rId23" Type="http://schemas.openxmlformats.org/officeDocument/2006/relationships/hyperlink" Target="https://www.ncbi.nlm.nih.gov/pubmed/?term=O%27keeffe%20D%5BAuthor%5D&amp;cauthor=true&amp;cauthor_uid=20842008" TargetMode="External"/><Relationship Id="rId28"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chart" Target="charts/chart6.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chart" Target="charts/chart1.xml"/><Relationship Id="rId22" Type="http://schemas.openxmlformats.org/officeDocument/2006/relationships/hyperlink" Target="https://www.ncbi.nlm.nih.gov/pubmed/?term=Power%20CK%5BAuthor%5D&amp;cauthor=true&amp;cauthor_uid=20842008" TargetMode="External"/><Relationship Id="rId27" Type="http://schemas.openxmlformats.org/officeDocument/2006/relationships/hyperlink" Target="https://www.ncbi.nlm.nih.gov/pubmed/22958563"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oleObject" Target="../embeddings/oleObject1.bin"/></Relationships>
</file>

<file path=word/charts/_rels/chart5.xml.rels><?xml version="1.0" encoding="UTF-8" standalone="yes"?>
<Relationships xmlns="http://schemas.openxmlformats.org/package/2006/relationships"><Relationship Id="rId1" Type="http://schemas.openxmlformats.org/officeDocument/2006/relationships/oleObject" Target="../embeddings/oleObject2.bin"/></Relationships>
</file>

<file path=word/charts/_rels/chart6.xml.rels><?xml version="1.0" encoding="UTF-8" standalone="yes"?>
<Relationships xmlns="http://schemas.openxmlformats.org/package/2006/relationships"><Relationship Id="rId1" Type="http://schemas.openxmlformats.org/officeDocument/2006/relationships/oleObject" Target="../embeddings/oleObject3.bin"/></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sr-Latn-RS" sz="800">
                <a:latin typeface="Times New Roman" panose="02020603050405020304" pitchFamily="18" charset="0"/>
                <a:cs typeface="Times New Roman" panose="02020603050405020304" pitchFamily="18" charset="0"/>
              </a:rPr>
              <a:t>ispitanici sa lumbalnim</a:t>
            </a:r>
            <a:r>
              <a:rPr lang="sr-Latn-RS" sz="800" baseline="0">
                <a:latin typeface="Times New Roman" panose="02020603050405020304" pitchFamily="18" charset="0"/>
                <a:cs typeface="Times New Roman" panose="02020603050405020304" pitchFamily="18" charset="0"/>
              </a:rPr>
              <a:t> bolom</a:t>
            </a:r>
            <a:endParaRPr lang="sr-Latn-RS" sz="800">
              <a:latin typeface="Times New Roman" panose="02020603050405020304" pitchFamily="18" charset="0"/>
              <a:cs typeface="Times New Roman" panose="02020603050405020304" pitchFamily="18" charset="0"/>
            </a:endParaRPr>
          </a:p>
          <a:p>
            <a:pPr>
              <a:defRPr/>
            </a:pPr>
            <a:endParaRPr lang="en-US"/>
          </a:p>
        </c:rich>
      </c:tx>
      <c:layout>
        <c:manualLayout>
          <c:xMode val="edge"/>
          <c:yMode val="edge"/>
          <c:x val="0.13751499244412629"/>
          <c:y val="1.6161616161616162E-2"/>
        </c:manualLayout>
      </c:layout>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sr-Latn-RS"/>
        </a:p>
      </c:txPr>
    </c:title>
    <c:autoTitleDeleted val="0"/>
    <c:plotArea>
      <c:layout>
        <c:manualLayout>
          <c:layoutTarget val="inner"/>
          <c:xMode val="edge"/>
          <c:yMode val="edge"/>
          <c:x val="0.2641011691720353"/>
          <c:y val="0.41507166149685837"/>
          <c:w val="0.47179702537182855"/>
          <c:h val="0.47179702537182855"/>
        </c:manualLayout>
      </c:layout>
      <c:pieChart>
        <c:varyColors val="1"/>
        <c:ser>
          <c:idx val="0"/>
          <c:order val="0"/>
          <c:tx>
            <c:strRef>
              <c:f>Sheet1!$B$1</c:f>
              <c:strCache>
                <c:ptCount val="1"/>
                <c:pt idx="0">
                  <c:v>Lumbalni</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AEA2-4017-AE95-0BBF4E11FB77}"/>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AEA2-4017-AE95-0BBF4E11FB77}"/>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sr-Latn-R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muškarci</c:v>
                </c:pt>
                <c:pt idx="1">
                  <c:v>žene</c:v>
                </c:pt>
              </c:strCache>
            </c:strRef>
          </c:cat>
          <c:val>
            <c:numRef>
              <c:f>Sheet1!$B$2:$B$3</c:f>
              <c:numCache>
                <c:formatCode>General</c:formatCode>
                <c:ptCount val="2"/>
                <c:pt idx="0">
                  <c:v>14</c:v>
                </c:pt>
                <c:pt idx="1">
                  <c:v>12</c:v>
                </c:pt>
              </c:numCache>
            </c:numRef>
          </c:val>
          <c:extLst>
            <c:ext xmlns:c16="http://schemas.microsoft.com/office/drawing/2014/chart" uri="{C3380CC4-5D6E-409C-BE32-E72D297353CC}">
              <c16:uniqueId val="{00000004-AEA2-4017-AE95-0BBF4E11FB77}"/>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layout>
        <c:manualLayout>
          <c:xMode val="edge"/>
          <c:yMode val="edge"/>
          <c:x val="0.1450835918237493"/>
          <c:y val="0.21406060606060606"/>
          <c:w val="0.65364574882685123"/>
          <c:h val="0.1282048834804740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sr-Latn-R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sr-Latn-RS" sz="800">
                <a:latin typeface="Times New Roman" panose="02020603050405020304" pitchFamily="18" charset="0"/>
                <a:cs typeface="Times New Roman" panose="02020603050405020304" pitchFamily="18" charset="0"/>
              </a:rPr>
              <a:t>ispitanici sa glavoboljom</a:t>
            </a:r>
            <a:endParaRPr lang="en-US" sz="800">
              <a:latin typeface="Times New Roman" panose="02020603050405020304" pitchFamily="18" charset="0"/>
              <a:cs typeface="Times New Roman" panose="02020603050405020304" pitchFamily="18" charset="0"/>
            </a:endParaRPr>
          </a:p>
        </c:rich>
      </c:tx>
      <c:layout>
        <c:manualLayout>
          <c:xMode val="edge"/>
          <c:yMode val="edge"/>
          <c:x val="0.20037682789651293"/>
          <c:y val="1.6161616161616162E-2"/>
        </c:manualLayout>
      </c:layout>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sr-Latn-RS"/>
        </a:p>
      </c:txPr>
    </c:title>
    <c:autoTitleDeleted val="0"/>
    <c:plotArea>
      <c:layout>
        <c:manualLayout>
          <c:layoutTarget val="inner"/>
          <c:xMode val="edge"/>
          <c:yMode val="edge"/>
          <c:x val="0.2957349081364829"/>
          <c:y val="0.39818277260796947"/>
          <c:w val="0.47995938007749034"/>
          <c:h val="0.48868591426071739"/>
        </c:manualLayout>
      </c:layout>
      <c:pieChart>
        <c:varyColors val="1"/>
        <c:ser>
          <c:idx val="0"/>
          <c:order val="0"/>
          <c:tx>
            <c:strRef>
              <c:f>Sheet1!$B$1</c:f>
              <c:strCache>
                <c:ptCount val="1"/>
                <c:pt idx="0">
                  <c:v>Glavobolje</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4DD9-4DD6-83FD-44B61707B1F6}"/>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4DD9-4DD6-83FD-44B61707B1F6}"/>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sr-Latn-R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muškarci</c:v>
                </c:pt>
                <c:pt idx="1">
                  <c:v>žene</c:v>
                </c:pt>
              </c:strCache>
            </c:strRef>
          </c:cat>
          <c:val>
            <c:numRef>
              <c:f>Sheet1!$B$2:$B$3</c:f>
              <c:numCache>
                <c:formatCode>General</c:formatCode>
                <c:ptCount val="2"/>
                <c:pt idx="0">
                  <c:v>5</c:v>
                </c:pt>
                <c:pt idx="1">
                  <c:v>12</c:v>
                </c:pt>
              </c:numCache>
            </c:numRef>
          </c:val>
          <c:extLst>
            <c:ext xmlns:c16="http://schemas.microsoft.com/office/drawing/2014/chart" uri="{C3380CC4-5D6E-409C-BE32-E72D297353CC}">
              <c16:uniqueId val="{00000004-4DD9-4DD6-83FD-44B61707B1F6}"/>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layout>
        <c:manualLayout>
          <c:xMode val="edge"/>
          <c:yMode val="edge"/>
          <c:x val="0.16729408823897013"/>
          <c:y val="0.17292929292929293"/>
          <c:w val="0.64197350331208602"/>
          <c:h val="0.1282048834804740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sr-Latn-R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sr-Latn-RS" sz="800">
                <a:latin typeface="Times New Roman" panose="02020603050405020304" pitchFamily="18" charset="0"/>
                <a:cs typeface="Times New Roman" panose="02020603050405020304" pitchFamily="18" charset="0"/>
              </a:rPr>
              <a:t>zdravi</a:t>
            </a:r>
            <a:r>
              <a:rPr lang="sr-Latn-RS" sz="800" baseline="0">
                <a:latin typeface="Times New Roman" panose="02020603050405020304" pitchFamily="18" charset="0"/>
                <a:cs typeface="Times New Roman" panose="02020603050405020304" pitchFamily="18" charset="0"/>
              </a:rPr>
              <a:t> ispitanici</a:t>
            </a:r>
            <a:endParaRPr lang="en-US" sz="800">
              <a:latin typeface="Times New Roman" panose="02020603050405020304" pitchFamily="18" charset="0"/>
              <a:cs typeface="Times New Roman" panose="02020603050405020304" pitchFamily="18" charset="0"/>
            </a:endParaRPr>
          </a:p>
        </c:rich>
      </c:tx>
      <c:layout>
        <c:manualLayout>
          <c:xMode val="edge"/>
          <c:yMode val="edge"/>
          <c:x val="0.14960212359818659"/>
          <c:y val="2.4390243902439025E-2"/>
        </c:manualLayout>
      </c:layout>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sr-Latn-RS"/>
        </a:p>
      </c:txPr>
    </c:title>
    <c:autoTitleDeleted val="0"/>
    <c:plotArea>
      <c:layout/>
      <c:pieChart>
        <c:varyColors val="1"/>
        <c:ser>
          <c:idx val="0"/>
          <c:order val="0"/>
          <c:tx>
            <c:strRef>
              <c:f>Sheet1!$B$1</c:f>
              <c:strCache>
                <c:ptCount val="1"/>
                <c:pt idx="0">
                  <c:v>Zdravi</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6E1C-483D-87B5-8D9254057281}"/>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6E1C-483D-87B5-8D9254057281}"/>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sr-Latn-R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muškarci</c:v>
                </c:pt>
                <c:pt idx="1">
                  <c:v>žene</c:v>
                </c:pt>
              </c:strCache>
            </c:strRef>
          </c:cat>
          <c:val>
            <c:numRef>
              <c:f>Sheet1!$B$2:$B$3</c:f>
              <c:numCache>
                <c:formatCode>General</c:formatCode>
                <c:ptCount val="2"/>
                <c:pt idx="0">
                  <c:v>13</c:v>
                </c:pt>
                <c:pt idx="1">
                  <c:v>12</c:v>
                </c:pt>
              </c:numCache>
            </c:numRef>
          </c:val>
          <c:extLst>
            <c:ext xmlns:c16="http://schemas.microsoft.com/office/drawing/2014/chart" uri="{C3380CC4-5D6E-409C-BE32-E72D297353CC}">
              <c16:uniqueId val="{00000004-6E1C-483D-87B5-8D9254057281}"/>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legendEntry>
        <c:idx val="0"/>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sr-Latn-RS"/>
          </a:p>
        </c:txPr>
      </c:legendEntry>
      <c:legendEntry>
        <c:idx val="1"/>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sr-Latn-RS"/>
          </a:p>
        </c:txPr>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sr-Latn-R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833441053760603"/>
          <c:y val="5.4224760366492653E-2"/>
          <c:w val="0.59298312556926269"/>
          <c:h val="0.82342284137559729"/>
        </c:manualLayout>
      </c:layout>
      <c:barChart>
        <c:barDir val="col"/>
        <c:grouping val="clustered"/>
        <c:varyColors val="0"/>
        <c:ser>
          <c:idx val="0"/>
          <c:order val="0"/>
          <c:tx>
            <c:strRef>
              <c:f>'[Chart in Microsoft Word]Sheet1'!$H$84</c:f>
              <c:strCache>
                <c:ptCount val="1"/>
                <c:pt idx="0">
                  <c:v>ZDRAVI ISPITANICI</c:v>
                </c:pt>
              </c:strCache>
            </c:strRef>
          </c:tx>
          <c:invertIfNegative val="0"/>
          <c:cat>
            <c:strRef>
              <c:f>'[Chart in Microsoft Word]Sheet1'!$I$83:$P$83</c:f>
              <c:strCache>
                <c:ptCount val="8"/>
                <c:pt idx="0">
                  <c:v>G1</c:v>
                </c:pt>
                <c:pt idx="1">
                  <c:v>G2</c:v>
                </c:pt>
                <c:pt idx="2">
                  <c:v>G3</c:v>
                </c:pt>
                <c:pt idx="3">
                  <c:v>G4</c:v>
                </c:pt>
                <c:pt idx="4">
                  <c:v>G5</c:v>
                </c:pt>
                <c:pt idx="5">
                  <c:v>G6</c:v>
                </c:pt>
                <c:pt idx="6">
                  <c:v>G7</c:v>
                </c:pt>
                <c:pt idx="7">
                  <c:v>G8</c:v>
                </c:pt>
              </c:strCache>
            </c:strRef>
          </c:cat>
          <c:val>
            <c:numRef>
              <c:f>'[Chart in Microsoft Word]Sheet1'!$I$84:$P$84</c:f>
              <c:numCache>
                <c:formatCode>0.00</c:formatCode>
                <c:ptCount val="8"/>
                <c:pt idx="0">
                  <c:v>546.83466666666664</c:v>
                </c:pt>
                <c:pt idx="1">
                  <c:v>270.62800000000004</c:v>
                </c:pt>
                <c:pt idx="2">
                  <c:v>259.94000000000005</c:v>
                </c:pt>
                <c:pt idx="3">
                  <c:v>566.57999999999993</c:v>
                </c:pt>
                <c:pt idx="4">
                  <c:v>552.73733333333348</c:v>
                </c:pt>
                <c:pt idx="5">
                  <c:v>541.59733333333349</c:v>
                </c:pt>
                <c:pt idx="6">
                  <c:v>448.51599999999991</c:v>
                </c:pt>
                <c:pt idx="7">
                  <c:v>453.57200000000006</c:v>
                </c:pt>
              </c:numCache>
            </c:numRef>
          </c:val>
          <c:extLst>
            <c:ext xmlns:c16="http://schemas.microsoft.com/office/drawing/2014/chart" uri="{C3380CC4-5D6E-409C-BE32-E72D297353CC}">
              <c16:uniqueId val="{00000000-D7A7-4AF4-894F-592A7888C5EA}"/>
            </c:ext>
          </c:extLst>
        </c:ser>
        <c:ser>
          <c:idx val="1"/>
          <c:order val="1"/>
          <c:tx>
            <c:strRef>
              <c:f>'[Chart in Microsoft Word]Sheet1'!$H$85</c:f>
              <c:strCache>
                <c:ptCount val="1"/>
                <c:pt idx="0">
                  <c:v>ISPITANICI SA GLAVOBOLJOM</c:v>
                </c:pt>
              </c:strCache>
            </c:strRef>
          </c:tx>
          <c:invertIfNegative val="0"/>
          <c:cat>
            <c:strRef>
              <c:f>'[Chart in Microsoft Word]Sheet1'!$I$83:$P$83</c:f>
              <c:strCache>
                <c:ptCount val="8"/>
                <c:pt idx="0">
                  <c:v>G1</c:v>
                </c:pt>
                <c:pt idx="1">
                  <c:v>G2</c:v>
                </c:pt>
                <c:pt idx="2">
                  <c:v>G3</c:v>
                </c:pt>
                <c:pt idx="3">
                  <c:v>G4</c:v>
                </c:pt>
                <c:pt idx="4">
                  <c:v>G5</c:v>
                </c:pt>
                <c:pt idx="5">
                  <c:v>G6</c:v>
                </c:pt>
                <c:pt idx="6">
                  <c:v>G7</c:v>
                </c:pt>
                <c:pt idx="7">
                  <c:v>G8</c:v>
                </c:pt>
              </c:strCache>
            </c:strRef>
          </c:cat>
          <c:val>
            <c:numRef>
              <c:f>'[Chart in Microsoft Word]Sheet1'!$I$85:$P$85</c:f>
              <c:numCache>
                <c:formatCode>0.00</c:formatCode>
                <c:ptCount val="8"/>
                <c:pt idx="0">
                  <c:v>239.02000000000004</c:v>
                </c:pt>
                <c:pt idx="1">
                  <c:v>104.01777777777777</c:v>
                </c:pt>
                <c:pt idx="2">
                  <c:v>108.73111111111113</c:v>
                </c:pt>
                <c:pt idx="3">
                  <c:v>242.89333333333335</c:v>
                </c:pt>
                <c:pt idx="4">
                  <c:v>172.35555555555555</c:v>
                </c:pt>
                <c:pt idx="5">
                  <c:v>197.38666666666666</c:v>
                </c:pt>
                <c:pt idx="6">
                  <c:v>181.60666666666665</c:v>
                </c:pt>
                <c:pt idx="7">
                  <c:v>189.98666666666662</c:v>
                </c:pt>
              </c:numCache>
            </c:numRef>
          </c:val>
          <c:extLst>
            <c:ext xmlns:c16="http://schemas.microsoft.com/office/drawing/2014/chart" uri="{C3380CC4-5D6E-409C-BE32-E72D297353CC}">
              <c16:uniqueId val="{00000001-D7A7-4AF4-894F-592A7888C5EA}"/>
            </c:ext>
          </c:extLst>
        </c:ser>
        <c:ser>
          <c:idx val="2"/>
          <c:order val="2"/>
          <c:tx>
            <c:strRef>
              <c:f>'[Chart in Microsoft Word]Sheet1'!$H$86</c:f>
              <c:strCache>
                <c:ptCount val="1"/>
                <c:pt idx="0">
                  <c:v>ISPITANICI SA LUMBALNIM BOLOM</c:v>
                </c:pt>
              </c:strCache>
            </c:strRef>
          </c:tx>
          <c:invertIfNegative val="0"/>
          <c:cat>
            <c:strRef>
              <c:f>'[Chart in Microsoft Word]Sheet1'!$I$83:$P$83</c:f>
              <c:strCache>
                <c:ptCount val="8"/>
                <c:pt idx="0">
                  <c:v>G1</c:v>
                </c:pt>
                <c:pt idx="1">
                  <c:v>G2</c:v>
                </c:pt>
                <c:pt idx="2">
                  <c:v>G3</c:v>
                </c:pt>
                <c:pt idx="3">
                  <c:v>G4</c:v>
                </c:pt>
                <c:pt idx="4">
                  <c:v>G5</c:v>
                </c:pt>
                <c:pt idx="5">
                  <c:v>G6</c:v>
                </c:pt>
                <c:pt idx="6">
                  <c:v>G7</c:v>
                </c:pt>
                <c:pt idx="7">
                  <c:v>G8</c:v>
                </c:pt>
              </c:strCache>
            </c:strRef>
          </c:cat>
          <c:val>
            <c:numRef>
              <c:f>'[Chart in Microsoft Word]Sheet1'!$I$86:$P$86</c:f>
              <c:numCache>
                <c:formatCode>0.00</c:formatCode>
                <c:ptCount val="8"/>
                <c:pt idx="0">
                  <c:v>421.05614035087717</c:v>
                </c:pt>
                <c:pt idx="1">
                  <c:v>200.45614035087718</c:v>
                </c:pt>
                <c:pt idx="2">
                  <c:v>206.72631578947366</c:v>
                </c:pt>
                <c:pt idx="3">
                  <c:v>322.58245614035076</c:v>
                </c:pt>
                <c:pt idx="4">
                  <c:v>289.40175438596498</c:v>
                </c:pt>
                <c:pt idx="5">
                  <c:v>286.77719298245609</c:v>
                </c:pt>
                <c:pt idx="6">
                  <c:v>266.75964912280699</c:v>
                </c:pt>
                <c:pt idx="7">
                  <c:v>343.35614035087718</c:v>
                </c:pt>
              </c:numCache>
            </c:numRef>
          </c:val>
          <c:extLst>
            <c:ext xmlns:c16="http://schemas.microsoft.com/office/drawing/2014/chart" uri="{C3380CC4-5D6E-409C-BE32-E72D297353CC}">
              <c16:uniqueId val="{00000002-D7A7-4AF4-894F-592A7888C5EA}"/>
            </c:ext>
          </c:extLst>
        </c:ser>
        <c:dLbls>
          <c:showLegendKey val="0"/>
          <c:showVal val="0"/>
          <c:showCatName val="0"/>
          <c:showSerName val="0"/>
          <c:showPercent val="0"/>
          <c:showBubbleSize val="0"/>
        </c:dLbls>
        <c:gapWidth val="150"/>
        <c:axId val="84332544"/>
        <c:axId val="84334080"/>
      </c:barChart>
      <c:catAx>
        <c:axId val="84332544"/>
        <c:scaling>
          <c:orientation val="minMax"/>
        </c:scaling>
        <c:delete val="0"/>
        <c:axPos val="b"/>
        <c:numFmt formatCode="General" sourceLinked="0"/>
        <c:majorTickMark val="none"/>
        <c:minorTickMark val="none"/>
        <c:tickLblPos val="nextTo"/>
        <c:crossAx val="84334080"/>
        <c:crosses val="autoZero"/>
        <c:auto val="1"/>
        <c:lblAlgn val="ctr"/>
        <c:lblOffset val="100"/>
        <c:noMultiLvlLbl val="0"/>
      </c:catAx>
      <c:valAx>
        <c:axId val="84334080"/>
        <c:scaling>
          <c:orientation val="minMax"/>
        </c:scaling>
        <c:delete val="0"/>
        <c:axPos val="l"/>
        <c:majorGridlines/>
        <c:numFmt formatCode="0.00" sourceLinked="1"/>
        <c:majorTickMark val="none"/>
        <c:minorTickMark val="none"/>
        <c:tickLblPos val="nextTo"/>
        <c:crossAx val="84332544"/>
        <c:crosses val="autoZero"/>
        <c:crossBetween val="between"/>
      </c:valAx>
    </c:plotArea>
    <c:legend>
      <c:legendPos val="r"/>
      <c:legendEntry>
        <c:idx val="0"/>
        <c:txPr>
          <a:bodyPr/>
          <a:lstStyle/>
          <a:p>
            <a:pPr>
              <a:defRPr sz="800" b="1">
                <a:latin typeface="Times New Roman" panose="02020603050405020304" pitchFamily="18" charset="0"/>
                <a:cs typeface="Times New Roman" panose="02020603050405020304" pitchFamily="18" charset="0"/>
              </a:defRPr>
            </a:pPr>
            <a:endParaRPr lang="sr-Latn-RS"/>
          </a:p>
        </c:txPr>
      </c:legendEntry>
      <c:legendEntry>
        <c:idx val="1"/>
        <c:txPr>
          <a:bodyPr/>
          <a:lstStyle/>
          <a:p>
            <a:pPr>
              <a:defRPr sz="800" b="1">
                <a:latin typeface="Times New Roman" panose="02020603050405020304" pitchFamily="18" charset="0"/>
                <a:cs typeface="Times New Roman" panose="02020603050405020304" pitchFamily="18" charset="0"/>
              </a:defRPr>
            </a:pPr>
            <a:endParaRPr lang="sr-Latn-RS"/>
          </a:p>
        </c:txPr>
      </c:legendEntry>
      <c:legendEntry>
        <c:idx val="2"/>
        <c:txPr>
          <a:bodyPr/>
          <a:lstStyle/>
          <a:p>
            <a:pPr>
              <a:defRPr sz="800" b="1">
                <a:latin typeface="Times New Roman" panose="02020603050405020304" pitchFamily="18" charset="0"/>
                <a:cs typeface="Times New Roman" panose="02020603050405020304" pitchFamily="18" charset="0"/>
              </a:defRPr>
            </a:pPr>
            <a:endParaRPr lang="sr-Latn-RS"/>
          </a:p>
        </c:txPr>
      </c:legendEntry>
      <c:layout>
        <c:manualLayout>
          <c:xMode val="edge"/>
          <c:yMode val="edge"/>
          <c:x val="0.75028015519799152"/>
          <c:y val="0.26574261874853194"/>
          <c:w val="0.24716002890942984"/>
          <c:h val="0.48573735975310778"/>
        </c:manualLayout>
      </c:layout>
      <c:overlay val="0"/>
      <c:txPr>
        <a:bodyPr/>
        <a:lstStyle/>
        <a:p>
          <a:pPr>
            <a:defRPr b="1">
              <a:latin typeface="Times New Roman" panose="02020603050405020304" pitchFamily="18" charset="0"/>
              <a:cs typeface="Times New Roman" panose="02020603050405020304" pitchFamily="18" charset="0"/>
            </a:defRPr>
          </a:pPr>
          <a:endParaRPr lang="sr-Latn-RS"/>
        </a:p>
      </c:txPr>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3513978945804131"/>
          <c:y val="5.1400554097404488E-2"/>
          <c:w val="0.60187638492091144"/>
          <c:h val="0.8326195683872849"/>
        </c:manualLayout>
      </c:layout>
      <c:barChart>
        <c:barDir val="col"/>
        <c:grouping val="clustered"/>
        <c:varyColors val="0"/>
        <c:ser>
          <c:idx val="0"/>
          <c:order val="0"/>
          <c:tx>
            <c:strRef>
              <c:f>'[Chart in Microsoft Word]Sheet1'!$H$94</c:f>
              <c:strCache>
                <c:ptCount val="1"/>
                <c:pt idx="0">
                  <c:v>ZDRAVI ISPITANICI</c:v>
                </c:pt>
              </c:strCache>
            </c:strRef>
          </c:tx>
          <c:invertIfNegative val="0"/>
          <c:cat>
            <c:strRef>
              <c:f>'[Chart in Microsoft Word]Sheet1'!$I$93:$R$93</c:f>
              <c:strCache>
                <c:ptCount val="10"/>
                <c:pt idx="0">
                  <c:v>L1</c:v>
                </c:pt>
                <c:pt idx="1">
                  <c:v>L2</c:v>
                </c:pt>
                <c:pt idx="2">
                  <c:v>L3</c:v>
                </c:pt>
                <c:pt idx="3">
                  <c:v>L4</c:v>
                </c:pt>
                <c:pt idx="4">
                  <c:v>L5</c:v>
                </c:pt>
                <c:pt idx="5">
                  <c:v>L6</c:v>
                </c:pt>
                <c:pt idx="6">
                  <c:v>L7</c:v>
                </c:pt>
                <c:pt idx="7">
                  <c:v>L8</c:v>
                </c:pt>
                <c:pt idx="8">
                  <c:v>L9</c:v>
                </c:pt>
                <c:pt idx="9">
                  <c:v>L10</c:v>
                </c:pt>
              </c:strCache>
            </c:strRef>
          </c:cat>
          <c:val>
            <c:numRef>
              <c:f>'[Chart in Microsoft Word]Sheet1'!$I$94:$R$94</c:f>
              <c:numCache>
                <c:formatCode>0.00</c:formatCode>
                <c:ptCount val="10"/>
                <c:pt idx="0">
                  <c:v>784.94799999999987</c:v>
                </c:pt>
                <c:pt idx="1">
                  <c:v>743.95200000000011</c:v>
                </c:pt>
                <c:pt idx="2">
                  <c:v>795.50399999999991</c:v>
                </c:pt>
                <c:pt idx="3">
                  <c:v>751.62</c:v>
                </c:pt>
                <c:pt idx="4">
                  <c:v>882.14</c:v>
                </c:pt>
                <c:pt idx="5">
                  <c:v>837.17333333333329</c:v>
                </c:pt>
                <c:pt idx="6">
                  <c:v>848.56799999999998</c:v>
                </c:pt>
                <c:pt idx="7">
                  <c:v>812.41999999999985</c:v>
                </c:pt>
                <c:pt idx="8">
                  <c:v>860.31600000000003</c:v>
                </c:pt>
                <c:pt idx="9">
                  <c:v>713.52800000000013</c:v>
                </c:pt>
              </c:numCache>
            </c:numRef>
          </c:val>
          <c:extLst>
            <c:ext xmlns:c16="http://schemas.microsoft.com/office/drawing/2014/chart" uri="{C3380CC4-5D6E-409C-BE32-E72D297353CC}">
              <c16:uniqueId val="{00000000-F239-4E38-8B54-3F51FE12980D}"/>
            </c:ext>
          </c:extLst>
        </c:ser>
        <c:ser>
          <c:idx val="1"/>
          <c:order val="1"/>
          <c:tx>
            <c:strRef>
              <c:f>'[Chart in Microsoft Word]Sheet1'!$H$95</c:f>
              <c:strCache>
                <c:ptCount val="1"/>
                <c:pt idx="0">
                  <c:v>ISPITANICI SA GLAVOBOLJOM</c:v>
                </c:pt>
              </c:strCache>
            </c:strRef>
          </c:tx>
          <c:invertIfNegative val="0"/>
          <c:cat>
            <c:strRef>
              <c:f>'[Chart in Microsoft Word]Sheet1'!$I$93:$R$93</c:f>
              <c:strCache>
                <c:ptCount val="10"/>
                <c:pt idx="0">
                  <c:v>L1</c:v>
                </c:pt>
                <c:pt idx="1">
                  <c:v>L2</c:v>
                </c:pt>
                <c:pt idx="2">
                  <c:v>L3</c:v>
                </c:pt>
                <c:pt idx="3">
                  <c:v>L4</c:v>
                </c:pt>
                <c:pt idx="4">
                  <c:v>L5</c:v>
                </c:pt>
                <c:pt idx="5">
                  <c:v>L6</c:v>
                </c:pt>
                <c:pt idx="6">
                  <c:v>L7</c:v>
                </c:pt>
                <c:pt idx="7">
                  <c:v>L8</c:v>
                </c:pt>
                <c:pt idx="8">
                  <c:v>L9</c:v>
                </c:pt>
                <c:pt idx="9">
                  <c:v>L10</c:v>
                </c:pt>
              </c:strCache>
            </c:strRef>
          </c:cat>
          <c:val>
            <c:numRef>
              <c:f>'[Chart in Microsoft Word]Sheet1'!$I$95:$R$95</c:f>
              <c:numCache>
                <c:formatCode>0.00</c:formatCode>
                <c:ptCount val="10"/>
                <c:pt idx="0">
                  <c:v>412.22</c:v>
                </c:pt>
                <c:pt idx="1">
                  <c:v>471.52666666666676</c:v>
                </c:pt>
                <c:pt idx="2">
                  <c:v>447.37555555555554</c:v>
                </c:pt>
                <c:pt idx="3">
                  <c:v>415.30222222222227</c:v>
                </c:pt>
                <c:pt idx="4">
                  <c:v>417.74888888888876</c:v>
                </c:pt>
                <c:pt idx="5">
                  <c:v>526.36666666666667</c:v>
                </c:pt>
                <c:pt idx="6">
                  <c:v>462.1711111111112</c:v>
                </c:pt>
                <c:pt idx="7">
                  <c:v>504.36666666666662</c:v>
                </c:pt>
                <c:pt idx="8">
                  <c:v>620.99555555555548</c:v>
                </c:pt>
                <c:pt idx="9">
                  <c:v>544.75777777777773</c:v>
                </c:pt>
              </c:numCache>
            </c:numRef>
          </c:val>
          <c:extLst>
            <c:ext xmlns:c16="http://schemas.microsoft.com/office/drawing/2014/chart" uri="{C3380CC4-5D6E-409C-BE32-E72D297353CC}">
              <c16:uniqueId val="{00000001-F239-4E38-8B54-3F51FE12980D}"/>
            </c:ext>
          </c:extLst>
        </c:ser>
        <c:ser>
          <c:idx val="2"/>
          <c:order val="2"/>
          <c:tx>
            <c:strRef>
              <c:f>'[Chart in Microsoft Word]Sheet1'!$H$96</c:f>
              <c:strCache>
                <c:ptCount val="1"/>
                <c:pt idx="0">
                  <c:v>ISPITANICI SA LUMBALNIM BOLOM</c:v>
                </c:pt>
              </c:strCache>
            </c:strRef>
          </c:tx>
          <c:invertIfNegative val="0"/>
          <c:cat>
            <c:strRef>
              <c:f>'[Chart in Microsoft Word]Sheet1'!$I$93:$R$93</c:f>
              <c:strCache>
                <c:ptCount val="10"/>
                <c:pt idx="0">
                  <c:v>L1</c:v>
                </c:pt>
                <c:pt idx="1">
                  <c:v>L2</c:v>
                </c:pt>
                <c:pt idx="2">
                  <c:v>L3</c:v>
                </c:pt>
                <c:pt idx="3">
                  <c:v>L4</c:v>
                </c:pt>
                <c:pt idx="4">
                  <c:v>L5</c:v>
                </c:pt>
                <c:pt idx="5">
                  <c:v>L6</c:v>
                </c:pt>
                <c:pt idx="6">
                  <c:v>L7</c:v>
                </c:pt>
                <c:pt idx="7">
                  <c:v>L8</c:v>
                </c:pt>
                <c:pt idx="8">
                  <c:v>L9</c:v>
                </c:pt>
                <c:pt idx="9">
                  <c:v>L10</c:v>
                </c:pt>
              </c:strCache>
            </c:strRef>
          </c:cat>
          <c:val>
            <c:numRef>
              <c:f>'[Chart in Microsoft Word]Sheet1'!$I$96:$R$96</c:f>
              <c:numCache>
                <c:formatCode>0.00</c:formatCode>
                <c:ptCount val="10"/>
                <c:pt idx="0">
                  <c:v>453.45964912280692</c:v>
                </c:pt>
                <c:pt idx="1">
                  <c:v>420.9210526315789</c:v>
                </c:pt>
                <c:pt idx="2">
                  <c:v>418.27017543859648</c:v>
                </c:pt>
                <c:pt idx="3">
                  <c:v>361.88070175438594</c:v>
                </c:pt>
                <c:pt idx="4">
                  <c:v>398.87719298245617</c:v>
                </c:pt>
                <c:pt idx="5">
                  <c:v>354.41929824561402</c:v>
                </c:pt>
                <c:pt idx="6">
                  <c:v>485.64210526315793</c:v>
                </c:pt>
                <c:pt idx="7">
                  <c:v>405.65087719298236</c:v>
                </c:pt>
                <c:pt idx="8">
                  <c:v>499.30701754385967</c:v>
                </c:pt>
                <c:pt idx="9">
                  <c:v>448.81228070175445</c:v>
                </c:pt>
              </c:numCache>
            </c:numRef>
          </c:val>
          <c:extLst>
            <c:ext xmlns:c16="http://schemas.microsoft.com/office/drawing/2014/chart" uri="{C3380CC4-5D6E-409C-BE32-E72D297353CC}">
              <c16:uniqueId val="{00000002-F239-4E38-8B54-3F51FE12980D}"/>
            </c:ext>
          </c:extLst>
        </c:ser>
        <c:dLbls>
          <c:showLegendKey val="0"/>
          <c:showVal val="0"/>
          <c:showCatName val="0"/>
          <c:showSerName val="0"/>
          <c:showPercent val="0"/>
          <c:showBubbleSize val="0"/>
        </c:dLbls>
        <c:gapWidth val="150"/>
        <c:axId val="85080704"/>
        <c:axId val="85098880"/>
      </c:barChart>
      <c:catAx>
        <c:axId val="85080704"/>
        <c:scaling>
          <c:orientation val="minMax"/>
        </c:scaling>
        <c:delete val="0"/>
        <c:axPos val="b"/>
        <c:numFmt formatCode="General" sourceLinked="0"/>
        <c:majorTickMark val="none"/>
        <c:minorTickMark val="none"/>
        <c:tickLblPos val="nextTo"/>
        <c:crossAx val="85098880"/>
        <c:crosses val="autoZero"/>
        <c:auto val="1"/>
        <c:lblAlgn val="ctr"/>
        <c:lblOffset val="100"/>
        <c:noMultiLvlLbl val="0"/>
      </c:catAx>
      <c:valAx>
        <c:axId val="85098880"/>
        <c:scaling>
          <c:orientation val="minMax"/>
        </c:scaling>
        <c:delete val="0"/>
        <c:axPos val="l"/>
        <c:majorGridlines/>
        <c:numFmt formatCode="0.00" sourceLinked="1"/>
        <c:majorTickMark val="none"/>
        <c:minorTickMark val="none"/>
        <c:tickLblPos val="nextTo"/>
        <c:crossAx val="85080704"/>
        <c:crosses val="autoZero"/>
        <c:crossBetween val="between"/>
      </c:valAx>
    </c:plotArea>
    <c:legend>
      <c:legendPos val="r"/>
      <c:layout>
        <c:manualLayout>
          <c:xMode val="edge"/>
          <c:yMode val="edge"/>
          <c:x val="0.7232908408810258"/>
          <c:y val="0.34113990959463403"/>
          <c:w val="0.25909516177734421"/>
          <c:h val="0.32697944006999125"/>
        </c:manualLayout>
      </c:layout>
      <c:overlay val="0"/>
      <c:txPr>
        <a:bodyPr/>
        <a:lstStyle/>
        <a:p>
          <a:pPr>
            <a:defRPr sz="800" b="1">
              <a:latin typeface="Times New Roman" panose="02020603050405020304" pitchFamily="18" charset="0"/>
              <a:cs typeface="Times New Roman" panose="02020603050405020304" pitchFamily="18" charset="0"/>
            </a:defRPr>
          </a:pPr>
          <a:endParaRPr lang="sr-Latn-RS"/>
        </a:p>
      </c:txPr>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182897958869511"/>
          <c:y val="5.1400554097404488E-2"/>
          <c:w val="0.62739494205823543"/>
          <c:h val="0.8326195683872849"/>
        </c:manualLayout>
      </c:layout>
      <c:barChart>
        <c:barDir val="col"/>
        <c:grouping val="clustered"/>
        <c:varyColors val="0"/>
        <c:ser>
          <c:idx val="0"/>
          <c:order val="0"/>
          <c:tx>
            <c:strRef>
              <c:f>'[Chart in Microsoft Word]Sheet1'!$H$110</c:f>
              <c:strCache>
                <c:ptCount val="1"/>
                <c:pt idx="0">
                  <c:v>ZDRAVI ISPITANICI</c:v>
                </c:pt>
              </c:strCache>
            </c:strRef>
          </c:tx>
          <c:invertIfNegative val="0"/>
          <c:cat>
            <c:strRef>
              <c:f>'[Chart in Microsoft Word]Sheet1'!$I$109:$R$109</c:f>
              <c:strCache>
                <c:ptCount val="10"/>
                <c:pt idx="0">
                  <c:v>N1</c:v>
                </c:pt>
                <c:pt idx="1">
                  <c:v>N2</c:v>
                </c:pt>
                <c:pt idx="2">
                  <c:v>N3</c:v>
                </c:pt>
                <c:pt idx="3">
                  <c:v>N4</c:v>
                </c:pt>
                <c:pt idx="4">
                  <c:v>N5</c:v>
                </c:pt>
                <c:pt idx="5">
                  <c:v>N6</c:v>
                </c:pt>
                <c:pt idx="6">
                  <c:v>N7</c:v>
                </c:pt>
                <c:pt idx="7">
                  <c:v>N8</c:v>
                </c:pt>
                <c:pt idx="8">
                  <c:v>N9</c:v>
                </c:pt>
                <c:pt idx="9">
                  <c:v>N10</c:v>
                </c:pt>
              </c:strCache>
            </c:strRef>
          </c:cat>
          <c:val>
            <c:numRef>
              <c:f>'[Chart in Microsoft Word]Sheet1'!$I$110:$R$110</c:f>
              <c:numCache>
                <c:formatCode>0.00</c:formatCode>
                <c:ptCount val="10"/>
                <c:pt idx="0">
                  <c:v>741.91066666666666</c:v>
                </c:pt>
                <c:pt idx="1">
                  <c:v>789.68266666666659</c:v>
                </c:pt>
                <c:pt idx="2">
                  <c:v>714.77733333333322</c:v>
                </c:pt>
                <c:pt idx="3">
                  <c:v>740.18666666666661</c:v>
                </c:pt>
                <c:pt idx="4">
                  <c:v>552.63920000000007</c:v>
                </c:pt>
                <c:pt idx="5">
                  <c:v>594.73066666666682</c:v>
                </c:pt>
                <c:pt idx="6">
                  <c:v>758.12</c:v>
                </c:pt>
                <c:pt idx="7">
                  <c:v>714.58533333333344</c:v>
                </c:pt>
                <c:pt idx="8">
                  <c:v>594.71866666666665</c:v>
                </c:pt>
                <c:pt idx="9">
                  <c:v>520.18133333333344</c:v>
                </c:pt>
              </c:numCache>
            </c:numRef>
          </c:val>
          <c:extLst>
            <c:ext xmlns:c16="http://schemas.microsoft.com/office/drawing/2014/chart" uri="{C3380CC4-5D6E-409C-BE32-E72D297353CC}">
              <c16:uniqueId val="{00000000-1F34-4E63-9D0D-F9F917DA7CFF}"/>
            </c:ext>
          </c:extLst>
        </c:ser>
        <c:ser>
          <c:idx val="1"/>
          <c:order val="1"/>
          <c:tx>
            <c:strRef>
              <c:f>'[Chart in Microsoft Word]Sheet1'!$H$111</c:f>
              <c:strCache>
                <c:ptCount val="1"/>
                <c:pt idx="0">
                  <c:v>ISPITANICI SA GLAVOBOLJOM</c:v>
                </c:pt>
              </c:strCache>
            </c:strRef>
          </c:tx>
          <c:invertIfNegative val="0"/>
          <c:cat>
            <c:strRef>
              <c:f>'[Chart in Microsoft Word]Sheet1'!$I$109:$R$109</c:f>
              <c:strCache>
                <c:ptCount val="10"/>
                <c:pt idx="0">
                  <c:v>N1</c:v>
                </c:pt>
                <c:pt idx="1">
                  <c:v>N2</c:v>
                </c:pt>
                <c:pt idx="2">
                  <c:v>N3</c:v>
                </c:pt>
                <c:pt idx="3">
                  <c:v>N4</c:v>
                </c:pt>
                <c:pt idx="4">
                  <c:v>N5</c:v>
                </c:pt>
                <c:pt idx="5">
                  <c:v>N6</c:v>
                </c:pt>
                <c:pt idx="6">
                  <c:v>N7</c:v>
                </c:pt>
                <c:pt idx="7">
                  <c:v>N8</c:v>
                </c:pt>
                <c:pt idx="8">
                  <c:v>N9</c:v>
                </c:pt>
                <c:pt idx="9">
                  <c:v>N10</c:v>
                </c:pt>
              </c:strCache>
            </c:strRef>
          </c:cat>
          <c:val>
            <c:numRef>
              <c:f>'[Chart in Microsoft Word]Sheet1'!$I$111:$R$111</c:f>
              <c:numCache>
                <c:formatCode>0.00</c:formatCode>
                <c:ptCount val="10"/>
                <c:pt idx="0">
                  <c:v>736.09777777777776</c:v>
                </c:pt>
                <c:pt idx="1">
                  <c:v>846.69999999999993</c:v>
                </c:pt>
                <c:pt idx="2">
                  <c:v>581.21777777777777</c:v>
                </c:pt>
                <c:pt idx="3">
                  <c:v>527.05777777777791</c:v>
                </c:pt>
                <c:pt idx="4">
                  <c:v>503.24</c:v>
                </c:pt>
                <c:pt idx="5">
                  <c:v>434.90222222222218</c:v>
                </c:pt>
                <c:pt idx="6">
                  <c:v>452.31111111111102</c:v>
                </c:pt>
                <c:pt idx="7">
                  <c:v>488.47111111111116</c:v>
                </c:pt>
                <c:pt idx="8">
                  <c:v>281.28888888888895</c:v>
                </c:pt>
                <c:pt idx="9">
                  <c:v>279.46222222222218</c:v>
                </c:pt>
              </c:numCache>
            </c:numRef>
          </c:val>
          <c:extLst>
            <c:ext xmlns:c16="http://schemas.microsoft.com/office/drawing/2014/chart" uri="{C3380CC4-5D6E-409C-BE32-E72D297353CC}">
              <c16:uniqueId val="{00000001-1F34-4E63-9D0D-F9F917DA7CFF}"/>
            </c:ext>
          </c:extLst>
        </c:ser>
        <c:ser>
          <c:idx val="2"/>
          <c:order val="2"/>
          <c:tx>
            <c:strRef>
              <c:f>'[Chart in Microsoft Word]Sheet1'!$H$112</c:f>
              <c:strCache>
                <c:ptCount val="1"/>
                <c:pt idx="0">
                  <c:v>ISPITANICI SA LUMBALNIM BOLOM</c:v>
                </c:pt>
              </c:strCache>
            </c:strRef>
          </c:tx>
          <c:invertIfNegative val="0"/>
          <c:cat>
            <c:strRef>
              <c:f>'[Chart in Microsoft Word]Sheet1'!$I$109:$R$109</c:f>
              <c:strCache>
                <c:ptCount val="10"/>
                <c:pt idx="0">
                  <c:v>N1</c:v>
                </c:pt>
                <c:pt idx="1">
                  <c:v>N2</c:v>
                </c:pt>
                <c:pt idx="2">
                  <c:v>N3</c:v>
                </c:pt>
                <c:pt idx="3">
                  <c:v>N4</c:v>
                </c:pt>
                <c:pt idx="4">
                  <c:v>N5</c:v>
                </c:pt>
                <c:pt idx="5">
                  <c:v>N6</c:v>
                </c:pt>
                <c:pt idx="6">
                  <c:v>N7</c:v>
                </c:pt>
                <c:pt idx="7">
                  <c:v>N8</c:v>
                </c:pt>
                <c:pt idx="8">
                  <c:v>N9</c:v>
                </c:pt>
                <c:pt idx="9">
                  <c:v>N10</c:v>
                </c:pt>
              </c:strCache>
            </c:strRef>
          </c:cat>
          <c:val>
            <c:numRef>
              <c:f>'[Chart in Microsoft Word]Sheet1'!$I$112:$R$112</c:f>
              <c:numCache>
                <c:formatCode>0.00</c:formatCode>
                <c:ptCount val="10"/>
                <c:pt idx="0">
                  <c:v>615.88421052631577</c:v>
                </c:pt>
                <c:pt idx="1">
                  <c:v>479.95087719298243</c:v>
                </c:pt>
                <c:pt idx="2">
                  <c:v>429.25614035087727</c:v>
                </c:pt>
                <c:pt idx="3">
                  <c:v>432.45964912280704</c:v>
                </c:pt>
                <c:pt idx="4">
                  <c:v>305.4228070175439</c:v>
                </c:pt>
                <c:pt idx="5">
                  <c:v>365.77719298245609</c:v>
                </c:pt>
                <c:pt idx="6">
                  <c:v>405.13333333333338</c:v>
                </c:pt>
                <c:pt idx="7">
                  <c:v>389.73157894736835</c:v>
                </c:pt>
                <c:pt idx="8">
                  <c:v>352.52456140350881</c:v>
                </c:pt>
                <c:pt idx="9">
                  <c:v>316.2701754385966</c:v>
                </c:pt>
              </c:numCache>
            </c:numRef>
          </c:val>
          <c:extLst>
            <c:ext xmlns:c16="http://schemas.microsoft.com/office/drawing/2014/chart" uri="{C3380CC4-5D6E-409C-BE32-E72D297353CC}">
              <c16:uniqueId val="{00000002-1F34-4E63-9D0D-F9F917DA7CFF}"/>
            </c:ext>
          </c:extLst>
        </c:ser>
        <c:dLbls>
          <c:showLegendKey val="0"/>
          <c:showVal val="0"/>
          <c:showCatName val="0"/>
          <c:showSerName val="0"/>
          <c:showPercent val="0"/>
          <c:showBubbleSize val="0"/>
        </c:dLbls>
        <c:gapWidth val="150"/>
        <c:axId val="85116416"/>
        <c:axId val="85117952"/>
      </c:barChart>
      <c:catAx>
        <c:axId val="85116416"/>
        <c:scaling>
          <c:orientation val="minMax"/>
        </c:scaling>
        <c:delete val="0"/>
        <c:axPos val="b"/>
        <c:numFmt formatCode="General" sourceLinked="0"/>
        <c:majorTickMark val="none"/>
        <c:minorTickMark val="none"/>
        <c:tickLblPos val="nextTo"/>
        <c:crossAx val="85117952"/>
        <c:crosses val="autoZero"/>
        <c:auto val="1"/>
        <c:lblAlgn val="ctr"/>
        <c:lblOffset val="100"/>
        <c:noMultiLvlLbl val="0"/>
      </c:catAx>
      <c:valAx>
        <c:axId val="85117952"/>
        <c:scaling>
          <c:orientation val="minMax"/>
        </c:scaling>
        <c:delete val="0"/>
        <c:axPos val="l"/>
        <c:majorGridlines/>
        <c:numFmt formatCode="0.00" sourceLinked="1"/>
        <c:majorTickMark val="none"/>
        <c:minorTickMark val="none"/>
        <c:tickLblPos val="nextTo"/>
        <c:crossAx val="85116416"/>
        <c:crosses val="autoZero"/>
        <c:crossBetween val="between"/>
      </c:valAx>
    </c:plotArea>
    <c:legend>
      <c:legendPos val="r"/>
      <c:layout>
        <c:manualLayout>
          <c:xMode val="edge"/>
          <c:yMode val="edge"/>
          <c:x val="0.73130788254356294"/>
          <c:y val="0.34576953922426368"/>
          <c:w val="0.26528032680125513"/>
          <c:h val="0.32697944006999125"/>
        </c:manualLayout>
      </c:layout>
      <c:overlay val="0"/>
      <c:txPr>
        <a:bodyPr/>
        <a:lstStyle/>
        <a:p>
          <a:pPr>
            <a:defRPr sz="800" b="1">
              <a:latin typeface="Times New Roman" panose="02020603050405020304" pitchFamily="18" charset="0"/>
              <a:cs typeface="Times New Roman" panose="02020603050405020304" pitchFamily="18" charset="0"/>
            </a:defRPr>
          </a:pPr>
          <a:endParaRPr lang="sr-Latn-RS"/>
        </a:p>
      </c:txPr>
    </c:legend>
    <c:plotVisOnly val="1"/>
    <c:dispBlanksAs val="gap"/>
    <c:showDLblsOverMax val="0"/>
  </c:chart>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67</TotalTime>
  <Pages>11</Pages>
  <Words>4570</Words>
  <Characters>26054</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 Katanić</dc:creator>
  <cp:keywords/>
  <dc:description/>
  <cp:lastModifiedBy>Filip Katanić</cp:lastModifiedBy>
  <cp:revision>22</cp:revision>
  <dcterms:created xsi:type="dcterms:W3CDTF">2017-10-09T02:20:00Z</dcterms:created>
  <dcterms:modified xsi:type="dcterms:W3CDTF">2017-10-09T03:46:00Z</dcterms:modified>
</cp:coreProperties>
</file>