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39A" w:rsidRPr="00C113B2" w:rsidRDefault="00C113B2" w:rsidP="00C113B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Latn-BA"/>
        </w:rPr>
      </w:pPr>
      <w:r w:rsidRPr="00C113B2">
        <w:rPr>
          <w:rFonts w:ascii="Times New Roman" w:hAnsi="Times New Roman" w:cs="Times New Roman"/>
          <w:b/>
          <w:bCs/>
          <w:sz w:val="24"/>
          <w:szCs w:val="24"/>
          <w:lang w:val="sr-Latn-BA"/>
        </w:rPr>
        <w:t xml:space="preserve">Efficacy of local use of probiotics as an adjunct to </w:t>
      </w:r>
      <w:r w:rsidR="00091A9A" w:rsidRPr="00091A9A">
        <w:rPr>
          <w:rFonts w:ascii="Times New Roman" w:hAnsi="Times New Roman" w:cs="Times New Roman"/>
          <w:b/>
          <w:bCs/>
          <w:sz w:val="24"/>
          <w:szCs w:val="24"/>
          <w:lang w:val="sr-Latn-BA"/>
        </w:rPr>
        <w:t>non</w:t>
      </w:r>
      <w:r w:rsidR="00091A9A" w:rsidRPr="00091A9A">
        <w:rPr>
          <w:rFonts w:ascii="Cambria Math" w:hAnsi="Cambria Math" w:cs="Cambria Math"/>
          <w:b/>
          <w:bCs/>
          <w:sz w:val="24"/>
          <w:szCs w:val="24"/>
          <w:lang w:val="sr-Latn-BA"/>
        </w:rPr>
        <w:t>‐</w:t>
      </w:r>
      <w:r w:rsidR="00091A9A" w:rsidRPr="00091A9A">
        <w:rPr>
          <w:rFonts w:ascii="Times New Roman" w:hAnsi="Times New Roman" w:cs="Times New Roman"/>
          <w:b/>
          <w:bCs/>
          <w:sz w:val="24"/>
          <w:szCs w:val="24"/>
          <w:lang w:val="sr-Latn-BA"/>
        </w:rPr>
        <w:t xml:space="preserve">surgical periodontal therapy </w:t>
      </w:r>
    </w:p>
    <w:p w:rsidR="00FC239A" w:rsidRPr="00CC6930" w:rsidRDefault="00FC239A" w:rsidP="00EF14AE">
      <w:pPr>
        <w:pStyle w:val="NoSpacing"/>
        <w:jc w:val="center"/>
        <w:rPr>
          <w:rFonts w:ascii="Times New Roman" w:hAnsi="Times New Roman" w:cs="Times New Roman"/>
          <w:vertAlign w:val="superscript"/>
        </w:rPr>
      </w:pPr>
      <w:r w:rsidRPr="00CC6930">
        <w:rPr>
          <w:rFonts w:ascii="Times New Roman" w:hAnsi="Times New Roman" w:cs="Times New Roman"/>
        </w:rPr>
        <w:t>T. Adamović</w:t>
      </w:r>
      <w:r w:rsidR="00CC6930" w:rsidRPr="00CC6930">
        <w:rPr>
          <w:rFonts w:ascii="Times New Roman" w:hAnsi="Times New Roman" w:cs="Times New Roman"/>
        </w:rPr>
        <w:t xml:space="preserve"> </w:t>
      </w:r>
      <w:r w:rsidR="00CC6930" w:rsidRPr="00CC6930">
        <w:rPr>
          <w:rFonts w:ascii="Times New Roman" w:hAnsi="Times New Roman" w:cs="Times New Roman"/>
          <w:vertAlign w:val="superscript"/>
        </w:rPr>
        <w:t>1</w:t>
      </w:r>
      <w:r w:rsidR="00C113B2" w:rsidRPr="00CC6930">
        <w:rPr>
          <w:rFonts w:ascii="Times New Roman" w:hAnsi="Times New Roman" w:cs="Times New Roman"/>
        </w:rPr>
        <w:t xml:space="preserve">, </w:t>
      </w:r>
      <w:r w:rsidR="00953BD5" w:rsidRPr="00CC6930">
        <w:rPr>
          <w:rFonts w:ascii="Times New Roman" w:hAnsi="Times New Roman" w:cs="Times New Roman"/>
        </w:rPr>
        <w:t>N. Trtić</w:t>
      </w:r>
      <w:r w:rsidR="00CC6930" w:rsidRPr="00CC6930">
        <w:rPr>
          <w:rFonts w:ascii="Times New Roman" w:hAnsi="Times New Roman" w:cs="Times New Roman"/>
          <w:vertAlign w:val="superscript"/>
        </w:rPr>
        <w:t xml:space="preserve"> 1</w:t>
      </w:r>
      <w:r w:rsidR="00C113B2" w:rsidRPr="00CC6930">
        <w:rPr>
          <w:rFonts w:ascii="Times New Roman" w:hAnsi="Times New Roman" w:cs="Times New Roman"/>
        </w:rPr>
        <w:t xml:space="preserve">, </w:t>
      </w:r>
      <w:r w:rsidR="00480411" w:rsidRPr="00CC6930">
        <w:rPr>
          <w:rFonts w:ascii="Times New Roman" w:hAnsi="Times New Roman" w:cs="Times New Roman"/>
        </w:rPr>
        <w:t>V.</w:t>
      </w:r>
      <w:r w:rsidR="00C113B2" w:rsidRPr="00CC6930">
        <w:rPr>
          <w:rFonts w:ascii="Times New Roman" w:hAnsi="Times New Roman" w:cs="Times New Roman"/>
        </w:rPr>
        <w:t xml:space="preserve"> </w:t>
      </w:r>
      <w:r w:rsidR="00480411" w:rsidRPr="00CC6930">
        <w:rPr>
          <w:rFonts w:ascii="Times New Roman" w:hAnsi="Times New Roman" w:cs="Times New Roman"/>
        </w:rPr>
        <w:t>Pavlić</w:t>
      </w:r>
      <w:r w:rsidR="00CC6930" w:rsidRPr="00CC6930">
        <w:rPr>
          <w:rFonts w:ascii="Times New Roman" w:hAnsi="Times New Roman" w:cs="Times New Roman"/>
        </w:rPr>
        <w:t xml:space="preserve"> </w:t>
      </w:r>
      <w:r w:rsidR="00CC6930" w:rsidRPr="00CC6930">
        <w:rPr>
          <w:rFonts w:ascii="Times New Roman" w:hAnsi="Times New Roman" w:cs="Times New Roman"/>
          <w:vertAlign w:val="superscript"/>
        </w:rPr>
        <w:t>1,2</w:t>
      </w:r>
      <w:r w:rsidR="00C113B2" w:rsidRPr="00CC6930">
        <w:rPr>
          <w:rFonts w:ascii="Times New Roman" w:hAnsi="Times New Roman" w:cs="Times New Roman"/>
        </w:rPr>
        <w:t>, O. Janković</w:t>
      </w:r>
      <w:r w:rsidR="00CC6930" w:rsidRPr="00CC6930">
        <w:rPr>
          <w:rFonts w:ascii="Times New Roman" w:hAnsi="Times New Roman" w:cs="Times New Roman"/>
        </w:rPr>
        <w:t xml:space="preserve"> </w:t>
      </w:r>
      <w:r w:rsidR="00CC6930" w:rsidRPr="00CC6930">
        <w:rPr>
          <w:rFonts w:ascii="Times New Roman" w:hAnsi="Times New Roman" w:cs="Times New Roman"/>
          <w:vertAlign w:val="superscript"/>
        </w:rPr>
        <w:t>1</w:t>
      </w:r>
      <w:r w:rsidR="00CC6930" w:rsidRPr="00CC6930">
        <w:rPr>
          <w:rFonts w:ascii="Times New Roman" w:hAnsi="Times New Roman" w:cs="Times New Roman"/>
        </w:rPr>
        <w:t>,</w:t>
      </w:r>
      <w:r w:rsidR="00C113B2" w:rsidRPr="00CC6930">
        <w:rPr>
          <w:rFonts w:ascii="Times New Roman" w:hAnsi="Times New Roman" w:cs="Times New Roman"/>
          <w:vertAlign w:val="superscript"/>
        </w:rPr>
        <w:t xml:space="preserve"> </w:t>
      </w:r>
      <w:r w:rsidR="00C113B2" w:rsidRPr="00CC6930">
        <w:rPr>
          <w:rFonts w:ascii="Times New Roman" w:hAnsi="Times New Roman" w:cs="Times New Roman"/>
        </w:rPr>
        <w:t>V. Veselinović</w:t>
      </w:r>
      <w:r w:rsidR="00CC6930" w:rsidRPr="00CC6930">
        <w:rPr>
          <w:rFonts w:ascii="Times New Roman" w:hAnsi="Times New Roman" w:cs="Times New Roman"/>
        </w:rPr>
        <w:t xml:space="preserve"> </w:t>
      </w:r>
      <w:r w:rsidR="00CC6930" w:rsidRPr="00CC6930">
        <w:rPr>
          <w:rFonts w:ascii="Times New Roman" w:hAnsi="Times New Roman" w:cs="Times New Roman"/>
          <w:vertAlign w:val="superscript"/>
        </w:rPr>
        <w:t>1</w:t>
      </w:r>
      <w:r w:rsidR="00C113B2" w:rsidRPr="00CC6930">
        <w:rPr>
          <w:rFonts w:ascii="Times New Roman" w:hAnsi="Times New Roman" w:cs="Times New Roman"/>
        </w:rPr>
        <w:t xml:space="preserve">, </w:t>
      </w:r>
      <w:r w:rsidR="00C113B2" w:rsidRPr="00CC6930">
        <w:rPr>
          <w:rFonts w:ascii="Times New Roman" w:hAnsi="Times New Roman" w:cs="Times New Roman"/>
          <w:vertAlign w:val="superscript"/>
        </w:rPr>
        <w:t xml:space="preserve"> </w:t>
      </w:r>
      <w:r w:rsidR="00C113B2" w:rsidRPr="00CC6930">
        <w:rPr>
          <w:rFonts w:ascii="Times New Roman" w:hAnsi="Times New Roman" w:cs="Times New Roman"/>
        </w:rPr>
        <w:t>R. Tamburić</w:t>
      </w:r>
      <w:r w:rsidR="00CC6930" w:rsidRPr="00CC6930">
        <w:rPr>
          <w:rFonts w:ascii="Times New Roman" w:hAnsi="Times New Roman" w:cs="Times New Roman"/>
        </w:rPr>
        <w:t xml:space="preserve"> </w:t>
      </w:r>
      <w:r w:rsidR="00CC6930" w:rsidRPr="00CC6930">
        <w:rPr>
          <w:rFonts w:ascii="Times New Roman" w:hAnsi="Times New Roman" w:cs="Times New Roman"/>
          <w:vertAlign w:val="superscript"/>
        </w:rPr>
        <w:t>3</w:t>
      </w:r>
    </w:p>
    <w:p w:rsidR="00FC239A" w:rsidRPr="00CC6930" w:rsidRDefault="00C113B2" w:rsidP="00C113B2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953BD5" w:rsidRPr="00CC6930">
        <w:rPr>
          <w:rFonts w:ascii="Times New Roman" w:hAnsi="Times New Roman" w:cs="Times New Roman"/>
          <w:sz w:val="20"/>
          <w:szCs w:val="20"/>
        </w:rPr>
        <w:t>University of Banja Luka, Faculty of Medicine</w:t>
      </w:r>
    </w:p>
    <w:p w:rsidR="00480411" w:rsidRPr="00CC6930" w:rsidRDefault="00C113B2" w:rsidP="00EF14AE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480411" w:rsidRPr="00CC6930">
        <w:rPr>
          <w:rFonts w:ascii="Times New Roman" w:hAnsi="Times New Roman" w:cs="Times New Roman"/>
          <w:sz w:val="20"/>
          <w:szCs w:val="20"/>
        </w:rPr>
        <w:t>Institute of Dentistry Banja Luka</w:t>
      </w:r>
    </w:p>
    <w:p w:rsidR="00C113B2" w:rsidRPr="00CC6930" w:rsidRDefault="00C113B2" w:rsidP="00EF14AE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 xml:space="preserve">3 </w:t>
      </w:r>
      <w:r w:rsidRPr="00CC6930">
        <w:rPr>
          <w:rFonts w:ascii="Times New Roman" w:hAnsi="Times New Roman" w:cs="Times New Roman"/>
          <w:sz w:val="20"/>
          <w:szCs w:val="20"/>
        </w:rPr>
        <w:t>University Clinical Centre of the Republic of Srpska</w:t>
      </w:r>
    </w:p>
    <w:p w:rsidR="00C113B2" w:rsidRPr="00CC6930" w:rsidRDefault="00C113B2" w:rsidP="00EF14AE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953BD5" w:rsidRPr="00EF14AE" w:rsidRDefault="00953BD5" w:rsidP="00EF14A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953BD5" w:rsidRPr="00CC6930" w:rsidRDefault="00EF14AE" w:rsidP="00EF14AE">
      <w:pPr>
        <w:jc w:val="both"/>
        <w:rPr>
          <w:rFonts w:ascii="Times New Roman" w:hAnsi="Times New Roman" w:cs="Times New Roman"/>
          <w:b/>
          <w:sz w:val="18"/>
          <w:szCs w:val="18"/>
          <w:lang w:val="sr-Latn-BA"/>
        </w:rPr>
      </w:pPr>
      <w:r w:rsidRPr="00CC6930">
        <w:rPr>
          <w:rFonts w:ascii="Times New Roman" w:eastAsia="Calibri" w:hAnsi="Times New Roman" w:cs="Times New Roman"/>
          <w:b/>
          <w:bCs/>
          <w:sz w:val="18"/>
          <w:szCs w:val="18"/>
          <w:lang w:val="sr-Latn-BA"/>
        </w:rPr>
        <w:t>Background &amp; Aim</w:t>
      </w:r>
      <w:r w:rsidRPr="00CC6930">
        <w:rPr>
          <w:rFonts w:ascii="Times New Roman" w:eastAsia="Calibri" w:hAnsi="Times New Roman" w:cs="Times New Roman"/>
          <w:b/>
          <w:sz w:val="18"/>
          <w:szCs w:val="18"/>
          <w:lang w:val="sr-Latn-BA"/>
        </w:rPr>
        <w:t>:</w:t>
      </w:r>
      <w:r w:rsidRPr="00CC6930">
        <w:rPr>
          <w:rFonts w:ascii="Times New Roman" w:eastAsia="Calibri" w:hAnsi="Times New Roman" w:cs="Times New Roman"/>
          <w:sz w:val="18"/>
          <w:szCs w:val="18"/>
          <w:lang w:val="sr-Latn-BA"/>
        </w:rPr>
        <w:t xml:space="preserve"> </w:t>
      </w:r>
      <w:r w:rsidR="006F68A0" w:rsidRPr="00CC6930">
        <w:rPr>
          <w:rFonts w:ascii="Times New Roman" w:hAnsi="Times New Roman" w:cs="Times New Roman"/>
          <w:sz w:val="18"/>
          <w:szCs w:val="18"/>
        </w:rPr>
        <w:t xml:space="preserve">Periodontal disease is a chronic inflammatory disease caused by </w:t>
      </w:r>
      <w:r w:rsidR="006F68A0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pathologic</w:t>
      </w:r>
      <w:r w:rsidR="006F68A0" w:rsidRPr="00CC6930">
        <w:rPr>
          <w:rFonts w:ascii="Times New Roman" w:hAnsi="Times New Roman" w:cs="Times New Roman"/>
          <w:sz w:val="18"/>
          <w:szCs w:val="18"/>
        </w:rPr>
        <w:t xml:space="preserve"> microorganisms. Standard parodontopathy therapy involves </w:t>
      </w:r>
      <w:r w:rsidR="006F68A0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scaling and root planing</w:t>
      </w:r>
      <w:r w:rsidR="006F68A0" w:rsidRPr="00CC6930">
        <w:rPr>
          <w:rFonts w:ascii="Times New Roman" w:hAnsi="Times New Roman" w:cs="Times New Roman"/>
          <w:sz w:val="18"/>
          <w:szCs w:val="18"/>
        </w:rPr>
        <w:t xml:space="preserve"> (SRP) .</w:t>
      </w:r>
      <w:r w:rsidR="00CC6930" w:rsidRPr="00CC693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C6930" w:rsidRPr="00CC6930">
        <w:rPr>
          <w:rFonts w:ascii="Times New Roman" w:hAnsi="Times New Roman" w:cs="Times New Roman"/>
          <w:sz w:val="18"/>
          <w:szCs w:val="18"/>
          <w:lang w:val="sr-Latn-BA"/>
        </w:rPr>
        <w:t xml:space="preserve">Possible mechanisms of probiotics' action in periodontal disease are based on modifications of the pathogenic potential of </w:t>
      </w:r>
      <w:r w:rsidR="00815095">
        <w:rPr>
          <w:rFonts w:ascii="Times New Roman" w:hAnsi="Times New Roman" w:cs="Times New Roman"/>
          <w:sz w:val="18"/>
          <w:szCs w:val="18"/>
          <w:lang w:val="sr-Latn-BA"/>
        </w:rPr>
        <w:t>microbial</w:t>
      </w:r>
      <w:r w:rsidR="00CC6930" w:rsidRPr="00CC6930">
        <w:rPr>
          <w:rFonts w:ascii="Times New Roman" w:hAnsi="Times New Roman" w:cs="Times New Roman"/>
          <w:sz w:val="18"/>
          <w:szCs w:val="18"/>
          <w:lang w:val="sr-Latn-BA"/>
        </w:rPr>
        <w:t xml:space="preserve"> biofilm. </w:t>
      </w:r>
      <w:r w:rsidR="007A3016" w:rsidRPr="00CC6930">
        <w:rPr>
          <w:rFonts w:ascii="Times New Roman" w:hAnsi="Times New Roman" w:cs="Times New Roman"/>
          <w:sz w:val="18"/>
          <w:szCs w:val="18"/>
        </w:rPr>
        <w:t xml:space="preserve"> </w:t>
      </w:r>
      <w:r w:rsidR="006F68A0" w:rsidRPr="00CC6930">
        <w:rPr>
          <w:rFonts w:ascii="Times New Roman" w:hAnsi="Times New Roman" w:cs="Times New Roman"/>
          <w:color w:val="333333"/>
          <w:sz w:val="18"/>
          <w:szCs w:val="18"/>
          <w:shd w:val="clear" w:color="auto" w:fill="F9F9F9"/>
        </w:rPr>
        <w:t xml:space="preserve">Probiotics </w:t>
      </w:r>
      <w:r w:rsidR="006F68A0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help in stimulating health promoting flora and also suppressing the pathologic colonization and spread</w:t>
      </w:r>
      <w:r w:rsidR="007A301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periodontal disease.</w:t>
      </w:r>
      <w:r w:rsidR="00A50646" w:rsidRPr="00CC6930">
        <w:rPr>
          <w:rFonts w:ascii="Times New Roman" w:hAnsi="Times New Roman" w:cs="Times New Roman"/>
          <w:sz w:val="18"/>
          <w:szCs w:val="18"/>
          <w:lang w:val="sr-Latn-BA"/>
        </w:rPr>
        <w:t xml:space="preserve"> 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>The aim of this study was to assess the clinic</w:t>
      </w:r>
      <w:r w:rsidR="00C113B2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 xml:space="preserve">al effect 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 xml:space="preserve">of </w:t>
      </w:r>
      <w:r w:rsidR="00A50646" w:rsidRPr="00CC6930">
        <w:rPr>
          <w:rFonts w:ascii="Times New Roman" w:hAnsi="Times New Roman" w:cs="Times New Roman"/>
          <w:i/>
          <w:color w:val="000000"/>
          <w:sz w:val="18"/>
          <w:szCs w:val="18"/>
          <w:shd w:val="clear" w:color="auto" w:fill="FFFFFF"/>
          <w:lang w:val="sr-Latn-BA"/>
        </w:rPr>
        <w:t>Bifidobacterium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 xml:space="preserve"> and </w:t>
      </w:r>
      <w:r w:rsidR="00A50646" w:rsidRPr="00CC6930">
        <w:rPr>
          <w:rFonts w:ascii="Times New Roman" w:hAnsi="Times New Roman" w:cs="Times New Roman"/>
          <w:i/>
          <w:color w:val="000000"/>
          <w:sz w:val="18"/>
          <w:szCs w:val="18"/>
          <w:shd w:val="clear" w:color="auto" w:fill="FFFFFF"/>
          <w:lang w:val="sr-Latn-BA"/>
        </w:rPr>
        <w:t>Lactobacillus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 xml:space="preserve"> probiotic lozenges,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probiotic mouthwash,</w:t>
      </w:r>
      <w:r w:rsidR="00A50646" w:rsidRPr="00CC6930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 xml:space="preserve"> as an adjuvant to scaling and root planing  (SRP) in the treatment of initial to moderate chronic periodontitis.</w:t>
      </w:r>
    </w:p>
    <w:p w:rsidR="00CC6930" w:rsidRDefault="001648AF" w:rsidP="00CC6930">
      <w:pPr>
        <w:jc w:val="both"/>
        <w:rPr>
          <w:rFonts w:ascii="Times New Roman" w:hAnsi="Times New Roman" w:cs="Times New Roman"/>
          <w:color w:val="333333"/>
          <w:sz w:val="18"/>
          <w:szCs w:val="18"/>
          <w:shd w:val="clear" w:color="auto" w:fill="F9F9F9"/>
        </w:rPr>
      </w:pPr>
      <w:r w:rsidRPr="00CC693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bs-Latn-BA"/>
        </w:rPr>
        <w:t>Materials and Methods</w:t>
      </w:r>
      <w:r w:rsidR="00EF14AE" w:rsidRPr="00CC693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bs-Latn-BA"/>
        </w:rPr>
        <w:t xml:space="preserve">: </w:t>
      </w:r>
      <w:r w:rsidR="00EF14AE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Thirty</w:t>
      </w:r>
      <w:r w:rsidR="00A50646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 xml:space="preserve">  patients with initial to moderate chronic periodontitis were recruited and monitored clinically at baseline (before SRP) and 30 days following SRP. All patients were randomly assigned to group I (experimental group): SRP + probiotic (</w:t>
      </w:r>
      <w:r w:rsidR="00A50646" w:rsidRPr="00CC6930">
        <w:rPr>
          <w:rFonts w:ascii="Times New Roman" w:eastAsia="Times New Roman" w:hAnsi="Times New Roman" w:cs="Times New Roman"/>
          <w:i/>
          <w:color w:val="000000"/>
          <w:sz w:val="18"/>
          <w:szCs w:val="18"/>
          <w:lang w:val="sr-Latn-BA" w:eastAsia="bs-Latn-BA"/>
        </w:rPr>
        <w:t>n</w:t>
      </w:r>
      <w:r w:rsidR="00A50646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=</w:t>
      </w:r>
      <w:r w:rsidR="00EF14AE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15</w:t>
      </w:r>
      <w:r w:rsidR="00A50646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) and group II (control group): SRP only (</w:t>
      </w:r>
      <w:r w:rsidR="00A50646" w:rsidRPr="00CC6930">
        <w:rPr>
          <w:rFonts w:ascii="Times New Roman" w:eastAsia="Times New Roman" w:hAnsi="Times New Roman" w:cs="Times New Roman"/>
          <w:i/>
          <w:color w:val="000000"/>
          <w:sz w:val="18"/>
          <w:szCs w:val="18"/>
          <w:lang w:val="sr-Latn-BA" w:eastAsia="bs-Latn-BA"/>
        </w:rPr>
        <w:t>n</w:t>
      </w:r>
      <w:r w:rsidR="00A50646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=</w:t>
      </w:r>
      <w:r w:rsidR="00EF14AE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15). The probiotic mouthwash were used twice</w:t>
      </w:r>
      <w:r w:rsidR="00A50646" w:rsidRP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 xml:space="preserve"> a day for 30 days. Clinical parameters, the probing pocket depth and clinical attachment level were measured on baseline and 30th day following SRP. The d</w:t>
      </w:r>
      <w:r w:rsidR="00CC6930">
        <w:rPr>
          <w:rFonts w:ascii="Times New Roman" w:eastAsia="Times New Roman" w:hAnsi="Times New Roman" w:cs="Times New Roman"/>
          <w:color w:val="000000"/>
          <w:sz w:val="18"/>
          <w:szCs w:val="18"/>
          <w:lang w:val="sr-Latn-BA" w:eastAsia="bs-Latn-BA"/>
        </w:rPr>
        <w:t>ata were statistically analysed with one-way ANOVA test. Statistical significance was set at p&lt;0.05.</w:t>
      </w:r>
      <w:r w:rsidRPr="00CC6930">
        <w:rPr>
          <w:rFonts w:ascii="Times New Roman" w:hAnsi="Times New Roman" w:cs="Times New Roman"/>
          <w:color w:val="333333"/>
          <w:sz w:val="18"/>
          <w:szCs w:val="18"/>
          <w:shd w:val="clear" w:color="auto" w:fill="F9F9F9"/>
        </w:rPr>
        <w:t xml:space="preserve"> </w:t>
      </w:r>
    </w:p>
    <w:p w:rsidR="00C113B2" w:rsidRPr="00CC6930" w:rsidRDefault="00EF14AE" w:rsidP="00CC6930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bs-Latn-BA"/>
        </w:rPr>
      </w:pPr>
      <w:r w:rsidRPr="00CC693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Results</w:t>
      </w:r>
      <w:r w:rsidR="00EB2A61" w:rsidRPr="00CC6930">
        <w:rPr>
          <w:rFonts w:ascii="Times New Roman" w:hAnsi="Times New Roman" w:cs="Times New Roman"/>
          <w:color w:val="000000" w:themeColor="text1"/>
          <w:sz w:val="18"/>
          <w:szCs w:val="18"/>
        </w:rPr>
        <w:t>:</w:t>
      </w:r>
      <w:r w:rsidRPr="00CC6930">
        <w:rPr>
          <w:b/>
          <w:color w:val="000000" w:themeColor="text1"/>
          <w:sz w:val="18"/>
          <w:szCs w:val="18"/>
        </w:rPr>
        <w:t xml:space="preserve"> </w:t>
      </w:r>
      <w:r w:rsidR="00EB2A61" w:rsidRPr="00CC6930">
        <w:rPr>
          <w:rFonts w:ascii="Times New Roman" w:hAnsi="Times New Roman" w:cs="Times New Roman"/>
          <w:color w:val="000000"/>
          <w:sz w:val="18"/>
          <w:szCs w:val="18"/>
        </w:rPr>
        <w:t>The clinical parameters were significantly reduced in both groups at the end of the study.</w:t>
      </w:r>
    </w:p>
    <w:p w:rsidR="00FC239A" w:rsidRPr="00CC6930" w:rsidRDefault="00FC239A" w:rsidP="00EF14AE">
      <w:pPr>
        <w:pStyle w:val="Heading3"/>
        <w:shd w:val="clear" w:color="auto" w:fill="FFFFFF"/>
        <w:spacing w:before="308" w:beforeAutospacing="0" w:after="154" w:afterAutospacing="0" w:line="300" w:lineRule="atLeast"/>
        <w:jc w:val="both"/>
        <w:rPr>
          <w:b w:val="0"/>
          <w:color w:val="000000" w:themeColor="text1"/>
          <w:sz w:val="18"/>
          <w:szCs w:val="18"/>
        </w:rPr>
      </w:pPr>
      <w:r w:rsidRPr="00CC6930">
        <w:rPr>
          <w:color w:val="000000"/>
          <w:sz w:val="18"/>
          <w:szCs w:val="18"/>
        </w:rPr>
        <w:t>Conclusion:</w:t>
      </w:r>
      <w:r w:rsidR="00EF14AE" w:rsidRPr="00CC6930">
        <w:rPr>
          <w:color w:val="000000"/>
          <w:sz w:val="18"/>
          <w:szCs w:val="18"/>
        </w:rPr>
        <w:t xml:space="preserve"> </w:t>
      </w:r>
      <w:r w:rsidRPr="00CC6930">
        <w:rPr>
          <w:b w:val="0"/>
          <w:color w:val="000000"/>
          <w:sz w:val="18"/>
          <w:szCs w:val="18"/>
          <w:shd w:val="clear" w:color="auto" w:fill="FFFFFF"/>
        </w:rPr>
        <w:t>The present investigation showed that the adjunctive use of probiotics offers clinical benefit in terms of pocket depth reduction in</w:t>
      </w:r>
      <w:r w:rsidR="00C113B2" w:rsidRPr="00CC6930">
        <w:rPr>
          <w:rFonts w:eastAsiaTheme="minorHAnsi"/>
          <w:b w:val="0"/>
          <w:bCs w:val="0"/>
          <w:color w:val="000000"/>
          <w:sz w:val="18"/>
          <w:szCs w:val="18"/>
          <w:shd w:val="clear" w:color="auto" w:fill="FFFFFF"/>
          <w:lang w:val="sr-Latn-BA" w:eastAsia="en-US"/>
        </w:rPr>
        <w:t xml:space="preserve"> </w:t>
      </w:r>
      <w:r w:rsidR="00C113B2" w:rsidRPr="00CC6930">
        <w:rPr>
          <w:b w:val="0"/>
          <w:color w:val="000000"/>
          <w:sz w:val="18"/>
          <w:szCs w:val="18"/>
          <w:shd w:val="clear" w:color="auto" w:fill="FFFFFF"/>
          <w:lang w:val="sr-Latn-BA"/>
        </w:rPr>
        <w:t>initial to</w:t>
      </w:r>
      <w:r w:rsidRPr="00CC6930">
        <w:rPr>
          <w:b w:val="0"/>
          <w:color w:val="000000"/>
          <w:sz w:val="18"/>
          <w:szCs w:val="18"/>
          <w:shd w:val="clear" w:color="auto" w:fill="FFFFFF"/>
        </w:rPr>
        <w:t xml:space="preserve"> moderate pockets.</w:t>
      </w:r>
    </w:p>
    <w:p w:rsidR="00FC239A" w:rsidRDefault="00FC239A" w:rsidP="00EF14AE">
      <w:pPr>
        <w:pStyle w:val="Heading3"/>
        <w:shd w:val="clear" w:color="auto" w:fill="FFFFFF"/>
        <w:spacing w:before="308" w:beforeAutospacing="0" w:after="154" w:afterAutospacing="0" w:line="300" w:lineRule="atLeast"/>
        <w:jc w:val="both"/>
        <w:rPr>
          <w:rFonts w:eastAsia="Calibri"/>
          <w:b w:val="0"/>
          <w:bCs w:val="0"/>
          <w:sz w:val="18"/>
          <w:szCs w:val="18"/>
          <w:lang w:val="sr-Latn-BA" w:eastAsia="en-US"/>
        </w:rPr>
      </w:pPr>
      <w:r w:rsidRPr="00CC6930">
        <w:rPr>
          <w:color w:val="000000"/>
          <w:sz w:val="18"/>
          <w:szCs w:val="18"/>
          <w:shd w:val="clear" w:color="auto" w:fill="FFFFFF"/>
        </w:rPr>
        <w:t>Keywords:</w:t>
      </w:r>
      <w:r w:rsidRPr="00CC6930">
        <w:rPr>
          <w:b w:val="0"/>
          <w:color w:val="000000"/>
          <w:sz w:val="18"/>
          <w:szCs w:val="18"/>
          <w:shd w:val="clear" w:color="auto" w:fill="FFFFFF"/>
        </w:rPr>
        <w:t xml:space="preserve"> probiotics, periodontitis</w:t>
      </w:r>
      <w:r w:rsidR="00EF14AE" w:rsidRPr="00CC6930">
        <w:rPr>
          <w:b w:val="0"/>
          <w:color w:val="000000"/>
          <w:sz w:val="18"/>
          <w:szCs w:val="18"/>
          <w:shd w:val="clear" w:color="auto" w:fill="FFFFFF"/>
        </w:rPr>
        <w:t xml:space="preserve">, </w:t>
      </w:r>
      <w:hyperlink r:id="rId4" w:history="1">
        <w:r w:rsidR="00EF14AE" w:rsidRPr="00CC6930">
          <w:rPr>
            <w:rFonts w:eastAsia="Calibri"/>
            <w:b w:val="0"/>
            <w:bCs w:val="0"/>
            <w:sz w:val="18"/>
            <w:szCs w:val="18"/>
            <w:lang w:val="sr-Latn-BA" w:eastAsia="en-US"/>
          </w:rPr>
          <w:t>scaling and root planning</w:t>
        </w:r>
      </w:hyperlink>
    </w:p>
    <w:p w:rsidR="00091A9A" w:rsidRPr="009C70AF" w:rsidRDefault="00091A9A" w:rsidP="00091A9A">
      <w:pPr>
        <w:pStyle w:val="Heading3"/>
        <w:shd w:val="clear" w:color="auto" w:fill="FFFFFF"/>
        <w:spacing w:before="308" w:after="154" w:line="300" w:lineRule="atLeast"/>
        <w:jc w:val="center"/>
        <w:rPr>
          <w:color w:val="000000"/>
          <w:sz w:val="24"/>
          <w:szCs w:val="24"/>
        </w:rPr>
      </w:pPr>
      <w:bookmarkStart w:id="0" w:name="_GoBack"/>
      <w:r w:rsidRPr="009C70AF">
        <w:rPr>
          <w:color w:val="000000"/>
          <w:sz w:val="24"/>
          <w:szCs w:val="24"/>
        </w:rPr>
        <w:t>Ефекат локалне примјене пробиотика као адјувантне мјере нехируршком лијечењу пародонтопатије</w:t>
      </w:r>
    </w:p>
    <w:bookmarkEnd w:id="0"/>
    <w:p w:rsidR="00091A9A" w:rsidRPr="00091A9A" w:rsidRDefault="00091A9A" w:rsidP="00091A9A">
      <w:pPr>
        <w:pStyle w:val="Heading3"/>
        <w:shd w:val="clear" w:color="auto" w:fill="FFFFFF"/>
        <w:spacing w:before="308" w:beforeAutospacing="0" w:after="154" w:afterAutospacing="0" w:line="300" w:lineRule="atLeast"/>
        <w:jc w:val="center"/>
        <w:rPr>
          <w:b w:val="0"/>
          <w:color w:val="000000"/>
          <w:sz w:val="22"/>
          <w:szCs w:val="22"/>
          <w:vertAlign w:val="superscript"/>
        </w:rPr>
      </w:pPr>
      <w:r>
        <w:rPr>
          <w:b w:val="0"/>
          <w:color w:val="000000"/>
          <w:sz w:val="22"/>
          <w:szCs w:val="22"/>
        </w:rPr>
        <w:t xml:space="preserve">Т. Адамовић </w:t>
      </w:r>
      <w:r>
        <w:rPr>
          <w:b w:val="0"/>
          <w:color w:val="000000"/>
          <w:sz w:val="22"/>
          <w:szCs w:val="22"/>
          <w:vertAlign w:val="superscript"/>
        </w:rPr>
        <w:t>1</w:t>
      </w:r>
      <w:r>
        <w:rPr>
          <w:b w:val="0"/>
          <w:color w:val="000000"/>
          <w:sz w:val="22"/>
          <w:szCs w:val="22"/>
        </w:rPr>
        <w:t xml:space="preserve">, Н. Тртић </w:t>
      </w:r>
      <w:r>
        <w:rPr>
          <w:b w:val="0"/>
          <w:color w:val="000000"/>
          <w:sz w:val="22"/>
          <w:szCs w:val="22"/>
          <w:vertAlign w:val="superscript"/>
        </w:rPr>
        <w:t>1</w:t>
      </w:r>
      <w:r>
        <w:rPr>
          <w:b w:val="0"/>
          <w:color w:val="000000"/>
          <w:sz w:val="22"/>
          <w:szCs w:val="22"/>
        </w:rPr>
        <w:t xml:space="preserve">, В. Павлић </w:t>
      </w:r>
      <w:r>
        <w:rPr>
          <w:b w:val="0"/>
          <w:color w:val="000000"/>
          <w:sz w:val="22"/>
          <w:szCs w:val="22"/>
          <w:vertAlign w:val="superscript"/>
        </w:rPr>
        <w:t>1,2</w:t>
      </w:r>
      <w:r>
        <w:rPr>
          <w:b w:val="0"/>
          <w:color w:val="000000"/>
          <w:sz w:val="22"/>
          <w:szCs w:val="22"/>
        </w:rPr>
        <w:t xml:space="preserve">, О. Јанковић </w:t>
      </w:r>
      <w:r>
        <w:rPr>
          <w:b w:val="0"/>
          <w:color w:val="000000"/>
          <w:sz w:val="22"/>
          <w:szCs w:val="22"/>
          <w:vertAlign w:val="superscript"/>
        </w:rPr>
        <w:t>1</w:t>
      </w:r>
      <w:r>
        <w:rPr>
          <w:b w:val="0"/>
          <w:color w:val="000000"/>
          <w:sz w:val="22"/>
          <w:szCs w:val="22"/>
        </w:rPr>
        <w:t xml:space="preserve">, В. Веселиновић </w:t>
      </w:r>
      <w:r>
        <w:rPr>
          <w:b w:val="0"/>
          <w:color w:val="000000"/>
          <w:sz w:val="22"/>
          <w:szCs w:val="22"/>
          <w:vertAlign w:val="superscript"/>
        </w:rPr>
        <w:t>1</w:t>
      </w:r>
      <w:r>
        <w:rPr>
          <w:b w:val="0"/>
          <w:color w:val="000000"/>
          <w:sz w:val="22"/>
          <w:szCs w:val="22"/>
        </w:rPr>
        <w:t xml:space="preserve">, Р. Тамбурић </w:t>
      </w:r>
      <w:r>
        <w:rPr>
          <w:b w:val="0"/>
          <w:color w:val="000000"/>
          <w:sz w:val="22"/>
          <w:szCs w:val="22"/>
          <w:vertAlign w:val="superscript"/>
        </w:rPr>
        <w:t>3</w:t>
      </w:r>
    </w:p>
    <w:p w:rsidR="00091A9A" w:rsidRPr="00091A9A" w:rsidRDefault="00091A9A" w:rsidP="00091A9A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sr-Cyrl-BA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sr-Cyrl-BA"/>
        </w:rPr>
        <w:t>Универзитет у Бањој Луци, Медицински факултет</w:t>
      </w:r>
    </w:p>
    <w:p w:rsidR="00091A9A" w:rsidRPr="00CC6930" w:rsidRDefault="00091A9A" w:rsidP="00091A9A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Завод за стоматологију Бања Лука</w:t>
      </w:r>
    </w:p>
    <w:p w:rsidR="00091A9A" w:rsidRPr="00CC6930" w:rsidRDefault="00091A9A" w:rsidP="00091A9A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CC6930">
        <w:rPr>
          <w:rFonts w:ascii="Times New Roman" w:hAnsi="Times New Roman" w:cs="Times New Roman"/>
          <w:sz w:val="20"/>
          <w:szCs w:val="20"/>
          <w:vertAlign w:val="superscript"/>
        </w:rPr>
        <w:t xml:space="preserve">3 </w:t>
      </w:r>
      <w:r>
        <w:rPr>
          <w:rFonts w:ascii="Times New Roman" w:hAnsi="Times New Roman" w:cs="Times New Roman"/>
          <w:sz w:val="20"/>
          <w:szCs w:val="20"/>
        </w:rPr>
        <w:t>Универзитетско клинички центар Републике Српске</w:t>
      </w:r>
    </w:p>
    <w:p w:rsidR="00091A9A" w:rsidRPr="00CC6930" w:rsidRDefault="00091A9A" w:rsidP="00091A9A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</w:p>
    <w:p w:rsidR="00091A9A" w:rsidRPr="00EF14AE" w:rsidRDefault="00091A9A" w:rsidP="00091A9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91A9A" w:rsidRPr="00815095" w:rsidRDefault="009C70AF" w:rsidP="00815095">
      <w:pPr>
        <w:pStyle w:val="NoSpacing"/>
        <w:jc w:val="both"/>
        <w:rPr>
          <w:rFonts w:ascii="Times New Roman" w:hAnsi="Times New Roman" w:cs="Times New Roman"/>
          <w:b/>
          <w:sz w:val="18"/>
          <w:szCs w:val="18"/>
          <w:lang w:val="sr-Latn-BA"/>
        </w:rPr>
      </w:pPr>
      <w:r>
        <w:rPr>
          <w:rFonts w:ascii="Times New Roman" w:eastAsia="Calibri" w:hAnsi="Times New Roman" w:cs="Times New Roman"/>
          <w:b/>
          <w:bCs/>
          <w:sz w:val="18"/>
          <w:szCs w:val="18"/>
          <w:lang w:val="sr-Latn-BA"/>
        </w:rPr>
        <w:t>Увод &amp; Циљ</w:t>
      </w:r>
      <w:r w:rsidR="00091A9A" w:rsidRPr="00815095">
        <w:rPr>
          <w:rFonts w:ascii="Times New Roman" w:eastAsia="Calibri" w:hAnsi="Times New Roman" w:cs="Times New Roman"/>
          <w:b/>
          <w:sz w:val="18"/>
          <w:szCs w:val="18"/>
          <w:lang w:val="sr-Latn-BA"/>
        </w:rPr>
        <w:t>:</w:t>
      </w:r>
      <w:r w:rsidR="00091A9A" w:rsidRPr="00815095">
        <w:rPr>
          <w:rFonts w:ascii="Times New Roman" w:eastAsia="Calibri" w:hAnsi="Times New Roman" w:cs="Times New Roman"/>
          <w:sz w:val="18"/>
          <w:szCs w:val="18"/>
          <w:lang w:val="sr-Latn-BA"/>
        </w:rPr>
        <w:t xml:space="preserve"> </w:t>
      </w:r>
      <w:r w:rsidR="00815095" w:rsidRPr="00815095">
        <w:rPr>
          <w:rFonts w:ascii="Times New Roman" w:eastAsia="Calibri" w:hAnsi="Times New Roman" w:cs="Times New Roman"/>
          <w:sz w:val="18"/>
          <w:szCs w:val="18"/>
          <w:lang w:val="sr-Cyrl-BA"/>
        </w:rPr>
        <w:t>Пародонтопатија је хронична инфламаторна болест проузрокована патолошким микрорганизмима</w:t>
      </w:r>
      <w:r w:rsidR="00091A9A" w:rsidRPr="00815095">
        <w:rPr>
          <w:rFonts w:ascii="Times New Roman" w:hAnsi="Times New Roman" w:cs="Times New Roman"/>
          <w:sz w:val="18"/>
          <w:szCs w:val="18"/>
        </w:rPr>
        <w:t>.</w:t>
      </w:r>
      <w:r w:rsidR="00091A9A" w:rsidRPr="00815095">
        <w:rPr>
          <w:rFonts w:ascii="Times New Roman" w:hAnsi="Times New Roman" w:cs="Times New Roman"/>
          <w:sz w:val="18"/>
          <w:szCs w:val="18"/>
          <w:lang w:val="sr-Latn-BA"/>
        </w:rPr>
        <w:t xml:space="preserve"> </w:t>
      </w:r>
      <w:r w:rsidR="00815095" w:rsidRPr="00815095">
        <w:rPr>
          <w:rFonts w:ascii="Times New Roman" w:hAnsi="Times New Roman" w:cs="Times New Roman"/>
          <w:sz w:val="18"/>
          <w:szCs w:val="18"/>
          <w:lang w:val="sr-Latn-BA"/>
        </w:rPr>
        <w:t>Могући механизми дјеловања пробиотика у терапији пародонтопатије заснивају се на модификацијама патогеног потенцијала микробног биофилма.</w:t>
      </w:r>
      <w:r w:rsidR="00091A9A" w:rsidRPr="00815095">
        <w:rPr>
          <w:rFonts w:ascii="Times New Roman" w:hAnsi="Times New Roman" w:cs="Times New Roman"/>
          <w:sz w:val="18"/>
          <w:szCs w:val="18"/>
        </w:rPr>
        <w:t xml:space="preserve"> </w:t>
      </w:r>
      <w:r w:rsidR="00815095" w:rsidRPr="00815095">
        <w:rPr>
          <w:rFonts w:ascii="Times New Roman" w:hAnsi="Times New Roman" w:cs="Times New Roman"/>
          <w:sz w:val="18"/>
          <w:szCs w:val="18"/>
        </w:rPr>
        <w:t>Пробиотици помажу у стимулисању</w:t>
      </w:r>
      <w:r w:rsidR="00815095">
        <w:rPr>
          <w:rFonts w:ascii="Times New Roman" w:hAnsi="Times New Roman" w:cs="Times New Roman"/>
          <w:sz w:val="18"/>
          <w:szCs w:val="18"/>
        </w:rPr>
        <w:t xml:space="preserve"> </w:t>
      </w:r>
      <w:r w:rsidR="00815095">
        <w:rPr>
          <w:rFonts w:ascii="Times New Roman" w:hAnsi="Times New Roman" w:cs="Times New Roman"/>
          <w:sz w:val="18"/>
          <w:szCs w:val="18"/>
          <w:lang w:val="sr-Cyrl-BA"/>
        </w:rPr>
        <w:t>раста здраве</w:t>
      </w:r>
      <w:r w:rsidR="00815095" w:rsidRPr="00815095">
        <w:rPr>
          <w:rFonts w:ascii="Times New Roman" w:hAnsi="Times New Roman" w:cs="Times New Roman"/>
          <w:sz w:val="18"/>
          <w:szCs w:val="18"/>
        </w:rPr>
        <w:t xml:space="preserve"> флоре</w:t>
      </w:r>
      <w:r w:rsidR="00815095">
        <w:rPr>
          <w:rFonts w:ascii="Times New Roman" w:hAnsi="Times New Roman" w:cs="Times New Roman"/>
          <w:sz w:val="18"/>
          <w:szCs w:val="18"/>
          <w:lang w:val="sr-Cyrl-BA"/>
        </w:rPr>
        <w:t xml:space="preserve"> и тиме </w:t>
      </w:r>
      <w:r w:rsidR="00815095" w:rsidRPr="00815095">
        <w:rPr>
          <w:rFonts w:ascii="Times New Roman" w:hAnsi="Times New Roman" w:cs="Times New Roman"/>
          <w:sz w:val="18"/>
          <w:szCs w:val="18"/>
        </w:rPr>
        <w:t xml:space="preserve"> сузбија</w:t>
      </w:r>
      <w:r w:rsidR="00815095">
        <w:rPr>
          <w:rFonts w:ascii="Times New Roman" w:hAnsi="Times New Roman" w:cs="Times New Roman"/>
          <w:sz w:val="18"/>
          <w:szCs w:val="18"/>
          <w:lang w:val="sr-Cyrl-BA"/>
        </w:rPr>
        <w:t>ју раст и колонизацију</w:t>
      </w:r>
      <w:r w:rsidR="00815095">
        <w:rPr>
          <w:rFonts w:ascii="Times New Roman" w:hAnsi="Times New Roman" w:cs="Times New Roman"/>
          <w:sz w:val="18"/>
          <w:szCs w:val="18"/>
        </w:rPr>
        <w:t xml:space="preserve"> патолошких микроорганизама у току пародонтопатије.</w:t>
      </w:r>
      <w:r w:rsidR="00815095" w:rsidRPr="00815095">
        <w:t xml:space="preserve"> </w:t>
      </w:r>
      <w:r w:rsidR="00815095" w:rsidRPr="00815095">
        <w:rPr>
          <w:rFonts w:ascii="Times New Roman" w:hAnsi="Times New Roman" w:cs="Times New Roman"/>
          <w:sz w:val="18"/>
          <w:szCs w:val="18"/>
        </w:rPr>
        <w:t>Циљ ове студије је да се процјени клинички ефекат примјене пробиотичких капсула са  Бифидобацтериум и Лацтобациллус сојем као адјувантима каузалној терапији пародонтопатије (чишћење и полирање површин</w:t>
      </w:r>
      <w:r w:rsidR="00815095">
        <w:rPr>
          <w:rFonts w:ascii="Times New Roman" w:hAnsi="Times New Roman" w:cs="Times New Roman"/>
          <w:sz w:val="18"/>
          <w:szCs w:val="18"/>
        </w:rPr>
        <w:t xml:space="preserve">е коријена зуба, </w:t>
      </w:r>
      <w:r w:rsidR="00815095" w:rsidRPr="00815095">
        <w:rPr>
          <w:rFonts w:ascii="Times New Roman" w:hAnsi="Times New Roman" w:cs="Times New Roman"/>
          <w:sz w:val="18"/>
          <w:szCs w:val="18"/>
        </w:rPr>
        <w:t>СРП) у лијечењу почетног или умјереног облика хроничне</w:t>
      </w:r>
      <w:r w:rsidR="00091A9A" w:rsidRPr="00815095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  <w:lang w:val="sr-Latn-BA"/>
        </w:rPr>
        <w:t>.</w:t>
      </w:r>
    </w:p>
    <w:p w:rsidR="00BB3A79" w:rsidRPr="00BB3A79" w:rsidRDefault="009C70AF" w:rsidP="00091A9A">
      <w:pPr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sr-Cyrl-BA" w:eastAsia="bs-Latn-BA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sr-Cyrl-BA" w:eastAsia="bs-Latn-BA"/>
        </w:rPr>
        <w:t>Материјал и метод</w:t>
      </w:r>
      <w:r w:rsidR="00091A9A" w:rsidRPr="00CC693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bs-Latn-BA"/>
        </w:rPr>
        <w:t xml:space="preserve">: </w:t>
      </w:r>
      <w:r w:rsidR="00BB3A79" w:rsidRPr="00BB3A79">
        <w:rPr>
          <w:rFonts w:ascii="Times New Roman" w:eastAsia="Times New Roman" w:hAnsi="Times New Roman" w:cs="Times New Roman"/>
          <w:color w:val="000000"/>
          <w:sz w:val="18"/>
          <w:szCs w:val="18"/>
          <w:lang w:eastAsia="bs-Latn-BA"/>
        </w:rPr>
        <w:t xml:space="preserve">Тридесет пацијената са иницијалним до умјереним обликом хроничне пародонтопатије је регрутовано у ову студију и праћено клинички на почетку (прије СРП-а) и 30 дана након СРП-а. Сви пацијенти су насумично распоређени у групу И-експерименталну групу: СРП + пробиотик (н=15) или групу ИИ-контролну групу: СРП + Плацебо (н=15). </w:t>
      </w:r>
      <w:r w:rsidR="00BB3A79" w:rsidRPr="00BB3A79">
        <w:rPr>
          <w:rFonts w:ascii="Times New Roman" w:eastAsia="Times New Roman" w:hAnsi="Times New Roman" w:cs="Times New Roman"/>
          <w:color w:val="000000"/>
          <w:sz w:val="18"/>
          <w:szCs w:val="18"/>
          <w:lang w:val="sr-Cyrl-BA" w:eastAsia="bs-Latn-BA"/>
        </w:rPr>
        <w:t xml:space="preserve">Испирање усне дупље раствором са </w:t>
      </w:r>
      <w:r w:rsidR="00BB3A79" w:rsidRPr="00BB3A79">
        <w:rPr>
          <w:rFonts w:ascii="Times New Roman" w:eastAsia="Times New Roman" w:hAnsi="Times New Roman" w:cs="Times New Roman"/>
          <w:color w:val="000000"/>
          <w:sz w:val="18"/>
          <w:szCs w:val="18"/>
          <w:lang w:eastAsia="bs-Latn-BA"/>
        </w:rPr>
        <w:t xml:space="preserve">пробиотичким капсулама је вршено два пута дневно    током узастопних 30 дана. Клинички параметри, дубина пародонталног џепа и ниво припојног епитела мјерени су на почетку лијечења и 30-ог дана. Подаци су статистички анализирани уз помоћ one/way ANOVA </w:t>
      </w:r>
      <w:r w:rsidR="00BB3A79" w:rsidRPr="00BB3A79">
        <w:rPr>
          <w:rFonts w:ascii="Times New Roman" w:eastAsia="Times New Roman" w:hAnsi="Times New Roman" w:cs="Times New Roman"/>
          <w:color w:val="000000"/>
          <w:sz w:val="18"/>
          <w:szCs w:val="18"/>
          <w:lang w:val="sr-Cyrl-BA" w:eastAsia="bs-Latn-BA"/>
        </w:rPr>
        <w:t>теста.</w:t>
      </w:r>
      <w:r w:rsidR="00BB3A79">
        <w:rPr>
          <w:rFonts w:ascii="Times New Roman" w:eastAsia="Times New Roman" w:hAnsi="Times New Roman" w:cs="Times New Roman"/>
          <w:color w:val="000000"/>
          <w:sz w:val="18"/>
          <w:szCs w:val="18"/>
          <w:lang w:val="sr-Cyrl-BA" w:eastAsia="bs-Latn-BA"/>
        </w:rPr>
        <w:t xml:space="preserve"> Статистичка значајност је постављена на п&lt;0.05.</w:t>
      </w:r>
    </w:p>
    <w:p w:rsidR="00091A9A" w:rsidRPr="00BB3A79" w:rsidRDefault="00BB3A79" w:rsidP="00091A9A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val="sr-Cyrl-BA" w:eastAsia="bs-Latn-BA"/>
        </w:rPr>
      </w:pPr>
      <w:r w:rsidRPr="00CC6930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</w:t>
      </w:r>
      <w:r w:rsidR="009C70AF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Резултати</w:t>
      </w:r>
      <w:r w:rsidR="00091A9A" w:rsidRPr="00CC6930">
        <w:rPr>
          <w:rFonts w:ascii="Times New Roman" w:hAnsi="Times New Roman" w:cs="Times New Roman"/>
          <w:color w:val="000000" w:themeColor="text1"/>
          <w:sz w:val="18"/>
          <w:szCs w:val="18"/>
        </w:rPr>
        <w:t>:</w:t>
      </w:r>
      <w:r w:rsidR="00091A9A" w:rsidRPr="00CC6930">
        <w:rPr>
          <w:b/>
          <w:color w:val="000000" w:themeColor="text1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sr-Cyrl-BA"/>
        </w:rPr>
        <w:t>На крају студије је дошло до значајног смањења клиничких параметара у експерименталној групи у поређењу са контролном групом.</w:t>
      </w:r>
    </w:p>
    <w:p w:rsidR="00BB3A79" w:rsidRPr="004715F6" w:rsidRDefault="004715F6" w:rsidP="004715F6">
      <w:pPr>
        <w:pStyle w:val="NoSpacing"/>
        <w:rPr>
          <w:rFonts w:ascii="Times New Roman" w:hAnsi="Times New Roman" w:cs="Times New Roman"/>
          <w:sz w:val="18"/>
          <w:szCs w:val="18"/>
        </w:rPr>
      </w:pPr>
      <w:r w:rsidRPr="004715F6">
        <w:rPr>
          <w:rFonts w:ascii="Times New Roman" w:hAnsi="Times New Roman" w:cs="Times New Roman"/>
          <w:b/>
          <w:sz w:val="18"/>
          <w:szCs w:val="18"/>
          <w:lang w:val="sr-Cyrl-BA"/>
        </w:rPr>
        <w:t>Закључак</w:t>
      </w:r>
      <w:r w:rsidR="00091A9A" w:rsidRPr="004715F6">
        <w:rPr>
          <w:rFonts w:ascii="Times New Roman" w:hAnsi="Times New Roman" w:cs="Times New Roman"/>
          <w:b/>
          <w:sz w:val="18"/>
          <w:szCs w:val="18"/>
        </w:rPr>
        <w:t>:</w:t>
      </w:r>
      <w:r w:rsidR="00091A9A" w:rsidRPr="00CC6930">
        <w:t xml:space="preserve"> </w:t>
      </w:r>
      <w:r w:rsidR="00BB3A79" w:rsidRPr="004715F6">
        <w:rPr>
          <w:rFonts w:ascii="Times New Roman" w:hAnsi="Times New Roman" w:cs="Times New Roman"/>
          <w:sz w:val="18"/>
          <w:szCs w:val="18"/>
        </w:rPr>
        <w:t>Ово истраживање је показало да адјувантна  употреба пробиотика</w:t>
      </w:r>
      <w:r w:rsidRPr="004715F6">
        <w:rPr>
          <w:rFonts w:ascii="Times New Roman" w:hAnsi="Times New Roman" w:cs="Times New Roman"/>
          <w:sz w:val="18"/>
          <w:szCs w:val="18"/>
          <w:lang w:val="sr-Cyrl-BA"/>
        </w:rPr>
        <w:t xml:space="preserve"> </w:t>
      </w:r>
      <w:r w:rsidRPr="004715F6">
        <w:rPr>
          <w:rFonts w:ascii="Times New Roman" w:hAnsi="Times New Roman" w:cs="Times New Roman"/>
          <w:bCs/>
          <w:sz w:val="18"/>
          <w:szCs w:val="18"/>
        </w:rPr>
        <w:t xml:space="preserve">у </w:t>
      </w:r>
      <w:r w:rsidRPr="004715F6">
        <w:rPr>
          <w:rFonts w:ascii="Times New Roman" w:hAnsi="Times New Roman" w:cs="Times New Roman"/>
          <w:sz w:val="18"/>
          <w:szCs w:val="18"/>
          <w:lang w:val="sr-Cyrl-BA"/>
        </w:rPr>
        <w:t>терапији хроничне</w:t>
      </w:r>
      <w:r w:rsidRPr="004715F6">
        <w:rPr>
          <w:rFonts w:ascii="Times New Roman" w:hAnsi="Times New Roman" w:cs="Times New Roman"/>
          <w:bCs/>
          <w:sz w:val="18"/>
          <w:szCs w:val="18"/>
          <w:lang w:val="sr-Cyrl-BA"/>
        </w:rPr>
        <w:t xml:space="preserve"> </w:t>
      </w:r>
      <w:r w:rsidRPr="004715F6">
        <w:rPr>
          <w:rFonts w:ascii="Times New Roman" w:hAnsi="Times New Roman" w:cs="Times New Roman"/>
          <w:bCs/>
          <w:sz w:val="18"/>
          <w:szCs w:val="18"/>
        </w:rPr>
        <w:t>пародонтопатије</w:t>
      </w:r>
      <w:r w:rsidRPr="004715F6">
        <w:rPr>
          <w:rFonts w:ascii="Times New Roman" w:hAnsi="Times New Roman" w:cs="Times New Roman"/>
          <w:sz w:val="18"/>
          <w:szCs w:val="18"/>
        </w:rPr>
        <w:t xml:space="preserve"> пружа</w:t>
      </w:r>
      <w:r w:rsidR="00BB3A79" w:rsidRPr="004715F6">
        <w:rPr>
          <w:rFonts w:ascii="Times New Roman" w:hAnsi="Times New Roman" w:cs="Times New Roman"/>
          <w:sz w:val="18"/>
          <w:szCs w:val="18"/>
        </w:rPr>
        <w:t xml:space="preserve"> клиничку корист у смислу смањења дубине</w:t>
      </w:r>
      <w:r w:rsidR="00BB3A79" w:rsidRPr="004715F6">
        <w:rPr>
          <w:rFonts w:ascii="Times New Roman" w:hAnsi="Times New Roman" w:cs="Times New Roman"/>
          <w:sz w:val="18"/>
          <w:szCs w:val="18"/>
          <w:lang w:val="sr-Cyrl-BA"/>
        </w:rPr>
        <w:t xml:space="preserve"> пародонталног</w:t>
      </w:r>
      <w:r w:rsidRPr="004715F6">
        <w:rPr>
          <w:rFonts w:ascii="Times New Roman" w:hAnsi="Times New Roman" w:cs="Times New Roman"/>
          <w:sz w:val="18"/>
          <w:szCs w:val="18"/>
        </w:rPr>
        <w:t xml:space="preserve"> џепа.</w:t>
      </w:r>
    </w:p>
    <w:p w:rsidR="00091A9A" w:rsidRPr="00CC6930" w:rsidRDefault="004715F6" w:rsidP="00091A9A">
      <w:pPr>
        <w:pStyle w:val="Heading3"/>
        <w:shd w:val="clear" w:color="auto" w:fill="FFFFFF"/>
        <w:spacing w:before="308" w:beforeAutospacing="0" w:after="154" w:afterAutospacing="0" w:line="300" w:lineRule="atLeast"/>
        <w:jc w:val="both"/>
        <w:rPr>
          <w:b w:val="0"/>
          <w:color w:val="000000"/>
          <w:sz w:val="18"/>
          <w:szCs w:val="18"/>
        </w:rPr>
      </w:pPr>
      <w:r>
        <w:rPr>
          <w:color w:val="000000"/>
          <w:sz w:val="18"/>
          <w:szCs w:val="18"/>
          <w:shd w:val="clear" w:color="auto" w:fill="FFFFFF"/>
        </w:rPr>
        <w:t>Кључне ријечи</w:t>
      </w:r>
      <w:r w:rsidR="00091A9A" w:rsidRPr="00CC6930">
        <w:rPr>
          <w:color w:val="000000"/>
          <w:sz w:val="18"/>
          <w:szCs w:val="18"/>
          <w:shd w:val="clear" w:color="auto" w:fill="FFFFFF"/>
        </w:rPr>
        <w:t>:</w:t>
      </w:r>
      <w:r>
        <w:rPr>
          <w:b w:val="0"/>
          <w:color w:val="000000"/>
          <w:sz w:val="18"/>
          <w:szCs w:val="18"/>
          <w:shd w:val="clear" w:color="auto" w:fill="FFFFFF"/>
        </w:rPr>
        <w:t xml:space="preserve"> пробиотици, пародонтопатија, обрада пародонталног џепа</w:t>
      </w:r>
    </w:p>
    <w:p w:rsidR="00EB2A61" w:rsidRPr="00091A9A" w:rsidRDefault="00EB2A61" w:rsidP="00091A9A">
      <w:pPr>
        <w:jc w:val="center"/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1648AF" w:rsidRPr="00EF14AE" w:rsidRDefault="001648AF" w:rsidP="00EF14A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48AF" w:rsidRPr="00EF14AE" w:rsidSect="00091A9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48AF"/>
    <w:rsid w:val="00070E6D"/>
    <w:rsid w:val="00091A9A"/>
    <w:rsid w:val="0010428A"/>
    <w:rsid w:val="001648AF"/>
    <w:rsid w:val="001C715F"/>
    <w:rsid w:val="00467F61"/>
    <w:rsid w:val="004715F6"/>
    <w:rsid w:val="00480411"/>
    <w:rsid w:val="00482A07"/>
    <w:rsid w:val="006F68A0"/>
    <w:rsid w:val="007A3016"/>
    <w:rsid w:val="007C7206"/>
    <w:rsid w:val="00815095"/>
    <w:rsid w:val="008402D1"/>
    <w:rsid w:val="00953BD5"/>
    <w:rsid w:val="009973B9"/>
    <w:rsid w:val="009C70AF"/>
    <w:rsid w:val="00A50646"/>
    <w:rsid w:val="00A50FFB"/>
    <w:rsid w:val="00A81BFC"/>
    <w:rsid w:val="00BB3A79"/>
    <w:rsid w:val="00BC0C4C"/>
    <w:rsid w:val="00C113B2"/>
    <w:rsid w:val="00C5432B"/>
    <w:rsid w:val="00CC6930"/>
    <w:rsid w:val="00E53BDB"/>
    <w:rsid w:val="00E8395A"/>
    <w:rsid w:val="00EB2A61"/>
    <w:rsid w:val="00EF14AE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373BD-C52F-4A0A-9C80-FE2D9A5B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32B"/>
  </w:style>
  <w:style w:type="paragraph" w:styleId="Heading1">
    <w:name w:val="heading 1"/>
    <w:basedOn w:val="Normal"/>
    <w:next w:val="Normal"/>
    <w:link w:val="Heading1Char"/>
    <w:uiPriority w:val="9"/>
    <w:qFormat/>
    <w:rsid w:val="00C113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1648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8AF"/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48AF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48AF"/>
    <w:rPr>
      <w:rFonts w:ascii="Consolas" w:hAnsi="Consolas" w:cs="Consolas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648AF"/>
    <w:rPr>
      <w:i/>
      <w:iCs/>
    </w:rPr>
  </w:style>
  <w:style w:type="paragraph" w:customStyle="1" w:styleId="p">
    <w:name w:val="p"/>
    <w:basedOn w:val="Normal"/>
    <w:rsid w:val="00EB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NoSpacing">
    <w:name w:val="No Spacing"/>
    <w:uiPriority w:val="1"/>
    <w:qFormat/>
    <w:rsid w:val="00953BD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113B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andfonline.com/keyword/Scaling+And+Root+Plan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Tijana</cp:lastModifiedBy>
  <cp:revision>17</cp:revision>
  <dcterms:created xsi:type="dcterms:W3CDTF">2017-10-17T10:00:00Z</dcterms:created>
  <dcterms:modified xsi:type="dcterms:W3CDTF">2019-05-29T09:26:00Z</dcterms:modified>
</cp:coreProperties>
</file>