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A4A" w:rsidRPr="00E35715" w:rsidRDefault="00E35715">
      <w:pPr>
        <w:rPr>
          <w:b/>
          <w:sz w:val="32"/>
          <w:szCs w:val="32"/>
        </w:rPr>
      </w:pPr>
      <w:r>
        <w:rPr>
          <w:b/>
          <w:sz w:val="32"/>
          <w:szCs w:val="32"/>
        </w:rPr>
        <w:t>Uticaj procesnih parametara na čišćenje aluminatnog rast</w:t>
      </w:r>
      <w:r w:rsidR="0007488E">
        <w:rPr>
          <w:b/>
          <w:sz w:val="32"/>
          <w:szCs w:val="32"/>
        </w:rPr>
        <w:t>v</w:t>
      </w:r>
      <w:r>
        <w:rPr>
          <w:b/>
          <w:sz w:val="32"/>
          <w:szCs w:val="32"/>
        </w:rPr>
        <w:t>ora od primjesa gvožđa, cinka i bakra</w:t>
      </w:r>
    </w:p>
    <w:p w:rsidR="009A44B5" w:rsidRDefault="009A44B5">
      <w:pPr>
        <w:rPr>
          <w:i/>
        </w:rPr>
      </w:pPr>
      <w:r>
        <w:rPr>
          <w:i/>
        </w:rPr>
        <w:t>Duško Kostić</w:t>
      </w:r>
      <w:r>
        <w:rPr>
          <w:i/>
          <w:vertAlign w:val="superscript"/>
        </w:rPr>
        <w:t>1</w:t>
      </w:r>
      <w:r>
        <w:rPr>
          <w:i/>
        </w:rPr>
        <w:t>, Mitar Perušić</w:t>
      </w:r>
      <w:r>
        <w:rPr>
          <w:i/>
          <w:vertAlign w:val="superscript"/>
        </w:rPr>
        <w:t>1</w:t>
      </w:r>
      <w:r>
        <w:rPr>
          <w:i/>
        </w:rPr>
        <w:t>, Vladimir Damjanović</w:t>
      </w:r>
      <w:r>
        <w:rPr>
          <w:i/>
          <w:vertAlign w:val="superscript"/>
        </w:rPr>
        <w:t>2</w:t>
      </w:r>
      <w:r>
        <w:rPr>
          <w:i/>
        </w:rPr>
        <w:t xml:space="preserve">, Radislav </w:t>
      </w:r>
      <w:r w:rsidRPr="009A44B5">
        <w:rPr>
          <w:i/>
        </w:rPr>
        <w:t>Filipović</w:t>
      </w:r>
      <w:r>
        <w:rPr>
          <w:i/>
          <w:vertAlign w:val="superscript"/>
        </w:rPr>
        <w:t>1,</w:t>
      </w:r>
      <w:r w:rsidRPr="009A44B5">
        <w:rPr>
          <w:i/>
          <w:vertAlign w:val="superscript"/>
        </w:rPr>
        <w:t>2</w:t>
      </w:r>
      <w:r>
        <w:rPr>
          <w:i/>
        </w:rPr>
        <w:t>, Djurđa Oljača</w:t>
      </w:r>
      <w:r>
        <w:rPr>
          <w:i/>
          <w:vertAlign w:val="superscript"/>
        </w:rPr>
        <w:t>2</w:t>
      </w:r>
      <w:r>
        <w:rPr>
          <w:i/>
        </w:rPr>
        <w:t>, Zoran Obrenović</w:t>
      </w:r>
      <w:r>
        <w:rPr>
          <w:i/>
          <w:vertAlign w:val="superscript"/>
        </w:rPr>
        <w:t>1,2</w:t>
      </w:r>
      <w:r>
        <w:rPr>
          <w:i/>
        </w:rPr>
        <w:t>, Vladan Mićić</w:t>
      </w:r>
      <w:r>
        <w:rPr>
          <w:i/>
          <w:vertAlign w:val="superscript"/>
        </w:rPr>
        <w:t>1</w:t>
      </w:r>
      <w:r>
        <w:rPr>
          <w:i/>
        </w:rPr>
        <w:t>, Dragana Kostić</w:t>
      </w:r>
      <w:r>
        <w:rPr>
          <w:i/>
          <w:vertAlign w:val="superscript"/>
        </w:rPr>
        <w:t>1</w:t>
      </w:r>
    </w:p>
    <w:p w:rsidR="009A44B5" w:rsidRDefault="009A44B5">
      <w:pPr>
        <w:rPr>
          <w:i/>
        </w:rPr>
      </w:pPr>
      <w:r>
        <w:rPr>
          <w:i/>
          <w:vertAlign w:val="superscript"/>
        </w:rPr>
        <w:t>1</w:t>
      </w:r>
      <w:r>
        <w:rPr>
          <w:i/>
        </w:rPr>
        <w:t>Tehnološki fakultet Zvornik, Univerzitet u Istočnom Sarajevu,</w:t>
      </w:r>
    </w:p>
    <w:p w:rsidR="009A44B5" w:rsidRPr="009A44B5" w:rsidRDefault="009A44B5">
      <w:pPr>
        <w:rPr>
          <w:i/>
        </w:rPr>
      </w:pPr>
      <w:r>
        <w:rPr>
          <w:i/>
          <w:vertAlign w:val="superscript"/>
        </w:rPr>
        <w:t>2</w:t>
      </w:r>
      <w:r>
        <w:rPr>
          <w:i/>
        </w:rPr>
        <w:t>Alumina d.o.o, Zvornik</w:t>
      </w:r>
    </w:p>
    <w:p w:rsidR="00D95D46" w:rsidRDefault="00E123C8">
      <w:pPr>
        <w:rPr>
          <w:i/>
        </w:rPr>
      </w:pPr>
      <w:r w:rsidRPr="00D95D46">
        <w:rPr>
          <w:i/>
        </w:rPr>
        <w:t>Rezime</w:t>
      </w:r>
    </w:p>
    <w:p w:rsidR="00D95D46" w:rsidRPr="00D95D46" w:rsidRDefault="00B43220">
      <w:pPr>
        <w:rPr>
          <w:i/>
        </w:rPr>
      </w:pPr>
      <w:r>
        <w:rPr>
          <w:i/>
        </w:rPr>
        <w:t>Bajerov proces predstavlja najznačajniji i najrasprostranjeniji proces proizvodnje alumine. Alumina nastala ovim procesom najčešće se korisiti za proizvodnju metalnog aluminijuma, a takođe se može koristiti i kao katalizator, punilo, abraziv i kao sirovina za proizvodnju mnogih drugih jedinjenja. Najvažnija i najznačajnija ruda aluminijuma je boksit. Boksit predstavlja smješu jedinjenja od kojih su najvažniji aluminijum i gvožđe. Luženjem istog, najčešće natrijum hidroksidom, pri visokim temperaturama i pritiscima nastaje natrijum aluminat, u kome se osim aluminijuma i natrijuma nalaze i razne primjese. Primjese štetno utiču na postojanost aluminatnog rastvora i na njegove osobine,</w:t>
      </w:r>
      <w:r w:rsidR="007078A3">
        <w:rPr>
          <w:i/>
        </w:rPr>
        <w:t xml:space="preserve"> a kasnije i na kvalitet samog proizvoda (alumine). Te primjese</w:t>
      </w:r>
      <w:r w:rsidR="00245520">
        <w:rPr>
          <w:i/>
        </w:rPr>
        <w:t>,</w:t>
      </w:r>
      <w:r w:rsidR="007078A3">
        <w:rPr>
          <w:i/>
        </w:rPr>
        <w:t xml:space="preserve"> odnosno nečistoće se vežu u kristalnu rešetku aluminijum hidroksida pri čemu </w:t>
      </w:r>
      <w:r w:rsidR="00245520">
        <w:rPr>
          <w:i/>
        </w:rPr>
        <w:t>dolazi do promjene osobina istog</w:t>
      </w:r>
      <w:r w:rsidR="007078A3">
        <w:rPr>
          <w:i/>
        </w:rPr>
        <w:t xml:space="preserve"> kao i smanjenja njegove vrijednosti. Da bi se štetni efekti nečistoća izbjegli</w:t>
      </w:r>
      <w:r w:rsidR="00245520">
        <w:rPr>
          <w:i/>
        </w:rPr>
        <w:t>,</w:t>
      </w:r>
      <w:r w:rsidR="007078A3">
        <w:rPr>
          <w:i/>
        </w:rPr>
        <w:t xml:space="preserve"> one se moraju određenim procesima ukloniti</w:t>
      </w:r>
      <w:r w:rsidR="00245520">
        <w:rPr>
          <w:i/>
        </w:rPr>
        <w:t>,</w:t>
      </w:r>
      <w:r w:rsidR="007078A3">
        <w:rPr>
          <w:i/>
        </w:rPr>
        <w:t xml:space="preserve"> odnosno njihova vri</w:t>
      </w:r>
      <w:r w:rsidR="00245520">
        <w:rPr>
          <w:i/>
        </w:rPr>
        <w:t>jednost sniziti ispod dozvoljene granice. Jedan od</w:t>
      </w:r>
      <w:r w:rsidR="007078A3">
        <w:rPr>
          <w:i/>
        </w:rPr>
        <w:t xml:space="preserve"> načina</w:t>
      </w:r>
      <w:r w:rsidR="00245520">
        <w:rPr>
          <w:i/>
        </w:rPr>
        <w:t xml:space="preserve"> za to</w:t>
      </w:r>
      <w:r w:rsidR="007078A3">
        <w:rPr>
          <w:i/>
        </w:rPr>
        <w:t xml:space="preserve"> je tretiranje aluminatnog rastvora cjepivom na određenoj temperaturi, koncentraciji cjepiva i vremenu tretiranja. Fokus ovog rada je praćenje navedenih parametara </w:t>
      </w:r>
      <w:r w:rsidR="00C201F0">
        <w:rPr>
          <w:i/>
        </w:rPr>
        <w:t>(</w:t>
      </w:r>
      <w:r w:rsidR="000445C2">
        <w:rPr>
          <w:i/>
        </w:rPr>
        <w:t>t</w:t>
      </w:r>
      <w:r w:rsidR="00C201F0" w:rsidRPr="00AB46C6">
        <w:rPr>
          <w:i/>
        </w:rPr>
        <w:t xml:space="preserve">, </w:t>
      </w:r>
      <w:r w:rsidR="00C201F0">
        <w:rPr>
          <w:i/>
        </w:rPr>
        <w:t>c</w:t>
      </w:r>
      <w:r w:rsidR="00C201F0" w:rsidRPr="00AB46C6">
        <w:rPr>
          <w:i/>
        </w:rPr>
        <w:t xml:space="preserve">, </w:t>
      </w:r>
      <w:r w:rsidR="00C201F0">
        <w:rPr>
          <w:i/>
        </w:rPr>
        <w:sym w:font="Symbol" w:char="F074"/>
      </w:r>
      <w:r w:rsidR="00C201F0" w:rsidRPr="00AB46C6">
        <w:rPr>
          <w:i/>
        </w:rPr>
        <w:t xml:space="preserve">) </w:t>
      </w:r>
      <w:r w:rsidR="007078A3">
        <w:rPr>
          <w:i/>
        </w:rPr>
        <w:t>u cilju uklanjanja primjesa gvožđa, cinka i bakra u natrijum aluminatu.</w:t>
      </w:r>
    </w:p>
    <w:p w:rsidR="00E35715" w:rsidRDefault="00D95D46" w:rsidP="00E35715">
      <w:pPr>
        <w:rPr>
          <w:i/>
        </w:rPr>
      </w:pPr>
      <w:r w:rsidRPr="00DB20BD">
        <w:rPr>
          <w:b/>
          <w:i/>
        </w:rPr>
        <w:t>Ključne riječi</w:t>
      </w:r>
      <w:r w:rsidR="009802CE" w:rsidRPr="00DB20BD">
        <w:rPr>
          <w:b/>
          <w:i/>
        </w:rPr>
        <w:t>:</w:t>
      </w:r>
      <w:r w:rsidRPr="00D95D46">
        <w:rPr>
          <w:i/>
        </w:rPr>
        <w:t xml:space="preserve"> Bajerov pr</w:t>
      </w:r>
      <w:r w:rsidR="00D27626">
        <w:rPr>
          <w:i/>
        </w:rPr>
        <w:t>oces, natrijum aluminat, klice kristalizacije</w:t>
      </w:r>
      <w:r w:rsidRPr="00D95D46">
        <w:rPr>
          <w:i/>
        </w:rPr>
        <w:t>, primjese</w:t>
      </w:r>
    </w:p>
    <w:p w:rsidR="00867D0B" w:rsidRDefault="00867D0B" w:rsidP="00867D0B">
      <w:pPr>
        <w:rPr>
          <w:i/>
        </w:rPr>
      </w:pPr>
      <w:r>
        <w:rPr>
          <w:i/>
        </w:rPr>
        <w:t>Abstract</w:t>
      </w:r>
    </w:p>
    <w:p w:rsidR="00867D0B" w:rsidRPr="00AB46C6" w:rsidRDefault="00867D0B" w:rsidP="00867D0B">
      <w:pPr>
        <w:rPr>
          <w:i/>
        </w:rPr>
      </w:pPr>
      <w:r w:rsidRPr="00AB46C6">
        <w:rPr>
          <w:i/>
        </w:rPr>
        <w:t xml:space="preserve">The Bayer process represents the most significant and widespread process of aluminum production. The alumina produced by this process is most commonly used for the production of metallic aluminum, and can also be used as a catalyst, filler, abrasive and as a raw material for the production of many other compounds. The most important and significant aluminum ore is bauxite. Bauxite is a mixture of compounds of which aluminum and iron are </w:t>
      </w:r>
      <w:r>
        <w:rPr>
          <w:i/>
        </w:rPr>
        <w:t>the most important. By digesting bauxite using sodium hydroxide,</w:t>
      </w:r>
      <w:r w:rsidRPr="00AB46C6">
        <w:rPr>
          <w:i/>
        </w:rPr>
        <w:t xml:space="preserve"> sodium aluminate</w:t>
      </w:r>
      <w:r>
        <w:rPr>
          <w:i/>
        </w:rPr>
        <w:t xml:space="preserve"> is produced</w:t>
      </w:r>
      <w:r w:rsidRPr="00AB46C6">
        <w:rPr>
          <w:i/>
        </w:rPr>
        <w:t xml:space="preserve"> at high temperatures and pressures, in which besides aluminum and sodium there are va</w:t>
      </w:r>
      <w:r>
        <w:rPr>
          <w:i/>
        </w:rPr>
        <w:t>rious impurities. The impurities</w:t>
      </w:r>
      <w:r w:rsidRPr="00AB46C6">
        <w:rPr>
          <w:i/>
        </w:rPr>
        <w:t xml:space="preserve"> adversely affect the stability of the aluminate solution and its properties, and later the quality of the product itself (alumina). These impuritie</w:t>
      </w:r>
      <w:r>
        <w:rPr>
          <w:i/>
        </w:rPr>
        <w:t>s</w:t>
      </w:r>
      <w:r w:rsidRPr="00AB46C6">
        <w:rPr>
          <w:i/>
        </w:rPr>
        <w:t>, are bound to the crystal lattice of aluminum hydroxide, which results in a change in its properties as well as a decrease in its value. In order to avoid th</w:t>
      </w:r>
      <w:r>
        <w:rPr>
          <w:i/>
        </w:rPr>
        <w:t>e harmful effects of impurities,</w:t>
      </w:r>
      <w:r w:rsidRPr="00AB46C6">
        <w:rPr>
          <w:i/>
        </w:rPr>
        <w:t xml:space="preserve"> cert</w:t>
      </w:r>
      <w:r>
        <w:rPr>
          <w:i/>
        </w:rPr>
        <w:t>ain processes must be used</w:t>
      </w:r>
      <w:r w:rsidRPr="00AB46C6">
        <w:rPr>
          <w:i/>
        </w:rPr>
        <w:t xml:space="preserve"> or their value redu</w:t>
      </w:r>
      <w:r>
        <w:rPr>
          <w:i/>
        </w:rPr>
        <w:t>ced below the limit which is allowed</w:t>
      </w:r>
      <w:r w:rsidRPr="00AB46C6">
        <w:rPr>
          <w:i/>
        </w:rPr>
        <w:t>. One of these methods is to treat the alu</w:t>
      </w:r>
      <w:r>
        <w:rPr>
          <w:i/>
        </w:rPr>
        <w:t>minate solution with the seed crystal</w:t>
      </w:r>
      <w:r w:rsidRPr="00AB46C6">
        <w:rPr>
          <w:i/>
        </w:rPr>
        <w:t xml:space="preserve"> at a specific temperatu</w:t>
      </w:r>
      <w:r>
        <w:rPr>
          <w:i/>
        </w:rPr>
        <w:t>re, concentration of the seed</w:t>
      </w:r>
      <w:r w:rsidRPr="00AB46C6">
        <w:rPr>
          <w:i/>
        </w:rPr>
        <w:t xml:space="preserve"> and the time of treatment. The focus of this paper is to monitor the above parameters (</w:t>
      </w:r>
      <w:r w:rsidR="000445C2">
        <w:rPr>
          <w:i/>
        </w:rPr>
        <w:t>t</w:t>
      </w:r>
      <w:r w:rsidRPr="00AB46C6">
        <w:rPr>
          <w:i/>
        </w:rPr>
        <w:t xml:space="preserve">, </w:t>
      </w:r>
      <w:r w:rsidR="00C201F0">
        <w:rPr>
          <w:i/>
        </w:rPr>
        <w:t>c</w:t>
      </w:r>
      <w:r w:rsidRPr="00AB46C6">
        <w:rPr>
          <w:i/>
        </w:rPr>
        <w:t xml:space="preserve">, </w:t>
      </w:r>
      <w:r w:rsidR="00C201F0">
        <w:rPr>
          <w:i/>
        </w:rPr>
        <w:sym w:font="Symbol" w:char="F074"/>
      </w:r>
      <w:r w:rsidRPr="00AB46C6">
        <w:rPr>
          <w:i/>
        </w:rPr>
        <w:t>) i</w:t>
      </w:r>
      <w:r>
        <w:rPr>
          <w:i/>
        </w:rPr>
        <w:t>n order to remove the impurities of iron</w:t>
      </w:r>
      <w:r w:rsidR="0007488E">
        <w:rPr>
          <w:i/>
        </w:rPr>
        <w:t>, copper</w:t>
      </w:r>
      <w:r w:rsidR="00C201F0">
        <w:rPr>
          <w:i/>
        </w:rPr>
        <w:t xml:space="preserve"> </w:t>
      </w:r>
      <w:r>
        <w:rPr>
          <w:i/>
        </w:rPr>
        <w:t xml:space="preserve"> and zinc</w:t>
      </w:r>
      <w:r w:rsidRPr="00AB46C6">
        <w:rPr>
          <w:i/>
        </w:rPr>
        <w:t xml:space="preserve"> in sodium aluminate.</w:t>
      </w:r>
    </w:p>
    <w:p w:rsidR="00867D0B" w:rsidRPr="00E35715" w:rsidRDefault="00867D0B" w:rsidP="00E35715">
      <w:pPr>
        <w:rPr>
          <w:i/>
        </w:rPr>
      </w:pPr>
      <w:r w:rsidRPr="00DB20BD">
        <w:rPr>
          <w:b/>
          <w:i/>
        </w:rPr>
        <w:t>Keywords</w:t>
      </w:r>
      <w:r>
        <w:rPr>
          <w:i/>
        </w:rPr>
        <w:t>: Bayer process, impurities, sodium aluminate, seed crysta</w:t>
      </w:r>
      <w:r w:rsidR="006F1713">
        <w:rPr>
          <w:i/>
        </w:rPr>
        <w:t>ls</w:t>
      </w:r>
    </w:p>
    <w:p w:rsidR="00DB20BD" w:rsidRDefault="002B7270" w:rsidP="00DB20BD">
      <w:pPr>
        <w:pStyle w:val="Heading1"/>
      </w:pPr>
      <w:r w:rsidRPr="00DB20BD">
        <w:lastRenderedPageBreak/>
        <w:t>Uvod</w:t>
      </w:r>
    </w:p>
    <w:p w:rsidR="00914BFA" w:rsidRPr="00DB20BD" w:rsidRDefault="000445C2" w:rsidP="00914BFA">
      <w:pPr>
        <w:rPr>
          <w:b/>
          <w:sz w:val="28"/>
          <w:szCs w:val="28"/>
        </w:rPr>
      </w:pPr>
      <w:r>
        <w:t>Poznato je da l</w:t>
      </w:r>
      <w:r w:rsidR="00914BFA">
        <w:t>uženje predstavlja prvu fazu u proizvodn</w:t>
      </w:r>
      <w:r w:rsidR="00245520">
        <w:t>j</w:t>
      </w:r>
      <w:r w:rsidR="00914BFA">
        <w:t>i alumine. Boksit</w:t>
      </w:r>
      <w:r w:rsidR="00245520">
        <w:t>,</w:t>
      </w:r>
      <w:r w:rsidR="00914BFA">
        <w:t xml:space="preserve"> prethodno pripremljen (samljeven i homogenizovan)</w:t>
      </w:r>
      <w:r w:rsidR="00245520">
        <w:t>, se miješa sa rastvorom NaOH na visokoj temperaturi i pritisku</w:t>
      </w:r>
      <w:r w:rsidR="00914BFA">
        <w:t xml:space="preserve"> pri čemu dolazi do selektivnog rastavaranja aluminijumovih jedinjenja, a velika većina ostalih jedinjenja, odnosno nečistoća</w:t>
      </w:r>
      <w:r w:rsidR="00245520">
        <w:t>,</w:t>
      </w:r>
      <w:r w:rsidR="00914BFA">
        <w:t xml:space="preserve"> ostaje u čvrstoj fazi</w:t>
      </w:r>
      <w:r w:rsidR="009D728A">
        <w:t xml:space="preserve"> </w:t>
      </w:r>
      <w:sdt>
        <w:sdtPr>
          <w:id w:val="-110056278"/>
          <w:citation/>
        </w:sdtPr>
        <w:sdtEndPr/>
        <w:sdtContent>
          <w:r w:rsidR="00745D10">
            <w:fldChar w:fldCharType="begin"/>
          </w:r>
          <w:r w:rsidR="009D728A">
            <w:instrText xml:space="preserve"> CITATION Par12 \l 9242 </w:instrText>
          </w:r>
          <w:r w:rsidR="00745D10">
            <w:fldChar w:fldCharType="separate"/>
          </w:r>
          <w:r w:rsidR="00910099">
            <w:rPr>
              <w:noProof/>
            </w:rPr>
            <w:t>(Park, i drugi, 2012)</w:t>
          </w:r>
          <w:r w:rsidR="00745D10">
            <w:fldChar w:fldCharType="end"/>
          </w:r>
        </w:sdtContent>
      </w:sdt>
      <w:sdt>
        <w:sdtPr>
          <w:id w:val="1476341461"/>
          <w:citation/>
        </w:sdtPr>
        <w:sdtEndPr/>
        <w:sdtContent>
          <w:r w:rsidR="00745D10">
            <w:fldChar w:fldCharType="begin"/>
          </w:r>
          <w:r w:rsidR="000F25E6">
            <w:rPr>
              <w:lang w:val="sr-Latn-BA"/>
            </w:rPr>
            <w:instrText xml:space="preserve"> CITATION Sin19 \l 6170 </w:instrText>
          </w:r>
          <w:r w:rsidR="00745D10">
            <w:fldChar w:fldCharType="separate"/>
          </w:r>
          <w:r w:rsidR="000F25E6">
            <w:rPr>
              <w:noProof/>
              <w:lang w:val="sr-Latn-BA"/>
            </w:rPr>
            <w:t xml:space="preserve"> (Singh &amp; Verma, 2019)</w:t>
          </w:r>
          <w:r w:rsidR="00745D10">
            <w:fldChar w:fldCharType="end"/>
          </w:r>
        </w:sdtContent>
      </w:sdt>
      <w:sdt>
        <w:sdtPr>
          <w:id w:val="1955828014"/>
          <w:citation/>
        </w:sdtPr>
        <w:sdtEndPr/>
        <w:sdtContent>
          <w:r w:rsidR="00745D10">
            <w:fldChar w:fldCharType="begin"/>
          </w:r>
          <w:r w:rsidR="000F25E6">
            <w:rPr>
              <w:lang w:val="sr-Latn-BA"/>
            </w:rPr>
            <w:instrText xml:space="preserve"> CITATION Zha18 \l 6170 </w:instrText>
          </w:r>
          <w:r w:rsidR="00745D10">
            <w:fldChar w:fldCharType="separate"/>
          </w:r>
          <w:r w:rsidR="000F25E6">
            <w:rPr>
              <w:noProof/>
              <w:lang w:val="sr-Latn-BA"/>
            </w:rPr>
            <w:t xml:space="preserve"> (Zhanwei, i drugi, 2018)</w:t>
          </w:r>
          <w:r w:rsidR="00745D10">
            <w:fldChar w:fldCharType="end"/>
          </w:r>
        </w:sdtContent>
      </w:sdt>
      <w:r w:rsidR="00914BFA">
        <w:t>. U zavisnosti od tipa boksita proces luženja se razlikuje. Najlakše se luži Gibsitni tip boksita (slika 2.), zatim bemitni, a dijasporni zahtjeva najviše temperature i pritiske i često se on zbog visokih troškova i ne prerađuje</w:t>
      </w:r>
      <w:r w:rsidR="00454476">
        <w:t xml:space="preserve"> </w:t>
      </w:r>
      <w:sdt>
        <w:sdtPr>
          <w:id w:val="1982038640"/>
          <w:citation/>
        </w:sdtPr>
        <w:sdtEndPr/>
        <w:sdtContent>
          <w:r w:rsidR="00745D10">
            <w:fldChar w:fldCharType="begin"/>
          </w:r>
          <w:r w:rsidR="00454476">
            <w:instrText xml:space="preserve"> CITATION Met11 \l 9242 </w:instrText>
          </w:r>
          <w:r w:rsidR="00745D10">
            <w:fldChar w:fldCharType="separate"/>
          </w:r>
          <w:r w:rsidR="00910099">
            <w:rPr>
              <w:noProof/>
            </w:rPr>
            <w:t>(Metson, 2011)</w:t>
          </w:r>
          <w:r w:rsidR="00745D10">
            <w:fldChar w:fldCharType="end"/>
          </w:r>
        </w:sdtContent>
      </w:sdt>
      <w:r w:rsidR="00DD40A4">
        <w:t xml:space="preserve"> </w:t>
      </w:r>
      <w:sdt>
        <w:sdtPr>
          <w:id w:val="-1313945078"/>
          <w:citation/>
        </w:sdtPr>
        <w:sdtEndPr/>
        <w:sdtContent>
          <w:r w:rsidR="00745D10">
            <w:fldChar w:fldCharType="begin"/>
          </w:r>
          <w:r w:rsidR="00DD40A4">
            <w:rPr>
              <w:lang w:val="sr-Latn-BA"/>
            </w:rPr>
            <w:instrText xml:space="preserve"> CITATION Che19 \l 6170 </w:instrText>
          </w:r>
          <w:r w:rsidR="00745D10">
            <w:fldChar w:fldCharType="separate"/>
          </w:r>
          <w:r w:rsidR="00DD40A4">
            <w:rPr>
              <w:noProof/>
              <w:lang w:val="sr-Latn-BA"/>
            </w:rPr>
            <w:t>(Chesonis, 2019)</w:t>
          </w:r>
          <w:r w:rsidR="00745D10">
            <w:fldChar w:fldCharType="end"/>
          </w:r>
        </w:sdtContent>
      </w:sdt>
      <w:sdt>
        <w:sdtPr>
          <w:id w:val="744068102"/>
          <w:citation/>
        </w:sdtPr>
        <w:sdtEndPr/>
        <w:sdtContent>
          <w:r w:rsidR="00745D10">
            <w:fldChar w:fldCharType="begin"/>
          </w:r>
          <w:r w:rsidR="00DD40A4">
            <w:rPr>
              <w:lang w:val="sr-Latn-BA"/>
            </w:rPr>
            <w:instrText xml:space="preserve"> CITATION Cou89 \l 6170 </w:instrText>
          </w:r>
          <w:r w:rsidR="00745D10">
            <w:fldChar w:fldCharType="separate"/>
          </w:r>
          <w:r w:rsidR="00DD40A4">
            <w:rPr>
              <w:noProof/>
              <w:lang w:val="sr-Latn-BA"/>
            </w:rPr>
            <w:t xml:space="preserve"> (Europe Br. patenta EP0339766, 1989)</w:t>
          </w:r>
          <w:r w:rsidR="00745D10">
            <w:fldChar w:fldCharType="end"/>
          </w:r>
        </w:sdtContent>
      </w:sdt>
      <w:sdt>
        <w:sdtPr>
          <w:id w:val="945890545"/>
          <w:citation/>
        </w:sdtPr>
        <w:sdtEndPr/>
        <w:sdtContent>
          <w:r w:rsidR="00745D10">
            <w:fldChar w:fldCharType="begin"/>
          </w:r>
          <w:r w:rsidR="00DD40A4">
            <w:rPr>
              <w:lang w:val="sr-Latn-BA"/>
            </w:rPr>
            <w:instrText xml:space="preserve"> CITATION Joh14 \l 6170 </w:instrText>
          </w:r>
          <w:r w:rsidR="00745D10">
            <w:fldChar w:fldCharType="separate"/>
          </w:r>
          <w:r w:rsidR="00DD40A4">
            <w:rPr>
              <w:noProof/>
              <w:lang w:val="sr-Latn-BA"/>
            </w:rPr>
            <w:t xml:space="preserve"> (Grandfield, 2014)</w:t>
          </w:r>
          <w:r w:rsidR="00745D10">
            <w:fldChar w:fldCharType="end"/>
          </w:r>
        </w:sdtContent>
      </w:sdt>
      <w:r w:rsidR="00914BFA">
        <w:t>.</w:t>
      </w:r>
    </w:p>
    <w:p w:rsidR="00CA2EF8" w:rsidRDefault="00CA2EF8" w:rsidP="00914BFA">
      <w:r>
        <w:t>Osnovne reakcije koje se odvijaju pri procesu luženja su</w:t>
      </w:r>
      <w:r w:rsidR="00DD40A4">
        <w:t xml:space="preserve"> </w:t>
      </w:r>
      <w:sdt>
        <w:sdtPr>
          <w:id w:val="1860926828"/>
          <w:citation/>
        </w:sdtPr>
        <w:sdtEndPr/>
        <w:sdtContent>
          <w:r w:rsidR="00745D10">
            <w:fldChar w:fldCharType="begin"/>
          </w:r>
          <w:r w:rsidR="00DD40A4">
            <w:rPr>
              <w:lang w:val="sr-Latn-BA"/>
            </w:rPr>
            <w:instrText xml:space="preserve"> CITATION Pet73 \l 6170 </w:instrText>
          </w:r>
          <w:r w:rsidR="00745D10">
            <w:fldChar w:fldCharType="separate"/>
          </w:r>
          <w:r w:rsidR="00DD40A4">
            <w:rPr>
              <w:noProof/>
              <w:lang w:val="sr-Latn-BA"/>
            </w:rPr>
            <w:t>(France Br. patenta 3728432, 1973)</w:t>
          </w:r>
          <w:r w:rsidR="00745D10">
            <w:fldChar w:fldCharType="end"/>
          </w:r>
        </w:sdtContent>
      </w:sdt>
      <w:sdt>
        <w:sdtPr>
          <w:id w:val="-2127235161"/>
          <w:citation/>
        </w:sdtPr>
        <w:sdtEndPr/>
        <w:sdtContent>
          <w:r w:rsidR="00745D10">
            <w:fldChar w:fldCharType="begin"/>
          </w:r>
          <w:r w:rsidR="00DD40A4">
            <w:rPr>
              <w:lang w:val="sr-Latn-BA"/>
            </w:rPr>
            <w:instrText xml:space="preserve"> CITATION RVr93 \l 6170 </w:instrText>
          </w:r>
          <w:r w:rsidR="00745D10">
            <w:fldChar w:fldCharType="separate"/>
          </w:r>
          <w:r w:rsidR="00DD40A4">
            <w:rPr>
              <w:noProof/>
              <w:lang w:val="sr-Latn-BA"/>
            </w:rPr>
            <w:t xml:space="preserve"> (R. Vračar, 1993)</w:t>
          </w:r>
          <w:r w:rsidR="00745D10">
            <w:fldChar w:fldCharType="end"/>
          </w:r>
        </w:sdtContent>
      </w:sdt>
      <w:sdt>
        <w:sdtPr>
          <w:id w:val="-1444768628"/>
          <w:citation/>
        </w:sdtPr>
        <w:sdtEndPr/>
        <w:sdtContent>
          <w:r w:rsidR="00745D10">
            <w:fldChar w:fldCharType="begin"/>
          </w:r>
          <w:r w:rsidR="00DD40A4">
            <w:rPr>
              <w:lang w:val="sr-Latn-BA"/>
            </w:rPr>
            <w:instrText xml:space="preserve"> CITATION APR17 \l 6170 </w:instrText>
          </w:r>
          <w:r w:rsidR="00745D10">
            <w:fldChar w:fldCharType="separate"/>
          </w:r>
          <w:r w:rsidR="00DD40A4">
            <w:rPr>
              <w:noProof/>
              <w:lang w:val="sr-Latn-BA"/>
            </w:rPr>
            <w:t xml:space="preserve"> (Ratvik, 2017)</w:t>
          </w:r>
          <w:r w:rsidR="00745D10">
            <w:fldChar w:fldCharType="end"/>
          </w:r>
        </w:sdtContent>
      </w:sdt>
      <w:sdt>
        <w:sdtPr>
          <w:id w:val="-989391555"/>
          <w:citation/>
        </w:sdtPr>
        <w:sdtEndPr/>
        <w:sdtContent>
          <w:r w:rsidR="00745D10">
            <w:fldChar w:fldCharType="begin"/>
          </w:r>
          <w:r w:rsidR="00DD40A4">
            <w:rPr>
              <w:lang w:val="sr-Latn-BA"/>
            </w:rPr>
            <w:instrText xml:space="preserve"> CITATION Cho72 \l 6170 </w:instrText>
          </w:r>
          <w:r w:rsidR="00745D10">
            <w:fldChar w:fldCharType="separate"/>
          </w:r>
          <w:r w:rsidR="00DD40A4">
            <w:rPr>
              <w:noProof/>
              <w:lang w:val="sr-Latn-BA"/>
            </w:rPr>
            <w:t xml:space="preserve"> (Japan Br. patenta 3649185, 1972)</w:t>
          </w:r>
          <w:r w:rsidR="00745D10">
            <w:fldChar w:fldCharType="end"/>
          </w:r>
        </w:sdtContent>
      </w:sdt>
      <w:r>
        <w:t xml:space="preserve">: </w:t>
      </w:r>
    </w:p>
    <w:p w:rsidR="00CA2EF8" w:rsidRDefault="006F1713" w:rsidP="00914BFA">
      <w:r w:rsidRPr="006F1713">
        <w:rPr>
          <w:noProof/>
          <w:position w:val="-12"/>
        </w:rPr>
        <w:object w:dxaOrig="332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66.5pt;height:18.75pt" o:ole="">
            <v:imagedata r:id="rId8" o:title=""/>
          </v:shape>
          <o:OLEObject Type="Embed" ProgID="Equation.DSMT4" ShapeID="_x0000_i1025" DrawAspect="Content" ObjectID="_1654003723" r:id="rId9"/>
        </w:object>
      </w:r>
      <w:r w:rsidR="00CA2EF8">
        <w:t xml:space="preserve"> </w:t>
      </w:r>
      <w:r>
        <w:tab/>
      </w:r>
      <w:r>
        <w:tab/>
      </w:r>
      <w:r>
        <w:tab/>
      </w:r>
      <w:r>
        <w:tab/>
      </w:r>
      <w:r>
        <w:tab/>
      </w:r>
      <w:r>
        <w:tab/>
      </w:r>
      <w:r>
        <w:tab/>
      </w:r>
      <w:r>
        <w:tab/>
        <w:t>(1)</w:t>
      </w:r>
    </w:p>
    <w:p w:rsidR="006F1713" w:rsidRDefault="006F1713" w:rsidP="00914BFA">
      <w:r w:rsidRPr="006637BD">
        <w:rPr>
          <w:position w:val="-12"/>
        </w:rPr>
        <w:object w:dxaOrig="3879" w:dyaOrig="360">
          <v:shape id="_x0000_i1026" type="#_x0000_t75" style="width:194.25pt;height:18pt" o:ole="">
            <v:imagedata r:id="rId10" o:title=""/>
          </v:shape>
          <o:OLEObject Type="Embed" ProgID="Equation.DSMT4" ShapeID="_x0000_i1026" DrawAspect="Content" ObjectID="_1654003724" r:id="rId11"/>
        </w:object>
      </w:r>
      <w:r>
        <w:tab/>
      </w:r>
      <w:r>
        <w:tab/>
      </w:r>
      <w:r>
        <w:tab/>
      </w:r>
      <w:r>
        <w:tab/>
      </w:r>
      <w:r>
        <w:tab/>
      </w:r>
      <w:r>
        <w:tab/>
      </w:r>
      <w:r>
        <w:tab/>
        <w:t>(2)</w:t>
      </w:r>
    </w:p>
    <w:p w:rsidR="00914BFA" w:rsidRDefault="008F7830" w:rsidP="00914BFA">
      <w:r>
        <w:t>Nakon operacije luženja slijedi filtracija, odnosno odvajanje crvenog mulja od aluminatnog rastvora</w:t>
      </w:r>
      <w:r w:rsidR="00DD40A4">
        <w:t xml:space="preserve"> </w:t>
      </w:r>
      <w:sdt>
        <w:sdtPr>
          <w:id w:val="1000388452"/>
          <w:citation/>
        </w:sdtPr>
        <w:sdtEndPr/>
        <w:sdtContent>
          <w:r w:rsidR="00745D10">
            <w:fldChar w:fldCharType="begin"/>
          </w:r>
          <w:r w:rsidR="00DD40A4">
            <w:rPr>
              <w:lang w:val="sr-Latn-BA"/>
            </w:rPr>
            <w:instrText xml:space="preserve"> CITATION JYi09 \l 6170 </w:instrText>
          </w:r>
          <w:r w:rsidR="00745D10">
            <w:fldChar w:fldCharType="separate"/>
          </w:r>
          <w:r w:rsidR="00DD40A4">
            <w:rPr>
              <w:noProof/>
              <w:lang w:val="sr-Latn-BA"/>
            </w:rPr>
            <w:t>(J, Y., &amp; J. Gao, 2009)</w:t>
          </w:r>
          <w:r w:rsidR="00745D10">
            <w:fldChar w:fldCharType="end"/>
          </w:r>
        </w:sdtContent>
      </w:sdt>
      <w:sdt>
        <w:sdtPr>
          <w:id w:val="1656574877"/>
          <w:citation/>
        </w:sdtPr>
        <w:sdtEndPr/>
        <w:sdtContent>
          <w:r w:rsidR="00745D10">
            <w:fldChar w:fldCharType="begin"/>
          </w:r>
          <w:r w:rsidR="00DD40A4">
            <w:rPr>
              <w:lang w:val="sr-Latn-BA"/>
            </w:rPr>
            <w:instrText xml:space="preserve"> CITATION Kel05 \l 6170 </w:instrText>
          </w:r>
          <w:r w:rsidR="00745D10">
            <w:fldChar w:fldCharType="separate"/>
          </w:r>
          <w:r w:rsidR="00DD40A4">
            <w:rPr>
              <w:noProof/>
              <w:lang w:val="sr-Latn-BA"/>
            </w:rPr>
            <w:t xml:space="preserve"> (Keller &amp; Staudt, 2005)</w:t>
          </w:r>
          <w:r w:rsidR="00745D10">
            <w:fldChar w:fldCharType="end"/>
          </w:r>
        </w:sdtContent>
      </w:sdt>
      <w:sdt>
        <w:sdtPr>
          <w:id w:val="1962917673"/>
          <w:citation/>
        </w:sdtPr>
        <w:sdtEndPr/>
        <w:sdtContent>
          <w:r w:rsidR="00745D10">
            <w:fldChar w:fldCharType="begin"/>
          </w:r>
          <w:r w:rsidR="000F25E6">
            <w:rPr>
              <w:lang w:val="sr-Latn-BA"/>
            </w:rPr>
            <w:instrText xml:space="preserve"> CITATION Sin98 \l 6170 </w:instrText>
          </w:r>
          <w:r w:rsidR="00745D10">
            <w:fldChar w:fldCharType="separate"/>
          </w:r>
          <w:r w:rsidR="000F25E6">
            <w:rPr>
              <w:noProof/>
              <w:lang w:val="sr-Latn-BA"/>
            </w:rPr>
            <w:t xml:space="preserve"> (Sing, 1998)</w:t>
          </w:r>
          <w:r w:rsidR="00745D10">
            <w:fldChar w:fldCharType="end"/>
          </w:r>
        </w:sdtContent>
      </w:sdt>
      <w:r>
        <w:t xml:space="preserve">. </w:t>
      </w:r>
    </w:p>
    <w:p w:rsidR="00445BA9" w:rsidRDefault="00F37066" w:rsidP="00445BA9">
      <w:r>
        <w:t>Industrijski aluminatni rastvori uvijek sadrže primjese koje utiču na njegovu postojanost kao i na kvalitet dobijene alumine</w:t>
      </w:r>
      <w:r w:rsidR="00DD40A4">
        <w:t xml:space="preserve"> </w:t>
      </w:r>
      <w:sdt>
        <w:sdtPr>
          <w:id w:val="123744299"/>
          <w:citation/>
        </w:sdtPr>
        <w:sdtEndPr/>
        <w:sdtContent>
          <w:r w:rsidR="00745D10">
            <w:fldChar w:fldCharType="begin"/>
          </w:r>
          <w:r w:rsidR="00DD40A4">
            <w:rPr>
              <w:lang w:val="sr-Latn-BA"/>
            </w:rPr>
            <w:instrText xml:space="preserve"> CITATION Kos19 \l 6170 </w:instrText>
          </w:r>
          <w:r w:rsidR="00745D10">
            <w:fldChar w:fldCharType="separate"/>
          </w:r>
          <w:r w:rsidR="00DD40A4">
            <w:rPr>
              <w:noProof/>
              <w:lang w:val="sr-Latn-BA"/>
            </w:rPr>
            <w:t>(Kostić, Balaban, Perušić, &amp; Pejović, 2019)</w:t>
          </w:r>
          <w:r w:rsidR="00745D10">
            <w:fldChar w:fldCharType="end"/>
          </w:r>
        </w:sdtContent>
      </w:sdt>
      <w:sdt>
        <w:sdtPr>
          <w:id w:val="570166521"/>
          <w:citation/>
        </w:sdtPr>
        <w:sdtEndPr/>
        <w:sdtContent>
          <w:r w:rsidR="00745D10">
            <w:fldChar w:fldCharType="begin"/>
          </w:r>
          <w:r w:rsidR="000F25E6">
            <w:rPr>
              <w:lang w:val="sr-Latn-BA"/>
            </w:rPr>
            <w:instrText xml:space="preserve"> CITATION CSu12 \l 6170 </w:instrText>
          </w:r>
          <w:r w:rsidR="00745D10">
            <w:fldChar w:fldCharType="separate"/>
          </w:r>
          <w:r w:rsidR="000F25E6">
            <w:rPr>
              <w:noProof/>
              <w:lang w:val="sr-Latn-BA"/>
            </w:rPr>
            <w:t xml:space="preserve"> (Suarez, 2012)</w:t>
          </w:r>
          <w:r w:rsidR="00745D10">
            <w:fldChar w:fldCharType="end"/>
          </w:r>
        </w:sdtContent>
      </w:sdt>
      <w:r>
        <w:t>. Međutim</w:t>
      </w:r>
      <w:r w:rsidR="00245520">
        <w:t>,</w:t>
      </w:r>
      <w:r>
        <w:t xml:space="preserve"> uticaj primjesa nije dovol</w:t>
      </w:r>
      <w:r w:rsidR="003B7F48">
        <w:t xml:space="preserve">jno poznat, a njihovo ispitivanje i uklanjanje predstavlja temu ovog rada. </w:t>
      </w:r>
    </w:p>
    <w:p w:rsidR="000445C2" w:rsidRPr="000445C2" w:rsidRDefault="000445C2" w:rsidP="000445C2"/>
    <w:p w:rsidR="0074614A" w:rsidRDefault="0074614A" w:rsidP="00E35715">
      <w:pPr>
        <w:pStyle w:val="Heading1"/>
      </w:pPr>
      <w:r>
        <w:t>Eksperimentalni dio</w:t>
      </w:r>
    </w:p>
    <w:p w:rsidR="009939C6" w:rsidRDefault="009939C6" w:rsidP="009939C6">
      <w:pPr>
        <w:spacing w:before="120"/>
      </w:pPr>
      <w:r>
        <w:t xml:space="preserve">Eksperimentalni dio ovog rada izvršen je u prostorijama istraživačke laboratorije fabrike „Alumina“ d.o.o. </w:t>
      </w:r>
    </w:p>
    <w:p w:rsidR="00867D0B" w:rsidRDefault="00245520" w:rsidP="00867D0B">
      <w:r>
        <w:t>U ovom radu fokus je na uklanjanju</w:t>
      </w:r>
      <w:r w:rsidR="00867D0B">
        <w:t xml:space="preserve"> primjesa gvožđa i cinka dodavanjem cjepiva fino precipitiranog hidrata u određenom odnosu</w:t>
      </w:r>
      <w:r w:rsidR="000F25E6">
        <w:t xml:space="preserve"> </w:t>
      </w:r>
      <w:sdt>
        <w:sdtPr>
          <w:id w:val="-1007749887"/>
          <w:citation/>
        </w:sdtPr>
        <w:sdtEndPr/>
        <w:sdtContent>
          <w:r w:rsidR="00745D10">
            <w:fldChar w:fldCharType="begin"/>
          </w:r>
          <w:r w:rsidR="000F25E6">
            <w:rPr>
              <w:lang w:val="sr-Latn-BA"/>
            </w:rPr>
            <w:instrText xml:space="preserve"> CITATION EWi16 \l 6170 </w:instrText>
          </w:r>
          <w:r w:rsidR="00745D10">
            <w:fldChar w:fldCharType="separate"/>
          </w:r>
          <w:r w:rsidR="000F25E6">
            <w:rPr>
              <w:noProof/>
              <w:lang w:val="sr-Latn-BA"/>
            </w:rPr>
            <w:t>(Williams, 2016)</w:t>
          </w:r>
          <w:r w:rsidR="00745D10">
            <w:fldChar w:fldCharType="end"/>
          </w:r>
        </w:sdtContent>
      </w:sdt>
      <w:sdt>
        <w:sdtPr>
          <w:id w:val="1126974284"/>
          <w:citation/>
        </w:sdtPr>
        <w:sdtEndPr/>
        <w:sdtContent>
          <w:r w:rsidR="00745D10">
            <w:fldChar w:fldCharType="begin"/>
          </w:r>
          <w:r w:rsidR="000F25E6">
            <w:rPr>
              <w:lang w:val="sr-Latn-BA"/>
            </w:rPr>
            <w:instrText xml:space="preserve"> CITATION Tie19 \l 6170 </w:instrText>
          </w:r>
          <w:r w:rsidR="00745D10">
            <w:fldChar w:fldCharType="separate"/>
          </w:r>
          <w:r w:rsidR="000F25E6">
            <w:rPr>
              <w:noProof/>
              <w:lang w:val="sr-Latn-BA"/>
            </w:rPr>
            <w:t xml:space="preserve"> (Tien, 2019)</w:t>
          </w:r>
          <w:r w:rsidR="00745D10">
            <w:fldChar w:fldCharType="end"/>
          </w:r>
        </w:sdtContent>
      </w:sdt>
      <w:r w:rsidR="00867D0B">
        <w:t xml:space="preserve">. Osim ovog načina, koji nije izučavan, u literaturi su ispitivani mnogi drugi načini prečišćavanja aluminata od pomenutih primjesa. Neki od tih načina su: uklanjanje Zn i Cu filtracijom kroz sloj granula koje sadrže gvožđe trioksid </w:t>
      </w:r>
      <w:sdt>
        <w:sdtPr>
          <w:id w:val="-1822264415"/>
          <w:citation/>
        </w:sdtPr>
        <w:sdtEndPr/>
        <w:sdtContent>
          <w:r w:rsidR="00745D10">
            <w:fldChar w:fldCharType="begin"/>
          </w:r>
          <w:r w:rsidR="00867D0B">
            <w:instrText xml:space="preserve"> CITATION The83 \l 9242 </w:instrText>
          </w:r>
          <w:r w:rsidR="00745D10">
            <w:fldChar w:fldCharType="separate"/>
          </w:r>
          <w:r w:rsidR="00867D0B">
            <w:rPr>
              <w:noProof/>
            </w:rPr>
            <w:t>(USA Br. patenta 4414115, 1983)</w:t>
          </w:r>
          <w:r w:rsidR="00745D10">
            <w:fldChar w:fldCharType="end"/>
          </w:r>
        </w:sdtContent>
      </w:sdt>
      <w:r w:rsidR="00867D0B">
        <w:t xml:space="preserve">,  uklananje Zn dodavanjem klica ZnS u prisustvu sulfidnog jona </w:t>
      </w:r>
      <w:sdt>
        <w:sdtPr>
          <w:id w:val="1140847087"/>
          <w:citation/>
        </w:sdtPr>
        <w:sdtEndPr/>
        <w:sdtContent>
          <w:r w:rsidR="00745D10">
            <w:fldChar w:fldCharType="begin"/>
          </w:r>
          <w:r w:rsidR="00867D0B">
            <w:instrText xml:space="preserve"> CITATION Bir81 \l 9242 </w:instrText>
          </w:r>
          <w:r w:rsidR="00745D10">
            <w:fldChar w:fldCharType="separate"/>
          </w:r>
          <w:r w:rsidR="00867D0B">
            <w:rPr>
              <w:noProof/>
            </w:rPr>
            <w:t>(USA Br. patenta 4282191, 1981)</w:t>
          </w:r>
          <w:r w:rsidR="00745D10">
            <w:fldChar w:fldCharType="end"/>
          </w:r>
        </w:sdtContent>
      </w:sdt>
      <w:r w:rsidR="00867D0B">
        <w:t xml:space="preserve">, uklananje koloidnog gvožđa filtracijom kroz odgovarajući polimer </w:t>
      </w:r>
      <w:sdt>
        <w:sdtPr>
          <w:id w:val="-744032644"/>
          <w:citation/>
        </w:sdtPr>
        <w:sdtEndPr/>
        <w:sdtContent>
          <w:r w:rsidR="00745D10">
            <w:fldChar w:fldCharType="begin"/>
          </w:r>
          <w:r w:rsidR="00867D0B">
            <w:instrText xml:space="preserve"> CITATION Dev97 \l 9242 </w:instrText>
          </w:r>
          <w:r w:rsidR="00745D10">
            <w:fldChar w:fldCharType="separate"/>
          </w:r>
          <w:r w:rsidR="00867D0B">
            <w:rPr>
              <w:noProof/>
            </w:rPr>
            <w:t>(USA, France Br. patenta 5628972, 1997)</w:t>
          </w:r>
          <w:r w:rsidR="00745D10">
            <w:fldChar w:fldCharType="end"/>
          </w:r>
        </w:sdtContent>
      </w:sdt>
      <w:r w:rsidR="00867D0B">
        <w:t xml:space="preserve">, uklanjanje Fe filtracijom kroz sloj pijeska </w:t>
      </w:r>
      <w:sdt>
        <w:sdtPr>
          <w:id w:val="1653558621"/>
          <w:citation/>
        </w:sdtPr>
        <w:sdtEndPr/>
        <w:sdtContent>
          <w:r w:rsidR="00745D10">
            <w:fldChar w:fldCharType="begin"/>
          </w:r>
          <w:r w:rsidR="00867D0B">
            <w:instrText xml:space="preserve"> CITATION Cyt98 \l 9242 </w:instrText>
          </w:r>
          <w:r w:rsidR="00745D10">
            <w:fldChar w:fldCharType="separate"/>
          </w:r>
          <w:r w:rsidR="00867D0B">
            <w:rPr>
              <w:noProof/>
            </w:rPr>
            <w:t>(USA Br. patenta US9276357A, 1998)</w:t>
          </w:r>
          <w:r w:rsidR="00745D10">
            <w:fldChar w:fldCharType="end"/>
          </w:r>
        </w:sdtContent>
      </w:sdt>
      <w:sdt>
        <w:sdtPr>
          <w:id w:val="2011552046"/>
          <w:citation/>
        </w:sdtPr>
        <w:sdtEndPr/>
        <w:sdtContent>
          <w:r w:rsidR="00745D10">
            <w:fldChar w:fldCharType="begin"/>
          </w:r>
          <w:r w:rsidR="00DD40A4">
            <w:rPr>
              <w:lang w:val="sr-Latn-BA"/>
            </w:rPr>
            <w:instrText xml:space="preserve"> CITATION LiX15 \l 6170 </w:instrText>
          </w:r>
          <w:r w:rsidR="00745D10">
            <w:fldChar w:fldCharType="separate"/>
          </w:r>
          <w:r w:rsidR="00DD40A4">
            <w:rPr>
              <w:noProof/>
              <w:lang w:val="sr-Latn-BA"/>
            </w:rPr>
            <w:t xml:space="preserve"> (Li, Li, Liu, Zhou, &amp; Qi, 2015)</w:t>
          </w:r>
          <w:r w:rsidR="00745D10">
            <w:fldChar w:fldCharType="end"/>
          </w:r>
        </w:sdtContent>
      </w:sdt>
      <w:r w:rsidR="00867D0B">
        <w:t>.</w:t>
      </w:r>
    </w:p>
    <w:p w:rsidR="0074614A" w:rsidRPr="00F66717" w:rsidRDefault="0074614A" w:rsidP="00445BA9">
      <w:pPr>
        <w:rPr>
          <w:lang w:val="bs-Latn-BA"/>
        </w:rPr>
      </w:pPr>
      <w:r>
        <w:t>Uklanjanje primjesa gvožđa i cinka iz aluminatnog rastvora vrši se dodavanje</w:t>
      </w:r>
      <w:r w:rsidR="000F25E6">
        <w:t>m</w:t>
      </w:r>
      <w:r>
        <w:t xml:space="preserve"> cjepi</w:t>
      </w:r>
      <w:r w:rsidR="00D00411">
        <w:t>va</w:t>
      </w:r>
      <w:r w:rsidR="00245520">
        <w:t>,</w:t>
      </w:r>
      <w:r w:rsidR="00D00411">
        <w:t xml:space="preserve"> mljevenog aluminijum</w:t>
      </w:r>
      <w:r>
        <w:t xml:space="preserve"> hidroksida.</w:t>
      </w:r>
      <w:r w:rsidR="004B1B5B">
        <w:t xml:space="preserve"> Za korišćeno cjepivo potrebno je uraditi hemijsku, PSD i minerološku analizu.</w:t>
      </w:r>
      <w:r>
        <w:t xml:space="preserve"> </w:t>
      </w:r>
      <w:r w:rsidR="00F66717">
        <w:rPr>
          <w:lang w:val="bs-Latn-BA"/>
        </w:rPr>
        <w:t xml:space="preserve">Sintetički natrijum aluminat se priprema iz nemetalurškog hidrata koji se rastvara u natrijum hidroksidu. Rastvor natrijum hidroksida se priprema rastvaranjem granulisanog čvrstog NaOH u određenoj količni vode. Emprijski je određeno da je za rastvaranje 260 g nemetalurškog hidrata potrebno 204 g čvrstog NaOH po litru demineralizovane vode. Na ovaj način se dobija aluminatni rastvor koji se podvrgava </w:t>
      </w:r>
      <w:r w:rsidR="00F66717">
        <w:rPr>
          <w:lang w:val="bs-Latn-BA"/>
        </w:rPr>
        <w:lastRenderedPageBreak/>
        <w:t>prečišćavanju.</w:t>
      </w:r>
      <w:r w:rsidR="00E7138A">
        <w:rPr>
          <w:lang w:val="bs-Latn-BA"/>
        </w:rPr>
        <w:t xml:space="preserve"> </w:t>
      </w:r>
      <w:r>
        <w:t>Koncentracija dobijenog rastvora i kaustični modul podešavaju se da budu na nivou procesnog aluminata.</w:t>
      </w:r>
      <w:r w:rsidR="004B1B5B">
        <w:t xml:space="preserve"> Takođe se i aluminat analizira na ICP-u.</w:t>
      </w:r>
    </w:p>
    <w:p w:rsidR="004B1B5B" w:rsidRDefault="004B1B5B" w:rsidP="00445BA9">
      <w:r>
        <w:t>Eksperimenti se izvode tako što se prate uticaji vremena, temperature i koncentracije cjepiva</w:t>
      </w:r>
      <w:r w:rsidR="006F1713">
        <w:t>:</w:t>
      </w:r>
    </w:p>
    <w:p w:rsidR="004B1B5B" w:rsidRDefault="006F1713" w:rsidP="006F1713">
      <w:pPr>
        <w:pStyle w:val="ListParagraph"/>
        <w:numPr>
          <w:ilvl w:val="0"/>
          <w:numId w:val="14"/>
        </w:numPr>
      </w:pPr>
      <w:r>
        <w:t>Vrijeme</w:t>
      </w:r>
      <w:r w:rsidR="00074202">
        <w:t xml:space="preserve"> sinteze se mijenja od 15 do 75</w:t>
      </w:r>
      <w:bookmarkStart w:id="0" w:name="_GoBack"/>
      <w:bookmarkEnd w:id="0"/>
      <w:r>
        <w:t xml:space="preserve"> min.</w:t>
      </w:r>
      <w:r w:rsidR="004B1B5B">
        <w:t xml:space="preserve"> pri konstantnoj temperaturi</w:t>
      </w:r>
      <w:r>
        <w:t xml:space="preserve"> (50°C)</w:t>
      </w:r>
      <w:r w:rsidR="004B1B5B">
        <w:t xml:space="preserve"> i koncentraciji cjepiva </w:t>
      </w:r>
      <w:r>
        <w:t>(5 g/l</w:t>
      </w:r>
      <w:r w:rsidR="004A322E">
        <w:t>),</w:t>
      </w:r>
    </w:p>
    <w:p w:rsidR="004B1B5B" w:rsidRDefault="004A322E" w:rsidP="004A322E">
      <w:pPr>
        <w:pStyle w:val="ListParagraph"/>
        <w:numPr>
          <w:ilvl w:val="0"/>
          <w:numId w:val="14"/>
        </w:numPr>
        <w:spacing w:before="120"/>
      </w:pPr>
      <w:r>
        <w:t>T</w:t>
      </w:r>
      <w:r w:rsidR="003B6A2B">
        <w:t>emperatur</w:t>
      </w:r>
      <w:r>
        <w:t>a</w:t>
      </w:r>
      <w:r w:rsidR="003B6A2B">
        <w:t xml:space="preserve"> je praćen</w:t>
      </w:r>
      <w:r>
        <w:t>a</w:t>
      </w:r>
      <w:r w:rsidR="003B6A2B">
        <w:t xml:space="preserve"> na sličan način</w:t>
      </w:r>
      <w:r>
        <w:t xml:space="preserve"> (od 40 do 75°C)</w:t>
      </w:r>
      <w:r w:rsidR="003B6A2B">
        <w:t xml:space="preserve"> </w:t>
      </w:r>
      <w:r>
        <w:t>pri konstantnim ostalim parametrima (vrijeme 120 min</w:t>
      </w:r>
      <w:r>
        <w:rPr>
          <w:rStyle w:val="FootnoteReference"/>
        </w:rPr>
        <w:footnoteReference w:id="1"/>
      </w:r>
      <w:r>
        <w:t>., koncentracija cjepiva 5 g/l)</w:t>
      </w:r>
      <w:r w:rsidR="008D24EA">
        <w:t>,</w:t>
      </w:r>
      <w:r w:rsidR="003B6A2B">
        <w:t xml:space="preserve"> </w:t>
      </w:r>
    </w:p>
    <w:p w:rsidR="003B6A2B" w:rsidRDefault="004A322E" w:rsidP="008D24EA">
      <w:pPr>
        <w:pStyle w:val="ListParagraph"/>
        <w:numPr>
          <w:ilvl w:val="0"/>
          <w:numId w:val="14"/>
        </w:numPr>
        <w:spacing w:before="120"/>
      </w:pPr>
      <w:r>
        <w:t>K</w:t>
      </w:r>
      <w:r w:rsidR="003B6A2B">
        <w:t>oncentracija cjepiva se mijenjala (</w:t>
      </w:r>
      <w:r>
        <w:t>od 1 do 6 g/l</w:t>
      </w:r>
      <w:r w:rsidR="003B6A2B">
        <w:t xml:space="preserve">), ostali parametri kao i u prethodnim slučajevima su ostali nepromjenjeni </w:t>
      </w:r>
      <w:r>
        <w:t>(vrijeme 120 min., temperatura 50°C</w:t>
      </w:r>
      <w:r>
        <w:rPr>
          <w:rStyle w:val="FootnoteReference"/>
        </w:rPr>
        <w:footnoteReference w:id="2"/>
      </w:r>
      <w:r w:rsidR="008D24EA">
        <w:t>).</w:t>
      </w:r>
    </w:p>
    <w:p w:rsidR="003B6A2B" w:rsidRDefault="009939C6" w:rsidP="003B6A2B">
      <w:pPr>
        <w:spacing w:before="120"/>
      </w:pPr>
      <w:r>
        <w:t>Eksperimenti su izvođeni u reak</w:t>
      </w:r>
      <w:r w:rsidR="00E53EEC">
        <w:t>toru sa mješalicom i izmjenivače</w:t>
      </w:r>
      <w:r>
        <w:t xml:space="preserve">m toplote koji je održavao </w:t>
      </w:r>
      <w:r w:rsidR="00F46C3C">
        <w:t>temperaturu konstantnom. Prvih 6</w:t>
      </w:r>
      <w:r>
        <w:t xml:space="preserve"> sinteza je odrađeno tako što se reakciona smješa podijelila na 5</w:t>
      </w:r>
      <w:r w:rsidR="00E53EEC">
        <w:t xml:space="preserve"> jednakih djelova i nakon proticanja svakog vremenskog intervala, koji je naveden,</w:t>
      </w:r>
      <w:r>
        <w:t xml:space="preserve"> data količina je ispuštana</w:t>
      </w:r>
      <w:r w:rsidR="00E53EEC">
        <w:t>. N</w:t>
      </w:r>
      <w:r>
        <w:t xml:space="preserve">akon 150 minuta uticaj vremena je ispitan. Ostalih 9 analiza vršeno je pojedinačno. </w:t>
      </w:r>
    </w:p>
    <w:p w:rsidR="009939C6" w:rsidRDefault="009939C6" w:rsidP="003B6A2B">
      <w:pPr>
        <w:spacing w:before="120"/>
      </w:pPr>
      <w:r>
        <w:t>Posle svake analize vršena je filtracija u vakuum filterima gdje se odvajala tečna od čvrste faze. Tečn</w:t>
      </w:r>
      <w:r w:rsidR="00D8638A">
        <w:t>a faza je anal</w:t>
      </w:r>
      <w:r w:rsidR="00E53EEC">
        <w:t>izirana na ICP-u i određivan</w:t>
      </w:r>
      <w:r w:rsidR="00D8638A">
        <w:t xml:space="preserve"> je kaustični modul. Na ICP-u se prati sadržaj Ca, Cu, Fe i Zn, a kaustični modul pokazuje koliko se aluminat razložio tokom vremena tretiranja. </w:t>
      </w:r>
    </w:p>
    <w:p w:rsidR="00D8638A" w:rsidRDefault="00D8638A" w:rsidP="003B6A2B">
      <w:pPr>
        <w:spacing w:before="120"/>
      </w:pPr>
      <w:r>
        <w:t>Čvrsta faza se ispira sve do negativne reakcije na hidroksidne jone. Tako ispran hidrat ide na sušenje. Osušenom hidratu</w:t>
      </w:r>
      <w:r w:rsidR="00E53EEC">
        <w:t xml:space="preserve"> se određuje gubitak žarenjem</w:t>
      </w:r>
      <w:r>
        <w:t xml:space="preserve">, hemijski sastav,  raspodjela veličine čestica i specifična površina. </w:t>
      </w:r>
    </w:p>
    <w:p w:rsidR="00D91021" w:rsidRDefault="00F46C3C" w:rsidP="003B6A2B">
      <w:pPr>
        <w:spacing w:before="120"/>
      </w:pPr>
      <w:r>
        <w:t>U svakoj od 15</w:t>
      </w:r>
      <w:r w:rsidR="00D91021">
        <w:t xml:space="preserve"> analiza kor</w:t>
      </w:r>
      <w:r w:rsidR="00E53EEC">
        <w:t>išćen je isti fini</w:t>
      </w:r>
      <w:r w:rsidR="00D91021">
        <w:t xml:space="preserve"> aluminijum hidroksid sa karakteristikama datim u tabeli 4.</w:t>
      </w:r>
    </w:p>
    <w:p w:rsidR="00D91021" w:rsidRDefault="00D91021" w:rsidP="003B6A2B">
      <w:pPr>
        <w:spacing w:before="120"/>
        <w:rPr>
          <w:i/>
        </w:rPr>
      </w:pPr>
      <w:r>
        <w:rPr>
          <w:i/>
        </w:rPr>
        <w:t xml:space="preserve">Tabela </w:t>
      </w:r>
      <w:r w:rsidR="008D24EA">
        <w:rPr>
          <w:i/>
        </w:rPr>
        <w:t>1</w:t>
      </w:r>
      <w:r>
        <w:rPr>
          <w:i/>
        </w:rPr>
        <w:t xml:space="preserve">. Karakteristike </w:t>
      </w:r>
      <w:r w:rsidR="00E7138A">
        <w:rPr>
          <w:i/>
        </w:rPr>
        <w:t>aluminijum hidroksida</w:t>
      </w:r>
      <w:r>
        <w:rPr>
          <w:i/>
        </w:rPr>
        <w:t xml:space="preserve"> (cjepiva)</w:t>
      </w:r>
    </w:p>
    <w:tbl>
      <w:tblPr>
        <w:tblStyle w:val="GridTable4-Accent11"/>
        <w:tblW w:w="0" w:type="auto"/>
        <w:tblLook w:val="04A0" w:firstRow="1" w:lastRow="0" w:firstColumn="1" w:lastColumn="0" w:noHBand="0" w:noVBand="1"/>
      </w:tblPr>
      <w:tblGrid>
        <w:gridCol w:w="4531"/>
        <w:gridCol w:w="4531"/>
      </w:tblGrid>
      <w:tr w:rsidR="00D91021" w:rsidTr="00D9102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vAlign w:val="center"/>
          </w:tcPr>
          <w:p w:rsidR="00D91021" w:rsidRDefault="00D91021" w:rsidP="00D91021">
            <w:pPr>
              <w:spacing w:before="120"/>
              <w:jc w:val="center"/>
            </w:pPr>
            <w:r>
              <w:t>Karakteristika</w:t>
            </w:r>
          </w:p>
        </w:tc>
        <w:tc>
          <w:tcPr>
            <w:tcW w:w="4531" w:type="dxa"/>
            <w:vAlign w:val="center"/>
          </w:tcPr>
          <w:p w:rsidR="00D91021" w:rsidRDefault="00D91021" w:rsidP="00D91021">
            <w:pPr>
              <w:spacing w:before="120"/>
              <w:jc w:val="center"/>
              <w:cnfStyle w:val="100000000000" w:firstRow="1" w:lastRow="0" w:firstColumn="0" w:lastColumn="0" w:oddVBand="0" w:evenVBand="0" w:oddHBand="0" w:evenHBand="0" w:firstRowFirstColumn="0" w:firstRowLastColumn="0" w:lastRowFirstColumn="0" w:lastRowLastColumn="0"/>
            </w:pPr>
            <w:r>
              <w:t>Vrijednost</w:t>
            </w:r>
          </w:p>
        </w:tc>
      </w:tr>
      <w:tr w:rsidR="00D91021" w:rsidTr="007A22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vAlign w:val="center"/>
          </w:tcPr>
          <w:p w:rsidR="00D91021" w:rsidRPr="00D91021" w:rsidRDefault="00D91021" w:rsidP="007A224C">
            <w:pPr>
              <w:spacing w:before="120"/>
              <w:jc w:val="center"/>
            </w:pPr>
            <w:r>
              <w:t>SiO</w:t>
            </w:r>
            <w:r>
              <w:rPr>
                <w:vertAlign w:val="subscript"/>
              </w:rPr>
              <w:t>2</w:t>
            </w:r>
            <w:r>
              <w:t>, [%]</w:t>
            </w:r>
          </w:p>
        </w:tc>
        <w:tc>
          <w:tcPr>
            <w:tcW w:w="4531" w:type="dxa"/>
            <w:vAlign w:val="center"/>
          </w:tcPr>
          <w:p w:rsidR="00D91021" w:rsidRDefault="00D91021" w:rsidP="007A224C">
            <w:pPr>
              <w:spacing w:before="120"/>
              <w:jc w:val="center"/>
              <w:cnfStyle w:val="000000100000" w:firstRow="0" w:lastRow="0" w:firstColumn="0" w:lastColumn="0" w:oddVBand="0" w:evenVBand="0" w:oddHBand="1" w:evenHBand="0" w:firstRowFirstColumn="0" w:firstRowLastColumn="0" w:lastRowFirstColumn="0" w:lastRowLastColumn="0"/>
            </w:pPr>
            <w:r>
              <w:t>0,012</w:t>
            </w:r>
          </w:p>
        </w:tc>
      </w:tr>
      <w:tr w:rsidR="00D91021" w:rsidTr="007A224C">
        <w:tc>
          <w:tcPr>
            <w:cnfStyle w:val="001000000000" w:firstRow="0" w:lastRow="0" w:firstColumn="1" w:lastColumn="0" w:oddVBand="0" w:evenVBand="0" w:oddHBand="0" w:evenHBand="0" w:firstRowFirstColumn="0" w:firstRowLastColumn="0" w:lastRowFirstColumn="0" w:lastRowLastColumn="0"/>
            <w:tcW w:w="4531" w:type="dxa"/>
            <w:vAlign w:val="center"/>
          </w:tcPr>
          <w:p w:rsidR="00D91021" w:rsidRPr="00D91021" w:rsidRDefault="007A224C" w:rsidP="007A224C">
            <w:pPr>
              <w:spacing w:before="120"/>
              <w:jc w:val="center"/>
            </w:pPr>
            <w:r>
              <w:t>Fe</w:t>
            </w:r>
            <w:r w:rsidR="00D91021">
              <w:t>, [%]</w:t>
            </w:r>
          </w:p>
        </w:tc>
        <w:tc>
          <w:tcPr>
            <w:tcW w:w="4531" w:type="dxa"/>
            <w:vAlign w:val="center"/>
          </w:tcPr>
          <w:p w:rsidR="00D91021" w:rsidRDefault="007A224C" w:rsidP="007A224C">
            <w:pPr>
              <w:spacing w:before="120"/>
              <w:jc w:val="center"/>
              <w:cnfStyle w:val="000000000000" w:firstRow="0" w:lastRow="0" w:firstColumn="0" w:lastColumn="0" w:oddVBand="0" w:evenVBand="0" w:oddHBand="0" w:evenHBand="0" w:firstRowFirstColumn="0" w:firstRowLastColumn="0" w:lastRowFirstColumn="0" w:lastRowLastColumn="0"/>
            </w:pPr>
            <w:r>
              <w:t>0,009</w:t>
            </w:r>
          </w:p>
        </w:tc>
      </w:tr>
      <w:tr w:rsidR="00D91021" w:rsidTr="007A22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vAlign w:val="center"/>
          </w:tcPr>
          <w:p w:rsidR="00D91021" w:rsidRPr="00D91021" w:rsidRDefault="00D91021" w:rsidP="007A224C">
            <w:pPr>
              <w:spacing w:before="120"/>
              <w:jc w:val="center"/>
            </w:pPr>
            <w:r>
              <w:t>Na</w:t>
            </w:r>
            <w:r>
              <w:rPr>
                <w:vertAlign w:val="subscript"/>
              </w:rPr>
              <w:t>2</w:t>
            </w:r>
            <w:r>
              <w:t>O, [%]</w:t>
            </w:r>
          </w:p>
        </w:tc>
        <w:tc>
          <w:tcPr>
            <w:tcW w:w="4531" w:type="dxa"/>
            <w:vAlign w:val="center"/>
          </w:tcPr>
          <w:p w:rsidR="00D91021" w:rsidRDefault="00D91021" w:rsidP="007A224C">
            <w:pPr>
              <w:spacing w:before="120"/>
              <w:jc w:val="center"/>
              <w:cnfStyle w:val="000000100000" w:firstRow="0" w:lastRow="0" w:firstColumn="0" w:lastColumn="0" w:oddVBand="0" w:evenVBand="0" w:oddHBand="1" w:evenHBand="0" w:firstRowFirstColumn="0" w:firstRowLastColumn="0" w:lastRowFirstColumn="0" w:lastRowLastColumn="0"/>
            </w:pPr>
            <w:r>
              <w:t>0,1</w:t>
            </w:r>
          </w:p>
        </w:tc>
      </w:tr>
      <w:tr w:rsidR="007A224C" w:rsidTr="007A224C">
        <w:tc>
          <w:tcPr>
            <w:cnfStyle w:val="001000000000" w:firstRow="0" w:lastRow="0" w:firstColumn="1" w:lastColumn="0" w:oddVBand="0" w:evenVBand="0" w:oddHBand="0" w:evenHBand="0" w:firstRowFirstColumn="0" w:firstRowLastColumn="0" w:lastRowFirstColumn="0" w:lastRowLastColumn="0"/>
            <w:tcW w:w="4531" w:type="dxa"/>
            <w:vAlign w:val="center"/>
          </w:tcPr>
          <w:p w:rsidR="007A224C" w:rsidRDefault="007A224C" w:rsidP="007A224C">
            <w:pPr>
              <w:spacing w:before="120"/>
              <w:jc w:val="center"/>
            </w:pPr>
            <w:r>
              <w:t>Cu, [%]</w:t>
            </w:r>
          </w:p>
        </w:tc>
        <w:tc>
          <w:tcPr>
            <w:tcW w:w="4531" w:type="dxa"/>
            <w:vAlign w:val="center"/>
          </w:tcPr>
          <w:p w:rsidR="007A224C" w:rsidRDefault="007A224C" w:rsidP="007A224C">
            <w:pPr>
              <w:spacing w:before="120"/>
              <w:jc w:val="center"/>
              <w:cnfStyle w:val="000000000000" w:firstRow="0" w:lastRow="0" w:firstColumn="0" w:lastColumn="0" w:oddVBand="0" w:evenVBand="0" w:oddHBand="0" w:evenHBand="0" w:firstRowFirstColumn="0" w:firstRowLastColumn="0" w:lastRowFirstColumn="0" w:lastRowLastColumn="0"/>
            </w:pPr>
            <w:r>
              <w:t>0,003</w:t>
            </w:r>
          </w:p>
        </w:tc>
      </w:tr>
      <w:tr w:rsidR="00D91021" w:rsidTr="007A22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vAlign w:val="center"/>
          </w:tcPr>
          <w:p w:rsidR="00D91021" w:rsidRDefault="007A224C" w:rsidP="007A224C">
            <w:pPr>
              <w:spacing w:before="120"/>
              <w:jc w:val="center"/>
            </w:pPr>
            <w:r>
              <w:t>Zn</w:t>
            </w:r>
            <w:r w:rsidR="00D91021">
              <w:t>, [%]</w:t>
            </w:r>
          </w:p>
        </w:tc>
        <w:tc>
          <w:tcPr>
            <w:tcW w:w="4531" w:type="dxa"/>
            <w:vAlign w:val="center"/>
          </w:tcPr>
          <w:p w:rsidR="00D91021" w:rsidRDefault="007A224C" w:rsidP="007A224C">
            <w:pPr>
              <w:spacing w:before="120"/>
              <w:jc w:val="center"/>
              <w:cnfStyle w:val="000000100000" w:firstRow="0" w:lastRow="0" w:firstColumn="0" w:lastColumn="0" w:oddVBand="0" w:evenVBand="0" w:oddHBand="1" w:evenHBand="0" w:firstRowFirstColumn="0" w:firstRowLastColumn="0" w:lastRowFirstColumn="0" w:lastRowLastColumn="0"/>
            </w:pPr>
            <w:r>
              <w:t>0,008</w:t>
            </w:r>
          </w:p>
        </w:tc>
      </w:tr>
      <w:tr w:rsidR="00D91021" w:rsidTr="007A224C">
        <w:tc>
          <w:tcPr>
            <w:cnfStyle w:val="001000000000" w:firstRow="0" w:lastRow="0" w:firstColumn="1" w:lastColumn="0" w:oddVBand="0" w:evenVBand="0" w:oddHBand="0" w:evenHBand="0" w:firstRowFirstColumn="0" w:firstRowLastColumn="0" w:lastRowFirstColumn="0" w:lastRowLastColumn="0"/>
            <w:tcW w:w="4531" w:type="dxa"/>
            <w:vAlign w:val="center"/>
          </w:tcPr>
          <w:p w:rsidR="00D91021" w:rsidRDefault="00D91021" w:rsidP="007A224C">
            <w:pPr>
              <w:spacing w:before="120"/>
              <w:jc w:val="center"/>
            </w:pPr>
            <w:r>
              <w:t>CaO, [%]</w:t>
            </w:r>
          </w:p>
        </w:tc>
        <w:tc>
          <w:tcPr>
            <w:tcW w:w="4531" w:type="dxa"/>
            <w:vAlign w:val="center"/>
          </w:tcPr>
          <w:p w:rsidR="00D91021" w:rsidRDefault="001661FD" w:rsidP="007A224C">
            <w:pPr>
              <w:spacing w:before="120"/>
              <w:jc w:val="center"/>
              <w:cnfStyle w:val="000000000000" w:firstRow="0" w:lastRow="0" w:firstColumn="0" w:lastColumn="0" w:oddVBand="0" w:evenVBand="0" w:oddHBand="0" w:evenHBand="0" w:firstRowFirstColumn="0" w:firstRowLastColumn="0" w:lastRowFirstColumn="0" w:lastRowLastColumn="0"/>
            </w:pPr>
            <w:r>
              <w:t>0,007</w:t>
            </w:r>
          </w:p>
        </w:tc>
      </w:tr>
      <w:tr w:rsidR="00D91021" w:rsidTr="007A22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vAlign w:val="center"/>
          </w:tcPr>
          <w:p w:rsidR="00D91021" w:rsidRPr="00D91021" w:rsidRDefault="00D91021" w:rsidP="007A224C">
            <w:pPr>
              <w:spacing w:before="120"/>
              <w:jc w:val="center"/>
            </w:pPr>
            <w:r>
              <w:t>d</w:t>
            </w:r>
            <w:r>
              <w:rPr>
                <w:vertAlign w:val="subscript"/>
              </w:rPr>
              <w:t>s</w:t>
            </w:r>
            <w:r>
              <w:t>50%, [</w:t>
            </w:r>
            <w:r>
              <w:rPr>
                <w:rFonts w:ascii="Cambria Math" w:hAnsi="Cambria Math"/>
              </w:rPr>
              <w:t>𝛍</w:t>
            </w:r>
            <w:r>
              <w:t>m]</w:t>
            </w:r>
          </w:p>
        </w:tc>
        <w:tc>
          <w:tcPr>
            <w:tcW w:w="4531" w:type="dxa"/>
            <w:vAlign w:val="center"/>
          </w:tcPr>
          <w:p w:rsidR="00644FC5" w:rsidRDefault="007A224C" w:rsidP="007A224C">
            <w:pPr>
              <w:spacing w:before="120"/>
              <w:jc w:val="center"/>
              <w:cnfStyle w:val="000000100000" w:firstRow="0" w:lastRow="0" w:firstColumn="0" w:lastColumn="0" w:oddVBand="0" w:evenVBand="0" w:oddHBand="1" w:evenHBand="0" w:firstRowFirstColumn="0" w:firstRowLastColumn="0" w:lastRowFirstColumn="0" w:lastRowLastColumn="0"/>
            </w:pPr>
            <w:r>
              <w:t>0,64</w:t>
            </w:r>
          </w:p>
        </w:tc>
      </w:tr>
      <w:tr w:rsidR="00644FC5" w:rsidTr="007A224C">
        <w:tc>
          <w:tcPr>
            <w:cnfStyle w:val="001000000000" w:firstRow="0" w:lastRow="0" w:firstColumn="1" w:lastColumn="0" w:oddVBand="0" w:evenVBand="0" w:oddHBand="0" w:evenHBand="0" w:firstRowFirstColumn="0" w:firstRowLastColumn="0" w:lastRowFirstColumn="0" w:lastRowLastColumn="0"/>
            <w:tcW w:w="4531" w:type="dxa"/>
            <w:vAlign w:val="center"/>
          </w:tcPr>
          <w:p w:rsidR="00644FC5" w:rsidRPr="00644FC5" w:rsidRDefault="00644FC5" w:rsidP="007A224C">
            <w:pPr>
              <w:spacing w:before="120"/>
              <w:jc w:val="center"/>
            </w:pPr>
            <w:r>
              <w:t>BET, [m</w:t>
            </w:r>
            <w:r>
              <w:rPr>
                <w:vertAlign w:val="superscript"/>
              </w:rPr>
              <w:t>2</w:t>
            </w:r>
            <w:r>
              <w:t>/g]</w:t>
            </w:r>
          </w:p>
        </w:tc>
        <w:tc>
          <w:tcPr>
            <w:tcW w:w="4531" w:type="dxa"/>
            <w:vAlign w:val="center"/>
          </w:tcPr>
          <w:p w:rsidR="00644FC5" w:rsidRDefault="007A224C" w:rsidP="007A224C">
            <w:pPr>
              <w:spacing w:before="120"/>
              <w:jc w:val="center"/>
              <w:cnfStyle w:val="000000000000" w:firstRow="0" w:lastRow="0" w:firstColumn="0" w:lastColumn="0" w:oddVBand="0" w:evenVBand="0" w:oddHBand="0" w:evenHBand="0" w:firstRowFirstColumn="0" w:firstRowLastColumn="0" w:lastRowFirstColumn="0" w:lastRowLastColumn="0"/>
            </w:pPr>
            <w:r>
              <w:t>18,8626</w:t>
            </w:r>
          </w:p>
        </w:tc>
      </w:tr>
    </w:tbl>
    <w:p w:rsidR="00D91021" w:rsidRDefault="00D91021" w:rsidP="003B6A2B">
      <w:pPr>
        <w:spacing w:before="120"/>
      </w:pPr>
    </w:p>
    <w:p w:rsidR="00FE3827" w:rsidRDefault="00FE3827" w:rsidP="00E35715">
      <w:pPr>
        <w:pStyle w:val="Heading1"/>
        <w:rPr>
          <w:b w:val="0"/>
          <w:sz w:val="24"/>
          <w:szCs w:val="24"/>
        </w:rPr>
      </w:pPr>
    </w:p>
    <w:p w:rsidR="00D8638A" w:rsidRDefault="00D8638A" w:rsidP="00E35715">
      <w:pPr>
        <w:pStyle w:val="Heading1"/>
      </w:pPr>
      <w:r>
        <w:lastRenderedPageBreak/>
        <w:t>Rezultati i diskusija</w:t>
      </w:r>
    </w:p>
    <w:p w:rsidR="00644FC5" w:rsidRDefault="00E53EEC" w:rsidP="003B6A2B">
      <w:pPr>
        <w:spacing w:before="120"/>
      </w:pPr>
      <w:r>
        <w:t>Kao što je ranije navedeno,</w:t>
      </w:r>
      <w:r w:rsidR="00644FC5">
        <w:t xml:space="preserve"> nakon završenog ogleda analiziraće se i aluminatni rastvor i čvrsta faza. Pretpostavlja se da je mehanizam uklanjanja primjesa adsorpcijom. To znači da gvožđe i cink koji su prisutni u aluminatnom rastvoru ostvaruju interakciju sa čvrstim česticama cjepiva i na njima ostaju. Na taj način aluminatni rastvor se oslobađa nepotrebnih primjesa, a time se povećava kvalitet i cijena aluminijum hidroksida odnosno alumine.</w:t>
      </w:r>
      <w:r w:rsidR="000445C2">
        <w:t xml:space="preserve"> </w:t>
      </w:r>
      <w:r w:rsidR="00644FC5">
        <w:t>Adsorpcija se odigrava u nekoliko faza</w:t>
      </w:r>
      <w:r w:rsidR="00454476">
        <w:t xml:space="preserve"> </w:t>
      </w:r>
      <w:sdt>
        <w:sdtPr>
          <w:id w:val="314922635"/>
          <w:citation/>
        </w:sdtPr>
        <w:sdtEndPr/>
        <w:sdtContent>
          <w:r w:rsidR="00745D10">
            <w:fldChar w:fldCharType="begin"/>
          </w:r>
          <w:r w:rsidR="00454476">
            <w:instrText xml:space="preserve"> CITATION MJo16 \l 9242 </w:instrText>
          </w:r>
          <w:r w:rsidR="00745D10">
            <w:fldChar w:fldCharType="separate"/>
          </w:r>
          <w:r w:rsidR="00DD40A4">
            <w:rPr>
              <w:noProof/>
            </w:rPr>
            <w:t>(M. Jotanović, 2016)</w:t>
          </w:r>
          <w:r w:rsidR="00745D10">
            <w:fldChar w:fldCharType="end"/>
          </w:r>
        </w:sdtContent>
      </w:sdt>
      <w:r w:rsidR="00644FC5">
        <w:t>:</w:t>
      </w:r>
    </w:p>
    <w:p w:rsidR="00644FC5" w:rsidRDefault="00E142C8" w:rsidP="00644FC5">
      <w:pPr>
        <w:pStyle w:val="ListParagraph"/>
        <w:numPr>
          <w:ilvl w:val="0"/>
          <w:numId w:val="5"/>
        </w:numPr>
        <w:spacing w:before="120"/>
      </w:pPr>
      <w:r>
        <w:t>Difuzija jona/molekula gvožđa i cinka do granične površine</w:t>
      </w:r>
    </w:p>
    <w:p w:rsidR="00E142C8" w:rsidRDefault="00E142C8" w:rsidP="00644FC5">
      <w:pPr>
        <w:pStyle w:val="ListParagraph"/>
        <w:numPr>
          <w:ilvl w:val="0"/>
          <w:numId w:val="5"/>
        </w:numPr>
        <w:spacing w:before="120"/>
      </w:pPr>
      <w:r>
        <w:t>Difuzija gvožđa i cinka kroz pore cjepiva</w:t>
      </w:r>
    </w:p>
    <w:p w:rsidR="00E142C8" w:rsidRDefault="00E142C8" w:rsidP="00644FC5">
      <w:pPr>
        <w:pStyle w:val="ListParagraph"/>
        <w:numPr>
          <w:ilvl w:val="0"/>
          <w:numId w:val="5"/>
        </w:numPr>
        <w:spacing w:before="120"/>
      </w:pPr>
      <w:r>
        <w:t>Adsorpcija gvožđa i cinka na površini cjepiva</w:t>
      </w:r>
    </w:p>
    <w:p w:rsidR="00E142C8" w:rsidRDefault="00E142C8" w:rsidP="00E35715">
      <w:pPr>
        <w:pStyle w:val="Heading3"/>
      </w:pPr>
      <w:r>
        <w:t>Uticaj vremena na proces čišćenja natrijum aluminata</w:t>
      </w:r>
    </w:p>
    <w:p w:rsidR="00576097" w:rsidRDefault="00E53EEC" w:rsidP="00E142C8">
      <w:pPr>
        <w:spacing w:before="120"/>
      </w:pPr>
      <w:r>
        <w:t>Kao što je navedeno,</w:t>
      </w:r>
      <w:r w:rsidR="00E142C8">
        <w:t xml:space="preserve"> </w:t>
      </w:r>
      <w:r>
        <w:t>tokom različitih vremenskih intervala</w:t>
      </w:r>
      <w:r w:rsidR="00E142C8">
        <w:t xml:space="preserve"> pratiće se čišćenje aluminatnog rastvora odnosno promjena koncentracije Fe i Zn jona (</w:t>
      </w:r>
      <w:r w:rsidR="008D24EA">
        <w:t>slika 1.</w:t>
      </w:r>
      <w:r w:rsidR="00E142C8">
        <w:t>)</w:t>
      </w:r>
      <w:r w:rsidR="00362939">
        <w:t xml:space="preserve"> pri konstantoj temperaturi (50</w:t>
      </w:r>
      <w:r w:rsidR="00362939" w:rsidRPr="00362939">
        <w:t>°C</w:t>
      </w:r>
      <w:r w:rsidR="00362939">
        <w:t xml:space="preserve">) i koncentraciji klica kristalizacije (5 g/l) </w:t>
      </w:r>
      <w:r w:rsidR="00E142C8">
        <w:t>. Takođe se analizira čvrsta faza posle svakog o</w:t>
      </w:r>
      <w:r>
        <w:t>d navedenih vremenskih intervala</w:t>
      </w:r>
      <w:r w:rsidR="008D24EA">
        <w:t xml:space="preserve"> (tabela 2</w:t>
      </w:r>
      <w:r w:rsidR="00E35715">
        <w:t>.).</w:t>
      </w:r>
    </w:p>
    <w:p w:rsidR="00C55ABF" w:rsidRDefault="00074202" w:rsidP="00E142C8">
      <w:pPr>
        <w:spacing w:before="120"/>
      </w:pPr>
      <w:r>
        <w:rPr>
          <w:noProof/>
          <w:lang w:eastAsia="sr-Latn-RS"/>
        </w:rPr>
        <w:drawing>
          <wp:inline distT="0" distB="0" distL="0" distR="0" wp14:anchorId="4A221874" wp14:editId="3889CB95">
            <wp:extent cx="5753100" cy="4448175"/>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C55ABF" w:rsidRPr="00C55ABF" w:rsidRDefault="008D24EA" w:rsidP="00C55ABF">
      <w:pPr>
        <w:spacing w:before="120"/>
        <w:jc w:val="center"/>
        <w:rPr>
          <w:i/>
        </w:rPr>
      </w:pPr>
      <w:r>
        <w:rPr>
          <w:i/>
        </w:rPr>
        <w:t>Slika</w:t>
      </w:r>
      <w:r w:rsidR="000F5E61">
        <w:rPr>
          <w:i/>
        </w:rPr>
        <w:t xml:space="preserve"> 1. Promjena koncentracije Fe,</w:t>
      </w:r>
      <w:r w:rsidR="00C55ABF">
        <w:rPr>
          <w:i/>
        </w:rPr>
        <w:t xml:space="preserve"> Zn</w:t>
      </w:r>
      <w:r w:rsidR="000F5E61">
        <w:rPr>
          <w:i/>
        </w:rPr>
        <w:t xml:space="preserve"> i Cu</w:t>
      </w:r>
      <w:r w:rsidR="00C55ABF">
        <w:rPr>
          <w:i/>
        </w:rPr>
        <w:t xml:space="preserve"> tokom vremena</w:t>
      </w:r>
      <w:r w:rsidR="00376CDD">
        <w:rPr>
          <w:i/>
        </w:rPr>
        <w:t xml:space="preserve"> u rastvoru</w:t>
      </w:r>
    </w:p>
    <w:p w:rsidR="008D24EA" w:rsidRDefault="008D24EA" w:rsidP="008D24EA">
      <w:pPr>
        <w:spacing w:before="120"/>
      </w:pPr>
      <w:r>
        <w:t>Iz rezultata se primjećuje značajan pad koncentracije gvožđa, cinka i bakra čak i posle 15 minuta. Povećanjem vremena tretiranja pri datim uslovima, koncentra</w:t>
      </w:r>
      <w:r w:rsidR="004975A0">
        <w:t>cija sve tri primjese se smanjuj</w:t>
      </w:r>
      <w:r>
        <w:t>e</w:t>
      </w:r>
      <w:r w:rsidR="004975A0">
        <w:t>, pa</w:t>
      </w:r>
      <w:r w:rsidR="00074202">
        <w:t xml:space="preserve"> nakon 75</w:t>
      </w:r>
      <w:r>
        <w:t xml:space="preserve"> m</w:t>
      </w:r>
      <w:r w:rsidR="00074202">
        <w:t>inuta koncentracija Cu pada na 0,48 mg/l, Zn</w:t>
      </w:r>
      <w:r w:rsidR="004975A0">
        <w:t xml:space="preserve"> pada</w:t>
      </w:r>
      <w:r w:rsidR="00074202">
        <w:t xml:space="preserve"> na 0,78 mg/l</w:t>
      </w:r>
      <w:r w:rsidR="004975A0">
        <w:t xml:space="preserve">, a </w:t>
      </w:r>
      <w:r w:rsidR="004975A0">
        <w:lastRenderedPageBreak/>
        <w:t>koncentracija Fe</w:t>
      </w:r>
      <w:r w:rsidR="00074202">
        <w:t xml:space="preserve"> postiže vrijednost koja iznosi 0,66</w:t>
      </w:r>
      <w:r>
        <w:t xml:space="preserve"> mg/l. Primjećujemo, na osnovu povećavanja kaustičnog modula, da se dio aluminatnog rastv</w:t>
      </w:r>
      <w:r w:rsidR="004975A0">
        <w:t>ora razložio. Razlaganje je veće</w:t>
      </w:r>
      <w:r>
        <w:t xml:space="preserve">, što </w:t>
      </w:r>
      <w:r w:rsidR="004975A0">
        <w:t>je vrijeme analize duže, pa</w:t>
      </w:r>
      <w:r>
        <w:t xml:space="preserve"> se teži da vrijeme ogleda što kraće traje da bi</w:t>
      </w:r>
      <w:r w:rsidR="004975A0">
        <w:t xml:space="preserve"> i</w:t>
      </w:r>
      <w:r>
        <w:t xml:space="preserve"> gubici aluminijuma bili što manji. Na slici 1. ove promjene koncentracija se jasnije vide.</w:t>
      </w:r>
    </w:p>
    <w:p w:rsidR="009802CE" w:rsidRDefault="009802CE" w:rsidP="00E142C8">
      <w:pPr>
        <w:spacing w:before="120"/>
        <w:rPr>
          <w:i/>
        </w:rPr>
      </w:pPr>
      <w:r>
        <w:t>Iz rezul</w:t>
      </w:r>
      <w:r w:rsidR="004975A0">
        <w:t>tata analiza čvrste faze se vidi</w:t>
      </w:r>
      <w:r>
        <w:t xml:space="preserve"> da procenat Fe, Zn i Cu raste, što znači da dolazi do adsorpcije gvožđa i cinka na površini cjepiva. Najveći rast udjela ovih komponenti je nakon 15 minuta od početka ogleda jer tada dolazi do najvećeg pada koncentracija u rastvoru.</w:t>
      </w:r>
    </w:p>
    <w:p w:rsidR="00C55ABF" w:rsidRDefault="001661FD" w:rsidP="00E142C8">
      <w:pPr>
        <w:spacing w:before="120"/>
        <w:rPr>
          <w:i/>
        </w:rPr>
      </w:pPr>
      <w:r>
        <w:rPr>
          <w:i/>
        </w:rPr>
        <w:t xml:space="preserve">Tabela </w:t>
      </w:r>
      <w:r w:rsidR="008D24EA">
        <w:rPr>
          <w:i/>
        </w:rPr>
        <w:t>2</w:t>
      </w:r>
      <w:r>
        <w:rPr>
          <w:i/>
        </w:rPr>
        <w:t>. Rezultati analiza čvrste faze posle čišćenja</w:t>
      </w:r>
    </w:p>
    <w:tbl>
      <w:tblPr>
        <w:tblStyle w:val="GridTable4-Accent11"/>
        <w:tblW w:w="9054" w:type="dxa"/>
        <w:tblLook w:val="04A0" w:firstRow="1" w:lastRow="0" w:firstColumn="1" w:lastColumn="0" w:noHBand="0" w:noVBand="1"/>
      </w:tblPr>
      <w:tblGrid>
        <w:gridCol w:w="2061"/>
        <w:gridCol w:w="1527"/>
        <w:gridCol w:w="1455"/>
        <w:gridCol w:w="1337"/>
        <w:gridCol w:w="1337"/>
        <w:gridCol w:w="1337"/>
      </w:tblGrid>
      <w:tr w:rsidR="000C5D2D" w:rsidRPr="000C5D2D" w:rsidTr="008D24EA">
        <w:trPr>
          <w:cnfStyle w:val="100000000000" w:firstRow="1" w:lastRow="0" w:firstColumn="0" w:lastColumn="0" w:oddVBand="0" w:evenVBand="0" w:oddHBand="0" w:evenHBand="0" w:firstRowFirstColumn="0" w:firstRowLastColumn="0" w:lastRowFirstColumn="0" w:lastRowLastColumn="0"/>
          <w:trHeight w:val="488"/>
        </w:trPr>
        <w:tc>
          <w:tcPr>
            <w:cnfStyle w:val="001000000000" w:firstRow="0" w:lastRow="0" w:firstColumn="1" w:lastColumn="0" w:oddVBand="0" w:evenVBand="0" w:oddHBand="0" w:evenHBand="0" w:firstRowFirstColumn="0" w:firstRowLastColumn="0" w:lastRowFirstColumn="0" w:lastRowLastColumn="0"/>
            <w:tcW w:w="2061" w:type="dxa"/>
            <w:noWrap/>
            <w:vAlign w:val="center"/>
            <w:hideMark/>
          </w:tcPr>
          <w:p w:rsidR="000C5D2D" w:rsidRPr="000C5D2D" w:rsidRDefault="000C5D2D" w:rsidP="00D70A94">
            <w:pPr>
              <w:jc w:val="center"/>
              <w:rPr>
                <w:rFonts w:ascii="Calibri" w:eastAsia="Times New Roman" w:hAnsi="Calibri" w:cs="Calibri"/>
                <w:i/>
                <w:iCs/>
                <w:color w:val="000000"/>
                <w:lang w:val="en-US"/>
              </w:rPr>
            </w:pPr>
            <w:proofErr w:type="spellStart"/>
            <w:r w:rsidRPr="000C5D2D">
              <w:rPr>
                <w:rFonts w:ascii="Calibri" w:eastAsia="Times New Roman" w:hAnsi="Calibri" w:cs="Calibri"/>
                <w:i/>
                <w:iCs/>
                <w:color w:val="000000"/>
                <w:lang w:val="en-US"/>
              </w:rPr>
              <w:t>Vrijeme</w:t>
            </w:r>
            <w:proofErr w:type="spellEnd"/>
            <w:r w:rsidR="00303580">
              <w:rPr>
                <w:rFonts w:ascii="Calibri" w:eastAsia="Times New Roman" w:hAnsi="Calibri" w:cs="Calibri"/>
                <w:i/>
                <w:iCs/>
                <w:color w:val="000000"/>
                <w:lang w:val="en-US"/>
              </w:rPr>
              <w:t>, [min]</w:t>
            </w:r>
          </w:p>
        </w:tc>
        <w:tc>
          <w:tcPr>
            <w:tcW w:w="1527" w:type="dxa"/>
            <w:noWrap/>
            <w:vAlign w:val="center"/>
            <w:hideMark/>
          </w:tcPr>
          <w:p w:rsidR="000C5D2D" w:rsidRPr="000C5D2D" w:rsidRDefault="00303580" w:rsidP="00D70A94">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val="en-US"/>
              </w:rPr>
            </w:pPr>
            <w:r>
              <w:rPr>
                <w:rFonts w:ascii="Calibri" w:eastAsia="Times New Roman" w:hAnsi="Calibri" w:cs="Calibri"/>
                <w:b w:val="0"/>
                <w:bCs w:val="0"/>
                <w:lang w:val="en-US"/>
              </w:rPr>
              <w:t>Ds50%, [</w:t>
            </w:r>
            <w:proofErr w:type="spellStart"/>
            <w:r w:rsidR="000C5D2D" w:rsidRPr="000C5D2D">
              <w:rPr>
                <w:rFonts w:ascii="Calibri" w:eastAsia="Times New Roman" w:hAnsi="Calibri" w:cs="Calibri"/>
                <w:lang w:val="en-US"/>
              </w:rPr>
              <w:t>μm</w:t>
            </w:r>
            <w:proofErr w:type="spellEnd"/>
            <w:r>
              <w:rPr>
                <w:rFonts w:ascii="Calibri" w:eastAsia="Times New Roman" w:hAnsi="Calibri" w:cs="Calibri"/>
                <w:b w:val="0"/>
                <w:bCs w:val="0"/>
                <w:lang w:val="en-US"/>
              </w:rPr>
              <w:t>]</w:t>
            </w:r>
          </w:p>
        </w:tc>
        <w:tc>
          <w:tcPr>
            <w:tcW w:w="1455" w:type="dxa"/>
            <w:noWrap/>
            <w:vAlign w:val="center"/>
            <w:hideMark/>
          </w:tcPr>
          <w:p w:rsidR="00303580" w:rsidRDefault="00303580" w:rsidP="00D70A94">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lang w:val="en-US"/>
              </w:rPr>
            </w:pPr>
            <w:r>
              <w:rPr>
                <w:rFonts w:ascii="Calibri" w:eastAsia="Times New Roman" w:hAnsi="Calibri" w:cs="Calibri"/>
                <w:b w:val="0"/>
                <w:bCs w:val="0"/>
                <w:lang w:val="en-US"/>
              </w:rPr>
              <w:t>BET,</w:t>
            </w:r>
          </w:p>
          <w:p w:rsidR="000C5D2D" w:rsidRPr="000C5D2D" w:rsidRDefault="00303580" w:rsidP="00D70A94">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val="en-US"/>
              </w:rPr>
            </w:pPr>
            <w:r>
              <w:rPr>
                <w:rFonts w:ascii="Calibri" w:eastAsia="Times New Roman" w:hAnsi="Calibri" w:cs="Calibri"/>
                <w:b w:val="0"/>
                <w:bCs w:val="0"/>
                <w:lang w:val="en-US"/>
              </w:rPr>
              <w:t>[</w:t>
            </w:r>
            <w:r w:rsidR="000C5D2D" w:rsidRPr="000C5D2D">
              <w:rPr>
                <w:rFonts w:ascii="Calibri" w:eastAsia="Times New Roman" w:hAnsi="Calibri" w:cs="Calibri"/>
                <w:lang w:val="en-US"/>
              </w:rPr>
              <w:t>m</w:t>
            </w:r>
            <w:r w:rsidR="000C5D2D" w:rsidRPr="000C5D2D">
              <w:rPr>
                <w:rFonts w:ascii="Calibri" w:eastAsia="Times New Roman" w:hAnsi="Calibri" w:cs="Calibri"/>
                <w:vertAlign w:val="superscript"/>
                <w:lang w:val="en-US"/>
              </w:rPr>
              <w:t>2</w:t>
            </w:r>
            <w:r w:rsidR="000C5D2D" w:rsidRPr="000C5D2D">
              <w:rPr>
                <w:rFonts w:ascii="Calibri" w:eastAsia="Times New Roman" w:hAnsi="Calibri" w:cs="Calibri"/>
                <w:lang w:val="en-US"/>
              </w:rPr>
              <w:t>/g</w:t>
            </w:r>
            <w:r>
              <w:rPr>
                <w:rFonts w:ascii="Calibri" w:eastAsia="Times New Roman" w:hAnsi="Calibri" w:cs="Calibri"/>
                <w:b w:val="0"/>
                <w:bCs w:val="0"/>
                <w:lang w:val="en-US"/>
              </w:rPr>
              <w:t>]</w:t>
            </w:r>
          </w:p>
        </w:tc>
        <w:tc>
          <w:tcPr>
            <w:tcW w:w="1337" w:type="dxa"/>
            <w:noWrap/>
            <w:vAlign w:val="center"/>
            <w:hideMark/>
          </w:tcPr>
          <w:p w:rsidR="00303580" w:rsidRDefault="00303580" w:rsidP="00D70A94">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lang w:val="en-US"/>
              </w:rPr>
            </w:pPr>
            <w:r>
              <w:rPr>
                <w:rFonts w:ascii="Calibri" w:eastAsia="Times New Roman" w:hAnsi="Calibri" w:cs="Calibri"/>
                <w:b w:val="0"/>
                <w:bCs w:val="0"/>
                <w:lang w:val="en-US"/>
              </w:rPr>
              <w:t>Cu,</w:t>
            </w:r>
          </w:p>
          <w:p w:rsidR="000C5D2D" w:rsidRPr="000C5D2D" w:rsidRDefault="00303580" w:rsidP="00D70A94">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val="en-US"/>
              </w:rPr>
            </w:pPr>
            <w:r>
              <w:rPr>
                <w:rFonts w:ascii="Calibri" w:eastAsia="Times New Roman" w:hAnsi="Calibri" w:cs="Calibri"/>
                <w:b w:val="0"/>
                <w:bCs w:val="0"/>
                <w:lang w:val="en-US"/>
              </w:rPr>
              <w:t>[</w:t>
            </w:r>
            <w:r w:rsidR="000C5D2D" w:rsidRPr="000C5D2D">
              <w:rPr>
                <w:rFonts w:ascii="Calibri" w:eastAsia="Times New Roman" w:hAnsi="Calibri" w:cs="Calibri"/>
                <w:lang w:val="en-US"/>
              </w:rPr>
              <w:t>%</w:t>
            </w:r>
            <w:r>
              <w:rPr>
                <w:rFonts w:ascii="Calibri" w:eastAsia="Times New Roman" w:hAnsi="Calibri" w:cs="Calibri"/>
                <w:b w:val="0"/>
                <w:bCs w:val="0"/>
                <w:lang w:val="en-US"/>
              </w:rPr>
              <w:t>]</w:t>
            </w:r>
          </w:p>
        </w:tc>
        <w:tc>
          <w:tcPr>
            <w:tcW w:w="1337" w:type="dxa"/>
            <w:noWrap/>
            <w:vAlign w:val="center"/>
            <w:hideMark/>
          </w:tcPr>
          <w:p w:rsidR="00303580" w:rsidRDefault="00303580" w:rsidP="00D70A94">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lang w:val="en-US"/>
              </w:rPr>
            </w:pPr>
            <w:r>
              <w:rPr>
                <w:rFonts w:ascii="Calibri" w:eastAsia="Times New Roman" w:hAnsi="Calibri" w:cs="Calibri"/>
                <w:b w:val="0"/>
                <w:bCs w:val="0"/>
                <w:lang w:val="en-US"/>
              </w:rPr>
              <w:t>Fe,</w:t>
            </w:r>
          </w:p>
          <w:p w:rsidR="000C5D2D" w:rsidRPr="000C5D2D" w:rsidRDefault="00303580" w:rsidP="00D70A94">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val="en-US"/>
              </w:rPr>
            </w:pPr>
            <w:r>
              <w:rPr>
                <w:rFonts w:ascii="Calibri" w:eastAsia="Times New Roman" w:hAnsi="Calibri" w:cs="Calibri"/>
                <w:b w:val="0"/>
                <w:bCs w:val="0"/>
                <w:lang w:val="en-US"/>
              </w:rPr>
              <w:t>[</w:t>
            </w:r>
            <w:r w:rsidR="000C5D2D" w:rsidRPr="000C5D2D">
              <w:rPr>
                <w:rFonts w:ascii="Calibri" w:eastAsia="Times New Roman" w:hAnsi="Calibri" w:cs="Calibri"/>
                <w:lang w:val="en-US"/>
              </w:rPr>
              <w:t>%</w:t>
            </w:r>
            <w:r>
              <w:rPr>
                <w:rFonts w:ascii="Calibri" w:eastAsia="Times New Roman" w:hAnsi="Calibri" w:cs="Calibri"/>
                <w:b w:val="0"/>
                <w:bCs w:val="0"/>
                <w:lang w:val="en-US"/>
              </w:rPr>
              <w:t>]</w:t>
            </w:r>
          </w:p>
        </w:tc>
        <w:tc>
          <w:tcPr>
            <w:tcW w:w="1337" w:type="dxa"/>
            <w:noWrap/>
            <w:vAlign w:val="center"/>
            <w:hideMark/>
          </w:tcPr>
          <w:p w:rsidR="00303580" w:rsidRDefault="00303580" w:rsidP="00D70A94">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lang w:val="en-US"/>
              </w:rPr>
            </w:pPr>
            <w:r>
              <w:rPr>
                <w:rFonts w:ascii="Calibri" w:eastAsia="Times New Roman" w:hAnsi="Calibri" w:cs="Calibri"/>
                <w:b w:val="0"/>
                <w:bCs w:val="0"/>
                <w:lang w:val="en-US"/>
              </w:rPr>
              <w:t>Zn,</w:t>
            </w:r>
          </w:p>
          <w:p w:rsidR="000C5D2D" w:rsidRPr="000C5D2D" w:rsidRDefault="00303580" w:rsidP="00D70A94">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val="en-US"/>
              </w:rPr>
            </w:pPr>
            <w:r>
              <w:rPr>
                <w:rFonts w:ascii="Calibri" w:eastAsia="Times New Roman" w:hAnsi="Calibri" w:cs="Calibri"/>
                <w:b w:val="0"/>
                <w:bCs w:val="0"/>
                <w:lang w:val="en-US"/>
              </w:rPr>
              <w:t>[</w:t>
            </w:r>
            <w:r w:rsidR="000C5D2D" w:rsidRPr="000C5D2D">
              <w:rPr>
                <w:rFonts w:ascii="Calibri" w:eastAsia="Times New Roman" w:hAnsi="Calibri" w:cs="Calibri"/>
                <w:lang w:val="en-US"/>
              </w:rPr>
              <w:t>%</w:t>
            </w:r>
            <w:r>
              <w:rPr>
                <w:rFonts w:ascii="Calibri" w:eastAsia="Times New Roman" w:hAnsi="Calibri" w:cs="Calibri"/>
                <w:b w:val="0"/>
                <w:bCs w:val="0"/>
                <w:lang w:val="en-US"/>
              </w:rPr>
              <w:t>]</w:t>
            </w:r>
          </w:p>
        </w:tc>
      </w:tr>
      <w:tr w:rsidR="000C5D2D" w:rsidRPr="000C5D2D" w:rsidTr="008D24EA">
        <w:trPr>
          <w:cnfStyle w:val="000000100000" w:firstRow="0" w:lastRow="0" w:firstColumn="0" w:lastColumn="0" w:oddVBand="0" w:evenVBand="0" w:oddHBand="1" w:evenHBand="0" w:firstRowFirstColumn="0" w:firstRowLastColumn="0" w:lastRowFirstColumn="0" w:lastRowLastColumn="0"/>
          <w:trHeight w:val="391"/>
        </w:trPr>
        <w:tc>
          <w:tcPr>
            <w:cnfStyle w:val="001000000000" w:firstRow="0" w:lastRow="0" w:firstColumn="1" w:lastColumn="0" w:oddVBand="0" w:evenVBand="0" w:oddHBand="0" w:evenHBand="0" w:firstRowFirstColumn="0" w:firstRowLastColumn="0" w:lastRowFirstColumn="0" w:lastRowLastColumn="0"/>
            <w:tcW w:w="2061" w:type="dxa"/>
            <w:noWrap/>
            <w:vAlign w:val="center"/>
            <w:hideMark/>
          </w:tcPr>
          <w:p w:rsidR="000C5D2D" w:rsidRPr="000C5D2D" w:rsidRDefault="000C5D2D" w:rsidP="00D70A94">
            <w:pPr>
              <w:jc w:val="center"/>
              <w:rPr>
                <w:rFonts w:ascii="Calibri" w:eastAsia="Times New Roman" w:hAnsi="Calibri" w:cs="Calibri"/>
                <w:color w:val="000000"/>
                <w:lang w:val="en-US"/>
              </w:rPr>
            </w:pPr>
            <w:r w:rsidRPr="000C5D2D">
              <w:rPr>
                <w:rFonts w:ascii="Calibri" w:eastAsia="Times New Roman" w:hAnsi="Calibri" w:cs="Calibri"/>
                <w:color w:val="000000"/>
                <w:lang w:val="en-US"/>
              </w:rPr>
              <w:t xml:space="preserve">ne </w:t>
            </w:r>
            <w:proofErr w:type="spellStart"/>
            <w:r w:rsidRPr="000C5D2D">
              <w:rPr>
                <w:rFonts w:ascii="Calibri" w:eastAsia="Times New Roman" w:hAnsi="Calibri" w:cs="Calibri"/>
                <w:color w:val="000000"/>
                <w:lang w:val="en-US"/>
              </w:rPr>
              <w:t>tretiran</w:t>
            </w:r>
            <w:proofErr w:type="spellEnd"/>
          </w:p>
        </w:tc>
        <w:tc>
          <w:tcPr>
            <w:tcW w:w="1527" w:type="dxa"/>
            <w:noWrap/>
            <w:vAlign w:val="center"/>
            <w:hideMark/>
          </w:tcPr>
          <w:p w:rsidR="000C5D2D" w:rsidRPr="000C5D2D" w:rsidRDefault="000C5D2D" w:rsidP="00D70A94">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val="en-US"/>
              </w:rPr>
            </w:pPr>
            <w:r w:rsidRPr="000C5D2D">
              <w:rPr>
                <w:rFonts w:ascii="Calibri" w:eastAsia="Times New Roman" w:hAnsi="Calibri" w:cs="Calibri"/>
                <w:lang w:val="en-US"/>
              </w:rPr>
              <w:t>0,64</w:t>
            </w:r>
          </w:p>
        </w:tc>
        <w:tc>
          <w:tcPr>
            <w:tcW w:w="1455" w:type="dxa"/>
            <w:noWrap/>
            <w:vAlign w:val="center"/>
            <w:hideMark/>
          </w:tcPr>
          <w:p w:rsidR="000C5D2D" w:rsidRPr="000C5D2D" w:rsidRDefault="000C5D2D" w:rsidP="00D70A94">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val="en-US"/>
              </w:rPr>
            </w:pPr>
            <w:r w:rsidRPr="000C5D2D">
              <w:rPr>
                <w:rFonts w:ascii="Calibri" w:eastAsia="Times New Roman" w:hAnsi="Calibri" w:cs="Calibri"/>
                <w:lang w:val="en-US"/>
              </w:rPr>
              <w:t>18,8626</w:t>
            </w:r>
          </w:p>
        </w:tc>
        <w:tc>
          <w:tcPr>
            <w:tcW w:w="1337" w:type="dxa"/>
            <w:noWrap/>
            <w:vAlign w:val="center"/>
            <w:hideMark/>
          </w:tcPr>
          <w:p w:rsidR="000C5D2D" w:rsidRPr="000C5D2D" w:rsidRDefault="000C5D2D" w:rsidP="00D70A94">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val="en-US"/>
              </w:rPr>
            </w:pPr>
            <w:r w:rsidRPr="000C5D2D">
              <w:rPr>
                <w:rFonts w:ascii="Calibri" w:eastAsia="Times New Roman" w:hAnsi="Calibri" w:cs="Calibri"/>
                <w:lang w:val="en-US"/>
              </w:rPr>
              <w:t>0,003</w:t>
            </w:r>
          </w:p>
        </w:tc>
        <w:tc>
          <w:tcPr>
            <w:tcW w:w="1337" w:type="dxa"/>
            <w:noWrap/>
            <w:vAlign w:val="center"/>
            <w:hideMark/>
          </w:tcPr>
          <w:p w:rsidR="000C5D2D" w:rsidRPr="000C5D2D" w:rsidRDefault="000C5D2D" w:rsidP="00D70A94">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val="en-US"/>
              </w:rPr>
            </w:pPr>
            <w:r w:rsidRPr="000C5D2D">
              <w:rPr>
                <w:rFonts w:ascii="Calibri" w:eastAsia="Times New Roman" w:hAnsi="Calibri" w:cs="Calibri"/>
                <w:lang w:val="en-US"/>
              </w:rPr>
              <w:t>0,009</w:t>
            </w:r>
          </w:p>
        </w:tc>
        <w:tc>
          <w:tcPr>
            <w:tcW w:w="1337" w:type="dxa"/>
            <w:noWrap/>
            <w:vAlign w:val="center"/>
            <w:hideMark/>
          </w:tcPr>
          <w:p w:rsidR="000C5D2D" w:rsidRPr="000C5D2D" w:rsidRDefault="000C5D2D" w:rsidP="00D70A94">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val="en-US"/>
              </w:rPr>
            </w:pPr>
            <w:r w:rsidRPr="000C5D2D">
              <w:rPr>
                <w:rFonts w:ascii="Calibri" w:eastAsia="Times New Roman" w:hAnsi="Calibri" w:cs="Calibri"/>
                <w:lang w:val="en-US"/>
              </w:rPr>
              <w:t>0,008</w:t>
            </w:r>
          </w:p>
        </w:tc>
      </w:tr>
      <w:tr w:rsidR="000C5D2D" w:rsidRPr="000C5D2D" w:rsidTr="008D24EA">
        <w:trPr>
          <w:trHeight w:val="391"/>
        </w:trPr>
        <w:tc>
          <w:tcPr>
            <w:cnfStyle w:val="001000000000" w:firstRow="0" w:lastRow="0" w:firstColumn="1" w:lastColumn="0" w:oddVBand="0" w:evenVBand="0" w:oddHBand="0" w:evenHBand="0" w:firstRowFirstColumn="0" w:firstRowLastColumn="0" w:lastRowFirstColumn="0" w:lastRowLastColumn="0"/>
            <w:tcW w:w="2061" w:type="dxa"/>
            <w:noWrap/>
            <w:vAlign w:val="center"/>
            <w:hideMark/>
          </w:tcPr>
          <w:p w:rsidR="000C5D2D" w:rsidRPr="000C5D2D" w:rsidRDefault="000C5D2D" w:rsidP="00D70A94">
            <w:pPr>
              <w:jc w:val="center"/>
              <w:rPr>
                <w:rFonts w:ascii="Calibri" w:eastAsia="Times New Roman" w:hAnsi="Calibri" w:cs="Calibri"/>
                <w:color w:val="000000"/>
                <w:lang w:val="en-US"/>
              </w:rPr>
            </w:pPr>
            <w:r w:rsidRPr="000C5D2D">
              <w:rPr>
                <w:rFonts w:ascii="Calibri" w:eastAsia="Times New Roman" w:hAnsi="Calibri" w:cs="Calibri"/>
                <w:color w:val="000000"/>
                <w:lang w:val="en-US"/>
              </w:rPr>
              <w:t>15</w:t>
            </w:r>
          </w:p>
        </w:tc>
        <w:tc>
          <w:tcPr>
            <w:tcW w:w="1527" w:type="dxa"/>
            <w:noWrap/>
            <w:vAlign w:val="center"/>
            <w:hideMark/>
          </w:tcPr>
          <w:p w:rsidR="000C5D2D" w:rsidRPr="000C5D2D" w:rsidRDefault="000C5D2D" w:rsidP="00D70A94">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val="en-US"/>
              </w:rPr>
            </w:pPr>
            <w:r w:rsidRPr="000C5D2D">
              <w:rPr>
                <w:rFonts w:ascii="Calibri" w:eastAsia="Times New Roman" w:hAnsi="Calibri" w:cs="Calibri"/>
                <w:lang w:val="en-US"/>
              </w:rPr>
              <w:t>1,12</w:t>
            </w:r>
          </w:p>
        </w:tc>
        <w:tc>
          <w:tcPr>
            <w:tcW w:w="1455" w:type="dxa"/>
            <w:noWrap/>
            <w:vAlign w:val="center"/>
            <w:hideMark/>
          </w:tcPr>
          <w:p w:rsidR="000C5D2D" w:rsidRPr="000C5D2D" w:rsidRDefault="000C5D2D" w:rsidP="00D70A94">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val="en-US"/>
              </w:rPr>
            </w:pPr>
            <w:r w:rsidRPr="000C5D2D">
              <w:rPr>
                <w:rFonts w:ascii="Calibri" w:eastAsia="Times New Roman" w:hAnsi="Calibri" w:cs="Calibri"/>
                <w:lang w:val="en-US"/>
              </w:rPr>
              <w:t>10,0259</w:t>
            </w:r>
          </w:p>
        </w:tc>
        <w:tc>
          <w:tcPr>
            <w:tcW w:w="1337" w:type="dxa"/>
            <w:noWrap/>
            <w:vAlign w:val="center"/>
            <w:hideMark/>
          </w:tcPr>
          <w:p w:rsidR="000C5D2D" w:rsidRPr="000C5D2D" w:rsidRDefault="000C5D2D" w:rsidP="00D70A94">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val="en-US"/>
              </w:rPr>
            </w:pPr>
            <w:r w:rsidRPr="000C5D2D">
              <w:rPr>
                <w:rFonts w:ascii="Calibri" w:eastAsia="Times New Roman" w:hAnsi="Calibri" w:cs="Calibri"/>
                <w:lang w:val="en-US"/>
              </w:rPr>
              <w:t>0,027</w:t>
            </w:r>
          </w:p>
        </w:tc>
        <w:tc>
          <w:tcPr>
            <w:tcW w:w="1337" w:type="dxa"/>
            <w:noWrap/>
            <w:vAlign w:val="center"/>
            <w:hideMark/>
          </w:tcPr>
          <w:p w:rsidR="000C5D2D" w:rsidRPr="000C5D2D" w:rsidRDefault="000C5D2D" w:rsidP="00D70A94">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val="en-US"/>
              </w:rPr>
            </w:pPr>
            <w:r w:rsidRPr="000C5D2D">
              <w:rPr>
                <w:rFonts w:ascii="Calibri" w:eastAsia="Times New Roman" w:hAnsi="Calibri" w:cs="Calibri"/>
                <w:lang w:val="en-US"/>
              </w:rPr>
              <w:t>0,029</w:t>
            </w:r>
          </w:p>
        </w:tc>
        <w:tc>
          <w:tcPr>
            <w:tcW w:w="1337" w:type="dxa"/>
            <w:noWrap/>
            <w:vAlign w:val="center"/>
            <w:hideMark/>
          </w:tcPr>
          <w:p w:rsidR="000C5D2D" w:rsidRPr="000C5D2D" w:rsidRDefault="000C5D2D" w:rsidP="00D70A94">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val="en-US"/>
              </w:rPr>
            </w:pPr>
            <w:r w:rsidRPr="000C5D2D">
              <w:rPr>
                <w:rFonts w:ascii="Calibri" w:eastAsia="Times New Roman" w:hAnsi="Calibri" w:cs="Calibri"/>
                <w:lang w:val="en-US"/>
              </w:rPr>
              <w:t>0,030</w:t>
            </w:r>
          </w:p>
        </w:tc>
      </w:tr>
      <w:tr w:rsidR="000C5D2D" w:rsidRPr="000C5D2D" w:rsidTr="008D24EA">
        <w:trPr>
          <w:cnfStyle w:val="000000100000" w:firstRow="0" w:lastRow="0" w:firstColumn="0" w:lastColumn="0" w:oddVBand="0" w:evenVBand="0" w:oddHBand="1" w:evenHBand="0" w:firstRowFirstColumn="0" w:firstRowLastColumn="0" w:lastRowFirstColumn="0" w:lastRowLastColumn="0"/>
          <w:trHeight w:val="391"/>
        </w:trPr>
        <w:tc>
          <w:tcPr>
            <w:cnfStyle w:val="001000000000" w:firstRow="0" w:lastRow="0" w:firstColumn="1" w:lastColumn="0" w:oddVBand="0" w:evenVBand="0" w:oddHBand="0" w:evenHBand="0" w:firstRowFirstColumn="0" w:firstRowLastColumn="0" w:lastRowFirstColumn="0" w:lastRowLastColumn="0"/>
            <w:tcW w:w="2061" w:type="dxa"/>
            <w:noWrap/>
            <w:vAlign w:val="center"/>
            <w:hideMark/>
          </w:tcPr>
          <w:p w:rsidR="000C5D2D" w:rsidRPr="000C5D2D" w:rsidRDefault="000C5D2D" w:rsidP="00D70A94">
            <w:pPr>
              <w:jc w:val="center"/>
              <w:rPr>
                <w:rFonts w:ascii="Calibri" w:eastAsia="Times New Roman" w:hAnsi="Calibri" w:cs="Calibri"/>
                <w:color w:val="000000"/>
                <w:lang w:val="en-US"/>
              </w:rPr>
            </w:pPr>
            <w:r w:rsidRPr="000C5D2D">
              <w:rPr>
                <w:rFonts w:ascii="Calibri" w:eastAsia="Times New Roman" w:hAnsi="Calibri" w:cs="Calibri"/>
                <w:color w:val="000000"/>
                <w:lang w:val="en-US"/>
              </w:rPr>
              <w:t>25</w:t>
            </w:r>
          </w:p>
        </w:tc>
        <w:tc>
          <w:tcPr>
            <w:tcW w:w="1527" w:type="dxa"/>
            <w:noWrap/>
            <w:vAlign w:val="center"/>
            <w:hideMark/>
          </w:tcPr>
          <w:p w:rsidR="000C5D2D" w:rsidRPr="000C5D2D" w:rsidRDefault="000C5D2D" w:rsidP="00D70A94">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val="en-US"/>
              </w:rPr>
            </w:pPr>
            <w:r w:rsidRPr="000C5D2D">
              <w:rPr>
                <w:rFonts w:ascii="Calibri" w:eastAsia="Times New Roman" w:hAnsi="Calibri" w:cs="Calibri"/>
                <w:lang w:val="en-US"/>
              </w:rPr>
              <w:t>2,31</w:t>
            </w:r>
          </w:p>
        </w:tc>
        <w:tc>
          <w:tcPr>
            <w:tcW w:w="1455" w:type="dxa"/>
            <w:noWrap/>
            <w:vAlign w:val="center"/>
            <w:hideMark/>
          </w:tcPr>
          <w:p w:rsidR="000C5D2D" w:rsidRPr="000C5D2D" w:rsidRDefault="000C5D2D" w:rsidP="00D70A94">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val="en-US"/>
              </w:rPr>
            </w:pPr>
            <w:r w:rsidRPr="000C5D2D">
              <w:rPr>
                <w:rFonts w:ascii="Calibri" w:eastAsia="Times New Roman" w:hAnsi="Calibri" w:cs="Calibri"/>
                <w:lang w:val="en-US"/>
              </w:rPr>
              <w:t>5,7021</w:t>
            </w:r>
          </w:p>
        </w:tc>
        <w:tc>
          <w:tcPr>
            <w:tcW w:w="1337" w:type="dxa"/>
            <w:noWrap/>
            <w:vAlign w:val="center"/>
            <w:hideMark/>
          </w:tcPr>
          <w:p w:rsidR="000C5D2D" w:rsidRPr="000C5D2D" w:rsidRDefault="000C5D2D" w:rsidP="00D70A94">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val="en-US"/>
              </w:rPr>
            </w:pPr>
            <w:r w:rsidRPr="000C5D2D">
              <w:rPr>
                <w:rFonts w:ascii="Calibri" w:eastAsia="Times New Roman" w:hAnsi="Calibri" w:cs="Calibri"/>
                <w:lang w:val="en-US"/>
              </w:rPr>
              <w:t>0,026</w:t>
            </w:r>
          </w:p>
        </w:tc>
        <w:tc>
          <w:tcPr>
            <w:tcW w:w="1337" w:type="dxa"/>
            <w:noWrap/>
            <w:vAlign w:val="center"/>
            <w:hideMark/>
          </w:tcPr>
          <w:p w:rsidR="000C5D2D" w:rsidRPr="000C5D2D" w:rsidRDefault="000C5D2D" w:rsidP="00D70A94">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val="en-US"/>
              </w:rPr>
            </w:pPr>
            <w:r w:rsidRPr="000C5D2D">
              <w:rPr>
                <w:rFonts w:ascii="Calibri" w:eastAsia="Times New Roman" w:hAnsi="Calibri" w:cs="Calibri"/>
                <w:lang w:val="en-US"/>
              </w:rPr>
              <w:t>0,031</w:t>
            </w:r>
          </w:p>
        </w:tc>
        <w:tc>
          <w:tcPr>
            <w:tcW w:w="1337" w:type="dxa"/>
            <w:noWrap/>
            <w:vAlign w:val="center"/>
            <w:hideMark/>
          </w:tcPr>
          <w:p w:rsidR="000C5D2D" w:rsidRPr="000C5D2D" w:rsidRDefault="000C5D2D" w:rsidP="00D70A94">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val="en-US"/>
              </w:rPr>
            </w:pPr>
            <w:r w:rsidRPr="000C5D2D">
              <w:rPr>
                <w:rFonts w:ascii="Calibri" w:eastAsia="Times New Roman" w:hAnsi="Calibri" w:cs="Calibri"/>
                <w:lang w:val="en-US"/>
              </w:rPr>
              <w:t>0,028</w:t>
            </w:r>
          </w:p>
        </w:tc>
      </w:tr>
      <w:tr w:rsidR="000C5D2D" w:rsidRPr="000C5D2D" w:rsidTr="008D24EA">
        <w:trPr>
          <w:trHeight w:val="391"/>
        </w:trPr>
        <w:tc>
          <w:tcPr>
            <w:cnfStyle w:val="001000000000" w:firstRow="0" w:lastRow="0" w:firstColumn="1" w:lastColumn="0" w:oddVBand="0" w:evenVBand="0" w:oddHBand="0" w:evenHBand="0" w:firstRowFirstColumn="0" w:firstRowLastColumn="0" w:lastRowFirstColumn="0" w:lastRowLastColumn="0"/>
            <w:tcW w:w="2061" w:type="dxa"/>
            <w:noWrap/>
            <w:vAlign w:val="center"/>
            <w:hideMark/>
          </w:tcPr>
          <w:p w:rsidR="000C5D2D" w:rsidRPr="000C5D2D" w:rsidRDefault="000C5D2D" w:rsidP="00D70A94">
            <w:pPr>
              <w:jc w:val="center"/>
              <w:rPr>
                <w:rFonts w:ascii="Calibri" w:eastAsia="Times New Roman" w:hAnsi="Calibri" w:cs="Calibri"/>
                <w:color w:val="000000"/>
                <w:lang w:val="en-US"/>
              </w:rPr>
            </w:pPr>
            <w:r w:rsidRPr="000C5D2D">
              <w:rPr>
                <w:rFonts w:ascii="Calibri" w:eastAsia="Times New Roman" w:hAnsi="Calibri" w:cs="Calibri"/>
                <w:color w:val="000000"/>
                <w:lang w:val="en-US"/>
              </w:rPr>
              <w:t>35</w:t>
            </w:r>
          </w:p>
        </w:tc>
        <w:tc>
          <w:tcPr>
            <w:tcW w:w="1527" w:type="dxa"/>
            <w:noWrap/>
            <w:vAlign w:val="center"/>
            <w:hideMark/>
          </w:tcPr>
          <w:p w:rsidR="000C5D2D" w:rsidRPr="000C5D2D" w:rsidRDefault="000C5D2D" w:rsidP="00D70A94">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val="en-US"/>
              </w:rPr>
            </w:pPr>
            <w:r w:rsidRPr="000C5D2D">
              <w:rPr>
                <w:rFonts w:ascii="Calibri" w:eastAsia="Times New Roman" w:hAnsi="Calibri" w:cs="Calibri"/>
                <w:lang w:val="en-US"/>
              </w:rPr>
              <w:t>2,27</w:t>
            </w:r>
          </w:p>
        </w:tc>
        <w:tc>
          <w:tcPr>
            <w:tcW w:w="1455" w:type="dxa"/>
            <w:noWrap/>
            <w:vAlign w:val="center"/>
            <w:hideMark/>
          </w:tcPr>
          <w:p w:rsidR="000C5D2D" w:rsidRPr="000C5D2D" w:rsidRDefault="000C5D2D" w:rsidP="00D70A94">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val="en-US"/>
              </w:rPr>
            </w:pPr>
            <w:r w:rsidRPr="000C5D2D">
              <w:rPr>
                <w:rFonts w:ascii="Calibri" w:eastAsia="Times New Roman" w:hAnsi="Calibri" w:cs="Calibri"/>
                <w:lang w:val="en-US"/>
              </w:rPr>
              <w:t>5,6102</w:t>
            </w:r>
          </w:p>
        </w:tc>
        <w:tc>
          <w:tcPr>
            <w:tcW w:w="1337" w:type="dxa"/>
            <w:noWrap/>
            <w:vAlign w:val="center"/>
            <w:hideMark/>
          </w:tcPr>
          <w:p w:rsidR="000C5D2D" w:rsidRPr="000C5D2D" w:rsidRDefault="000C5D2D" w:rsidP="00D70A94">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val="en-US"/>
              </w:rPr>
            </w:pPr>
            <w:r w:rsidRPr="000C5D2D">
              <w:rPr>
                <w:rFonts w:ascii="Calibri" w:eastAsia="Times New Roman" w:hAnsi="Calibri" w:cs="Calibri"/>
                <w:lang w:val="en-US"/>
              </w:rPr>
              <w:t>0,013</w:t>
            </w:r>
          </w:p>
        </w:tc>
        <w:tc>
          <w:tcPr>
            <w:tcW w:w="1337" w:type="dxa"/>
            <w:noWrap/>
            <w:vAlign w:val="center"/>
            <w:hideMark/>
          </w:tcPr>
          <w:p w:rsidR="000C5D2D" w:rsidRPr="000C5D2D" w:rsidRDefault="000C5D2D" w:rsidP="00D70A94">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val="en-US"/>
              </w:rPr>
            </w:pPr>
            <w:r w:rsidRPr="000C5D2D">
              <w:rPr>
                <w:rFonts w:ascii="Calibri" w:eastAsia="Times New Roman" w:hAnsi="Calibri" w:cs="Calibri"/>
                <w:lang w:val="en-US"/>
              </w:rPr>
              <w:t>0,015</w:t>
            </w:r>
          </w:p>
        </w:tc>
        <w:tc>
          <w:tcPr>
            <w:tcW w:w="1337" w:type="dxa"/>
            <w:noWrap/>
            <w:vAlign w:val="center"/>
            <w:hideMark/>
          </w:tcPr>
          <w:p w:rsidR="000C5D2D" w:rsidRPr="000C5D2D" w:rsidRDefault="000C5D2D" w:rsidP="00D70A94">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val="en-US"/>
              </w:rPr>
            </w:pPr>
            <w:r w:rsidRPr="000C5D2D">
              <w:rPr>
                <w:rFonts w:ascii="Calibri" w:eastAsia="Times New Roman" w:hAnsi="Calibri" w:cs="Calibri"/>
                <w:lang w:val="en-US"/>
              </w:rPr>
              <w:t>0,019</w:t>
            </w:r>
          </w:p>
        </w:tc>
      </w:tr>
      <w:tr w:rsidR="000C5D2D" w:rsidRPr="000C5D2D" w:rsidTr="008D24EA">
        <w:trPr>
          <w:cnfStyle w:val="000000100000" w:firstRow="0" w:lastRow="0" w:firstColumn="0" w:lastColumn="0" w:oddVBand="0" w:evenVBand="0" w:oddHBand="1" w:evenHBand="0" w:firstRowFirstColumn="0" w:firstRowLastColumn="0" w:lastRowFirstColumn="0" w:lastRowLastColumn="0"/>
          <w:trHeight w:val="391"/>
        </w:trPr>
        <w:tc>
          <w:tcPr>
            <w:cnfStyle w:val="001000000000" w:firstRow="0" w:lastRow="0" w:firstColumn="1" w:lastColumn="0" w:oddVBand="0" w:evenVBand="0" w:oddHBand="0" w:evenHBand="0" w:firstRowFirstColumn="0" w:firstRowLastColumn="0" w:lastRowFirstColumn="0" w:lastRowLastColumn="0"/>
            <w:tcW w:w="2061" w:type="dxa"/>
            <w:noWrap/>
            <w:vAlign w:val="center"/>
            <w:hideMark/>
          </w:tcPr>
          <w:p w:rsidR="000C5D2D" w:rsidRPr="000C5D2D" w:rsidRDefault="000C5D2D" w:rsidP="00D70A94">
            <w:pPr>
              <w:jc w:val="center"/>
              <w:rPr>
                <w:rFonts w:ascii="Calibri" w:eastAsia="Times New Roman" w:hAnsi="Calibri" w:cs="Calibri"/>
                <w:color w:val="000000"/>
                <w:lang w:val="en-US"/>
              </w:rPr>
            </w:pPr>
            <w:r w:rsidRPr="000C5D2D">
              <w:rPr>
                <w:rFonts w:ascii="Calibri" w:eastAsia="Times New Roman" w:hAnsi="Calibri" w:cs="Calibri"/>
                <w:color w:val="000000"/>
                <w:lang w:val="en-US"/>
              </w:rPr>
              <w:t>55</w:t>
            </w:r>
          </w:p>
        </w:tc>
        <w:tc>
          <w:tcPr>
            <w:tcW w:w="1527" w:type="dxa"/>
            <w:noWrap/>
            <w:vAlign w:val="center"/>
            <w:hideMark/>
          </w:tcPr>
          <w:p w:rsidR="000C5D2D" w:rsidRPr="000C5D2D" w:rsidRDefault="000C5D2D" w:rsidP="00D70A94">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val="en-US"/>
              </w:rPr>
            </w:pPr>
            <w:r w:rsidRPr="000C5D2D">
              <w:rPr>
                <w:rFonts w:ascii="Calibri" w:eastAsia="Times New Roman" w:hAnsi="Calibri" w:cs="Calibri"/>
                <w:lang w:val="en-US"/>
              </w:rPr>
              <w:t>2,81</w:t>
            </w:r>
          </w:p>
        </w:tc>
        <w:tc>
          <w:tcPr>
            <w:tcW w:w="1455" w:type="dxa"/>
            <w:noWrap/>
            <w:vAlign w:val="center"/>
            <w:hideMark/>
          </w:tcPr>
          <w:p w:rsidR="000C5D2D" w:rsidRPr="000C5D2D" w:rsidRDefault="000C5D2D" w:rsidP="00D70A94">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val="en-US"/>
              </w:rPr>
            </w:pPr>
            <w:r w:rsidRPr="000C5D2D">
              <w:rPr>
                <w:rFonts w:ascii="Calibri" w:eastAsia="Times New Roman" w:hAnsi="Calibri" w:cs="Calibri"/>
                <w:lang w:val="en-US"/>
              </w:rPr>
              <w:t>5,0471</w:t>
            </w:r>
          </w:p>
        </w:tc>
        <w:tc>
          <w:tcPr>
            <w:tcW w:w="1337" w:type="dxa"/>
            <w:noWrap/>
            <w:vAlign w:val="center"/>
            <w:hideMark/>
          </w:tcPr>
          <w:p w:rsidR="000C5D2D" w:rsidRPr="000C5D2D" w:rsidRDefault="000C5D2D" w:rsidP="00D70A94">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val="en-US"/>
              </w:rPr>
            </w:pPr>
            <w:r w:rsidRPr="000C5D2D">
              <w:rPr>
                <w:rFonts w:ascii="Calibri" w:eastAsia="Times New Roman" w:hAnsi="Calibri" w:cs="Calibri"/>
                <w:lang w:val="en-US"/>
              </w:rPr>
              <w:t>0,017</w:t>
            </w:r>
          </w:p>
        </w:tc>
        <w:tc>
          <w:tcPr>
            <w:tcW w:w="1337" w:type="dxa"/>
            <w:noWrap/>
            <w:vAlign w:val="center"/>
            <w:hideMark/>
          </w:tcPr>
          <w:p w:rsidR="000C5D2D" w:rsidRPr="000C5D2D" w:rsidRDefault="000C5D2D" w:rsidP="00D70A94">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val="en-US"/>
              </w:rPr>
            </w:pPr>
            <w:r w:rsidRPr="000C5D2D">
              <w:rPr>
                <w:rFonts w:ascii="Calibri" w:eastAsia="Times New Roman" w:hAnsi="Calibri" w:cs="Calibri"/>
                <w:lang w:val="en-US"/>
              </w:rPr>
              <w:t>0,021</w:t>
            </w:r>
          </w:p>
        </w:tc>
        <w:tc>
          <w:tcPr>
            <w:tcW w:w="1337" w:type="dxa"/>
            <w:noWrap/>
            <w:vAlign w:val="center"/>
            <w:hideMark/>
          </w:tcPr>
          <w:p w:rsidR="000C5D2D" w:rsidRPr="000C5D2D" w:rsidRDefault="000C5D2D" w:rsidP="00D70A94">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val="en-US"/>
              </w:rPr>
            </w:pPr>
            <w:r w:rsidRPr="000C5D2D">
              <w:rPr>
                <w:rFonts w:ascii="Calibri" w:eastAsia="Times New Roman" w:hAnsi="Calibri" w:cs="Calibri"/>
                <w:lang w:val="en-US"/>
              </w:rPr>
              <w:t>0,027</w:t>
            </w:r>
          </w:p>
        </w:tc>
      </w:tr>
      <w:tr w:rsidR="000C5D2D" w:rsidRPr="000C5D2D" w:rsidTr="008D24EA">
        <w:trPr>
          <w:trHeight w:val="409"/>
        </w:trPr>
        <w:tc>
          <w:tcPr>
            <w:cnfStyle w:val="001000000000" w:firstRow="0" w:lastRow="0" w:firstColumn="1" w:lastColumn="0" w:oddVBand="0" w:evenVBand="0" w:oddHBand="0" w:evenHBand="0" w:firstRowFirstColumn="0" w:firstRowLastColumn="0" w:lastRowFirstColumn="0" w:lastRowLastColumn="0"/>
            <w:tcW w:w="2061" w:type="dxa"/>
            <w:noWrap/>
            <w:vAlign w:val="center"/>
            <w:hideMark/>
          </w:tcPr>
          <w:p w:rsidR="000C5D2D" w:rsidRPr="000C5D2D" w:rsidRDefault="000C5D2D" w:rsidP="00D70A94">
            <w:pPr>
              <w:jc w:val="center"/>
              <w:rPr>
                <w:rFonts w:ascii="Calibri" w:eastAsia="Times New Roman" w:hAnsi="Calibri" w:cs="Calibri"/>
                <w:color w:val="000000"/>
                <w:lang w:val="en-US"/>
              </w:rPr>
            </w:pPr>
            <w:r w:rsidRPr="000C5D2D">
              <w:rPr>
                <w:rFonts w:ascii="Calibri" w:eastAsia="Times New Roman" w:hAnsi="Calibri" w:cs="Calibri"/>
                <w:color w:val="000000"/>
                <w:lang w:val="en-US"/>
              </w:rPr>
              <w:t>75</w:t>
            </w:r>
          </w:p>
        </w:tc>
        <w:tc>
          <w:tcPr>
            <w:tcW w:w="1527" w:type="dxa"/>
            <w:noWrap/>
            <w:vAlign w:val="center"/>
            <w:hideMark/>
          </w:tcPr>
          <w:p w:rsidR="000C5D2D" w:rsidRPr="000C5D2D" w:rsidRDefault="000C5D2D" w:rsidP="00D70A94">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val="en-US"/>
              </w:rPr>
            </w:pPr>
            <w:r w:rsidRPr="000C5D2D">
              <w:rPr>
                <w:rFonts w:ascii="Calibri" w:eastAsia="Times New Roman" w:hAnsi="Calibri" w:cs="Calibri"/>
                <w:lang w:val="en-US"/>
              </w:rPr>
              <w:t>2,82</w:t>
            </w:r>
          </w:p>
        </w:tc>
        <w:tc>
          <w:tcPr>
            <w:tcW w:w="1455" w:type="dxa"/>
            <w:noWrap/>
            <w:vAlign w:val="center"/>
            <w:hideMark/>
          </w:tcPr>
          <w:p w:rsidR="000C5D2D" w:rsidRPr="000C5D2D" w:rsidRDefault="000C5D2D" w:rsidP="00D70A94">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val="en-US"/>
              </w:rPr>
            </w:pPr>
            <w:r w:rsidRPr="000C5D2D">
              <w:rPr>
                <w:rFonts w:ascii="Calibri" w:eastAsia="Times New Roman" w:hAnsi="Calibri" w:cs="Calibri"/>
                <w:lang w:val="en-US"/>
              </w:rPr>
              <w:t>5,3055</w:t>
            </w:r>
          </w:p>
        </w:tc>
        <w:tc>
          <w:tcPr>
            <w:tcW w:w="1337" w:type="dxa"/>
            <w:noWrap/>
            <w:vAlign w:val="center"/>
            <w:hideMark/>
          </w:tcPr>
          <w:p w:rsidR="000C5D2D" w:rsidRPr="000C5D2D" w:rsidRDefault="000C5D2D" w:rsidP="00D70A94">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val="en-US"/>
              </w:rPr>
            </w:pPr>
            <w:r w:rsidRPr="000C5D2D">
              <w:rPr>
                <w:rFonts w:ascii="Calibri" w:eastAsia="Times New Roman" w:hAnsi="Calibri" w:cs="Calibri"/>
                <w:lang w:val="en-US"/>
              </w:rPr>
              <w:t>0,012</w:t>
            </w:r>
          </w:p>
        </w:tc>
        <w:tc>
          <w:tcPr>
            <w:tcW w:w="1337" w:type="dxa"/>
            <w:noWrap/>
            <w:vAlign w:val="center"/>
            <w:hideMark/>
          </w:tcPr>
          <w:p w:rsidR="000C5D2D" w:rsidRPr="000C5D2D" w:rsidRDefault="000C5D2D" w:rsidP="00D70A94">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val="en-US"/>
              </w:rPr>
            </w:pPr>
            <w:r w:rsidRPr="000C5D2D">
              <w:rPr>
                <w:rFonts w:ascii="Calibri" w:eastAsia="Times New Roman" w:hAnsi="Calibri" w:cs="Calibri"/>
                <w:lang w:val="en-US"/>
              </w:rPr>
              <w:t>0,014</w:t>
            </w:r>
          </w:p>
        </w:tc>
        <w:tc>
          <w:tcPr>
            <w:tcW w:w="1337" w:type="dxa"/>
            <w:noWrap/>
            <w:vAlign w:val="center"/>
            <w:hideMark/>
          </w:tcPr>
          <w:p w:rsidR="000C5D2D" w:rsidRPr="000C5D2D" w:rsidRDefault="000C5D2D" w:rsidP="00D70A94">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val="en-US"/>
              </w:rPr>
            </w:pPr>
            <w:r w:rsidRPr="000C5D2D">
              <w:rPr>
                <w:rFonts w:ascii="Calibri" w:eastAsia="Times New Roman" w:hAnsi="Calibri" w:cs="Calibri"/>
                <w:lang w:val="en-US"/>
              </w:rPr>
              <w:t>0,019</w:t>
            </w:r>
          </w:p>
        </w:tc>
      </w:tr>
    </w:tbl>
    <w:p w:rsidR="00376CDD" w:rsidRPr="00376CDD" w:rsidRDefault="00935631" w:rsidP="00510A7D">
      <w:pPr>
        <w:spacing w:before="120"/>
        <w:rPr>
          <w:i/>
        </w:rPr>
      </w:pPr>
      <w:r>
        <w:t>Pad udjela ovih komponenti</w:t>
      </w:r>
      <w:r w:rsidR="00AB1E37">
        <w:t xml:space="preserve"> može se objasniti time</w:t>
      </w:r>
      <w:r w:rsidR="001661FD">
        <w:t xml:space="preserve"> što se pri s</w:t>
      </w:r>
      <w:r w:rsidR="00AB1E37">
        <w:t>vakom od vremenskih intervala</w:t>
      </w:r>
      <w:r w:rsidR="000C69C0">
        <w:t xml:space="preserve"> dio suspenzije istakao iz reaktora</w:t>
      </w:r>
      <w:r w:rsidR="00560D7A">
        <w:t>, a takođe dio rastvora se razlagao i smanjivao udio tih primjesa</w:t>
      </w:r>
      <w:r w:rsidR="000C69C0">
        <w:t xml:space="preserve">. Primjećujemo povećanje srednje veličine čestica i smanjenje specifične površine, što je izazvano razlaganjem rastvora, a takođe i adsorpcijom Fe i Zn na površini čvrste </w:t>
      </w:r>
      <w:r>
        <w:t>što može ukazivati i na mehanizam</w:t>
      </w:r>
      <w:r w:rsidR="000C69C0">
        <w:t xml:space="preserve"> adsorpcije.</w:t>
      </w:r>
    </w:p>
    <w:p w:rsidR="000C69C0" w:rsidRDefault="00603C78" w:rsidP="00E35715">
      <w:pPr>
        <w:pStyle w:val="Heading3"/>
      </w:pPr>
      <w:r>
        <w:t>Uticaj temperature na proces čišćenja natrijum aluminata</w:t>
      </w:r>
    </w:p>
    <w:p w:rsidR="00303580" w:rsidRDefault="00603C78" w:rsidP="00E142C8">
      <w:pPr>
        <w:spacing w:before="120"/>
      </w:pPr>
      <w:r>
        <w:t>Kao i u prethodnom slučaju</w:t>
      </w:r>
      <w:r w:rsidR="00AB1E37">
        <w:t>,</w:t>
      </w:r>
      <w:r>
        <w:t xml:space="preserve"> pri konstantom vremenu od 120 min</w:t>
      </w:r>
      <w:r w:rsidR="00033847">
        <w:t>.</w:t>
      </w:r>
      <w:r>
        <w:t xml:space="preserve"> i konstantnoj koncentraciji cjepiva od 5 g/l pratiće se uticaj temperature na čišćenje </w:t>
      </w:r>
      <w:r w:rsidR="008D24EA">
        <w:t>aluminatnog rastvora.</w:t>
      </w:r>
    </w:p>
    <w:p w:rsidR="00792993" w:rsidRPr="00495EF3" w:rsidRDefault="00792993" w:rsidP="00792993">
      <w:pPr>
        <w:spacing w:before="120"/>
      </w:pPr>
      <w:r>
        <w:t>Na osnovu rezultata (slika 2.) primjeću</w:t>
      </w:r>
      <w:r w:rsidR="00AB1E37">
        <w:t>je se da je čišćenje veoma efikasno</w:t>
      </w:r>
      <w:r>
        <w:t xml:space="preserve"> na nižim temperaturama, a zatim </w:t>
      </w:r>
      <w:r w:rsidR="00AB1E37">
        <w:t xml:space="preserve">da se </w:t>
      </w:r>
      <w:r>
        <w:t>poveć</w:t>
      </w:r>
      <w:r w:rsidR="00AB1E37">
        <w:t xml:space="preserve">anjem temperature ta efikasnost </w:t>
      </w:r>
      <w:r>
        <w:t>smanj</w:t>
      </w:r>
      <w:r w:rsidR="00AB1E37">
        <w:t>uje. D</w:t>
      </w:r>
      <w:r>
        <w:t xml:space="preserve">aljim povećanjem temperature koncentracije primjesa opet padaju. Opaža se da povećanjem temperature razlaganje aluminatnog rastvora je manje. </w:t>
      </w:r>
    </w:p>
    <w:p w:rsidR="00792993" w:rsidRPr="008D24EA" w:rsidRDefault="00792993" w:rsidP="00E142C8">
      <w:pPr>
        <w:spacing w:before="120"/>
      </w:pPr>
    </w:p>
    <w:p w:rsidR="00E142C8" w:rsidRDefault="00303580" w:rsidP="00442A9A">
      <w:pPr>
        <w:spacing w:before="120"/>
        <w:jc w:val="center"/>
      </w:pPr>
      <w:r>
        <w:rPr>
          <w:noProof/>
          <w:lang w:eastAsia="sr-Latn-RS"/>
        </w:rPr>
        <w:lastRenderedPageBreak/>
        <w:drawing>
          <wp:inline distT="0" distB="0" distL="0" distR="0">
            <wp:extent cx="5753100" cy="3914775"/>
            <wp:effectExtent l="0" t="0" r="0" b="952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9F1494" w:rsidRDefault="008D24EA" w:rsidP="009F1494">
      <w:pPr>
        <w:spacing w:before="120"/>
        <w:jc w:val="center"/>
        <w:rPr>
          <w:i/>
        </w:rPr>
      </w:pPr>
      <w:r>
        <w:rPr>
          <w:i/>
        </w:rPr>
        <w:t>Slika</w:t>
      </w:r>
      <w:r w:rsidR="00510A7D">
        <w:rPr>
          <w:i/>
        </w:rPr>
        <w:t xml:space="preserve"> 2. Promjena koncentracije Fe,</w:t>
      </w:r>
      <w:r w:rsidR="009F1494">
        <w:rPr>
          <w:i/>
        </w:rPr>
        <w:t xml:space="preserve"> Zn</w:t>
      </w:r>
      <w:r w:rsidR="00510A7D">
        <w:rPr>
          <w:i/>
        </w:rPr>
        <w:t xml:space="preserve"> i Cu</w:t>
      </w:r>
      <w:r w:rsidR="009F1494">
        <w:rPr>
          <w:i/>
        </w:rPr>
        <w:t xml:space="preserve"> za različite temparature</w:t>
      </w:r>
    </w:p>
    <w:p w:rsidR="009802CE" w:rsidRPr="00442A9A" w:rsidRDefault="009802CE" w:rsidP="009F1494">
      <w:pPr>
        <w:spacing w:before="120"/>
      </w:pPr>
      <w:r>
        <w:t>Može se zaključiti da je uticaj temperature na koncentraciju primjesa specifičan tako da temperatura 75 stepeni daje najbolje rezultate što se tiče prećišćavanja</w:t>
      </w:r>
      <w:r w:rsidR="002E553A">
        <w:t xml:space="preserve"> od Fe, međutim pri temperaturi </w:t>
      </w:r>
      <w:r>
        <w:t>40 stepeni neznatno se povećava prisustvo Fe, a koncentracija Zn pada na nulu. Uzimajući u obzir uštedu energije smanjenjem temperature za 30 stepeni, temperatura od 40 stepeni daje najbolje rezultate.</w:t>
      </w:r>
    </w:p>
    <w:p w:rsidR="009F1494" w:rsidRDefault="008D24EA" w:rsidP="009F1494">
      <w:pPr>
        <w:spacing w:before="120"/>
        <w:rPr>
          <w:i/>
        </w:rPr>
      </w:pPr>
      <w:r>
        <w:rPr>
          <w:i/>
        </w:rPr>
        <w:t>Tabela 3</w:t>
      </w:r>
      <w:r w:rsidR="009F1494">
        <w:rPr>
          <w:i/>
        </w:rPr>
        <w:t>. Rezultati analiza čvrste faze posle čišćenja</w:t>
      </w:r>
    </w:p>
    <w:tbl>
      <w:tblPr>
        <w:tblStyle w:val="GridTable4-Accent11"/>
        <w:tblW w:w="9027" w:type="dxa"/>
        <w:tblLook w:val="04A0" w:firstRow="1" w:lastRow="0" w:firstColumn="1" w:lastColumn="0" w:noHBand="0" w:noVBand="1"/>
      </w:tblPr>
      <w:tblGrid>
        <w:gridCol w:w="2055"/>
        <w:gridCol w:w="1522"/>
        <w:gridCol w:w="1451"/>
        <w:gridCol w:w="1333"/>
        <w:gridCol w:w="1333"/>
        <w:gridCol w:w="1333"/>
      </w:tblGrid>
      <w:tr w:rsidR="00D70A94" w:rsidRPr="000C5D2D" w:rsidTr="00442A9A">
        <w:trPr>
          <w:cnfStyle w:val="100000000000" w:firstRow="1" w:lastRow="0" w:firstColumn="0" w:lastColumn="0" w:oddVBand="0" w:evenVBand="0" w:oddHBand="0"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2055" w:type="dxa"/>
            <w:noWrap/>
            <w:vAlign w:val="center"/>
            <w:hideMark/>
          </w:tcPr>
          <w:p w:rsidR="00D70A94" w:rsidRPr="000C5D2D" w:rsidRDefault="00D70A94" w:rsidP="00D70A94">
            <w:pPr>
              <w:jc w:val="center"/>
              <w:rPr>
                <w:rFonts w:ascii="Calibri" w:eastAsia="Times New Roman" w:hAnsi="Calibri" w:cs="Calibri"/>
                <w:i/>
                <w:iCs/>
                <w:color w:val="000000"/>
                <w:lang w:val="en-US"/>
              </w:rPr>
            </w:pPr>
            <w:r w:rsidRPr="009F1494">
              <w:rPr>
                <w:rFonts w:ascii="Calibri" w:eastAsia="Times New Roman" w:hAnsi="Calibri" w:cs="Calibri"/>
                <w:color w:val="000000"/>
              </w:rPr>
              <w:t>T</w:t>
            </w:r>
            <w:r>
              <w:rPr>
                <w:rFonts w:ascii="Calibri" w:eastAsia="Times New Roman" w:hAnsi="Calibri" w:cs="Calibri"/>
                <w:color w:val="000000"/>
              </w:rPr>
              <w:t>emperatura</w:t>
            </w:r>
            <w:r w:rsidRPr="009F1494">
              <w:rPr>
                <w:rFonts w:ascii="Calibri" w:eastAsia="Times New Roman" w:hAnsi="Calibri" w:cs="Calibri"/>
                <w:color w:val="000000"/>
              </w:rPr>
              <w:t>, [°C]</w:t>
            </w:r>
          </w:p>
        </w:tc>
        <w:tc>
          <w:tcPr>
            <w:tcW w:w="1522" w:type="dxa"/>
            <w:noWrap/>
            <w:vAlign w:val="center"/>
            <w:hideMark/>
          </w:tcPr>
          <w:p w:rsidR="00D70A94" w:rsidRPr="000C5D2D" w:rsidRDefault="00D70A94" w:rsidP="00D70A94">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val="en-US"/>
              </w:rPr>
            </w:pPr>
            <w:r>
              <w:rPr>
                <w:rFonts w:ascii="Calibri" w:eastAsia="Times New Roman" w:hAnsi="Calibri" w:cs="Calibri"/>
                <w:b w:val="0"/>
                <w:bCs w:val="0"/>
                <w:lang w:val="en-US"/>
              </w:rPr>
              <w:t>ds50%, [</w:t>
            </w:r>
            <w:proofErr w:type="spellStart"/>
            <w:r w:rsidRPr="000C5D2D">
              <w:rPr>
                <w:rFonts w:ascii="Calibri" w:eastAsia="Times New Roman" w:hAnsi="Calibri" w:cs="Calibri"/>
                <w:lang w:val="en-US"/>
              </w:rPr>
              <w:t>μm</w:t>
            </w:r>
            <w:proofErr w:type="spellEnd"/>
            <w:r>
              <w:rPr>
                <w:rFonts w:ascii="Calibri" w:eastAsia="Times New Roman" w:hAnsi="Calibri" w:cs="Calibri"/>
                <w:b w:val="0"/>
                <w:bCs w:val="0"/>
                <w:lang w:val="en-US"/>
              </w:rPr>
              <w:t>]</w:t>
            </w:r>
          </w:p>
        </w:tc>
        <w:tc>
          <w:tcPr>
            <w:tcW w:w="1451" w:type="dxa"/>
            <w:noWrap/>
            <w:vAlign w:val="center"/>
            <w:hideMark/>
          </w:tcPr>
          <w:p w:rsidR="00D70A94" w:rsidRDefault="00D70A94" w:rsidP="00D70A94">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lang w:val="en-US"/>
              </w:rPr>
            </w:pPr>
            <w:r>
              <w:rPr>
                <w:rFonts w:ascii="Calibri" w:eastAsia="Times New Roman" w:hAnsi="Calibri" w:cs="Calibri"/>
                <w:b w:val="0"/>
                <w:bCs w:val="0"/>
                <w:lang w:val="en-US"/>
              </w:rPr>
              <w:t>BET,</w:t>
            </w:r>
          </w:p>
          <w:p w:rsidR="00D70A94" w:rsidRPr="000C5D2D" w:rsidRDefault="00D70A94" w:rsidP="00D70A94">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val="en-US"/>
              </w:rPr>
            </w:pPr>
            <w:r>
              <w:rPr>
                <w:rFonts w:ascii="Calibri" w:eastAsia="Times New Roman" w:hAnsi="Calibri" w:cs="Calibri"/>
                <w:b w:val="0"/>
                <w:bCs w:val="0"/>
                <w:lang w:val="en-US"/>
              </w:rPr>
              <w:t>[</w:t>
            </w:r>
            <w:r w:rsidRPr="000C5D2D">
              <w:rPr>
                <w:rFonts w:ascii="Calibri" w:eastAsia="Times New Roman" w:hAnsi="Calibri" w:cs="Calibri"/>
                <w:lang w:val="en-US"/>
              </w:rPr>
              <w:t>m</w:t>
            </w:r>
            <w:r w:rsidRPr="000C5D2D">
              <w:rPr>
                <w:rFonts w:ascii="Calibri" w:eastAsia="Times New Roman" w:hAnsi="Calibri" w:cs="Calibri"/>
                <w:vertAlign w:val="superscript"/>
                <w:lang w:val="en-US"/>
              </w:rPr>
              <w:t>2</w:t>
            </w:r>
            <w:r w:rsidRPr="000C5D2D">
              <w:rPr>
                <w:rFonts w:ascii="Calibri" w:eastAsia="Times New Roman" w:hAnsi="Calibri" w:cs="Calibri"/>
                <w:lang w:val="en-US"/>
              </w:rPr>
              <w:t>/g</w:t>
            </w:r>
            <w:r>
              <w:rPr>
                <w:rFonts w:ascii="Calibri" w:eastAsia="Times New Roman" w:hAnsi="Calibri" w:cs="Calibri"/>
                <w:b w:val="0"/>
                <w:bCs w:val="0"/>
                <w:lang w:val="en-US"/>
              </w:rPr>
              <w:t>]</w:t>
            </w:r>
          </w:p>
        </w:tc>
        <w:tc>
          <w:tcPr>
            <w:tcW w:w="1333" w:type="dxa"/>
            <w:noWrap/>
            <w:vAlign w:val="center"/>
            <w:hideMark/>
          </w:tcPr>
          <w:p w:rsidR="00D70A94" w:rsidRDefault="00D70A94" w:rsidP="00D70A94">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lang w:val="en-US"/>
              </w:rPr>
            </w:pPr>
            <w:r>
              <w:rPr>
                <w:rFonts w:ascii="Calibri" w:eastAsia="Times New Roman" w:hAnsi="Calibri" w:cs="Calibri"/>
                <w:b w:val="0"/>
                <w:bCs w:val="0"/>
                <w:lang w:val="en-US"/>
              </w:rPr>
              <w:t>Cu,</w:t>
            </w:r>
          </w:p>
          <w:p w:rsidR="00D70A94" w:rsidRPr="000C5D2D" w:rsidRDefault="00D70A94" w:rsidP="00D70A94">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val="en-US"/>
              </w:rPr>
            </w:pPr>
            <w:r>
              <w:rPr>
                <w:rFonts w:ascii="Calibri" w:eastAsia="Times New Roman" w:hAnsi="Calibri" w:cs="Calibri"/>
                <w:b w:val="0"/>
                <w:bCs w:val="0"/>
                <w:lang w:val="en-US"/>
              </w:rPr>
              <w:t>[</w:t>
            </w:r>
            <w:r w:rsidRPr="000C5D2D">
              <w:rPr>
                <w:rFonts w:ascii="Calibri" w:eastAsia="Times New Roman" w:hAnsi="Calibri" w:cs="Calibri"/>
                <w:lang w:val="en-US"/>
              </w:rPr>
              <w:t>%</w:t>
            </w:r>
            <w:r>
              <w:rPr>
                <w:rFonts w:ascii="Calibri" w:eastAsia="Times New Roman" w:hAnsi="Calibri" w:cs="Calibri"/>
                <w:b w:val="0"/>
                <w:bCs w:val="0"/>
                <w:lang w:val="en-US"/>
              </w:rPr>
              <w:t>]</w:t>
            </w:r>
          </w:p>
        </w:tc>
        <w:tc>
          <w:tcPr>
            <w:tcW w:w="1333" w:type="dxa"/>
            <w:noWrap/>
            <w:vAlign w:val="center"/>
            <w:hideMark/>
          </w:tcPr>
          <w:p w:rsidR="00D70A94" w:rsidRDefault="00D70A94" w:rsidP="00D70A94">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lang w:val="en-US"/>
              </w:rPr>
            </w:pPr>
            <w:r>
              <w:rPr>
                <w:rFonts w:ascii="Calibri" w:eastAsia="Times New Roman" w:hAnsi="Calibri" w:cs="Calibri"/>
                <w:b w:val="0"/>
                <w:bCs w:val="0"/>
                <w:lang w:val="en-US"/>
              </w:rPr>
              <w:t>Fe,</w:t>
            </w:r>
          </w:p>
          <w:p w:rsidR="00D70A94" w:rsidRPr="000C5D2D" w:rsidRDefault="00D70A94" w:rsidP="00D70A94">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val="en-US"/>
              </w:rPr>
            </w:pPr>
            <w:r>
              <w:rPr>
                <w:rFonts w:ascii="Calibri" w:eastAsia="Times New Roman" w:hAnsi="Calibri" w:cs="Calibri"/>
                <w:b w:val="0"/>
                <w:bCs w:val="0"/>
                <w:lang w:val="en-US"/>
              </w:rPr>
              <w:t>[</w:t>
            </w:r>
            <w:r w:rsidRPr="000C5D2D">
              <w:rPr>
                <w:rFonts w:ascii="Calibri" w:eastAsia="Times New Roman" w:hAnsi="Calibri" w:cs="Calibri"/>
                <w:lang w:val="en-US"/>
              </w:rPr>
              <w:t>%</w:t>
            </w:r>
            <w:r>
              <w:rPr>
                <w:rFonts w:ascii="Calibri" w:eastAsia="Times New Roman" w:hAnsi="Calibri" w:cs="Calibri"/>
                <w:b w:val="0"/>
                <w:bCs w:val="0"/>
                <w:lang w:val="en-US"/>
              </w:rPr>
              <w:t>]</w:t>
            </w:r>
          </w:p>
        </w:tc>
        <w:tc>
          <w:tcPr>
            <w:tcW w:w="1333" w:type="dxa"/>
            <w:noWrap/>
            <w:vAlign w:val="center"/>
            <w:hideMark/>
          </w:tcPr>
          <w:p w:rsidR="00D70A94" w:rsidRDefault="00D70A94" w:rsidP="00D70A94">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lang w:val="en-US"/>
              </w:rPr>
            </w:pPr>
            <w:r>
              <w:rPr>
                <w:rFonts w:ascii="Calibri" w:eastAsia="Times New Roman" w:hAnsi="Calibri" w:cs="Calibri"/>
                <w:b w:val="0"/>
                <w:bCs w:val="0"/>
                <w:lang w:val="en-US"/>
              </w:rPr>
              <w:t>Zn,</w:t>
            </w:r>
          </w:p>
          <w:p w:rsidR="00D70A94" w:rsidRPr="000C5D2D" w:rsidRDefault="00D70A94" w:rsidP="00D70A94">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val="en-US"/>
              </w:rPr>
            </w:pPr>
            <w:r>
              <w:rPr>
                <w:rFonts w:ascii="Calibri" w:eastAsia="Times New Roman" w:hAnsi="Calibri" w:cs="Calibri"/>
                <w:b w:val="0"/>
                <w:bCs w:val="0"/>
                <w:lang w:val="en-US"/>
              </w:rPr>
              <w:t>[</w:t>
            </w:r>
            <w:r w:rsidRPr="000C5D2D">
              <w:rPr>
                <w:rFonts w:ascii="Calibri" w:eastAsia="Times New Roman" w:hAnsi="Calibri" w:cs="Calibri"/>
                <w:lang w:val="en-US"/>
              </w:rPr>
              <w:t>%</w:t>
            </w:r>
            <w:r>
              <w:rPr>
                <w:rFonts w:ascii="Calibri" w:eastAsia="Times New Roman" w:hAnsi="Calibri" w:cs="Calibri"/>
                <w:b w:val="0"/>
                <w:bCs w:val="0"/>
                <w:lang w:val="en-US"/>
              </w:rPr>
              <w:t>]</w:t>
            </w:r>
          </w:p>
        </w:tc>
      </w:tr>
      <w:tr w:rsidR="00D70A94" w:rsidRPr="000C5D2D" w:rsidTr="00442A9A">
        <w:trPr>
          <w:cnfStyle w:val="000000100000" w:firstRow="0" w:lastRow="0" w:firstColumn="0" w:lastColumn="0" w:oddVBand="0" w:evenVBand="0" w:oddHBand="1"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2055" w:type="dxa"/>
            <w:noWrap/>
            <w:vAlign w:val="center"/>
            <w:hideMark/>
          </w:tcPr>
          <w:p w:rsidR="00D70A94" w:rsidRPr="000C5D2D" w:rsidRDefault="00D70A94" w:rsidP="00D70A94">
            <w:pPr>
              <w:jc w:val="center"/>
              <w:rPr>
                <w:rFonts w:ascii="Calibri" w:eastAsia="Times New Roman" w:hAnsi="Calibri" w:cs="Calibri"/>
                <w:color w:val="000000"/>
                <w:lang w:val="en-US"/>
              </w:rPr>
            </w:pPr>
            <w:r w:rsidRPr="000C5D2D">
              <w:rPr>
                <w:rFonts w:ascii="Calibri" w:eastAsia="Times New Roman" w:hAnsi="Calibri" w:cs="Calibri"/>
                <w:color w:val="000000"/>
                <w:lang w:val="en-US"/>
              </w:rPr>
              <w:t xml:space="preserve">ne </w:t>
            </w:r>
            <w:proofErr w:type="spellStart"/>
            <w:r w:rsidRPr="000C5D2D">
              <w:rPr>
                <w:rFonts w:ascii="Calibri" w:eastAsia="Times New Roman" w:hAnsi="Calibri" w:cs="Calibri"/>
                <w:color w:val="000000"/>
                <w:lang w:val="en-US"/>
              </w:rPr>
              <w:t>tretiran</w:t>
            </w:r>
            <w:proofErr w:type="spellEnd"/>
          </w:p>
        </w:tc>
        <w:tc>
          <w:tcPr>
            <w:tcW w:w="1522" w:type="dxa"/>
            <w:noWrap/>
            <w:vAlign w:val="center"/>
            <w:hideMark/>
          </w:tcPr>
          <w:p w:rsidR="00D70A94" w:rsidRDefault="00D70A94" w:rsidP="00D70A94">
            <w:pPr>
              <w:jc w:val="cente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0,64</w:t>
            </w:r>
          </w:p>
        </w:tc>
        <w:tc>
          <w:tcPr>
            <w:tcW w:w="1451" w:type="dxa"/>
            <w:noWrap/>
            <w:vAlign w:val="center"/>
            <w:hideMark/>
          </w:tcPr>
          <w:p w:rsidR="00D70A94" w:rsidRDefault="00D70A94" w:rsidP="00D70A94">
            <w:pPr>
              <w:jc w:val="cente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18,8626</w:t>
            </w:r>
          </w:p>
        </w:tc>
        <w:tc>
          <w:tcPr>
            <w:tcW w:w="1333" w:type="dxa"/>
            <w:noWrap/>
            <w:vAlign w:val="center"/>
            <w:hideMark/>
          </w:tcPr>
          <w:p w:rsidR="00D70A94" w:rsidRDefault="00D70A94" w:rsidP="00D70A94">
            <w:pPr>
              <w:jc w:val="cente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0,003</w:t>
            </w:r>
          </w:p>
        </w:tc>
        <w:tc>
          <w:tcPr>
            <w:tcW w:w="1333" w:type="dxa"/>
            <w:noWrap/>
            <w:vAlign w:val="center"/>
            <w:hideMark/>
          </w:tcPr>
          <w:p w:rsidR="00D70A94" w:rsidRDefault="00D70A94" w:rsidP="00D70A94">
            <w:pPr>
              <w:jc w:val="cente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0,009</w:t>
            </w:r>
          </w:p>
        </w:tc>
        <w:tc>
          <w:tcPr>
            <w:tcW w:w="1333" w:type="dxa"/>
            <w:noWrap/>
            <w:vAlign w:val="center"/>
            <w:hideMark/>
          </w:tcPr>
          <w:p w:rsidR="00D70A94" w:rsidRDefault="00D70A94" w:rsidP="00D70A94">
            <w:pPr>
              <w:jc w:val="cente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0,008</w:t>
            </w:r>
          </w:p>
        </w:tc>
      </w:tr>
      <w:tr w:rsidR="00D70A94" w:rsidRPr="000C5D2D" w:rsidTr="00442A9A">
        <w:trPr>
          <w:trHeight w:val="395"/>
        </w:trPr>
        <w:tc>
          <w:tcPr>
            <w:cnfStyle w:val="001000000000" w:firstRow="0" w:lastRow="0" w:firstColumn="1" w:lastColumn="0" w:oddVBand="0" w:evenVBand="0" w:oddHBand="0" w:evenHBand="0" w:firstRowFirstColumn="0" w:firstRowLastColumn="0" w:lastRowFirstColumn="0" w:lastRowLastColumn="0"/>
            <w:tcW w:w="2055" w:type="dxa"/>
            <w:noWrap/>
            <w:vAlign w:val="center"/>
            <w:hideMark/>
          </w:tcPr>
          <w:p w:rsidR="00D70A94" w:rsidRPr="000C5D2D" w:rsidRDefault="00D70A94" w:rsidP="00D70A94">
            <w:pPr>
              <w:jc w:val="center"/>
              <w:rPr>
                <w:rFonts w:ascii="Calibri" w:eastAsia="Times New Roman" w:hAnsi="Calibri" w:cs="Calibri"/>
                <w:color w:val="000000"/>
                <w:lang w:val="en-US"/>
              </w:rPr>
            </w:pPr>
            <w:r>
              <w:rPr>
                <w:rFonts w:ascii="Calibri" w:eastAsia="Times New Roman" w:hAnsi="Calibri" w:cs="Calibri"/>
                <w:color w:val="000000"/>
                <w:lang w:val="en-US"/>
              </w:rPr>
              <w:t>40</w:t>
            </w:r>
          </w:p>
        </w:tc>
        <w:tc>
          <w:tcPr>
            <w:tcW w:w="1522" w:type="dxa"/>
            <w:noWrap/>
            <w:vAlign w:val="center"/>
            <w:hideMark/>
          </w:tcPr>
          <w:p w:rsidR="00D70A94" w:rsidRDefault="00D70A94" w:rsidP="00D70A94">
            <w:pPr>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4,67</w:t>
            </w:r>
          </w:p>
        </w:tc>
        <w:tc>
          <w:tcPr>
            <w:tcW w:w="1451" w:type="dxa"/>
            <w:noWrap/>
            <w:vAlign w:val="center"/>
            <w:hideMark/>
          </w:tcPr>
          <w:p w:rsidR="00D70A94" w:rsidRDefault="00D70A94" w:rsidP="00D70A94">
            <w:pPr>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5,139</w:t>
            </w:r>
          </w:p>
        </w:tc>
        <w:tc>
          <w:tcPr>
            <w:tcW w:w="1333" w:type="dxa"/>
            <w:noWrap/>
            <w:vAlign w:val="center"/>
            <w:hideMark/>
          </w:tcPr>
          <w:p w:rsidR="00D70A94" w:rsidRDefault="00D70A94" w:rsidP="00D70A94">
            <w:pPr>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0,013</w:t>
            </w:r>
          </w:p>
        </w:tc>
        <w:tc>
          <w:tcPr>
            <w:tcW w:w="1333" w:type="dxa"/>
            <w:noWrap/>
            <w:vAlign w:val="center"/>
            <w:hideMark/>
          </w:tcPr>
          <w:p w:rsidR="00D70A94" w:rsidRDefault="00D70A94" w:rsidP="00D70A94">
            <w:pPr>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0,016</w:t>
            </w:r>
          </w:p>
        </w:tc>
        <w:tc>
          <w:tcPr>
            <w:tcW w:w="1333" w:type="dxa"/>
            <w:noWrap/>
            <w:vAlign w:val="center"/>
            <w:hideMark/>
          </w:tcPr>
          <w:p w:rsidR="00D70A94" w:rsidRDefault="00D70A94" w:rsidP="00D70A94">
            <w:pPr>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0,019</w:t>
            </w:r>
          </w:p>
        </w:tc>
      </w:tr>
      <w:tr w:rsidR="00D70A94" w:rsidRPr="000C5D2D" w:rsidTr="00442A9A">
        <w:trPr>
          <w:cnfStyle w:val="000000100000" w:firstRow="0" w:lastRow="0" w:firstColumn="0" w:lastColumn="0" w:oddVBand="0" w:evenVBand="0" w:oddHBand="1"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2055" w:type="dxa"/>
            <w:noWrap/>
            <w:vAlign w:val="center"/>
            <w:hideMark/>
          </w:tcPr>
          <w:p w:rsidR="00D70A94" w:rsidRPr="000C5D2D" w:rsidRDefault="00D70A94" w:rsidP="00D70A94">
            <w:pPr>
              <w:jc w:val="center"/>
              <w:rPr>
                <w:rFonts w:ascii="Calibri" w:eastAsia="Times New Roman" w:hAnsi="Calibri" w:cs="Calibri"/>
                <w:color w:val="000000"/>
                <w:lang w:val="en-US"/>
              </w:rPr>
            </w:pPr>
            <w:r>
              <w:rPr>
                <w:rFonts w:ascii="Calibri" w:eastAsia="Times New Roman" w:hAnsi="Calibri" w:cs="Calibri"/>
                <w:color w:val="000000"/>
                <w:lang w:val="en-US"/>
              </w:rPr>
              <w:t>5</w:t>
            </w:r>
            <w:r w:rsidRPr="000C5D2D">
              <w:rPr>
                <w:rFonts w:ascii="Calibri" w:eastAsia="Times New Roman" w:hAnsi="Calibri" w:cs="Calibri"/>
                <w:color w:val="000000"/>
                <w:lang w:val="en-US"/>
              </w:rPr>
              <w:t>5</w:t>
            </w:r>
          </w:p>
        </w:tc>
        <w:tc>
          <w:tcPr>
            <w:tcW w:w="1522" w:type="dxa"/>
            <w:noWrap/>
            <w:vAlign w:val="center"/>
            <w:hideMark/>
          </w:tcPr>
          <w:p w:rsidR="00D70A94" w:rsidRDefault="00D70A94" w:rsidP="00D70A94">
            <w:pPr>
              <w:jc w:val="cente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2,69</w:t>
            </w:r>
          </w:p>
        </w:tc>
        <w:tc>
          <w:tcPr>
            <w:tcW w:w="1451" w:type="dxa"/>
            <w:noWrap/>
            <w:vAlign w:val="center"/>
            <w:hideMark/>
          </w:tcPr>
          <w:p w:rsidR="00D70A94" w:rsidRDefault="00D70A94" w:rsidP="00D70A94">
            <w:pPr>
              <w:jc w:val="cente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4,950</w:t>
            </w:r>
          </w:p>
        </w:tc>
        <w:tc>
          <w:tcPr>
            <w:tcW w:w="1333" w:type="dxa"/>
            <w:noWrap/>
            <w:vAlign w:val="center"/>
            <w:hideMark/>
          </w:tcPr>
          <w:p w:rsidR="00D70A94" w:rsidRDefault="00D70A94" w:rsidP="00D70A94">
            <w:pPr>
              <w:jc w:val="cente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0,010</w:t>
            </w:r>
          </w:p>
        </w:tc>
        <w:tc>
          <w:tcPr>
            <w:tcW w:w="1333" w:type="dxa"/>
            <w:noWrap/>
            <w:vAlign w:val="center"/>
            <w:hideMark/>
          </w:tcPr>
          <w:p w:rsidR="00D70A94" w:rsidRDefault="00D70A94" w:rsidP="00D70A94">
            <w:pPr>
              <w:jc w:val="cente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0,012</w:t>
            </w:r>
          </w:p>
        </w:tc>
        <w:tc>
          <w:tcPr>
            <w:tcW w:w="1333" w:type="dxa"/>
            <w:noWrap/>
            <w:vAlign w:val="center"/>
            <w:hideMark/>
          </w:tcPr>
          <w:p w:rsidR="00D70A94" w:rsidRDefault="00D70A94" w:rsidP="00D70A94">
            <w:pPr>
              <w:jc w:val="cente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0,014</w:t>
            </w:r>
          </w:p>
        </w:tc>
      </w:tr>
      <w:tr w:rsidR="00D70A94" w:rsidRPr="000C5D2D" w:rsidTr="00442A9A">
        <w:trPr>
          <w:trHeight w:val="395"/>
        </w:trPr>
        <w:tc>
          <w:tcPr>
            <w:cnfStyle w:val="001000000000" w:firstRow="0" w:lastRow="0" w:firstColumn="1" w:lastColumn="0" w:oddVBand="0" w:evenVBand="0" w:oddHBand="0" w:evenHBand="0" w:firstRowFirstColumn="0" w:firstRowLastColumn="0" w:lastRowFirstColumn="0" w:lastRowLastColumn="0"/>
            <w:tcW w:w="2055" w:type="dxa"/>
            <w:noWrap/>
            <w:vAlign w:val="center"/>
            <w:hideMark/>
          </w:tcPr>
          <w:p w:rsidR="00D70A94" w:rsidRPr="000C5D2D" w:rsidRDefault="00D70A94" w:rsidP="00D70A94">
            <w:pPr>
              <w:jc w:val="center"/>
              <w:rPr>
                <w:rFonts w:ascii="Calibri" w:eastAsia="Times New Roman" w:hAnsi="Calibri" w:cs="Calibri"/>
                <w:color w:val="000000"/>
                <w:lang w:val="en-US"/>
              </w:rPr>
            </w:pPr>
            <w:r>
              <w:rPr>
                <w:rFonts w:ascii="Calibri" w:eastAsia="Times New Roman" w:hAnsi="Calibri" w:cs="Calibri"/>
                <w:color w:val="000000"/>
                <w:lang w:val="en-US"/>
              </w:rPr>
              <w:t>6</w:t>
            </w:r>
            <w:r w:rsidRPr="000C5D2D">
              <w:rPr>
                <w:rFonts w:ascii="Calibri" w:eastAsia="Times New Roman" w:hAnsi="Calibri" w:cs="Calibri"/>
                <w:color w:val="000000"/>
                <w:lang w:val="en-US"/>
              </w:rPr>
              <w:t>5</w:t>
            </w:r>
          </w:p>
        </w:tc>
        <w:tc>
          <w:tcPr>
            <w:tcW w:w="1522" w:type="dxa"/>
            <w:noWrap/>
            <w:vAlign w:val="center"/>
            <w:hideMark/>
          </w:tcPr>
          <w:p w:rsidR="00D70A94" w:rsidRDefault="00D70A94" w:rsidP="00D70A94">
            <w:pPr>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2,90</w:t>
            </w:r>
          </w:p>
        </w:tc>
        <w:tc>
          <w:tcPr>
            <w:tcW w:w="1451" w:type="dxa"/>
            <w:noWrap/>
            <w:vAlign w:val="center"/>
            <w:hideMark/>
          </w:tcPr>
          <w:p w:rsidR="00D70A94" w:rsidRDefault="00D70A94" w:rsidP="00D70A94">
            <w:pPr>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3,952</w:t>
            </w:r>
          </w:p>
        </w:tc>
        <w:tc>
          <w:tcPr>
            <w:tcW w:w="1333" w:type="dxa"/>
            <w:noWrap/>
            <w:vAlign w:val="center"/>
            <w:hideMark/>
          </w:tcPr>
          <w:p w:rsidR="00D70A94" w:rsidRDefault="00D70A94" w:rsidP="00D70A94">
            <w:pPr>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0,011</w:t>
            </w:r>
          </w:p>
        </w:tc>
        <w:tc>
          <w:tcPr>
            <w:tcW w:w="1333" w:type="dxa"/>
            <w:noWrap/>
            <w:vAlign w:val="center"/>
            <w:hideMark/>
          </w:tcPr>
          <w:p w:rsidR="00D70A94" w:rsidRDefault="00D70A94" w:rsidP="00D70A94">
            <w:pPr>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0,014</w:t>
            </w:r>
          </w:p>
        </w:tc>
        <w:tc>
          <w:tcPr>
            <w:tcW w:w="1333" w:type="dxa"/>
            <w:noWrap/>
            <w:vAlign w:val="center"/>
            <w:hideMark/>
          </w:tcPr>
          <w:p w:rsidR="00D70A94" w:rsidRDefault="00D70A94" w:rsidP="00D70A94">
            <w:pPr>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0,016</w:t>
            </w:r>
          </w:p>
        </w:tc>
      </w:tr>
      <w:tr w:rsidR="00D70A94" w:rsidRPr="000C5D2D" w:rsidTr="00442A9A">
        <w:trPr>
          <w:cnfStyle w:val="000000100000" w:firstRow="0" w:lastRow="0" w:firstColumn="0" w:lastColumn="0" w:oddVBand="0" w:evenVBand="0" w:oddHBand="1"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2055" w:type="dxa"/>
            <w:noWrap/>
            <w:vAlign w:val="center"/>
            <w:hideMark/>
          </w:tcPr>
          <w:p w:rsidR="00D70A94" w:rsidRPr="000C5D2D" w:rsidRDefault="00D70A94" w:rsidP="00D70A94">
            <w:pPr>
              <w:jc w:val="center"/>
              <w:rPr>
                <w:rFonts w:ascii="Calibri" w:eastAsia="Times New Roman" w:hAnsi="Calibri" w:cs="Calibri"/>
                <w:color w:val="000000"/>
                <w:lang w:val="en-US"/>
              </w:rPr>
            </w:pPr>
            <w:r>
              <w:rPr>
                <w:rFonts w:ascii="Calibri" w:eastAsia="Times New Roman" w:hAnsi="Calibri" w:cs="Calibri"/>
                <w:color w:val="000000"/>
                <w:lang w:val="en-US"/>
              </w:rPr>
              <w:t>7</w:t>
            </w:r>
            <w:r w:rsidRPr="000C5D2D">
              <w:rPr>
                <w:rFonts w:ascii="Calibri" w:eastAsia="Times New Roman" w:hAnsi="Calibri" w:cs="Calibri"/>
                <w:color w:val="000000"/>
                <w:lang w:val="en-US"/>
              </w:rPr>
              <w:t>5</w:t>
            </w:r>
          </w:p>
        </w:tc>
        <w:tc>
          <w:tcPr>
            <w:tcW w:w="1522" w:type="dxa"/>
            <w:noWrap/>
            <w:vAlign w:val="center"/>
            <w:hideMark/>
          </w:tcPr>
          <w:p w:rsidR="00D70A94" w:rsidRDefault="00D70A94" w:rsidP="00D70A94">
            <w:pPr>
              <w:jc w:val="cente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4,98</w:t>
            </w:r>
          </w:p>
        </w:tc>
        <w:tc>
          <w:tcPr>
            <w:tcW w:w="1451" w:type="dxa"/>
            <w:noWrap/>
            <w:vAlign w:val="center"/>
            <w:hideMark/>
          </w:tcPr>
          <w:p w:rsidR="00D70A94" w:rsidRDefault="00D70A94" w:rsidP="00D70A94">
            <w:pPr>
              <w:jc w:val="cente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3,401</w:t>
            </w:r>
          </w:p>
        </w:tc>
        <w:tc>
          <w:tcPr>
            <w:tcW w:w="1333" w:type="dxa"/>
            <w:noWrap/>
            <w:vAlign w:val="center"/>
            <w:hideMark/>
          </w:tcPr>
          <w:p w:rsidR="00D70A94" w:rsidRDefault="00D70A94" w:rsidP="00D70A94">
            <w:pPr>
              <w:jc w:val="cente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0,013</w:t>
            </w:r>
          </w:p>
        </w:tc>
        <w:tc>
          <w:tcPr>
            <w:tcW w:w="1333" w:type="dxa"/>
            <w:noWrap/>
            <w:vAlign w:val="center"/>
            <w:hideMark/>
          </w:tcPr>
          <w:p w:rsidR="00D70A94" w:rsidRDefault="00D70A94" w:rsidP="00D70A94">
            <w:pPr>
              <w:jc w:val="cente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0,016</w:t>
            </w:r>
          </w:p>
        </w:tc>
        <w:tc>
          <w:tcPr>
            <w:tcW w:w="1333" w:type="dxa"/>
            <w:noWrap/>
            <w:vAlign w:val="center"/>
            <w:hideMark/>
          </w:tcPr>
          <w:p w:rsidR="00D70A94" w:rsidRDefault="00D70A94" w:rsidP="00D70A94">
            <w:pPr>
              <w:jc w:val="cente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0,014</w:t>
            </w:r>
          </w:p>
        </w:tc>
      </w:tr>
    </w:tbl>
    <w:p w:rsidR="009F1494" w:rsidRDefault="009F1494" w:rsidP="009F1494">
      <w:pPr>
        <w:spacing w:before="120"/>
      </w:pPr>
      <w:r>
        <w:t xml:space="preserve">Iz tabele se može zaključiti da koncentracija </w:t>
      </w:r>
      <w:r w:rsidR="001745CD">
        <w:t>primjesa u čvrstoj fazi</w:t>
      </w:r>
      <w:r>
        <w:t xml:space="preserve"> neznatno raste</w:t>
      </w:r>
      <w:r w:rsidR="002E553A">
        <w:t>,</w:t>
      </w:r>
      <w:r w:rsidR="001745CD">
        <w:t xml:space="preserve"> s</w:t>
      </w:r>
      <w:r w:rsidR="002E553A">
        <w:t xml:space="preserve"> </w:t>
      </w:r>
      <w:r w:rsidR="001745CD">
        <w:t>tim što na temperaturi 55 stepeni ima najnižu vrijednost,</w:t>
      </w:r>
      <w:r>
        <w:t xml:space="preserve"> čime se potv</w:t>
      </w:r>
      <w:r w:rsidR="008D24EA">
        <w:t>rđuje zaključak analize slike 2</w:t>
      </w:r>
      <w:r>
        <w:t>.</w:t>
      </w:r>
      <w:r w:rsidR="006710BC">
        <w:t xml:space="preserve"> Takođe</w:t>
      </w:r>
      <w:r w:rsidR="002E553A">
        <w:t>,</w:t>
      </w:r>
      <w:r w:rsidR="006710BC">
        <w:t xml:space="preserve"> kao i u prethodnom slučaju</w:t>
      </w:r>
      <w:r w:rsidR="002E553A">
        <w:t>,</w:t>
      </w:r>
      <w:r w:rsidR="006710BC">
        <w:t xml:space="preserve"> srednja vrijednost veličine čestica raste, a specifična površina se smanjuje što</w:t>
      </w:r>
      <w:r w:rsidR="001745CD">
        <w:t xml:space="preserve"> između ostalog</w:t>
      </w:r>
      <w:r w:rsidR="002E553A">
        <w:t xml:space="preserve"> može da</w:t>
      </w:r>
      <w:r w:rsidR="006710BC">
        <w:t xml:space="preserve"> ukazuje na mehanizam adsorpije primjesa na površinu čvrste faze.</w:t>
      </w:r>
    </w:p>
    <w:p w:rsidR="006710BC" w:rsidRDefault="00851D25" w:rsidP="00E35715">
      <w:pPr>
        <w:pStyle w:val="Heading3"/>
      </w:pPr>
      <w:r>
        <w:lastRenderedPageBreak/>
        <w:t>Uticaj koncentracije čvrste faze (cjepivog odnosa) na proces čišćenja natrijuma aluminata</w:t>
      </w:r>
    </w:p>
    <w:p w:rsidR="00851D25" w:rsidRDefault="00851D25" w:rsidP="009F1494">
      <w:pPr>
        <w:spacing w:before="120"/>
      </w:pPr>
      <w:r>
        <w:t>Na kraju je praćen uticaj cjepivog odnosa odnosno koncentracije fino precipitiranog aluminijum hidroksida na proces čišćenja natrijum aluminata od navedenih nečistoća. U ovom slučaju cjepi</w:t>
      </w:r>
      <w:r w:rsidR="008D24EA">
        <w:t>vi odnos se mijenjao,</w:t>
      </w:r>
      <w:r>
        <w:t xml:space="preserve"> a vrije</w:t>
      </w:r>
      <w:r w:rsidR="001E5484">
        <w:t>me (120 min) i temperatura (50 ˚</w:t>
      </w:r>
      <w:r>
        <w:t>C) su o</w:t>
      </w:r>
      <w:r w:rsidR="00792993">
        <w:t>stali konstantni. Na slici 3.</w:t>
      </w:r>
      <w:r>
        <w:t xml:space="preserve"> prikazani su rezultati ogleda.</w:t>
      </w:r>
    </w:p>
    <w:p w:rsidR="00D07DD8" w:rsidRDefault="00C54B7B" w:rsidP="009F1494">
      <w:pPr>
        <w:spacing w:before="120"/>
      </w:pPr>
      <w:r>
        <w:rPr>
          <w:noProof/>
          <w:lang w:eastAsia="sr-Latn-RS"/>
        </w:rPr>
        <w:drawing>
          <wp:inline distT="0" distB="0" distL="0" distR="0">
            <wp:extent cx="5753100" cy="4295775"/>
            <wp:effectExtent l="0" t="0" r="0" b="952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D07DD8" w:rsidRDefault="00792993" w:rsidP="00D07DD8">
      <w:pPr>
        <w:spacing w:before="120"/>
        <w:jc w:val="center"/>
        <w:rPr>
          <w:i/>
        </w:rPr>
      </w:pPr>
      <w:r>
        <w:rPr>
          <w:i/>
        </w:rPr>
        <w:t>Slika</w:t>
      </w:r>
      <w:r w:rsidR="00D07DD8">
        <w:rPr>
          <w:i/>
        </w:rPr>
        <w:t xml:space="preserve"> 3. Promjena koncentracija Zn i Fe u zavisnosti od cjepivog odnosa</w:t>
      </w:r>
    </w:p>
    <w:p w:rsidR="00792993" w:rsidRPr="001E5484" w:rsidRDefault="00792993" w:rsidP="00792993">
      <w:pPr>
        <w:spacing w:before="120"/>
      </w:pPr>
      <w:r>
        <w:t>Na osnovu rezultata sa slike</w:t>
      </w:r>
      <w:r w:rsidR="001E5484">
        <w:t>,</w:t>
      </w:r>
      <w:r>
        <w:t xml:space="preserve"> može se primjetiti </w:t>
      </w:r>
      <w:r w:rsidR="001E5484">
        <w:t>da povećanje koncentracije takođ</w:t>
      </w:r>
      <w:r>
        <w:t>e ima specifičan uticaj na čišćenje aluminatnog rastvora od primjesa. Koncetracije Fe i Cu već pri cjepivom odnosu 1 g/l padaju n</w:t>
      </w:r>
      <w:r w:rsidR="001E5484">
        <w:t>a nulu, a</w:t>
      </w:r>
      <w:r>
        <w:t xml:space="preserve"> koncentracija</w:t>
      </w:r>
      <w:r w:rsidR="001E5484">
        <w:t xml:space="preserve"> Zn</w:t>
      </w:r>
      <w:r>
        <w:t xml:space="preserve"> pada na nulu pri koncentraciji 3 g/l. Dalje povećanje cjepivog odnosa dovodi do pove</w:t>
      </w:r>
      <w:r w:rsidR="001E5484">
        <w:t>ćanja koncentracija Fe i Zn</w:t>
      </w:r>
      <w:r>
        <w:t>, a takođe dovodi do većeg razlag</w:t>
      </w:r>
      <w:r w:rsidR="001E5484">
        <w:t>anja aluminatnog rastvora. Dakle</w:t>
      </w:r>
      <w:r>
        <w:t>, ukoliko se želi postići potpuni efekat čišćenja natrijum aluminata od primjesa Zn, Fe i Cu potrebna koncentracija je 3 g/l. Međutim i cjepi</w:t>
      </w:r>
      <w:r w:rsidR="001E5484">
        <w:t>vi odnos od 2 g/l takođe postiže</w:t>
      </w:r>
      <w:r>
        <w:t xml:space="preserve"> odlične rezultate, uzimajući u obzir manju potrošnju cjepiva i manje procenat razlaganja rastvora.</w:t>
      </w:r>
    </w:p>
    <w:p w:rsidR="00792993" w:rsidRDefault="00792993" w:rsidP="00D07DD8">
      <w:pPr>
        <w:spacing w:before="120"/>
        <w:rPr>
          <w:i/>
        </w:rPr>
      </w:pPr>
    </w:p>
    <w:p w:rsidR="00792993" w:rsidRDefault="00792993" w:rsidP="00D07DD8">
      <w:pPr>
        <w:spacing w:before="120"/>
        <w:rPr>
          <w:i/>
        </w:rPr>
      </w:pPr>
    </w:p>
    <w:p w:rsidR="00792993" w:rsidRDefault="00792993" w:rsidP="00D07DD8">
      <w:pPr>
        <w:spacing w:before="120"/>
        <w:rPr>
          <w:i/>
        </w:rPr>
      </w:pPr>
    </w:p>
    <w:p w:rsidR="00792993" w:rsidRDefault="00792993" w:rsidP="00D07DD8">
      <w:pPr>
        <w:spacing w:before="120"/>
        <w:rPr>
          <w:i/>
        </w:rPr>
      </w:pPr>
    </w:p>
    <w:p w:rsidR="00792993" w:rsidRDefault="00792993" w:rsidP="00D07DD8">
      <w:pPr>
        <w:spacing w:before="120"/>
        <w:rPr>
          <w:i/>
        </w:rPr>
      </w:pPr>
    </w:p>
    <w:p w:rsidR="00D07DD8" w:rsidRDefault="00792993" w:rsidP="00D07DD8">
      <w:pPr>
        <w:spacing w:before="120"/>
        <w:rPr>
          <w:i/>
        </w:rPr>
      </w:pPr>
      <w:r>
        <w:rPr>
          <w:i/>
        </w:rPr>
        <w:lastRenderedPageBreak/>
        <w:t>Tabela 4</w:t>
      </w:r>
      <w:r w:rsidR="00D07DD8">
        <w:rPr>
          <w:i/>
        </w:rPr>
        <w:t>. Rezultati analiza čvrste faze posle čišćenja</w:t>
      </w:r>
    </w:p>
    <w:tbl>
      <w:tblPr>
        <w:tblStyle w:val="GridTable4-Accent11"/>
        <w:tblW w:w="8953" w:type="dxa"/>
        <w:tblLook w:val="04A0" w:firstRow="1" w:lastRow="0" w:firstColumn="1" w:lastColumn="0" w:noHBand="0" w:noVBand="1"/>
      </w:tblPr>
      <w:tblGrid>
        <w:gridCol w:w="2038"/>
        <w:gridCol w:w="1510"/>
        <w:gridCol w:w="1439"/>
        <w:gridCol w:w="1322"/>
        <w:gridCol w:w="1322"/>
        <w:gridCol w:w="1322"/>
      </w:tblGrid>
      <w:tr w:rsidR="00C54B7B" w:rsidRPr="000C5D2D" w:rsidTr="00442A9A">
        <w:trPr>
          <w:cnfStyle w:val="100000000000" w:firstRow="1" w:lastRow="0" w:firstColumn="0" w:lastColumn="0" w:oddVBand="0" w:evenVBand="0" w:oddHBand="0" w:evenHBand="0" w:firstRowFirstColumn="0" w:firstRowLastColumn="0" w:lastRowFirstColumn="0" w:lastRowLastColumn="0"/>
          <w:trHeight w:val="445"/>
        </w:trPr>
        <w:tc>
          <w:tcPr>
            <w:cnfStyle w:val="001000000000" w:firstRow="0" w:lastRow="0" w:firstColumn="1" w:lastColumn="0" w:oddVBand="0" w:evenVBand="0" w:oddHBand="0" w:evenHBand="0" w:firstRowFirstColumn="0" w:firstRowLastColumn="0" w:lastRowFirstColumn="0" w:lastRowLastColumn="0"/>
            <w:tcW w:w="2038" w:type="dxa"/>
            <w:noWrap/>
            <w:vAlign w:val="center"/>
            <w:hideMark/>
          </w:tcPr>
          <w:p w:rsidR="00C54B7B" w:rsidRPr="000C5D2D" w:rsidRDefault="00C54B7B" w:rsidP="00C54B7B">
            <w:pPr>
              <w:jc w:val="center"/>
              <w:rPr>
                <w:rFonts w:ascii="Calibri" w:eastAsia="Times New Roman" w:hAnsi="Calibri" w:cs="Calibri"/>
                <w:i/>
                <w:iCs/>
                <w:color w:val="000000"/>
                <w:lang w:val="en-US"/>
              </w:rPr>
            </w:pPr>
            <w:r>
              <w:rPr>
                <w:rFonts w:ascii="Calibri" w:eastAsia="Times New Roman" w:hAnsi="Calibri" w:cs="Calibri"/>
                <w:color w:val="000000"/>
              </w:rPr>
              <w:t>Koncentracija cjepiva, [g/l</w:t>
            </w:r>
            <w:r w:rsidRPr="009F1494">
              <w:rPr>
                <w:rFonts w:ascii="Calibri" w:eastAsia="Times New Roman" w:hAnsi="Calibri" w:cs="Calibri"/>
                <w:color w:val="000000"/>
              </w:rPr>
              <w:t>]</w:t>
            </w:r>
          </w:p>
        </w:tc>
        <w:tc>
          <w:tcPr>
            <w:tcW w:w="1510" w:type="dxa"/>
            <w:noWrap/>
            <w:vAlign w:val="center"/>
            <w:hideMark/>
          </w:tcPr>
          <w:p w:rsidR="00C54B7B" w:rsidRPr="000C5D2D" w:rsidRDefault="00C54B7B" w:rsidP="00C54B7B">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val="en-US"/>
              </w:rPr>
            </w:pPr>
            <w:r>
              <w:rPr>
                <w:rFonts w:ascii="Calibri" w:eastAsia="Times New Roman" w:hAnsi="Calibri" w:cs="Calibri"/>
                <w:b w:val="0"/>
                <w:bCs w:val="0"/>
                <w:lang w:val="en-US"/>
              </w:rPr>
              <w:t>ds50%, [</w:t>
            </w:r>
            <w:proofErr w:type="spellStart"/>
            <w:r w:rsidRPr="000C5D2D">
              <w:rPr>
                <w:rFonts w:ascii="Calibri" w:eastAsia="Times New Roman" w:hAnsi="Calibri" w:cs="Calibri"/>
                <w:lang w:val="en-US"/>
              </w:rPr>
              <w:t>μm</w:t>
            </w:r>
            <w:proofErr w:type="spellEnd"/>
            <w:r>
              <w:rPr>
                <w:rFonts w:ascii="Calibri" w:eastAsia="Times New Roman" w:hAnsi="Calibri" w:cs="Calibri"/>
                <w:b w:val="0"/>
                <w:bCs w:val="0"/>
                <w:lang w:val="en-US"/>
              </w:rPr>
              <w:t>]</w:t>
            </w:r>
          </w:p>
        </w:tc>
        <w:tc>
          <w:tcPr>
            <w:tcW w:w="1439" w:type="dxa"/>
            <w:noWrap/>
            <w:vAlign w:val="center"/>
            <w:hideMark/>
          </w:tcPr>
          <w:p w:rsidR="00C54B7B" w:rsidRDefault="00C54B7B" w:rsidP="00C54B7B">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lang w:val="en-US"/>
              </w:rPr>
            </w:pPr>
            <w:r>
              <w:rPr>
                <w:rFonts w:ascii="Calibri" w:eastAsia="Times New Roman" w:hAnsi="Calibri" w:cs="Calibri"/>
                <w:b w:val="0"/>
                <w:bCs w:val="0"/>
                <w:lang w:val="en-US"/>
              </w:rPr>
              <w:t>BET,</w:t>
            </w:r>
          </w:p>
          <w:p w:rsidR="00C54B7B" w:rsidRPr="000C5D2D" w:rsidRDefault="00C54B7B" w:rsidP="00C54B7B">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val="en-US"/>
              </w:rPr>
            </w:pPr>
            <w:r>
              <w:rPr>
                <w:rFonts w:ascii="Calibri" w:eastAsia="Times New Roman" w:hAnsi="Calibri" w:cs="Calibri"/>
                <w:b w:val="0"/>
                <w:bCs w:val="0"/>
                <w:lang w:val="en-US"/>
              </w:rPr>
              <w:t>[</w:t>
            </w:r>
            <w:r w:rsidRPr="000C5D2D">
              <w:rPr>
                <w:rFonts w:ascii="Calibri" w:eastAsia="Times New Roman" w:hAnsi="Calibri" w:cs="Calibri"/>
                <w:lang w:val="en-US"/>
              </w:rPr>
              <w:t>m</w:t>
            </w:r>
            <w:r w:rsidRPr="000C5D2D">
              <w:rPr>
                <w:rFonts w:ascii="Calibri" w:eastAsia="Times New Roman" w:hAnsi="Calibri" w:cs="Calibri"/>
                <w:vertAlign w:val="superscript"/>
                <w:lang w:val="en-US"/>
              </w:rPr>
              <w:t>2</w:t>
            </w:r>
            <w:r w:rsidRPr="000C5D2D">
              <w:rPr>
                <w:rFonts w:ascii="Calibri" w:eastAsia="Times New Roman" w:hAnsi="Calibri" w:cs="Calibri"/>
                <w:lang w:val="en-US"/>
              </w:rPr>
              <w:t>/g</w:t>
            </w:r>
            <w:r>
              <w:rPr>
                <w:rFonts w:ascii="Calibri" w:eastAsia="Times New Roman" w:hAnsi="Calibri" w:cs="Calibri"/>
                <w:b w:val="0"/>
                <w:bCs w:val="0"/>
                <w:lang w:val="en-US"/>
              </w:rPr>
              <w:t>]</w:t>
            </w:r>
          </w:p>
        </w:tc>
        <w:tc>
          <w:tcPr>
            <w:tcW w:w="1322" w:type="dxa"/>
            <w:noWrap/>
            <w:vAlign w:val="center"/>
            <w:hideMark/>
          </w:tcPr>
          <w:p w:rsidR="00C54B7B" w:rsidRDefault="00C54B7B" w:rsidP="00C54B7B">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lang w:val="en-US"/>
              </w:rPr>
            </w:pPr>
            <w:r>
              <w:rPr>
                <w:rFonts w:ascii="Calibri" w:eastAsia="Times New Roman" w:hAnsi="Calibri" w:cs="Calibri"/>
                <w:b w:val="0"/>
                <w:bCs w:val="0"/>
                <w:lang w:val="en-US"/>
              </w:rPr>
              <w:t>Cu,</w:t>
            </w:r>
          </w:p>
          <w:p w:rsidR="00C54B7B" w:rsidRPr="000C5D2D" w:rsidRDefault="00C54B7B" w:rsidP="00C54B7B">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val="en-US"/>
              </w:rPr>
            </w:pPr>
            <w:r>
              <w:rPr>
                <w:rFonts w:ascii="Calibri" w:eastAsia="Times New Roman" w:hAnsi="Calibri" w:cs="Calibri"/>
                <w:b w:val="0"/>
                <w:bCs w:val="0"/>
                <w:lang w:val="en-US"/>
              </w:rPr>
              <w:t>[</w:t>
            </w:r>
            <w:r w:rsidRPr="000C5D2D">
              <w:rPr>
                <w:rFonts w:ascii="Calibri" w:eastAsia="Times New Roman" w:hAnsi="Calibri" w:cs="Calibri"/>
                <w:lang w:val="en-US"/>
              </w:rPr>
              <w:t>%</w:t>
            </w:r>
            <w:r>
              <w:rPr>
                <w:rFonts w:ascii="Calibri" w:eastAsia="Times New Roman" w:hAnsi="Calibri" w:cs="Calibri"/>
                <w:b w:val="0"/>
                <w:bCs w:val="0"/>
                <w:lang w:val="en-US"/>
              </w:rPr>
              <w:t>]</w:t>
            </w:r>
          </w:p>
        </w:tc>
        <w:tc>
          <w:tcPr>
            <w:tcW w:w="1322" w:type="dxa"/>
            <w:noWrap/>
            <w:vAlign w:val="center"/>
            <w:hideMark/>
          </w:tcPr>
          <w:p w:rsidR="00C54B7B" w:rsidRDefault="00C54B7B" w:rsidP="00C54B7B">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lang w:val="en-US"/>
              </w:rPr>
            </w:pPr>
            <w:r>
              <w:rPr>
                <w:rFonts w:ascii="Calibri" w:eastAsia="Times New Roman" w:hAnsi="Calibri" w:cs="Calibri"/>
                <w:b w:val="0"/>
                <w:bCs w:val="0"/>
                <w:lang w:val="en-US"/>
              </w:rPr>
              <w:t>Fe,</w:t>
            </w:r>
          </w:p>
          <w:p w:rsidR="00C54B7B" w:rsidRPr="000C5D2D" w:rsidRDefault="00C54B7B" w:rsidP="00C54B7B">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val="en-US"/>
              </w:rPr>
            </w:pPr>
            <w:r>
              <w:rPr>
                <w:rFonts w:ascii="Calibri" w:eastAsia="Times New Roman" w:hAnsi="Calibri" w:cs="Calibri"/>
                <w:b w:val="0"/>
                <w:bCs w:val="0"/>
                <w:lang w:val="en-US"/>
              </w:rPr>
              <w:t>[</w:t>
            </w:r>
            <w:r w:rsidRPr="000C5D2D">
              <w:rPr>
                <w:rFonts w:ascii="Calibri" w:eastAsia="Times New Roman" w:hAnsi="Calibri" w:cs="Calibri"/>
                <w:lang w:val="en-US"/>
              </w:rPr>
              <w:t>%</w:t>
            </w:r>
            <w:r>
              <w:rPr>
                <w:rFonts w:ascii="Calibri" w:eastAsia="Times New Roman" w:hAnsi="Calibri" w:cs="Calibri"/>
                <w:b w:val="0"/>
                <w:bCs w:val="0"/>
                <w:lang w:val="en-US"/>
              </w:rPr>
              <w:t>]</w:t>
            </w:r>
          </w:p>
        </w:tc>
        <w:tc>
          <w:tcPr>
            <w:tcW w:w="1322" w:type="dxa"/>
            <w:noWrap/>
            <w:vAlign w:val="center"/>
            <w:hideMark/>
          </w:tcPr>
          <w:p w:rsidR="00C54B7B" w:rsidRDefault="00C54B7B" w:rsidP="00C54B7B">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lang w:val="en-US"/>
              </w:rPr>
            </w:pPr>
            <w:r>
              <w:rPr>
                <w:rFonts w:ascii="Calibri" w:eastAsia="Times New Roman" w:hAnsi="Calibri" w:cs="Calibri"/>
                <w:b w:val="0"/>
                <w:bCs w:val="0"/>
                <w:lang w:val="en-US"/>
              </w:rPr>
              <w:t>Zn,</w:t>
            </w:r>
          </w:p>
          <w:p w:rsidR="00C54B7B" w:rsidRPr="000C5D2D" w:rsidRDefault="00C54B7B" w:rsidP="00C54B7B">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val="en-US"/>
              </w:rPr>
            </w:pPr>
            <w:r>
              <w:rPr>
                <w:rFonts w:ascii="Calibri" w:eastAsia="Times New Roman" w:hAnsi="Calibri" w:cs="Calibri"/>
                <w:b w:val="0"/>
                <w:bCs w:val="0"/>
                <w:lang w:val="en-US"/>
              </w:rPr>
              <w:t>[</w:t>
            </w:r>
            <w:r w:rsidRPr="000C5D2D">
              <w:rPr>
                <w:rFonts w:ascii="Calibri" w:eastAsia="Times New Roman" w:hAnsi="Calibri" w:cs="Calibri"/>
                <w:lang w:val="en-US"/>
              </w:rPr>
              <w:t>%</w:t>
            </w:r>
            <w:r>
              <w:rPr>
                <w:rFonts w:ascii="Calibri" w:eastAsia="Times New Roman" w:hAnsi="Calibri" w:cs="Calibri"/>
                <w:b w:val="0"/>
                <w:bCs w:val="0"/>
                <w:lang w:val="en-US"/>
              </w:rPr>
              <w:t>]</w:t>
            </w:r>
          </w:p>
        </w:tc>
      </w:tr>
      <w:tr w:rsidR="00C54B7B" w:rsidRPr="000C5D2D" w:rsidTr="00442A9A">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2038" w:type="dxa"/>
            <w:noWrap/>
            <w:vAlign w:val="center"/>
            <w:hideMark/>
          </w:tcPr>
          <w:p w:rsidR="00C54B7B" w:rsidRPr="000C5D2D" w:rsidRDefault="00C54B7B" w:rsidP="00C54B7B">
            <w:pPr>
              <w:jc w:val="center"/>
              <w:rPr>
                <w:rFonts w:ascii="Calibri" w:eastAsia="Times New Roman" w:hAnsi="Calibri" w:cs="Calibri"/>
                <w:color w:val="000000"/>
                <w:lang w:val="en-US"/>
              </w:rPr>
            </w:pPr>
            <w:r w:rsidRPr="000C5D2D">
              <w:rPr>
                <w:rFonts w:ascii="Calibri" w:eastAsia="Times New Roman" w:hAnsi="Calibri" w:cs="Calibri"/>
                <w:color w:val="000000"/>
                <w:lang w:val="en-US"/>
              </w:rPr>
              <w:t xml:space="preserve">ne </w:t>
            </w:r>
            <w:proofErr w:type="spellStart"/>
            <w:r w:rsidRPr="000C5D2D">
              <w:rPr>
                <w:rFonts w:ascii="Calibri" w:eastAsia="Times New Roman" w:hAnsi="Calibri" w:cs="Calibri"/>
                <w:color w:val="000000"/>
                <w:lang w:val="en-US"/>
              </w:rPr>
              <w:t>tretiran</w:t>
            </w:r>
            <w:proofErr w:type="spellEnd"/>
          </w:p>
        </w:tc>
        <w:tc>
          <w:tcPr>
            <w:tcW w:w="1510" w:type="dxa"/>
            <w:noWrap/>
            <w:vAlign w:val="center"/>
            <w:hideMark/>
          </w:tcPr>
          <w:p w:rsidR="00C54B7B" w:rsidRDefault="00C54B7B" w:rsidP="00C54B7B">
            <w:pPr>
              <w:jc w:val="cente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0,64</w:t>
            </w:r>
          </w:p>
        </w:tc>
        <w:tc>
          <w:tcPr>
            <w:tcW w:w="1439" w:type="dxa"/>
            <w:noWrap/>
            <w:vAlign w:val="center"/>
            <w:hideMark/>
          </w:tcPr>
          <w:p w:rsidR="00C54B7B" w:rsidRDefault="00C54B7B" w:rsidP="00C54B7B">
            <w:pPr>
              <w:jc w:val="cente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18,8626</w:t>
            </w:r>
          </w:p>
        </w:tc>
        <w:tc>
          <w:tcPr>
            <w:tcW w:w="1322" w:type="dxa"/>
            <w:noWrap/>
            <w:vAlign w:val="center"/>
            <w:hideMark/>
          </w:tcPr>
          <w:p w:rsidR="00C54B7B" w:rsidRDefault="00C54B7B" w:rsidP="00C54B7B">
            <w:pPr>
              <w:jc w:val="cente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0,003</w:t>
            </w:r>
          </w:p>
        </w:tc>
        <w:tc>
          <w:tcPr>
            <w:tcW w:w="1322" w:type="dxa"/>
            <w:noWrap/>
            <w:vAlign w:val="center"/>
            <w:hideMark/>
          </w:tcPr>
          <w:p w:rsidR="00C54B7B" w:rsidRDefault="00C54B7B" w:rsidP="00C54B7B">
            <w:pPr>
              <w:jc w:val="cente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0,009</w:t>
            </w:r>
          </w:p>
        </w:tc>
        <w:tc>
          <w:tcPr>
            <w:tcW w:w="1322" w:type="dxa"/>
            <w:noWrap/>
            <w:vAlign w:val="center"/>
            <w:hideMark/>
          </w:tcPr>
          <w:p w:rsidR="00C54B7B" w:rsidRDefault="00C54B7B" w:rsidP="00C54B7B">
            <w:pPr>
              <w:jc w:val="cente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0,008</w:t>
            </w:r>
          </w:p>
        </w:tc>
      </w:tr>
      <w:tr w:rsidR="00C54B7B" w:rsidRPr="000C5D2D" w:rsidTr="00442A9A">
        <w:trPr>
          <w:trHeight w:val="356"/>
        </w:trPr>
        <w:tc>
          <w:tcPr>
            <w:cnfStyle w:val="001000000000" w:firstRow="0" w:lastRow="0" w:firstColumn="1" w:lastColumn="0" w:oddVBand="0" w:evenVBand="0" w:oddHBand="0" w:evenHBand="0" w:firstRowFirstColumn="0" w:firstRowLastColumn="0" w:lastRowFirstColumn="0" w:lastRowLastColumn="0"/>
            <w:tcW w:w="2038" w:type="dxa"/>
            <w:noWrap/>
            <w:vAlign w:val="center"/>
            <w:hideMark/>
          </w:tcPr>
          <w:p w:rsidR="00C54B7B" w:rsidRPr="000C5D2D" w:rsidRDefault="00C54B7B" w:rsidP="00C54B7B">
            <w:pPr>
              <w:jc w:val="center"/>
              <w:rPr>
                <w:rFonts w:ascii="Calibri" w:eastAsia="Times New Roman" w:hAnsi="Calibri" w:cs="Calibri"/>
                <w:color w:val="000000"/>
                <w:lang w:val="en-US"/>
              </w:rPr>
            </w:pPr>
            <w:r>
              <w:rPr>
                <w:rFonts w:ascii="Calibri" w:eastAsia="Times New Roman" w:hAnsi="Calibri" w:cs="Calibri"/>
                <w:color w:val="000000"/>
                <w:lang w:val="en-US"/>
              </w:rPr>
              <w:t>1</w:t>
            </w:r>
          </w:p>
        </w:tc>
        <w:tc>
          <w:tcPr>
            <w:tcW w:w="1510" w:type="dxa"/>
            <w:noWrap/>
            <w:vAlign w:val="center"/>
            <w:hideMark/>
          </w:tcPr>
          <w:p w:rsidR="00C54B7B" w:rsidRDefault="00C54B7B" w:rsidP="00C54B7B">
            <w:pPr>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6,60</w:t>
            </w:r>
          </w:p>
        </w:tc>
        <w:tc>
          <w:tcPr>
            <w:tcW w:w="1439" w:type="dxa"/>
            <w:noWrap/>
            <w:vAlign w:val="center"/>
            <w:hideMark/>
          </w:tcPr>
          <w:p w:rsidR="00C54B7B" w:rsidRDefault="00C54B7B" w:rsidP="00C54B7B">
            <w:pPr>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3,490</w:t>
            </w:r>
          </w:p>
        </w:tc>
        <w:tc>
          <w:tcPr>
            <w:tcW w:w="1322" w:type="dxa"/>
            <w:noWrap/>
            <w:vAlign w:val="center"/>
            <w:hideMark/>
          </w:tcPr>
          <w:p w:rsidR="00C54B7B" w:rsidRDefault="00C54B7B" w:rsidP="00C54B7B">
            <w:pPr>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0,074</w:t>
            </w:r>
          </w:p>
        </w:tc>
        <w:tc>
          <w:tcPr>
            <w:tcW w:w="1322" w:type="dxa"/>
            <w:noWrap/>
            <w:vAlign w:val="center"/>
            <w:hideMark/>
          </w:tcPr>
          <w:p w:rsidR="00C54B7B" w:rsidRDefault="00C54B7B" w:rsidP="00C54B7B">
            <w:pPr>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0,096</w:t>
            </w:r>
          </w:p>
        </w:tc>
        <w:tc>
          <w:tcPr>
            <w:tcW w:w="1322" w:type="dxa"/>
            <w:noWrap/>
            <w:vAlign w:val="center"/>
            <w:hideMark/>
          </w:tcPr>
          <w:p w:rsidR="00C54B7B" w:rsidRDefault="00C54B7B" w:rsidP="00C54B7B">
            <w:pPr>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0,040</w:t>
            </w:r>
          </w:p>
        </w:tc>
      </w:tr>
      <w:tr w:rsidR="00C54B7B" w:rsidRPr="000C5D2D" w:rsidTr="00442A9A">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2038" w:type="dxa"/>
            <w:noWrap/>
            <w:vAlign w:val="center"/>
            <w:hideMark/>
          </w:tcPr>
          <w:p w:rsidR="00C54B7B" w:rsidRPr="000C5D2D" w:rsidRDefault="00C54B7B" w:rsidP="00C54B7B">
            <w:pPr>
              <w:jc w:val="center"/>
              <w:rPr>
                <w:rFonts w:ascii="Calibri" w:eastAsia="Times New Roman" w:hAnsi="Calibri" w:cs="Calibri"/>
                <w:color w:val="000000"/>
                <w:lang w:val="en-US"/>
              </w:rPr>
            </w:pPr>
            <w:r>
              <w:rPr>
                <w:rFonts w:ascii="Calibri" w:eastAsia="Times New Roman" w:hAnsi="Calibri" w:cs="Calibri"/>
                <w:color w:val="000000"/>
                <w:lang w:val="en-US"/>
              </w:rPr>
              <w:t>2</w:t>
            </w:r>
          </w:p>
        </w:tc>
        <w:tc>
          <w:tcPr>
            <w:tcW w:w="1510" w:type="dxa"/>
            <w:noWrap/>
            <w:vAlign w:val="center"/>
            <w:hideMark/>
          </w:tcPr>
          <w:p w:rsidR="00C54B7B" w:rsidRDefault="00C54B7B" w:rsidP="00C54B7B">
            <w:pPr>
              <w:jc w:val="cente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9,32</w:t>
            </w:r>
          </w:p>
        </w:tc>
        <w:tc>
          <w:tcPr>
            <w:tcW w:w="1439" w:type="dxa"/>
            <w:noWrap/>
            <w:vAlign w:val="center"/>
            <w:hideMark/>
          </w:tcPr>
          <w:p w:rsidR="00C54B7B" w:rsidRDefault="00C54B7B" w:rsidP="00C54B7B">
            <w:pPr>
              <w:jc w:val="cente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3,029</w:t>
            </w:r>
          </w:p>
        </w:tc>
        <w:tc>
          <w:tcPr>
            <w:tcW w:w="1322" w:type="dxa"/>
            <w:noWrap/>
            <w:vAlign w:val="center"/>
            <w:hideMark/>
          </w:tcPr>
          <w:p w:rsidR="00C54B7B" w:rsidRDefault="00C54B7B" w:rsidP="00C54B7B">
            <w:pPr>
              <w:jc w:val="cente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0,017</w:t>
            </w:r>
          </w:p>
        </w:tc>
        <w:tc>
          <w:tcPr>
            <w:tcW w:w="1322" w:type="dxa"/>
            <w:noWrap/>
            <w:vAlign w:val="center"/>
            <w:hideMark/>
          </w:tcPr>
          <w:p w:rsidR="00C54B7B" w:rsidRDefault="00C54B7B" w:rsidP="00C54B7B">
            <w:pPr>
              <w:jc w:val="cente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0,021</w:t>
            </w:r>
          </w:p>
        </w:tc>
        <w:tc>
          <w:tcPr>
            <w:tcW w:w="1322" w:type="dxa"/>
            <w:noWrap/>
            <w:vAlign w:val="center"/>
            <w:hideMark/>
          </w:tcPr>
          <w:p w:rsidR="00C54B7B" w:rsidRDefault="00C54B7B" w:rsidP="00C54B7B">
            <w:pPr>
              <w:jc w:val="cente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0,025</w:t>
            </w:r>
          </w:p>
        </w:tc>
      </w:tr>
      <w:tr w:rsidR="00C54B7B" w:rsidRPr="000C5D2D" w:rsidTr="00442A9A">
        <w:trPr>
          <w:trHeight w:val="356"/>
        </w:trPr>
        <w:tc>
          <w:tcPr>
            <w:cnfStyle w:val="001000000000" w:firstRow="0" w:lastRow="0" w:firstColumn="1" w:lastColumn="0" w:oddVBand="0" w:evenVBand="0" w:oddHBand="0" w:evenHBand="0" w:firstRowFirstColumn="0" w:firstRowLastColumn="0" w:lastRowFirstColumn="0" w:lastRowLastColumn="0"/>
            <w:tcW w:w="2038" w:type="dxa"/>
            <w:noWrap/>
            <w:vAlign w:val="center"/>
            <w:hideMark/>
          </w:tcPr>
          <w:p w:rsidR="00C54B7B" w:rsidRPr="000C5D2D" w:rsidRDefault="00C54B7B" w:rsidP="00C54B7B">
            <w:pPr>
              <w:jc w:val="center"/>
              <w:rPr>
                <w:rFonts w:ascii="Calibri" w:eastAsia="Times New Roman" w:hAnsi="Calibri" w:cs="Calibri"/>
                <w:color w:val="000000"/>
                <w:lang w:val="en-US"/>
              </w:rPr>
            </w:pPr>
            <w:r>
              <w:rPr>
                <w:rFonts w:ascii="Calibri" w:eastAsia="Times New Roman" w:hAnsi="Calibri" w:cs="Calibri"/>
                <w:color w:val="000000"/>
                <w:lang w:val="en-US"/>
              </w:rPr>
              <w:t>3</w:t>
            </w:r>
          </w:p>
        </w:tc>
        <w:tc>
          <w:tcPr>
            <w:tcW w:w="1510" w:type="dxa"/>
            <w:noWrap/>
            <w:vAlign w:val="center"/>
            <w:hideMark/>
          </w:tcPr>
          <w:p w:rsidR="00C54B7B" w:rsidRDefault="00C54B7B" w:rsidP="00C54B7B">
            <w:pPr>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6,02</w:t>
            </w:r>
          </w:p>
        </w:tc>
        <w:tc>
          <w:tcPr>
            <w:tcW w:w="1439" w:type="dxa"/>
            <w:noWrap/>
            <w:vAlign w:val="center"/>
            <w:hideMark/>
          </w:tcPr>
          <w:p w:rsidR="00C54B7B" w:rsidRDefault="00C54B7B" w:rsidP="00C54B7B">
            <w:pPr>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4,195</w:t>
            </w:r>
          </w:p>
        </w:tc>
        <w:tc>
          <w:tcPr>
            <w:tcW w:w="1322" w:type="dxa"/>
            <w:noWrap/>
            <w:vAlign w:val="center"/>
            <w:hideMark/>
          </w:tcPr>
          <w:p w:rsidR="00C54B7B" w:rsidRDefault="00C54B7B" w:rsidP="00C54B7B">
            <w:pPr>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0,013</w:t>
            </w:r>
          </w:p>
        </w:tc>
        <w:tc>
          <w:tcPr>
            <w:tcW w:w="1322" w:type="dxa"/>
            <w:noWrap/>
            <w:vAlign w:val="center"/>
            <w:hideMark/>
          </w:tcPr>
          <w:p w:rsidR="00C54B7B" w:rsidRDefault="00C54B7B" w:rsidP="00C54B7B">
            <w:pPr>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0,016</w:t>
            </w:r>
          </w:p>
        </w:tc>
        <w:tc>
          <w:tcPr>
            <w:tcW w:w="1322" w:type="dxa"/>
            <w:noWrap/>
            <w:vAlign w:val="center"/>
            <w:hideMark/>
          </w:tcPr>
          <w:p w:rsidR="00C54B7B" w:rsidRDefault="00C54B7B" w:rsidP="00C54B7B">
            <w:pPr>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0,019</w:t>
            </w:r>
          </w:p>
        </w:tc>
      </w:tr>
      <w:tr w:rsidR="00C54B7B" w:rsidRPr="000C5D2D" w:rsidTr="00442A9A">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2038" w:type="dxa"/>
            <w:noWrap/>
            <w:vAlign w:val="center"/>
            <w:hideMark/>
          </w:tcPr>
          <w:p w:rsidR="00C54B7B" w:rsidRPr="000C5D2D" w:rsidRDefault="00C54B7B" w:rsidP="00C54B7B">
            <w:pPr>
              <w:jc w:val="center"/>
              <w:rPr>
                <w:rFonts w:ascii="Calibri" w:eastAsia="Times New Roman" w:hAnsi="Calibri" w:cs="Calibri"/>
                <w:color w:val="000000"/>
                <w:lang w:val="en-US"/>
              </w:rPr>
            </w:pPr>
            <w:r>
              <w:rPr>
                <w:rFonts w:ascii="Calibri" w:eastAsia="Times New Roman" w:hAnsi="Calibri" w:cs="Calibri"/>
                <w:color w:val="000000"/>
                <w:lang w:val="en-US"/>
              </w:rPr>
              <w:t>4</w:t>
            </w:r>
          </w:p>
        </w:tc>
        <w:tc>
          <w:tcPr>
            <w:tcW w:w="1510" w:type="dxa"/>
            <w:noWrap/>
            <w:vAlign w:val="center"/>
            <w:hideMark/>
          </w:tcPr>
          <w:p w:rsidR="00C54B7B" w:rsidRDefault="00C54B7B" w:rsidP="00C54B7B">
            <w:pPr>
              <w:jc w:val="cente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5,34</w:t>
            </w:r>
          </w:p>
        </w:tc>
        <w:tc>
          <w:tcPr>
            <w:tcW w:w="1439" w:type="dxa"/>
            <w:noWrap/>
            <w:vAlign w:val="center"/>
            <w:hideMark/>
          </w:tcPr>
          <w:p w:rsidR="00C54B7B" w:rsidRDefault="00C54B7B" w:rsidP="00C54B7B">
            <w:pPr>
              <w:jc w:val="cente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4,679</w:t>
            </w:r>
          </w:p>
        </w:tc>
        <w:tc>
          <w:tcPr>
            <w:tcW w:w="1322" w:type="dxa"/>
            <w:noWrap/>
            <w:vAlign w:val="center"/>
            <w:hideMark/>
          </w:tcPr>
          <w:p w:rsidR="00C54B7B" w:rsidRDefault="00C54B7B" w:rsidP="00C54B7B">
            <w:pPr>
              <w:jc w:val="cente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0,013</w:t>
            </w:r>
          </w:p>
        </w:tc>
        <w:tc>
          <w:tcPr>
            <w:tcW w:w="1322" w:type="dxa"/>
            <w:noWrap/>
            <w:vAlign w:val="center"/>
            <w:hideMark/>
          </w:tcPr>
          <w:p w:rsidR="00C54B7B" w:rsidRDefault="00C54B7B" w:rsidP="00C54B7B">
            <w:pPr>
              <w:jc w:val="cente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0,016</w:t>
            </w:r>
          </w:p>
        </w:tc>
        <w:tc>
          <w:tcPr>
            <w:tcW w:w="1322" w:type="dxa"/>
            <w:noWrap/>
            <w:vAlign w:val="center"/>
            <w:hideMark/>
          </w:tcPr>
          <w:p w:rsidR="00C54B7B" w:rsidRDefault="00C54B7B" w:rsidP="00C54B7B">
            <w:pPr>
              <w:jc w:val="cente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0,019</w:t>
            </w:r>
          </w:p>
        </w:tc>
      </w:tr>
      <w:tr w:rsidR="00C54B7B" w:rsidRPr="000C5D2D" w:rsidTr="00442A9A">
        <w:trPr>
          <w:trHeight w:val="356"/>
        </w:trPr>
        <w:tc>
          <w:tcPr>
            <w:cnfStyle w:val="001000000000" w:firstRow="0" w:lastRow="0" w:firstColumn="1" w:lastColumn="0" w:oddVBand="0" w:evenVBand="0" w:oddHBand="0" w:evenHBand="0" w:firstRowFirstColumn="0" w:firstRowLastColumn="0" w:lastRowFirstColumn="0" w:lastRowLastColumn="0"/>
            <w:tcW w:w="2038" w:type="dxa"/>
            <w:noWrap/>
            <w:vAlign w:val="center"/>
          </w:tcPr>
          <w:p w:rsidR="00C54B7B" w:rsidRDefault="00C54B7B" w:rsidP="00C54B7B">
            <w:pPr>
              <w:jc w:val="center"/>
              <w:rPr>
                <w:rFonts w:ascii="Calibri" w:eastAsia="Times New Roman" w:hAnsi="Calibri" w:cs="Calibri"/>
                <w:color w:val="000000"/>
                <w:lang w:val="en-US"/>
              </w:rPr>
            </w:pPr>
            <w:r>
              <w:rPr>
                <w:rFonts w:ascii="Calibri" w:eastAsia="Times New Roman" w:hAnsi="Calibri" w:cs="Calibri"/>
                <w:color w:val="000000"/>
                <w:lang w:val="en-US"/>
              </w:rPr>
              <w:t>6</w:t>
            </w:r>
          </w:p>
        </w:tc>
        <w:tc>
          <w:tcPr>
            <w:tcW w:w="1510" w:type="dxa"/>
            <w:noWrap/>
            <w:vAlign w:val="center"/>
          </w:tcPr>
          <w:p w:rsidR="00C54B7B" w:rsidRDefault="00C54B7B" w:rsidP="00C54B7B">
            <w:pPr>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3,24</w:t>
            </w:r>
          </w:p>
        </w:tc>
        <w:tc>
          <w:tcPr>
            <w:tcW w:w="1439" w:type="dxa"/>
            <w:noWrap/>
            <w:vAlign w:val="center"/>
          </w:tcPr>
          <w:p w:rsidR="00C54B7B" w:rsidRDefault="00C54B7B" w:rsidP="00C54B7B">
            <w:pPr>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5,849</w:t>
            </w:r>
          </w:p>
        </w:tc>
        <w:tc>
          <w:tcPr>
            <w:tcW w:w="1322" w:type="dxa"/>
            <w:noWrap/>
            <w:vAlign w:val="center"/>
          </w:tcPr>
          <w:p w:rsidR="00C54B7B" w:rsidRDefault="00C54B7B" w:rsidP="00C54B7B">
            <w:pPr>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0,009</w:t>
            </w:r>
          </w:p>
        </w:tc>
        <w:tc>
          <w:tcPr>
            <w:tcW w:w="1322" w:type="dxa"/>
            <w:noWrap/>
            <w:vAlign w:val="center"/>
          </w:tcPr>
          <w:p w:rsidR="00C54B7B" w:rsidRDefault="00C54B7B" w:rsidP="00C54B7B">
            <w:pPr>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0,012</w:t>
            </w:r>
          </w:p>
        </w:tc>
        <w:tc>
          <w:tcPr>
            <w:tcW w:w="1322" w:type="dxa"/>
            <w:noWrap/>
            <w:vAlign w:val="center"/>
          </w:tcPr>
          <w:p w:rsidR="00C54B7B" w:rsidRDefault="00C54B7B" w:rsidP="00C54B7B">
            <w:pPr>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0,014</w:t>
            </w:r>
          </w:p>
        </w:tc>
      </w:tr>
    </w:tbl>
    <w:p w:rsidR="00D07DD8" w:rsidRDefault="00CC0305" w:rsidP="00D07DD8">
      <w:pPr>
        <w:spacing w:before="120"/>
      </w:pPr>
      <w:r>
        <w:t xml:space="preserve">Koncentracije gvožđa, </w:t>
      </w:r>
      <w:r w:rsidR="00D07DD8">
        <w:t>cink</w:t>
      </w:r>
      <w:r>
        <w:t>a i bakra opadaju sa povećanjem koncentracije cjepiva, što se može objasniti činjenicom da se količina čvrste supstance povećava, a njenim povećanjem adsorbovane primjese se raspoređuju po većoj zapremini.</w:t>
      </w:r>
      <w:r w:rsidR="00D07DD8">
        <w:t xml:space="preserve"> </w:t>
      </w:r>
      <w:r>
        <w:t>Primjećuje se</w:t>
      </w:r>
      <w:r w:rsidR="00D07DD8">
        <w:t xml:space="preserve"> da povećanje cjepivog odnosa smanjuje srednji prečnik čestica u odnosu na vri</w:t>
      </w:r>
      <w:r w:rsidR="001E5484">
        <w:t>jednost pri koncentraciji 2g/l.</w:t>
      </w:r>
      <w:r w:rsidR="00D07DD8">
        <w:t xml:space="preserve"> Što se tiče specifične površine, povećanjem cje</w:t>
      </w:r>
      <w:r w:rsidR="001E5484">
        <w:t>pivog odnosa ista</w:t>
      </w:r>
      <w:r w:rsidR="00D07DD8">
        <w:t xml:space="preserve"> se povećava u odnosu na onu pri </w:t>
      </w:r>
      <w:r w:rsidR="00073F62">
        <w:t>koncentraciji</w:t>
      </w:r>
      <w:r w:rsidR="001E5484">
        <w:t xml:space="preserve"> </w:t>
      </w:r>
      <w:r w:rsidR="00B62EDC">
        <w:t>2g/l.</w:t>
      </w:r>
      <w:r w:rsidR="00F152A0">
        <w:t xml:space="preserve"> </w:t>
      </w:r>
    </w:p>
    <w:p w:rsidR="00792993" w:rsidRDefault="00792993" w:rsidP="00D07DD8">
      <w:pPr>
        <w:spacing w:before="120"/>
      </w:pPr>
    </w:p>
    <w:p w:rsidR="00792993" w:rsidRDefault="00792993" w:rsidP="00D07DD8">
      <w:pPr>
        <w:spacing w:before="120"/>
      </w:pPr>
    </w:p>
    <w:p w:rsidR="00792993" w:rsidRDefault="00792993" w:rsidP="00D07DD8">
      <w:pPr>
        <w:spacing w:before="120"/>
      </w:pPr>
    </w:p>
    <w:p w:rsidR="00792993" w:rsidRDefault="00792993" w:rsidP="00D07DD8">
      <w:pPr>
        <w:spacing w:before="120"/>
      </w:pPr>
    </w:p>
    <w:p w:rsidR="00792993" w:rsidRDefault="00792993" w:rsidP="00D07DD8">
      <w:pPr>
        <w:spacing w:before="120"/>
      </w:pPr>
    </w:p>
    <w:p w:rsidR="00792993" w:rsidRDefault="00792993" w:rsidP="00D07DD8">
      <w:pPr>
        <w:spacing w:before="120"/>
      </w:pPr>
    </w:p>
    <w:p w:rsidR="00792993" w:rsidRDefault="00792993" w:rsidP="00D07DD8">
      <w:pPr>
        <w:spacing w:before="120"/>
      </w:pPr>
    </w:p>
    <w:p w:rsidR="00792993" w:rsidRDefault="00792993" w:rsidP="00D07DD8">
      <w:pPr>
        <w:spacing w:before="120"/>
      </w:pPr>
    </w:p>
    <w:p w:rsidR="00792993" w:rsidRDefault="00792993" w:rsidP="00D07DD8">
      <w:pPr>
        <w:spacing w:before="120"/>
      </w:pPr>
    </w:p>
    <w:p w:rsidR="00792993" w:rsidRDefault="00792993" w:rsidP="00D07DD8">
      <w:pPr>
        <w:spacing w:before="120"/>
      </w:pPr>
    </w:p>
    <w:p w:rsidR="00792993" w:rsidRDefault="00792993" w:rsidP="00D07DD8">
      <w:pPr>
        <w:spacing w:before="120"/>
      </w:pPr>
    </w:p>
    <w:p w:rsidR="00792993" w:rsidRDefault="00792993" w:rsidP="00D07DD8">
      <w:pPr>
        <w:spacing w:before="120"/>
      </w:pPr>
    </w:p>
    <w:p w:rsidR="00792993" w:rsidRDefault="00792993" w:rsidP="00D07DD8">
      <w:pPr>
        <w:spacing w:before="120"/>
      </w:pPr>
    </w:p>
    <w:p w:rsidR="00792993" w:rsidRDefault="00792993" w:rsidP="00D07DD8">
      <w:pPr>
        <w:spacing w:before="120"/>
      </w:pPr>
    </w:p>
    <w:p w:rsidR="00792993" w:rsidRDefault="00792993" w:rsidP="00D07DD8">
      <w:pPr>
        <w:spacing w:before="120"/>
      </w:pPr>
    </w:p>
    <w:p w:rsidR="00792993" w:rsidRDefault="00792993" w:rsidP="00D07DD8">
      <w:pPr>
        <w:spacing w:before="120"/>
      </w:pPr>
    </w:p>
    <w:p w:rsidR="00792993" w:rsidRDefault="00792993" w:rsidP="00D07DD8">
      <w:pPr>
        <w:spacing w:before="120"/>
      </w:pPr>
    </w:p>
    <w:p w:rsidR="00792993" w:rsidRDefault="00792993" w:rsidP="00D07DD8">
      <w:pPr>
        <w:spacing w:before="120"/>
      </w:pPr>
    </w:p>
    <w:p w:rsidR="00792993" w:rsidRPr="00D07DD8" w:rsidRDefault="00792993" w:rsidP="00D07DD8">
      <w:pPr>
        <w:spacing w:before="120"/>
      </w:pPr>
    </w:p>
    <w:p w:rsidR="00D07DD8" w:rsidRDefault="00390E85" w:rsidP="00E35715">
      <w:pPr>
        <w:pStyle w:val="Heading1"/>
      </w:pPr>
      <w:r>
        <w:lastRenderedPageBreak/>
        <w:t>Zaključak</w:t>
      </w:r>
    </w:p>
    <w:p w:rsidR="00390E85" w:rsidRDefault="00390E85" w:rsidP="009F1494">
      <w:pPr>
        <w:spacing w:before="120"/>
      </w:pPr>
      <w:r>
        <w:t>Pregledom stručne literature zaključeno je da dosadašnji načini prečišćavanja natrijum aluminata nisu dovoljno efikasni ili su previše komplikovani i skupi. Kao što znam</w:t>
      </w:r>
      <w:r w:rsidR="00FE5A18">
        <w:t>o,</w:t>
      </w:r>
      <w:r>
        <w:t xml:space="preserve"> natrijum aluminat nastaje </w:t>
      </w:r>
      <w:r w:rsidR="00D76481">
        <w:t>luženjem boksita pri visokim temperaturama i pritiscima, u zavisnosti od tipa boksita. Pri tak</w:t>
      </w:r>
      <w:r w:rsidR="00FE5A18">
        <w:t>vim uslovima, a zbog heterogenos</w:t>
      </w:r>
      <w:r w:rsidR="00D76481">
        <w:t>ti boksita dolazi do razlaganja</w:t>
      </w:r>
      <w:r w:rsidR="00FE5A18">
        <w:t>,</w:t>
      </w:r>
      <w:r w:rsidR="00D76481">
        <w:t xml:space="preserve"> ne </w:t>
      </w:r>
      <w:r w:rsidR="00E83FF9">
        <w:t>samo aluminijuma</w:t>
      </w:r>
      <w:r w:rsidR="00FE5A18">
        <w:t>,</w:t>
      </w:r>
      <w:r w:rsidR="00E83FF9">
        <w:t xml:space="preserve"> već i određenih</w:t>
      </w:r>
      <w:r w:rsidR="00D76481">
        <w:t xml:space="preserve"> primjesa. Primjese štetno djeluju na kvalitet proizvoda i smanjuju mu cijenu, što dovodi do ekonomskih gubitaka.</w:t>
      </w:r>
      <w:r>
        <w:t xml:space="preserve"> U ovom radu ispitivan je uticaj dodavanja cjepiva, pri različitim uslovima i koncentracijama, u cilju prečišćavanja aluminata od primjesa, prvenstveno od gvožđa i cinka.</w:t>
      </w:r>
    </w:p>
    <w:p w:rsidR="00390E85" w:rsidRDefault="00390E85" w:rsidP="009F1494">
      <w:pPr>
        <w:spacing w:before="120"/>
      </w:pPr>
      <w:r>
        <w:t>Odrađeno je nekoliko eksperimenata u kojima</w:t>
      </w:r>
      <w:r w:rsidR="00E123C8">
        <w:t xml:space="preserve"> su</w:t>
      </w:r>
      <w:r>
        <w:t xml:space="preserve"> se posmatrali uticaji vremena, temperature i koncentracije cjepiva</w:t>
      </w:r>
      <w:r w:rsidR="00E123C8">
        <w:t>. N</w:t>
      </w:r>
      <w:r w:rsidR="00D76481">
        <w:t>a osnovu rezultata</w:t>
      </w:r>
      <w:r w:rsidR="00560D7A">
        <w:t xml:space="preserve"> analize aluminata</w:t>
      </w:r>
      <w:r w:rsidR="00D76481">
        <w:t xml:space="preserve"> može se zaključiti</w:t>
      </w:r>
      <w:r w:rsidR="00D1200F">
        <w:t xml:space="preserve"> da</w:t>
      </w:r>
      <w:r w:rsidR="00D76481">
        <w:t>:</w:t>
      </w:r>
    </w:p>
    <w:p w:rsidR="00D76481" w:rsidRDefault="00D76481" w:rsidP="00D76481">
      <w:pPr>
        <w:pStyle w:val="ListParagraph"/>
        <w:numPr>
          <w:ilvl w:val="0"/>
          <w:numId w:val="6"/>
        </w:numPr>
        <w:spacing w:before="120"/>
      </w:pPr>
      <w:r>
        <w:t xml:space="preserve">povećanje vremena tretiranja natrijum aluminata cjepivom pozitivno utiče na proces </w:t>
      </w:r>
      <w:r w:rsidR="00073F62">
        <w:t>eliminacije primjesa</w:t>
      </w:r>
      <w:r>
        <w:t xml:space="preserve"> gvožđa, cinka i bakra, </w:t>
      </w:r>
    </w:p>
    <w:p w:rsidR="00D76481" w:rsidRDefault="00D76481" w:rsidP="00073F62">
      <w:pPr>
        <w:pStyle w:val="ListParagraph"/>
        <w:numPr>
          <w:ilvl w:val="0"/>
          <w:numId w:val="6"/>
        </w:numPr>
        <w:spacing w:before="120"/>
      </w:pPr>
      <w:r>
        <w:t xml:space="preserve">povećanje temperature </w:t>
      </w:r>
      <w:r w:rsidR="00073F62">
        <w:t>specifično</w:t>
      </w:r>
      <w:r>
        <w:t xml:space="preserve"> utiče na proces čišćenja aluminata,</w:t>
      </w:r>
      <w:r w:rsidR="00073F62">
        <w:t xml:space="preserve"> pri čemu povećanje temperature prvo dovodi do smanjenja efekta prečišćavanja, zatim do njegovog ponovnog povećanja</w:t>
      </w:r>
      <w:r>
        <w:t>.</w:t>
      </w:r>
      <w:r w:rsidR="00073F62">
        <w:t xml:space="preserve"> Temperatura 40</w:t>
      </w:r>
      <w:r w:rsidR="00073F62" w:rsidRPr="00073F62">
        <w:t>°C</w:t>
      </w:r>
      <w:r w:rsidR="00073F62">
        <w:t xml:space="preserve"> postiže veoma dobre rezultate pri manjoj potrošnji energije,</w:t>
      </w:r>
    </w:p>
    <w:p w:rsidR="00D76481" w:rsidRDefault="00073F62" w:rsidP="00D76481">
      <w:pPr>
        <w:pStyle w:val="ListParagraph"/>
        <w:numPr>
          <w:ilvl w:val="0"/>
          <w:numId w:val="6"/>
        </w:numPr>
        <w:spacing w:before="120"/>
      </w:pPr>
      <w:r>
        <w:t>uticaj koncentracije klica krista</w:t>
      </w:r>
      <w:r w:rsidR="00FE5A18">
        <w:t>lizacije je takođe specifičan. D</w:t>
      </w:r>
      <w:r>
        <w:t>o koncentracije 3 g/l</w:t>
      </w:r>
      <w:r w:rsidR="00D76481">
        <w:t xml:space="preserve"> pogoduje uklanjanju primjesa,</w:t>
      </w:r>
      <w:r>
        <w:t xml:space="preserve"> a daljim povećanje</w:t>
      </w:r>
      <w:r w:rsidR="00FE5A18">
        <w:t>m</w:t>
      </w:r>
      <w:r>
        <w:t xml:space="preserve"> efekat prečišćavanje se smanjuje</w:t>
      </w:r>
      <w:r w:rsidR="00D76481">
        <w:t xml:space="preserve">. </w:t>
      </w:r>
    </w:p>
    <w:p w:rsidR="00D76481" w:rsidRDefault="00560D7A" w:rsidP="00D76481">
      <w:pPr>
        <w:spacing w:before="120"/>
      </w:pPr>
      <w:r>
        <w:t>Analizom čvrste faze posl</w:t>
      </w:r>
      <w:r w:rsidR="00FE5A18">
        <w:t>ij</w:t>
      </w:r>
      <w:r>
        <w:t>e svakog ogleda zaključuje se</w:t>
      </w:r>
      <w:r w:rsidR="00FE5A18">
        <w:t>,</w:t>
      </w:r>
      <w:r>
        <w:t xml:space="preserve"> na osnovu smanjenja specifične površine čestica u odnosu na cjepivo i povećanja sadržaja primjesa, da </w:t>
      </w:r>
      <w:r w:rsidR="00073F62">
        <w:t xml:space="preserve">je pretpostavka o adsorpciji jedinjenja gvožđa, </w:t>
      </w:r>
      <w:r>
        <w:t>cinka</w:t>
      </w:r>
      <w:r w:rsidR="00073F62">
        <w:t xml:space="preserve"> i bakra</w:t>
      </w:r>
      <w:r>
        <w:t xml:space="preserve"> na površini</w:t>
      </w:r>
      <w:r w:rsidR="00073F62">
        <w:t xml:space="preserve"> opravdana, ali ne i potvrđena</w:t>
      </w:r>
      <w:r>
        <w:t xml:space="preserve">. Osim </w:t>
      </w:r>
      <w:r w:rsidR="00073F62">
        <w:t>ove pretpostavke</w:t>
      </w:r>
      <w:r>
        <w:t xml:space="preserve"> smanjenju specifične površine i povećanju srednjeg prečnika čestica doprinosi i djelimično razlaganje aluminatnog rastvora.</w:t>
      </w:r>
    </w:p>
    <w:p w:rsidR="00560D7A" w:rsidRDefault="00E83FF9" w:rsidP="00D76481">
      <w:pPr>
        <w:spacing w:before="120"/>
      </w:pPr>
      <w:r>
        <w:t>Veoma je bitno praviln</w:t>
      </w:r>
      <w:r w:rsidR="00D1200F">
        <w:t>o optimizirati parametre</w:t>
      </w:r>
      <w:r>
        <w:t xml:space="preserve">, </w:t>
      </w:r>
      <w:r w:rsidR="00D1200F">
        <w:t>koji bi doveli do</w:t>
      </w:r>
      <w:r>
        <w:t xml:space="preserve"> boljeg efekta prečišćavanja, sa što manjim troškovima. Tako da je cilj dovoljno prečistiti rastvor sa što nižom temperaturom, vremenom i koncentracijom cjepiva. Ovi uslovi bi takođe pogodovali smanjenju gubitka razlaganjem aluminata. Na osnovu rečenog </w:t>
      </w:r>
      <w:r w:rsidR="00073F62">
        <w:t>vrijeme tretiranja bi ostalo 120 min</w:t>
      </w:r>
      <w:r w:rsidR="00033847">
        <w:t>.</w:t>
      </w:r>
      <w:r w:rsidR="00073F62">
        <w:t xml:space="preserve">, </w:t>
      </w:r>
      <w:r>
        <w:t>temperatura</w:t>
      </w:r>
      <w:r w:rsidR="00073F62">
        <w:t xml:space="preserve"> bi se mogla sniziti sa 50 na 40</w:t>
      </w:r>
      <w:r w:rsidR="00033847">
        <w:sym w:font="Symbol" w:char="F0B0"/>
      </w:r>
      <w:r>
        <w:t>C</w:t>
      </w:r>
      <w:r w:rsidR="00073F62">
        <w:t>, a</w:t>
      </w:r>
      <w:r w:rsidR="00956329">
        <w:t xml:space="preserve"> koncentracija klica kristalizacije sa 5 na 3 g/l</w:t>
      </w:r>
      <w:r>
        <w:t>.</w:t>
      </w:r>
    </w:p>
    <w:p w:rsidR="00910099" w:rsidRDefault="00910099" w:rsidP="00D76481">
      <w:pPr>
        <w:spacing w:before="120"/>
      </w:pPr>
    </w:p>
    <w:p w:rsidR="00910099" w:rsidRDefault="00910099" w:rsidP="00D76481">
      <w:pPr>
        <w:spacing w:before="120"/>
      </w:pPr>
    </w:p>
    <w:p w:rsidR="00910099" w:rsidRDefault="00910099" w:rsidP="00D76481">
      <w:pPr>
        <w:spacing w:before="120"/>
      </w:pPr>
    </w:p>
    <w:p w:rsidR="00910099" w:rsidRDefault="00910099" w:rsidP="00D76481">
      <w:pPr>
        <w:spacing w:before="120"/>
      </w:pPr>
    </w:p>
    <w:p w:rsidR="00910099" w:rsidRDefault="00910099" w:rsidP="00D76481">
      <w:pPr>
        <w:spacing w:before="120"/>
      </w:pPr>
    </w:p>
    <w:p w:rsidR="00910099" w:rsidRDefault="00910099" w:rsidP="00D76481">
      <w:pPr>
        <w:spacing w:before="120"/>
      </w:pPr>
    </w:p>
    <w:p w:rsidR="006F1713" w:rsidRDefault="006F1713" w:rsidP="00D76481">
      <w:pPr>
        <w:spacing w:before="120"/>
      </w:pPr>
    </w:p>
    <w:p w:rsidR="00956329" w:rsidRDefault="00956329" w:rsidP="00D76481">
      <w:pPr>
        <w:spacing w:before="120"/>
      </w:pPr>
    </w:p>
    <w:p w:rsidR="00910099" w:rsidRPr="00997292" w:rsidRDefault="00910099" w:rsidP="00D76481">
      <w:pPr>
        <w:spacing w:before="120"/>
      </w:pPr>
    </w:p>
    <w:sdt>
      <w:sdtPr>
        <w:rPr>
          <w:b w:val="0"/>
          <w:sz w:val="24"/>
          <w:szCs w:val="24"/>
        </w:rPr>
        <w:id w:val="1508629487"/>
        <w:docPartObj>
          <w:docPartGallery w:val="Bibliographies"/>
          <w:docPartUnique/>
        </w:docPartObj>
      </w:sdtPr>
      <w:sdtEndPr/>
      <w:sdtContent>
        <w:p w:rsidR="009D728A" w:rsidRDefault="009D728A">
          <w:pPr>
            <w:pStyle w:val="Heading1"/>
          </w:pPr>
          <w:r>
            <w:t>Literatura</w:t>
          </w:r>
        </w:p>
        <w:sdt>
          <w:sdtPr>
            <w:id w:val="-573587230"/>
            <w:bibliography/>
          </w:sdtPr>
          <w:sdtEndPr/>
          <w:sdtContent>
            <w:p w:rsidR="00910099" w:rsidRDefault="00745D10" w:rsidP="00910099">
              <w:pPr>
                <w:pStyle w:val="Bibliography"/>
                <w:ind w:left="720" w:hanging="720"/>
                <w:rPr>
                  <w:noProof/>
                </w:rPr>
              </w:pPr>
              <w:r>
                <w:fldChar w:fldCharType="begin"/>
              </w:r>
              <w:r w:rsidR="009D728A">
                <w:instrText xml:space="preserve"> BIBLIOGRAPHY </w:instrText>
              </w:r>
              <w:r>
                <w:fldChar w:fldCharType="separate"/>
              </w:r>
              <w:r w:rsidR="00910099">
                <w:rPr>
                  <w:noProof/>
                </w:rPr>
                <w:t>Bird, R., &amp; Vance, H. (1981).</w:t>
              </w:r>
              <w:r w:rsidR="00910099">
                <w:rPr>
                  <w:i/>
                  <w:iCs/>
                  <w:noProof/>
                </w:rPr>
                <w:t xml:space="preserve"> USA Br. patenta 4282191.</w:t>
              </w:r>
              <w:r w:rsidR="00910099">
                <w:rPr>
                  <w:noProof/>
                </w:rPr>
                <w:t xml:space="preserve"> </w:t>
              </w:r>
            </w:p>
            <w:p w:rsidR="00910099" w:rsidRDefault="00910099" w:rsidP="00910099">
              <w:pPr>
                <w:pStyle w:val="Bibliography"/>
                <w:ind w:left="720" w:hanging="720"/>
                <w:rPr>
                  <w:noProof/>
                </w:rPr>
              </w:pPr>
              <w:r>
                <w:rPr>
                  <w:noProof/>
                </w:rPr>
                <w:t xml:space="preserve">Chesonis, C. (2019). </w:t>
              </w:r>
              <w:r>
                <w:rPr>
                  <w:i/>
                  <w:iCs/>
                  <w:noProof/>
                </w:rPr>
                <w:t>Ligh metals 2019.</w:t>
              </w:r>
              <w:r>
                <w:rPr>
                  <w:noProof/>
                </w:rPr>
                <w:t xml:space="preserve"> Springer.</w:t>
              </w:r>
            </w:p>
            <w:p w:rsidR="00910099" w:rsidRDefault="00910099" w:rsidP="00910099">
              <w:pPr>
                <w:pStyle w:val="Bibliography"/>
                <w:ind w:left="720" w:hanging="720"/>
                <w:rPr>
                  <w:noProof/>
                </w:rPr>
              </w:pPr>
              <w:r>
                <w:rPr>
                  <w:noProof/>
                </w:rPr>
                <w:t>Corp., C. T. (1998).</w:t>
              </w:r>
              <w:r>
                <w:rPr>
                  <w:i/>
                  <w:iCs/>
                  <w:noProof/>
                </w:rPr>
                <w:t xml:space="preserve"> USA Br. patenta US9276357A.</w:t>
              </w:r>
              <w:r>
                <w:rPr>
                  <w:noProof/>
                </w:rPr>
                <w:t xml:space="preserve"> </w:t>
              </w:r>
            </w:p>
            <w:p w:rsidR="00910099" w:rsidRDefault="00910099" w:rsidP="00910099">
              <w:pPr>
                <w:pStyle w:val="Bibliography"/>
                <w:ind w:left="720" w:hanging="720"/>
                <w:rPr>
                  <w:noProof/>
                </w:rPr>
              </w:pPr>
              <w:r>
                <w:rPr>
                  <w:noProof/>
                </w:rPr>
                <w:t>Cousineau, P. G. (1989).</w:t>
              </w:r>
              <w:r>
                <w:rPr>
                  <w:i/>
                  <w:iCs/>
                  <w:noProof/>
                </w:rPr>
                <w:t xml:space="preserve"> Europe Br. patenta EP0339766.</w:t>
              </w:r>
              <w:r>
                <w:rPr>
                  <w:noProof/>
                </w:rPr>
                <w:t xml:space="preserve"> </w:t>
              </w:r>
            </w:p>
            <w:p w:rsidR="00910099" w:rsidRDefault="00910099" w:rsidP="00910099">
              <w:pPr>
                <w:pStyle w:val="Bibliography"/>
                <w:ind w:left="720" w:hanging="720"/>
                <w:rPr>
                  <w:noProof/>
                </w:rPr>
              </w:pPr>
              <w:r>
                <w:rPr>
                  <w:noProof/>
                </w:rPr>
                <w:t>Devile, J., &amp; Lameran, J. (1997).</w:t>
              </w:r>
              <w:r>
                <w:rPr>
                  <w:i/>
                  <w:iCs/>
                  <w:noProof/>
                </w:rPr>
                <w:t xml:space="preserve"> USA, France Br. patenta 5628972.</w:t>
              </w:r>
              <w:r>
                <w:rPr>
                  <w:noProof/>
                </w:rPr>
                <w:t xml:space="preserve"> </w:t>
              </w:r>
            </w:p>
            <w:p w:rsidR="00910099" w:rsidRDefault="00910099" w:rsidP="00910099">
              <w:pPr>
                <w:pStyle w:val="Bibliography"/>
                <w:ind w:left="720" w:hanging="720"/>
                <w:rPr>
                  <w:noProof/>
                </w:rPr>
              </w:pPr>
              <w:r>
                <w:rPr>
                  <w:noProof/>
                </w:rPr>
                <w:t xml:space="preserve">Grandfield, J. (2014). </w:t>
              </w:r>
              <w:r>
                <w:rPr>
                  <w:i/>
                  <w:iCs/>
                  <w:noProof/>
                </w:rPr>
                <w:t>Light Metals 2014.</w:t>
              </w:r>
              <w:r>
                <w:rPr>
                  <w:noProof/>
                </w:rPr>
                <w:t xml:space="preserve"> TMS, Springer.</w:t>
              </w:r>
            </w:p>
            <w:p w:rsidR="00910099" w:rsidRDefault="00910099" w:rsidP="00910099">
              <w:pPr>
                <w:pStyle w:val="Bibliography"/>
                <w:ind w:left="720" w:hanging="720"/>
                <w:rPr>
                  <w:noProof/>
                </w:rPr>
              </w:pPr>
              <w:r>
                <w:rPr>
                  <w:noProof/>
                </w:rPr>
                <w:t xml:space="preserve">J, Y., Y. S., &amp; J. Gao, C. X. (2009). Synthesis of crystaline alumina wiht high purity. </w:t>
              </w:r>
              <w:r>
                <w:rPr>
                  <w:i/>
                  <w:iCs/>
                  <w:noProof/>
                </w:rPr>
                <w:t>Transactions of Nonferrous Metals Society of China</w:t>
              </w:r>
              <w:r>
                <w:rPr>
                  <w:noProof/>
                </w:rPr>
                <w:t>, 1237-1242.</w:t>
              </w:r>
            </w:p>
            <w:p w:rsidR="00910099" w:rsidRDefault="00910099" w:rsidP="00910099">
              <w:pPr>
                <w:pStyle w:val="Bibliography"/>
                <w:ind w:left="720" w:hanging="720"/>
                <w:rPr>
                  <w:noProof/>
                </w:rPr>
              </w:pPr>
              <w:r>
                <w:rPr>
                  <w:noProof/>
                </w:rPr>
                <w:t xml:space="preserve">Keller, J., &amp; Staudt, R. (2005). </w:t>
              </w:r>
              <w:r>
                <w:rPr>
                  <w:i/>
                  <w:iCs/>
                  <w:noProof/>
                </w:rPr>
                <w:t>Gas Adsorption Equilibria.</w:t>
              </w:r>
              <w:r>
                <w:rPr>
                  <w:noProof/>
                </w:rPr>
                <w:t xml:space="preserve"> Springer.</w:t>
              </w:r>
            </w:p>
            <w:p w:rsidR="00910099" w:rsidRDefault="00910099" w:rsidP="00910099">
              <w:pPr>
                <w:pStyle w:val="Bibliography"/>
                <w:ind w:left="720" w:hanging="720"/>
                <w:rPr>
                  <w:noProof/>
                </w:rPr>
              </w:pPr>
              <w:r>
                <w:rPr>
                  <w:noProof/>
                </w:rPr>
                <w:t xml:space="preserve">Kostić, D., Balaban, D., Perušić, M., &amp; Pejović, B. (2019). Optimizacije procesnih parametara sinteze bijelog aluminijum trihidrata. </w:t>
              </w:r>
              <w:r>
                <w:rPr>
                  <w:i/>
                  <w:iCs/>
                  <w:noProof/>
                </w:rPr>
                <w:t>13th Conference for Young Scientists in Ceramics.</w:t>
              </w:r>
              <w:r>
                <w:rPr>
                  <w:noProof/>
                </w:rPr>
                <w:t xml:space="preserve"> Novi Sad: Tehnološki fakultet.</w:t>
              </w:r>
            </w:p>
            <w:p w:rsidR="00910099" w:rsidRDefault="00910099" w:rsidP="00910099">
              <w:pPr>
                <w:pStyle w:val="Bibliography"/>
                <w:ind w:left="720" w:hanging="720"/>
                <w:rPr>
                  <w:noProof/>
                </w:rPr>
              </w:pPr>
              <w:r>
                <w:rPr>
                  <w:noProof/>
                </w:rPr>
                <w:t xml:space="preserve">Li, X.-b., Li, C.-y., Liu, G.-h., Zhou, Q.-s., &amp; Qi, T.-g. (2015). Interaction of sulfur with iron compounds in sodium aluminate solutions. </w:t>
              </w:r>
              <w:r>
                <w:rPr>
                  <w:i/>
                  <w:iCs/>
                  <w:noProof/>
                </w:rPr>
                <w:t>Trans. Nonferrous Met. Soc. China</w:t>
              </w:r>
              <w:r>
                <w:rPr>
                  <w:noProof/>
                </w:rPr>
                <w:t>, 608-614.</w:t>
              </w:r>
            </w:p>
            <w:p w:rsidR="00910099" w:rsidRDefault="00910099" w:rsidP="00910099">
              <w:pPr>
                <w:pStyle w:val="Bibliography"/>
                <w:ind w:left="720" w:hanging="720"/>
                <w:rPr>
                  <w:noProof/>
                </w:rPr>
              </w:pPr>
              <w:r>
                <w:rPr>
                  <w:noProof/>
                </w:rPr>
                <w:t xml:space="preserve">M. Jotanović, V. M. (2016). </w:t>
              </w:r>
              <w:r>
                <w:rPr>
                  <w:i/>
                  <w:iCs/>
                  <w:noProof/>
                </w:rPr>
                <w:t>Hemijsko reakcijsko inženjerstvo.</w:t>
              </w:r>
              <w:r>
                <w:rPr>
                  <w:noProof/>
                </w:rPr>
                <w:t xml:space="preserve"> Zvornik: Tehnološki fakultet.</w:t>
              </w:r>
            </w:p>
            <w:p w:rsidR="00910099" w:rsidRDefault="00910099" w:rsidP="00910099">
              <w:pPr>
                <w:pStyle w:val="Bibliography"/>
                <w:ind w:left="720" w:hanging="720"/>
                <w:rPr>
                  <w:noProof/>
                </w:rPr>
              </w:pPr>
              <w:r>
                <w:rPr>
                  <w:noProof/>
                </w:rPr>
                <w:t xml:space="preserve">Metson, J. (2011). </w:t>
              </w:r>
              <w:r>
                <w:rPr>
                  <w:i/>
                  <w:iCs/>
                  <w:noProof/>
                </w:rPr>
                <w:t>Production of Alumina.</w:t>
              </w:r>
              <w:r>
                <w:rPr>
                  <w:noProof/>
                </w:rPr>
                <w:t xml:space="preserve"> Auckland: Woodhead Publishing Limited.</w:t>
              </w:r>
            </w:p>
            <w:p w:rsidR="00910099" w:rsidRDefault="00910099" w:rsidP="00910099">
              <w:pPr>
                <w:pStyle w:val="Bibliography"/>
                <w:ind w:left="720" w:hanging="720"/>
                <w:rPr>
                  <w:noProof/>
                </w:rPr>
              </w:pPr>
              <w:r>
                <w:rPr>
                  <w:noProof/>
                </w:rPr>
                <w:t xml:space="preserve">Park, N.-k., Choi, H.-Y., Kim, D.-H., Lee, T., Kang, M., Lee, W., . . . Park, J. (2012). Purification ofAl(OH)3 synthesized by Bayerp rocess for preparation of high purity alumina as sapphire raw material. </w:t>
              </w:r>
              <w:r>
                <w:rPr>
                  <w:i/>
                  <w:iCs/>
                  <w:noProof/>
                </w:rPr>
                <w:t>Journal of Crystal Growth</w:t>
              </w:r>
              <w:r>
                <w:rPr>
                  <w:noProof/>
                </w:rPr>
                <w:t>.</w:t>
              </w:r>
            </w:p>
            <w:p w:rsidR="00910099" w:rsidRDefault="00910099" w:rsidP="00910099">
              <w:pPr>
                <w:pStyle w:val="Bibliography"/>
                <w:ind w:left="720" w:hanging="720"/>
                <w:rPr>
                  <w:noProof/>
                </w:rPr>
              </w:pPr>
              <w:r>
                <w:rPr>
                  <w:noProof/>
                </w:rPr>
                <w:t>Petitjean, M., Rollet, G., &amp; Ile, M. (1973).</w:t>
              </w:r>
              <w:r>
                <w:rPr>
                  <w:i/>
                  <w:iCs/>
                  <w:noProof/>
                </w:rPr>
                <w:t xml:space="preserve"> France Br. patenta 3728432.</w:t>
              </w:r>
              <w:r>
                <w:rPr>
                  <w:noProof/>
                </w:rPr>
                <w:t xml:space="preserve"> </w:t>
              </w:r>
            </w:p>
            <w:p w:rsidR="00910099" w:rsidRDefault="00910099" w:rsidP="00910099">
              <w:pPr>
                <w:pStyle w:val="Bibliography"/>
                <w:ind w:left="720" w:hanging="720"/>
                <w:rPr>
                  <w:noProof/>
                </w:rPr>
              </w:pPr>
              <w:r>
                <w:rPr>
                  <w:noProof/>
                </w:rPr>
                <w:t xml:space="preserve">R. Vračar, Ž. Ž. (1993). </w:t>
              </w:r>
              <w:r>
                <w:rPr>
                  <w:i/>
                  <w:iCs/>
                  <w:noProof/>
                </w:rPr>
                <w:t>Ekstraktivna metalurgija aluminijuma.</w:t>
              </w:r>
              <w:r>
                <w:rPr>
                  <w:noProof/>
                </w:rPr>
                <w:t xml:space="preserve"> Beograd: Naučna knjiga.</w:t>
              </w:r>
            </w:p>
            <w:p w:rsidR="00910099" w:rsidRDefault="00910099" w:rsidP="00910099">
              <w:pPr>
                <w:pStyle w:val="Bibliography"/>
                <w:ind w:left="720" w:hanging="720"/>
                <w:rPr>
                  <w:noProof/>
                </w:rPr>
              </w:pPr>
              <w:r>
                <w:rPr>
                  <w:noProof/>
                </w:rPr>
                <w:t xml:space="preserve">Ratvik, A. P. (2017). </w:t>
              </w:r>
              <w:r>
                <w:rPr>
                  <w:i/>
                  <w:iCs/>
                  <w:noProof/>
                </w:rPr>
                <w:t>Light Metals 2017.</w:t>
              </w:r>
              <w:r>
                <w:rPr>
                  <w:noProof/>
                </w:rPr>
                <w:t xml:space="preserve"> TMS, Springer.</w:t>
              </w:r>
            </w:p>
            <w:p w:rsidR="00910099" w:rsidRDefault="00910099" w:rsidP="00910099">
              <w:pPr>
                <w:pStyle w:val="Bibliography"/>
                <w:ind w:left="720" w:hanging="720"/>
                <w:rPr>
                  <w:noProof/>
                </w:rPr>
              </w:pPr>
              <w:r>
                <w:rPr>
                  <w:noProof/>
                </w:rPr>
                <w:t>Sato, C., &amp; akihisa Furukawa, Y. S. (1972).</w:t>
              </w:r>
              <w:r>
                <w:rPr>
                  <w:i/>
                  <w:iCs/>
                  <w:noProof/>
                </w:rPr>
                <w:t xml:space="preserve"> Japan Br. patenta 3649185.</w:t>
              </w:r>
              <w:r>
                <w:rPr>
                  <w:noProof/>
                </w:rPr>
                <w:t xml:space="preserve"> </w:t>
              </w:r>
            </w:p>
            <w:p w:rsidR="00910099" w:rsidRDefault="00910099" w:rsidP="00910099">
              <w:pPr>
                <w:pStyle w:val="Bibliography"/>
                <w:ind w:left="720" w:hanging="720"/>
                <w:rPr>
                  <w:noProof/>
                </w:rPr>
              </w:pPr>
              <w:r>
                <w:rPr>
                  <w:noProof/>
                </w:rPr>
                <w:t xml:space="preserve">Sing, K. (1998). Adsorption methods for the characterization of porous materials. </w:t>
              </w:r>
              <w:r>
                <w:rPr>
                  <w:i/>
                  <w:iCs/>
                  <w:noProof/>
                </w:rPr>
                <w:t>Advances in Colloid and Interface Science</w:t>
              </w:r>
              <w:r>
                <w:rPr>
                  <w:noProof/>
                </w:rPr>
                <w:t>, 3-11.</w:t>
              </w:r>
            </w:p>
            <w:p w:rsidR="00910099" w:rsidRDefault="00910099" w:rsidP="00910099">
              <w:pPr>
                <w:pStyle w:val="Bibliography"/>
                <w:ind w:left="720" w:hanging="720"/>
                <w:rPr>
                  <w:noProof/>
                </w:rPr>
              </w:pPr>
              <w:r>
                <w:rPr>
                  <w:noProof/>
                </w:rPr>
                <w:t xml:space="preserve">Singh, J., &amp; Verma, N. (2019). </w:t>
              </w:r>
              <w:r>
                <w:rPr>
                  <w:i/>
                  <w:iCs/>
                  <w:noProof/>
                </w:rPr>
                <w:t>Aqueous Phase Adsorption, Theory, Simulations, and Experiments.</w:t>
              </w:r>
              <w:r>
                <w:rPr>
                  <w:noProof/>
                </w:rPr>
                <w:t xml:space="preserve"> London: CRC Press, Taylor &amp; Francis Group.</w:t>
              </w:r>
            </w:p>
            <w:p w:rsidR="00910099" w:rsidRDefault="00910099" w:rsidP="00910099">
              <w:pPr>
                <w:pStyle w:val="Bibliography"/>
                <w:ind w:left="720" w:hanging="720"/>
                <w:rPr>
                  <w:noProof/>
                </w:rPr>
              </w:pPr>
              <w:r>
                <w:rPr>
                  <w:noProof/>
                </w:rPr>
                <w:t xml:space="preserve">Suarez, C. (2012). </w:t>
              </w:r>
              <w:r>
                <w:rPr>
                  <w:i/>
                  <w:iCs/>
                  <w:noProof/>
                </w:rPr>
                <w:t>Light Metals 2012.</w:t>
              </w:r>
              <w:r>
                <w:rPr>
                  <w:noProof/>
                </w:rPr>
                <w:t xml:space="preserve"> TMS Springer.</w:t>
              </w:r>
            </w:p>
            <w:p w:rsidR="00910099" w:rsidRDefault="00910099" w:rsidP="00910099">
              <w:pPr>
                <w:pStyle w:val="Bibliography"/>
                <w:ind w:left="720" w:hanging="720"/>
                <w:rPr>
                  <w:noProof/>
                </w:rPr>
              </w:pPr>
              <w:r>
                <w:rPr>
                  <w:noProof/>
                </w:rPr>
                <w:t>The, P., &amp; Pa, M. (1983).</w:t>
              </w:r>
              <w:r>
                <w:rPr>
                  <w:i/>
                  <w:iCs/>
                  <w:noProof/>
                </w:rPr>
                <w:t xml:space="preserve"> USA Br. patenta 4414115.</w:t>
              </w:r>
              <w:r>
                <w:rPr>
                  <w:noProof/>
                </w:rPr>
                <w:t xml:space="preserve"> </w:t>
              </w:r>
            </w:p>
            <w:p w:rsidR="00910099" w:rsidRDefault="00910099" w:rsidP="00910099">
              <w:pPr>
                <w:pStyle w:val="Bibliography"/>
                <w:ind w:left="720" w:hanging="720"/>
                <w:rPr>
                  <w:noProof/>
                </w:rPr>
              </w:pPr>
              <w:r>
                <w:rPr>
                  <w:noProof/>
                </w:rPr>
                <w:t xml:space="preserve">Tien, C. (2019). </w:t>
              </w:r>
              <w:r>
                <w:rPr>
                  <w:i/>
                  <w:iCs/>
                  <w:noProof/>
                </w:rPr>
                <w:t>Introductio to adsorption.</w:t>
              </w:r>
              <w:r>
                <w:rPr>
                  <w:noProof/>
                </w:rPr>
                <w:t xml:space="preserve"> Elsevier.</w:t>
              </w:r>
            </w:p>
            <w:p w:rsidR="00910099" w:rsidRDefault="00910099" w:rsidP="00910099">
              <w:pPr>
                <w:pStyle w:val="Bibliography"/>
                <w:ind w:left="720" w:hanging="720"/>
                <w:rPr>
                  <w:noProof/>
                </w:rPr>
              </w:pPr>
              <w:r>
                <w:rPr>
                  <w:noProof/>
                </w:rPr>
                <w:t xml:space="preserve">Williams, E. (2016). </w:t>
              </w:r>
              <w:r>
                <w:rPr>
                  <w:i/>
                  <w:iCs/>
                  <w:noProof/>
                </w:rPr>
                <w:t>Light Metals 2016.</w:t>
              </w:r>
              <w:r>
                <w:rPr>
                  <w:noProof/>
                </w:rPr>
                <w:t xml:space="preserve"> TMS Springer.</w:t>
              </w:r>
            </w:p>
            <w:p w:rsidR="00910099" w:rsidRDefault="00910099" w:rsidP="00910099">
              <w:pPr>
                <w:pStyle w:val="Bibliography"/>
                <w:ind w:left="720" w:hanging="720"/>
                <w:rPr>
                  <w:noProof/>
                </w:rPr>
              </w:pPr>
              <w:r>
                <w:rPr>
                  <w:noProof/>
                </w:rPr>
                <w:lastRenderedPageBreak/>
                <w:t xml:space="preserve">Zhanwei, L., Hengwei, Y., Wenhui , M., Xie, K., Dunyong, L., &amp; Pengfei, L. (2018). Sulfur Removal by Adding Iron During the Digestion Process of Hih-sulfur Bauxite. </w:t>
              </w:r>
              <w:r>
                <w:rPr>
                  <w:i/>
                  <w:iCs/>
                  <w:noProof/>
                </w:rPr>
                <w:t>The Minerals, Metals &amp; Materials Society and ASM Internation</w:t>
              </w:r>
              <w:r>
                <w:rPr>
                  <w:noProof/>
                </w:rPr>
                <w:t>.</w:t>
              </w:r>
            </w:p>
            <w:p w:rsidR="009D728A" w:rsidRDefault="00745D10" w:rsidP="00910099">
              <w:r>
                <w:rPr>
                  <w:b/>
                  <w:bCs/>
                  <w:noProof/>
                </w:rPr>
                <w:fldChar w:fldCharType="end"/>
              </w:r>
            </w:p>
          </w:sdtContent>
        </w:sdt>
      </w:sdtContent>
    </w:sdt>
    <w:p w:rsidR="0074614A" w:rsidRPr="005604AC" w:rsidRDefault="0074614A" w:rsidP="00445BA9"/>
    <w:sectPr w:rsidR="0074614A" w:rsidRPr="005604AC" w:rsidSect="00745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322E" w:rsidRDefault="004A322E" w:rsidP="004A322E">
      <w:pPr>
        <w:spacing w:after="0" w:line="240" w:lineRule="auto"/>
      </w:pPr>
      <w:r>
        <w:separator/>
      </w:r>
    </w:p>
  </w:endnote>
  <w:endnote w:type="continuationSeparator" w:id="0">
    <w:p w:rsidR="004A322E" w:rsidRDefault="004A322E" w:rsidP="004A32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322E" w:rsidRDefault="004A322E" w:rsidP="004A322E">
      <w:pPr>
        <w:spacing w:after="0" w:line="240" w:lineRule="auto"/>
      </w:pPr>
      <w:r>
        <w:separator/>
      </w:r>
    </w:p>
  </w:footnote>
  <w:footnote w:type="continuationSeparator" w:id="0">
    <w:p w:rsidR="004A322E" w:rsidRDefault="004A322E" w:rsidP="004A322E">
      <w:pPr>
        <w:spacing w:after="0" w:line="240" w:lineRule="auto"/>
      </w:pPr>
      <w:r>
        <w:continuationSeparator/>
      </w:r>
    </w:p>
  </w:footnote>
  <w:footnote w:id="1">
    <w:p w:rsidR="004A322E" w:rsidRPr="004A322E" w:rsidRDefault="004A322E">
      <w:pPr>
        <w:pStyle w:val="FootnoteText"/>
        <w:rPr>
          <w:lang w:val="sr-Latn-BA"/>
        </w:rPr>
      </w:pPr>
      <w:r>
        <w:rPr>
          <w:rStyle w:val="FootnoteReference"/>
        </w:rPr>
        <w:footnoteRef/>
      </w:r>
      <w:r w:rsidR="008D24EA">
        <w:rPr>
          <w:vertAlign w:val="superscript"/>
        </w:rPr>
        <w:t xml:space="preserve">, </w:t>
      </w:r>
      <w:r>
        <w:rPr>
          <w:rStyle w:val="FootnoteReference"/>
        </w:rPr>
        <w:t>2</w:t>
      </w:r>
      <w:r>
        <w:t xml:space="preserve"> </w:t>
      </w:r>
      <w:r>
        <w:rPr>
          <w:lang w:val="sr-Latn-BA"/>
        </w:rPr>
        <w:t>Empirijski određeno</w:t>
      </w:r>
    </w:p>
  </w:footnote>
  <w:footnote w:id="2">
    <w:p w:rsidR="004A322E" w:rsidRPr="008D24EA" w:rsidRDefault="004A322E">
      <w:pPr>
        <w:pStyle w:val="FootnoteText"/>
        <w:rPr>
          <w:lang w:val="sr-Latn-BA"/>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F177E6"/>
    <w:multiLevelType w:val="hybridMultilevel"/>
    <w:tmpl w:val="EB42FD32"/>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 w15:restartNumberingAfterBreak="0">
    <w:nsid w:val="1D880E67"/>
    <w:multiLevelType w:val="hybridMultilevel"/>
    <w:tmpl w:val="86862A20"/>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 w15:restartNumberingAfterBreak="0">
    <w:nsid w:val="257E1130"/>
    <w:multiLevelType w:val="hybridMultilevel"/>
    <w:tmpl w:val="07DCFDAC"/>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3" w15:restartNumberingAfterBreak="0">
    <w:nsid w:val="2AB632D3"/>
    <w:multiLevelType w:val="hybridMultilevel"/>
    <w:tmpl w:val="13D6406E"/>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4" w15:restartNumberingAfterBreak="0">
    <w:nsid w:val="38DB59F8"/>
    <w:multiLevelType w:val="hybridMultilevel"/>
    <w:tmpl w:val="7EA2A872"/>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5" w15:restartNumberingAfterBreak="0">
    <w:nsid w:val="3BA26F9C"/>
    <w:multiLevelType w:val="hybridMultilevel"/>
    <w:tmpl w:val="F49452F0"/>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6" w15:restartNumberingAfterBreak="0">
    <w:nsid w:val="49365974"/>
    <w:multiLevelType w:val="hybridMultilevel"/>
    <w:tmpl w:val="0036770A"/>
    <w:lvl w:ilvl="0" w:tplc="241A000F">
      <w:start w:val="1"/>
      <w:numFmt w:val="decimal"/>
      <w:lvlText w:val="%1."/>
      <w:lvlJc w:val="left"/>
      <w:pPr>
        <w:ind w:left="720" w:hanging="360"/>
      </w:p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7" w15:restartNumberingAfterBreak="0">
    <w:nsid w:val="5A301A7C"/>
    <w:multiLevelType w:val="hybridMultilevel"/>
    <w:tmpl w:val="997495AE"/>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8" w15:restartNumberingAfterBreak="0">
    <w:nsid w:val="626765CD"/>
    <w:multiLevelType w:val="hybridMultilevel"/>
    <w:tmpl w:val="C450E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4D80AC2"/>
    <w:multiLevelType w:val="hybridMultilevel"/>
    <w:tmpl w:val="B2562346"/>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0" w15:restartNumberingAfterBreak="0">
    <w:nsid w:val="6695323B"/>
    <w:multiLevelType w:val="hybridMultilevel"/>
    <w:tmpl w:val="8FFE6C38"/>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1" w15:restartNumberingAfterBreak="0">
    <w:nsid w:val="72AA3690"/>
    <w:multiLevelType w:val="hybridMultilevel"/>
    <w:tmpl w:val="C5BEA11C"/>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2" w15:restartNumberingAfterBreak="0">
    <w:nsid w:val="7414071A"/>
    <w:multiLevelType w:val="hybridMultilevel"/>
    <w:tmpl w:val="6354EDD8"/>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3" w15:restartNumberingAfterBreak="0">
    <w:nsid w:val="797E3C1F"/>
    <w:multiLevelType w:val="hybridMultilevel"/>
    <w:tmpl w:val="8384D0B4"/>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num w:numId="1">
    <w:abstractNumId w:val="10"/>
  </w:num>
  <w:num w:numId="2">
    <w:abstractNumId w:val="4"/>
  </w:num>
  <w:num w:numId="3">
    <w:abstractNumId w:val="5"/>
  </w:num>
  <w:num w:numId="4">
    <w:abstractNumId w:val="0"/>
  </w:num>
  <w:num w:numId="5">
    <w:abstractNumId w:val="6"/>
  </w:num>
  <w:num w:numId="6">
    <w:abstractNumId w:val="13"/>
  </w:num>
  <w:num w:numId="7">
    <w:abstractNumId w:val="2"/>
  </w:num>
  <w:num w:numId="8">
    <w:abstractNumId w:val="11"/>
  </w:num>
  <w:num w:numId="9">
    <w:abstractNumId w:val="3"/>
  </w:num>
  <w:num w:numId="10">
    <w:abstractNumId w:val="9"/>
  </w:num>
  <w:num w:numId="11">
    <w:abstractNumId w:val="12"/>
  </w:num>
  <w:num w:numId="12">
    <w:abstractNumId w:val="7"/>
  </w:num>
  <w:num w:numId="13">
    <w:abstractNumId w:val="1"/>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2B7270"/>
    <w:rsid w:val="00012309"/>
    <w:rsid w:val="00033847"/>
    <w:rsid w:val="000445C2"/>
    <w:rsid w:val="00073F62"/>
    <w:rsid w:val="00074202"/>
    <w:rsid w:val="0007488E"/>
    <w:rsid w:val="000753B9"/>
    <w:rsid w:val="000C5D2D"/>
    <w:rsid w:val="000C69C0"/>
    <w:rsid w:val="000F25E6"/>
    <w:rsid w:val="000F5E61"/>
    <w:rsid w:val="00115117"/>
    <w:rsid w:val="001661FD"/>
    <w:rsid w:val="001745CD"/>
    <w:rsid w:val="001A3870"/>
    <w:rsid w:val="001C7F20"/>
    <w:rsid w:val="001E5484"/>
    <w:rsid w:val="00245520"/>
    <w:rsid w:val="002745DE"/>
    <w:rsid w:val="002B7270"/>
    <w:rsid w:val="002E553A"/>
    <w:rsid w:val="00303580"/>
    <w:rsid w:val="00304337"/>
    <w:rsid w:val="00351741"/>
    <w:rsid w:val="003556DE"/>
    <w:rsid w:val="00362939"/>
    <w:rsid w:val="00376CDD"/>
    <w:rsid w:val="00390E85"/>
    <w:rsid w:val="003B6A2B"/>
    <w:rsid w:val="003B7F48"/>
    <w:rsid w:val="003F31BB"/>
    <w:rsid w:val="003F6FF2"/>
    <w:rsid w:val="00442A9A"/>
    <w:rsid w:val="00445BA9"/>
    <w:rsid w:val="00454476"/>
    <w:rsid w:val="00495EF3"/>
    <w:rsid w:val="004975A0"/>
    <w:rsid w:val="004A322E"/>
    <w:rsid w:val="004B1B5B"/>
    <w:rsid w:val="004C3484"/>
    <w:rsid w:val="00510A7D"/>
    <w:rsid w:val="00523F2B"/>
    <w:rsid w:val="0054608E"/>
    <w:rsid w:val="00557013"/>
    <w:rsid w:val="005604AC"/>
    <w:rsid w:val="00560D7A"/>
    <w:rsid w:val="00576097"/>
    <w:rsid w:val="005B1B22"/>
    <w:rsid w:val="005F7E38"/>
    <w:rsid w:val="00603C78"/>
    <w:rsid w:val="00635A4A"/>
    <w:rsid w:val="006430C4"/>
    <w:rsid w:val="00644FC5"/>
    <w:rsid w:val="006561B2"/>
    <w:rsid w:val="006710BC"/>
    <w:rsid w:val="006825EA"/>
    <w:rsid w:val="006C3394"/>
    <w:rsid w:val="006F1713"/>
    <w:rsid w:val="007078A3"/>
    <w:rsid w:val="00745D10"/>
    <w:rsid w:val="0074614A"/>
    <w:rsid w:val="00792993"/>
    <w:rsid w:val="007A224C"/>
    <w:rsid w:val="00851D25"/>
    <w:rsid w:val="00867D0B"/>
    <w:rsid w:val="00893595"/>
    <w:rsid w:val="008D24EA"/>
    <w:rsid w:val="008F29B5"/>
    <w:rsid w:val="008F7830"/>
    <w:rsid w:val="00910099"/>
    <w:rsid w:val="00914BFA"/>
    <w:rsid w:val="0092460D"/>
    <w:rsid w:val="009278B3"/>
    <w:rsid w:val="00935631"/>
    <w:rsid w:val="00956329"/>
    <w:rsid w:val="009802CE"/>
    <w:rsid w:val="00984F3D"/>
    <w:rsid w:val="009939C6"/>
    <w:rsid w:val="00997292"/>
    <w:rsid w:val="009A44B5"/>
    <w:rsid w:val="009D728A"/>
    <w:rsid w:val="009F1494"/>
    <w:rsid w:val="00A01F04"/>
    <w:rsid w:val="00A16BEE"/>
    <w:rsid w:val="00A773E5"/>
    <w:rsid w:val="00AB1E37"/>
    <w:rsid w:val="00B43220"/>
    <w:rsid w:val="00B56827"/>
    <w:rsid w:val="00B62EDC"/>
    <w:rsid w:val="00B80FCB"/>
    <w:rsid w:val="00B814F1"/>
    <w:rsid w:val="00BB43E2"/>
    <w:rsid w:val="00BC75F4"/>
    <w:rsid w:val="00C054FB"/>
    <w:rsid w:val="00C201F0"/>
    <w:rsid w:val="00C54B7B"/>
    <w:rsid w:val="00C55ABF"/>
    <w:rsid w:val="00C60EEE"/>
    <w:rsid w:val="00C65F9E"/>
    <w:rsid w:val="00C82724"/>
    <w:rsid w:val="00CA2EF8"/>
    <w:rsid w:val="00CC0305"/>
    <w:rsid w:val="00D00411"/>
    <w:rsid w:val="00D07DD8"/>
    <w:rsid w:val="00D1200F"/>
    <w:rsid w:val="00D1485D"/>
    <w:rsid w:val="00D2033A"/>
    <w:rsid w:val="00D27626"/>
    <w:rsid w:val="00D70A94"/>
    <w:rsid w:val="00D76481"/>
    <w:rsid w:val="00D8638A"/>
    <w:rsid w:val="00D91021"/>
    <w:rsid w:val="00D95D46"/>
    <w:rsid w:val="00DB05B9"/>
    <w:rsid w:val="00DB0CD9"/>
    <w:rsid w:val="00DB20BD"/>
    <w:rsid w:val="00DD40A4"/>
    <w:rsid w:val="00DD6023"/>
    <w:rsid w:val="00E123C8"/>
    <w:rsid w:val="00E142C8"/>
    <w:rsid w:val="00E35715"/>
    <w:rsid w:val="00E52CDB"/>
    <w:rsid w:val="00E53EEC"/>
    <w:rsid w:val="00E7138A"/>
    <w:rsid w:val="00E83FF9"/>
    <w:rsid w:val="00ED1F8D"/>
    <w:rsid w:val="00F152A0"/>
    <w:rsid w:val="00F22567"/>
    <w:rsid w:val="00F37066"/>
    <w:rsid w:val="00F46C3C"/>
    <w:rsid w:val="00F66717"/>
    <w:rsid w:val="00FA48F2"/>
    <w:rsid w:val="00FB590A"/>
    <w:rsid w:val="00FE3827"/>
    <w:rsid w:val="00FE5A18"/>
  </w:rsids>
  <m:mathPr>
    <m:mathFont m:val="Cambria Math"/>
    <m:brkBin m:val="before"/>
    <m:brkBinSub m:val="--"/>
    <m:smallFrac/>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3C995681"/>
  <w15:docId w15:val="{B8BAC4A0-6388-451A-9401-DE97C8CF6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r-Latn-R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6FF2"/>
    <w:pPr>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ED1F8D"/>
    <w:pPr>
      <w:outlineLvl w:val="0"/>
    </w:pPr>
    <w:rPr>
      <w:b/>
      <w:sz w:val="28"/>
      <w:szCs w:val="28"/>
    </w:rPr>
  </w:style>
  <w:style w:type="paragraph" w:styleId="Heading2">
    <w:name w:val="heading 2"/>
    <w:basedOn w:val="Normal"/>
    <w:next w:val="Normal"/>
    <w:link w:val="Heading2Char"/>
    <w:uiPriority w:val="9"/>
    <w:unhideWhenUsed/>
    <w:qFormat/>
    <w:rsid w:val="00ED1F8D"/>
    <w:pPr>
      <w:outlineLvl w:val="1"/>
    </w:pPr>
    <w:rPr>
      <w:b/>
      <w:sz w:val="26"/>
      <w:szCs w:val="26"/>
    </w:rPr>
  </w:style>
  <w:style w:type="paragraph" w:styleId="Heading3">
    <w:name w:val="heading 3"/>
    <w:basedOn w:val="Normal"/>
    <w:next w:val="Normal"/>
    <w:link w:val="Heading3Char"/>
    <w:uiPriority w:val="9"/>
    <w:unhideWhenUsed/>
    <w:qFormat/>
    <w:rsid w:val="00B80FCB"/>
    <w:pPr>
      <w:keepNext/>
      <w:keepLines/>
      <w:spacing w:before="120" w:after="120"/>
      <w:outlineLvl w:val="2"/>
    </w:pPr>
    <w:rPr>
      <w:rFonts w:eastAsiaTheme="majorEastAsia"/>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1F8D"/>
    <w:rPr>
      <w:rFonts w:ascii="Times New Roman" w:hAnsi="Times New Roman" w:cs="Times New Roman"/>
      <w:b/>
      <w:sz w:val="28"/>
      <w:szCs w:val="28"/>
    </w:rPr>
  </w:style>
  <w:style w:type="character" w:customStyle="1" w:styleId="Heading2Char">
    <w:name w:val="Heading 2 Char"/>
    <w:basedOn w:val="DefaultParagraphFont"/>
    <w:link w:val="Heading2"/>
    <w:uiPriority w:val="9"/>
    <w:rsid w:val="00ED1F8D"/>
    <w:rPr>
      <w:rFonts w:ascii="Times New Roman" w:hAnsi="Times New Roman" w:cs="Times New Roman"/>
      <w:b/>
      <w:sz w:val="26"/>
      <w:szCs w:val="26"/>
    </w:rPr>
  </w:style>
  <w:style w:type="character" w:customStyle="1" w:styleId="Heading3Char">
    <w:name w:val="Heading 3 Char"/>
    <w:basedOn w:val="DefaultParagraphFont"/>
    <w:link w:val="Heading3"/>
    <w:uiPriority w:val="9"/>
    <w:rsid w:val="00B80FCB"/>
    <w:rPr>
      <w:rFonts w:ascii="Times New Roman" w:eastAsiaTheme="majorEastAsia" w:hAnsi="Times New Roman" w:cs="Times New Roman"/>
      <w:b/>
      <w:i/>
      <w:sz w:val="24"/>
      <w:szCs w:val="24"/>
    </w:rPr>
  </w:style>
  <w:style w:type="paragraph" w:styleId="ListParagraph">
    <w:name w:val="List Paragraph"/>
    <w:basedOn w:val="Normal"/>
    <w:uiPriority w:val="34"/>
    <w:qFormat/>
    <w:rsid w:val="001A3870"/>
    <w:pPr>
      <w:ind w:left="720"/>
      <w:contextualSpacing/>
    </w:pPr>
  </w:style>
  <w:style w:type="table" w:customStyle="1" w:styleId="GridTable1Light1">
    <w:name w:val="Grid Table 1 Light1"/>
    <w:basedOn w:val="TableNormal"/>
    <w:uiPriority w:val="46"/>
    <w:rsid w:val="003B6A2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4-Accent11">
    <w:name w:val="Grid Table 4 - Accent 11"/>
    <w:basedOn w:val="TableNormal"/>
    <w:uiPriority w:val="49"/>
    <w:rsid w:val="003B6A2B"/>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leGrid">
    <w:name w:val="Table Grid"/>
    <w:basedOn w:val="TableNormal"/>
    <w:uiPriority w:val="39"/>
    <w:rsid w:val="00D910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11">
    <w:name w:val="Grid Table 1 Light - Accent 11"/>
    <w:basedOn w:val="TableNormal"/>
    <w:uiPriority w:val="46"/>
    <w:rsid w:val="00D91021"/>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GridTable4-Accent51">
    <w:name w:val="Grid Table 4 - Accent 51"/>
    <w:basedOn w:val="TableNormal"/>
    <w:uiPriority w:val="49"/>
    <w:rsid w:val="00576097"/>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Bibliography">
    <w:name w:val="Bibliography"/>
    <w:basedOn w:val="Normal"/>
    <w:next w:val="Normal"/>
    <w:uiPriority w:val="37"/>
    <w:unhideWhenUsed/>
    <w:rsid w:val="009D728A"/>
  </w:style>
  <w:style w:type="paragraph" w:styleId="BalloonText">
    <w:name w:val="Balloon Text"/>
    <w:basedOn w:val="Normal"/>
    <w:link w:val="BalloonTextChar"/>
    <w:uiPriority w:val="99"/>
    <w:semiHidden/>
    <w:unhideWhenUsed/>
    <w:rsid w:val="00C201F0"/>
    <w:pPr>
      <w:spacing w:after="0" w:line="240" w:lineRule="auto"/>
    </w:pPr>
    <w:rPr>
      <w:sz w:val="18"/>
      <w:szCs w:val="18"/>
    </w:rPr>
  </w:style>
  <w:style w:type="character" w:customStyle="1" w:styleId="BalloonTextChar">
    <w:name w:val="Balloon Text Char"/>
    <w:basedOn w:val="DefaultParagraphFont"/>
    <w:link w:val="BalloonText"/>
    <w:uiPriority w:val="99"/>
    <w:semiHidden/>
    <w:rsid w:val="00C201F0"/>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442A9A"/>
    <w:rPr>
      <w:sz w:val="16"/>
      <w:szCs w:val="16"/>
    </w:rPr>
  </w:style>
  <w:style w:type="paragraph" w:styleId="CommentText">
    <w:name w:val="annotation text"/>
    <w:basedOn w:val="Normal"/>
    <w:link w:val="CommentTextChar"/>
    <w:uiPriority w:val="99"/>
    <w:semiHidden/>
    <w:unhideWhenUsed/>
    <w:rsid w:val="00442A9A"/>
    <w:pPr>
      <w:spacing w:line="240" w:lineRule="auto"/>
    </w:pPr>
    <w:rPr>
      <w:sz w:val="20"/>
      <w:szCs w:val="20"/>
    </w:rPr>
  </w:style>
  <w:style w:type="character" w:customStyle="1" w:styleId="CommentTextChar">
    <w:name w:val="Comment Text Char"/>
    <w:basedOn w:val="DefaultParagraphFont"/>
    <w:link w:val="CommentText"/>
    <w:uiPriority w:val="99"/>
    <w:semiHidden/>
    <w:rsid w:val="00442A9A"/>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42A9A"/>
    <w:rPr>
      <w:b/>
      <w:bCs/>
    </w:rPr>
  </w:style>
  <w:style w:type="character" w:customStyle="1" w:styleId="CommentSubjectChar">
    <w:name w:val="Comment Subject Char"/>
    <w:basedOn w:val="CommentTextChar"/>
    <w:link w:val="CommentSubject"/>
    <w:uiPriority w:val="99"/>
    <w:semiHidden/>
    <w:rsid w:val="00442A9A"/>
    <w:rPr>
      <w:rFonts w:ascii="Times New Roman" w:hAnsi="Times New Roman" w:cs="Times New Roman"/>
      <w:b/>
      <w:bCs/>
      <w:sz w:val="20"/>
      <w:szCs w:val="20"/>
    </w:rPr>
  </w:style>
  <w:style w:type="paragraph" w:styleId="FootnoteText">
    <w:name w:val="footnote text"/>
    <w:basedOn w:val="Normal"/>
    <w:link w:val="FootnoteTextChar"/>
    <w:uiPriority w:val="99"/>
    <w:semiHidden/>
    <w:unhideWhenUsed/>
    <w:rsid w:val="004A322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A322E"/>
    <w:rPr>
      <w:rFonts w:ascii="Times New Roman" w:hAnsi="Times New Roman" w:cs="Times New Roman"/>
      <w:sz w:val="20"/>
      <w:szCs w:val="20"/>
    </w:rPr>
  </w:style>
  <w:style w:type="character" w:styleId="FootnoteReference">
    <w:name w:val="footnote reference"/>
    <w:basedOn w:val="DefaultParagraphFont"/>
    <w:uiPriority w:val="99"/>
    <w:semiHidden/>
    <w:unhideWhenUsed/>
    <w:rsid w:val="004A322E"/>
    <w:rPr>
      <w:vertAlign w:val="superscript"/>
    </w:rPr>
  </w:style>
  <w:style w:type="character" w:styleId="PlaceholderText">
    <w:name w:val="Placeholder Text"/>
    <w:basedOn w:val="DefaultParagraphFont"/>
    <w:uiPriority w:val="99"/>
    <w:semiHidden/>
    <w:rsid w:val="001E548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2290">
      <w:bodyDiv w:val="1"/>
      <w:marLeft w:val="0"/>
      <w:marRight w:val="0"/>
      <w:marTop w:val="0"/>
      <w:marBottom w:val="0"/>
      <w:divBdr>
        <w:top w:val="none" w:sz="0" w:space="0" w:color="auto"/>
        <w:left w:val="none" w:sz="0" w:space="0" w:color="auto"/>
        <w:bottom w:val="none" w:sz="0" w:space="0" w:color="auto"/>
        <w:right w:val="none" w:sz="0" w:space="0" w:color="auto"/>
      </w:divBdr>
    </w:div>
    <w:div w:id="5210111">
      <w:bodyDiv w:val="1"/>
      <w:marLeft w:val="0"/>
      <w:marRight w:val="0"/>
      <w:marTop w:val="0"/>
      <w:marBottom w:val="0"/>
      <w:divBdr>
        <w:top w:val="none" w:sz="0" w:space="0" w:color="auto"/>
        <w:left w:val="none" w:sz="0" w:space="0" w:color="auto"/>
        <w:bottom w:val="none" w:sz="0" w:space="0" w:color="auto"/>
        <w:right w:val="none" w:sz="0" w:space="0" w:color="auto"/>
      </w:divBdr>
    </w:div>
    <w:div w:id="28726500">
      <w:bodyDiv w:val="1"/>
      <w:marLeft w:val="0"/>
      <w:marRight w:val="0"/>
      <w:marTop w:val="0"/>
      <w:marBottom w:val="0"/>
      <w:divBdr>
        <w:top w:val="none" w:sz="0" w:space="0" w:color="auto"/>
        <w:left w:val="none" w:sz="0" w:space="0" w:color="auto"/>
        <w:bottom w:val="none" w:sz="0" w:space="0" w:color="auto"/>
        <w:right w:val="none" w:sz="0" w:space="0" w:color="auto"/>
      </w:divBdr>
    </w:div>
    <w:div w:id="36709223">
      <w:bodyDiv w:val="1"/>
      <w:marLeft w:val="0"/>
      <w:marRight w:val="0"/>
      <w:marTop w:val="0"/>
      <w:marBottom w:val="0"/>
      <w:divBdr>
        <w:top w:val="none" w:sz="0" w:space="0" w:color="auto"/>
        <w:left w:val="none" w:sz="0" w:space="0" w:color="auto"/>
        <w:bottom w:val="none" w:sz="0" w:space="0" w:color="auto"/>
        <w:right w:val="none" w:sz="0" w:space="0" w:color="auto"/>
      </w:divBdr>
    </w:div>
    <w:div w:id="45110774">
      <w:bodyDiv w:val="1"/>
      <w:marLeft w:val="0"/>
      <w:marRight w:val="0"/>
      <w:marTop w:val="0"/>
      <w:marBottom w:val="0"/>
      <w:divBdr>
        <w:top w:val="none" w:sz="0" w:space="0" w:color="auto"/>
        <w:left w:val="none" w:sz="0" w:space="0" w:color="auto"/>
        <w:bottom w:val="none" w:sz="0" w:space="0" w:color="auto"/>
        <w:right w:val="none" w:sz="0" w:space="0" w:color="auto"/>
      </w:divBdr>
    </w:div>
    <w:div w:id="68700964">
      <w:bodyDiv w:val="1"/>
      <w:marLeft w:val="0"/>
      <w:marRight w:val="0"/>
      <w:marTop w:val="0"/>
      <w:marBottom w:val="0"/>
      <w:divBdr>
        <w:top w:val="none" w:sz="0" w:space="0" w:color="auto"/>
        <w:left w:val="none" w:sz="0" w:space="0" w:color="auto"/>
        <w:bottom w:val="none" w:sz="0" w:space="0" w:color="auto"/>
        <w:right w:val="none" w:sz="0" w:space="0" w:color="auto"/>
      </w:divBdr>
    </w:div>
    <w:div w:id="74596363">
      <w:bodyDiv w:val="1"/>
      <w:marLeft w:val="0"/>
      <w:marRight w:val="0"/>
      <w:marTop w:val="0"/>
      <w:marBottom w:val="0"/>
      <w:divBdr>
        <w:top w:val="none" w:sz="0" w:space="0" w:color="auto"/>
        <w:left w:val="none" w:sz="0" w:space="0" w:color="auto"/>
        <w:bottom w:val="none" w:sz="0" w:space="0" w:color="auto"/>
        <w:right w:val="none" w:sz="0" w:space="0" w:color="auto"/>
      </w:divBdr>
    </w:div>
    <w:div w:id="75326338">
      <w:bodyDiv w:val="1"/>
      <w:marLeft w:val="0"/>
      <w:marRight w:val="0"/>
      <w:marTop w:val="0"/>
      <w:marBottom w:val="0"/>
      <w:divBdr>
        <w:top w:val="none" w:sz="0" w:space="0" w:color="auto"/>
        <w:left w:val="none" w:sz="0" w:space="0" w:color="auto"/>
        <w:bottom w:val="none" w:sz="0" w:space="0" w:color="auto"/>
        <w:right w:val="none" w:sz="0" w:space="0" w:color="auto"/>
      </w:divBdr>
    </w:div>
    <w:div w:id="108666689">
      <w:bodyDiv w:val="1"/>
      <w:marLeft w:val="0"/>
      <w:marRight w:val="0"/>
      <w:marTop w:val="0"/>
      <w:marBottom w:val="0"/>
      <w:divBdr>
        <w:top w:val="none" w:sz="0" w:space="0" w:color="auto"/>
        <w:left w:val="none" w:sz="0" w:space="0" w:color="auto"/>
        <w:bottom w:val="none" w:sz="0" w:space="0" w:color="auto"/>
        <w:right w:val="none" w:sz="0" w:space="0" w:color="auto"/>
      </w:divBdr>
    </w:div>
    <w:div w:id="113331878">
      <w:bodyDiv w:val="1"/>
      <w:marLeft w:val="0"/>
      <w:marRight w:val="0"/>
      <w:marTop w:val="0"/>
      <w:marBottom w:val="0"/>
      <w:divBdr>
        <w:top w:val="none" w:sz="0" w:space="0" w:color="auto"/>
        <w:left w:val="none" w:sz="0" w:space="0" w:color="auto"/>
        <w:bottom w:val="none" w:sz="0" w:space="0" w:color="auto"/>
        <w:right w:val="none" w:sz="0" w:space="0" w:color="auto"/>
      </w:divBdr>
    </w:div>
    <w:div w:id="132256543">
      <w:bodyDiv w:val="1"/>
      <w:marLeft w:val="0"/>
      <w:marRight w:val="0"/>
      <w:marTop w:val="0"/>
      <w:marBottom w:val="0"/>
      <w:divBdr>
        <w:top w:val="none" w:sz="0" w:space="0" w:color="auto"/>
        <w:left w:val="none" w:sz="0" w:space="0" w:color="auto"/>
        <w:bottom w:val="none" w:sz="0" w:space="0" w:color="auto"/>
        <w:right w:val="none" w:sz="0" w:space="0" w:color="auto"/>
      </w:divBdr>
    </w:div>
    <w:div w:id="154301084">
      <w:bodyDiv w:val="1"/>
      <w:marLeft w:val="0"/>
      <w:marRight w:val="0"/>
      <w:marTop w:val="0"/>
      <w:marBottom w:val="0"/>
      <w:divBdr>
        <w:top w:val="none" w:sz="0" w:space="0" w:color="auto"/>
        <w:left w:val="none" w:sz="0" w:space="0" w:color="auto"/>
        <w:bottom w:val="none" w:sz="0" w:space="0" w:color="auto"/>
        <w:right w:val="none" w:sz="0" w:space="0" w:color="auto"/>
      </w:divBdr>
    </w:div>
    <w:div w:id="176307800">
      <w:bodyDiv w:val="1"/>
      <w:marLeft w:val="0"/>
      <w:marRight w:val="0"/>
      <w:marTop w:val="0"/>
      <w:marBottom w:val="0"/>
      <w:divBdr>
        <w:top w:val="none" w:sz="0" w:space="0" w:color="auto"/>
        <w:left w:val="none" w:sz="0" w:space="0" w:color="auto"/>
        <w:bottom w:val="none" w:sz="0" w:space="0" w:color="auto"/>
        <w:right w:val="none" w:sz="0" w:space="0" w:color="auto"/>
      </w:divBdr>
    </w:div>
    <w:div w:id="192890657">
      <w:bodyDiv w:val="1"/>
      <w:marLeft w:val="0"/>
      <w:marRight w:val="0"/>
      <w:marTop w:val="0"/>
      <w:marBottom w:val="0"/>
      <w:divBdr>
        <w:top w:val="none" w:sz="0" w:space="0" w:color="auto"/>
        <w:left w:val="none" w:sz="0" w:space="0" w:color="auto"/>
        <w:bottom w:val="none" w:sz="0" w:space="0" w:color="auto"/>
        <w:right w:val="none" w:sz="0" w:space="0" w:color="auto"/>
      </w:divBdr>
    </w:div>
    <w:div w:id="194732087">
      <w:bodyDiv w:val="1"/>
      <w:marLeft w:val="0"/>
      <w:marRight w:val="0"/>
      <w:marTop w:val="0"/>
      <w:marBottom w:val="0"/>
      <w:divBdr>
        <w:top w:val="none" w:sz="0" w:space="0" w:color="auto"/>
        <w:left w:val="none" w:sz="0" w:space="0" w:color="auto"/>
        <w:bottom w:val="none" w:sz="0" w:space="0" w:color="auto"/>
        <w:right w:val="none" w:sz="0" w:space="0" w:color="auto"/>
      </w:divBdr>
    </w:div>
    <w:div w:id="211237953">
      <w:bodyDiv w:val="1"/>
      <w:marLeft w:val="0"/>
      <w:marRight w:val="0"/>
      <w:marTop w:val="0"/>
      <w:marBottom w:val="0"/>
      <w:divBdr>
        <w:top w:val="none" w:sz="0" w:space="0" w:color="auto"/>
        <w:left w:val="none" w:sz="0" w:space="0" w:color="auto"/>
        <w:bottom w:val="none" w:sz="0" w:space="0" w:color="auto"/>
        <w:right w:val="none" w:sz="0" w:space="0" w:color="auto"/>
      </w:divBdr>
    </w:div>
    <w:div w:id="212697055">
      <w:bodyDiv w:val="1"/>
      <w:marLeft w:val="0"/>
      <w:marRight w:val="0"/>
      <w:marTop w:val="0"/>
      <w:marBottom w:val="0"/>
      <w:divBdr>
        <w:top w:val="none" w:sz="0" w:space="0" w:color="auto"/>
        <w:left w:val="none" w:sz="0" w:space="0" w:color="auto"/>
        <w:bottom w:val="none" w:sz="0" w:space="0" w:color="auto"/>
        <w:right w:val="none" w:sz="0" w:space="0" w:color="auto"/>
      </w:divBdr>
    </w:div>
    <w:div w:id="230971566">
      <w:bodyDiv w:val="1"/>
      <w:marLeft w:val="0"/>
      <w:marRight w:val="0"/>
      <w:marTop w:val="0"/>
      <w:marBottom w:val="0"/>
      <w:divBdr>
        <w:top w:val="none" w:sz="0" w:space="0" w:color="auto"/>
        <w:left w:val="none" w:sz="0" w:space="0" w:color="auto"/>
        <w:bottom w:val="none" w:sz="0" w:space="0" w:color="auto"/>
        <w:right w:val="none" w:sz="0" w:space="0" w:color="auto"/>
      </w:divBdr>
    </w:div>
    <w:div w:id="256719279">
      <w:bodyDiv w:val="1"/>
      <w:marLeft w:val="0"/>
      <w:marRight w:val="0"/>
      <w:marTop w:val="0"/>
      <w:marBottom w:val="0"/>
      <w:divBdr>
        <w:top w:val="none" w:sz="0" w:space="0" w:color="auto"/>
        <w:left w:val="none" w:sz="0" w:space="0" w:color="auto"/>
        <w:bottom w:val="none" w:sz="0" w:space="0" w:color="auto"/>
        <w:right w:val="none" w:sz="0" w:space="0" w:color="auto"/>
      </w:divBdr>
    </w:div>
    <w:div w:id="258831326">
      <w:bodyDiv w:val="1"/>
      <w:marLeft w:val="0"/>
      <w:marRight w:val="0"/>
      <w:marTop w:val="0"/>
      <w:marBottom w:val="0"/>
      <w:divBdr>
        <w:top w:val="none" w:sz="0" w:space="0" w:color="auto"/>
        <w:left w:val="none" w:sz="0" w:space="0" w:color="auto"/>
        <w:bottom w:val="none" w:sz="0" w:space="0" w:color="auto"/>
        <w:right w:val="none" w:sz="0" w:space="0" w:color="auto"/>
      </w:divBdr>
    </w:div>
    <w:div w:id="294796090">
      <w:bodyDiv w:val="1"/>
      <w:marLeft w:val="0"/>
      <w:marRight w:val="0"/>
      <w:marTop w:val="0"/>
      <w:marBottom w:val="0"/>
      <w:divBdr>
        <w:top w:val="none" w:sz="0" w:space="0" w:color="auto"/>
        <w:left w:val="none" w:sz="0" w:space="0" w:color="auto"/>
        <w:bottom w:val="none" w:sz="0" w:space="0" w:color="auto"/>
        <w:right w:val="none" w:sz="0" w:space="0" w:color="auto"/>
      </w:divBdr>
    </w:div>
    <w:div w:id="319504380">
      <w:bodyDiv w:val="1"/>
      <w:marLeft w:val="0"/>
      <w:marRight w:val="0"/>
      <w:marTop w:val="0"/>
      <w:marBottom w:val="0"/>
      <w:divBdr>
        <w:top w:val="none" w:sz="0" w:space="0" w:color="auto"/>
        <w:left w:val="none" w:sz="0" w:space="0" w:color="auto"/>
        <w:bottom w:val="none" w:sz="0" w:space="0" w:color="auto"/>
        <w:right w:val="none" w:sz="0" w:space="0" w:color="auto"/>
      </w:divBdr>
    </w:div>
    <w:div w:id="323706611">
      <w:bodyDiv w:val="1"/>
      <w:marLeft w:val="0"/>
      <w:marRight w:val="0"/>
      <w:marTop w:val="0"/>
      <w:marBottom w:val="0"/>
      <w:divBdr>
        <w:top w:val="none" w:sz="0" w:space="0" w:color="auto"/>
        <w:left w:val="none" w:sz="0" w:space="0" w:color="auto"/>
        <w:bottom w:val="none" w:sz="0" w:space="0" w:color="auto"/>
        <w:right w:val="none" w:sz="0" w:space="0" w:color="auto"/>
      </w:divBdr>
    </w:div>
    <w:div w:id="328799340">
      <w:bodyDiv w:val="1"/>
      <w:marLeft w:val="0"/>
      <w:marRight w:val="0"/>
      <w:marTop w:val="0"/>
      <w:marBottom w:val="0"/>
      <w:divBdr>
        <w:top w:val="none" w:sz="0" w:space="0" w:color="auto"/>
        <w:left w:val="none" w:sz="0" w:space="0" w:color="auto"/>
        <w:bottom w:val="none" w:sz="0" w:space="0" w:color="auto"/>
        <w:right w:val="none" w:sz="0" w:space="0" w:color="auto"/>
      </w:divBdr>
    </w:div>
    <w:div w:id="368654266">
      <w:bodyDiv w:val="1"/>
      <w:marLeft w:val="0"/>
      <w:marRight w:val="0"/>
      <w:marTop w:val="0"/>
      <w:marBottom w:val="0"/>
      <w:divBdr>
        <w:top w:val="none" w:sz="0" w:space="0" w:color="auto"/>
        <w:left w:val="none" w:sz="0" w:space="0" w:color="auto"/>
        <w:bottom w:val="none" w:sz="0" w:space="0" w:color="auto"/>
        <w:right w:val="none" w:sz="0" w:space="0" w:color="auto"/>
      </w:divBdr>
    </w:div>
    <w:div w:id="373120942">
      <w:bodyDiv w:val="1"/>
      <w:marLeft w:val="0"/>
      <w:marRight w:val="0"/>
      <w:marTop w:val="0"/>
      <w:marBottom w:val="0"/>
      <w:divBdr>
        <w:top w:val="none" w:sz="0" w:space="0" w:color="auto"/>
        <w:left w:val="none" w:sz="0" w:space="0" w:color="auto"/>
        <w:bottom w:val="none" w:sz="0" w:space="0" w:color="auto"/>
        <w:right w:val="none" w:sz="0" w:space="0" w:color="auto"/>
      </w:divBdr>
    </w:div>
    <w:div w:id="420368584">
      <w:bodyDiv w:val="1"/>
      <w:marLeft w:val="0"/>
      <w:marRight w:val="0"/>
      <w:marTop w:val="0"/>
      <w:marBottom w:val="0"/>
      <w:divBdr>
        <w:top w:val="none" w:sz="0" w:space="0" w:color="auto"/>
        <w:left w:val="none" w:sz="0" w:space="0" w:color="auto"/>
        <w:bottom w:val="none" w:sz="0" w:space="0" w:color="auto"/>
        <w:right w:val="none" w:sz="0" w:space="0" w:color="auto"/>
      </w:divBdr>
    </w:div>
    <w:div w:id="422338579">
      <w:bodyDiv w:val="1"/>
      <w:marLeft w:val="0"/>
      <w:marRight w:val="0"/>
      <w:marTop w:val="0"/>
      <w:marBottom w:val="0"/>
      <w:divBdr>
        <w:top w:val="none" w:sz="0" w:space="0" w:color="auto"/>
        <w:left w:val="none" w:sz="0" w:space="0" w:color="auto"/>
        <w:bottom w:val="none" w:sz="0" w:space="0" w:color="auto"/>
        <w:right w:val="none" w:sz="0" w:space="0" w:color="auto"/>
      </w:divBdr>
    </w:div>
    <w:div w:id="453326998">
      <w:bodyDiv w:val="1"/>
      <w:marLeft w:val="0"/>
      <w:marRight w:val="0"/>
      <w:marTop w:val="0"/>
      <w:marBottom w:val="0"/>
      <w:divBdr>
        <w:top w:val="none" w:sz="0" w:space="0" w:color="auto"/>
        <w:left w:val="none" w:sz="0" w:space="0" w:color="auto"/>
        <w:bottom w:val="none" w:sz="0" w:space="0" w:color="auto"/>
        <w:right w:val="none" w:sz="0" w:space="0" w:color="auto"/>
      </w:divBdr>
    </w:div>
    <w:div w:id="500970591">
      <w:bodyDiv w:val="1"/>
      <w:marLeft w:val="0"/>
      <w:marRight w:val="0"/>
      <w:marTop w:val="0"/>
      <w:marBottom w:val="0"/>
      <w:divBdr>
        <w:top w:val="none" w:sz="0" w:space="0" w:color="auto"/>
        <w:left w:val="none" w:sz="0" w:space="0" w:color="auto"/>
        <w:bottom w:val="none" w:sz="0" w:space="0" w:color="auto"/>
        <w:right w:val="none" w:sz="0" w:space="0" w:color="auto"/>
      </w:divBdr>
    </w:div>
    <w:div w:id="517044565">
      <w:bodyDiv w:val="1"/>
      <w:marLeft w:val="0"/>
      <w:marRight w:val="0"/>
      <w:marTop w:val="0"/>
      <w:marBottom w:val="0"/>
      <w:divBdr>
        <w:top w:val="none" w:sz="0" w:space="0" w:color="auto"/>
        <w:left w:val="none" w:sz="0" w:space="0" w:color="auto"/>
        <w:bottom w:val="none" w:sz="0" w:space="0" w:color="auto"/>
        <w:right w:val="none" w:sz="0" w:space="0" w:color="auto"/>
      </w:divBdr>
    </w:div>
    <w:div w:id="521015005">
      <w:bodyDiv w:val="1"/>
      <w:marLeft w:val="0"/>
      <w:marRight w:val="0"/>
      <w:marTop w:val="0"/>
      <w:marBottom w:val="0"/>
      <w:divBdr>
        <w:top w:val="none" w:sz="0" w:space="0" w:color="auto"/>
        <w:left w:val="none" w:sz="0" w:space="0" w:color="auto"/>
        <w:bottom w:val="none" w:sz="0" w:space="0" w:color="auto"/>
        <w:right w:val="none" w:sz="0" w:space="0" w:color="auto"/>
      </w:divBdr>
    </w:div>
    <w:div w:id="523907161">
      <w:bodyDiv w:val="1"/>
      <w:marLeft w:val="0"/>
      <w:marRight w:val="0"/>
      <w:marTop w:val="0"/>
      <w:marBottom w:val="0"/>
      <w:divBdr>
        <w:top w:val="none" w:sz="0" w:space="0" w:color="auto"/>
        <w:left w:val="none" w:sz="0" w:space="0" w:color="auto"/>
        <w:bottom w:val="none" w:sz="0" w:space="0" w:color="auto"/>
        <w:right w:val="none" w:sz="0" w:space="0" w:color="auto"/>
      </w:divBdr>
    </w:div>
    <w:div w:id="524053030">
      <w:bodyDiv w:val="1"/>
      <w:marLeft w:val="0"/>
      <w:marRight w:val="0"/>
      <w:marTop w:val="0"/>
      <w:marBottom w:val="0"/>
      <w:divBdr>
        <w:top w:val="none" w:sz="0" w:space="0" w:color="auto"/>
        <w:left w:val="none" w:sz="0" w:space="0" w:color="auto"/>
        <w:bottom w:val="none" w:sz="0" w:space="0" w:color="auto"/>
        <w:right w:val="none" w:sz="0" w:space="0" w:color="auto"/>
      </w:divBdr>
    </w:div>
    <w:div w:id="549266077">
      <w:bodyDiv w:val="1"/>
      <w:marLeft w:val="0"/>
      <w:marRight w:val="0"/>
      <w:marTop w:val="0"/>
      <w:marBottom w:val="0"/>
      <w:divBdr>
        <w:top w:val="none" w:sz="0" w:space="0" w:color="auto"/>
        <w:left w:val="none" w:sz="0" w:space="0" w:color="auto"/>
        <w:bottom w:val="none" w:sz="0" w:space="0" w:color="auto"/>
        <w:right w:val="none" w:sz="0" w:space="0" w:color="auto"/>
      </w:divBdr>
    </w:div>
    <w:div w:id="560334284">
      <w:bodyDiv w:val="1"/>
      <w:marLeft w:val="0"/>
      <w:marRight w:val="0"/>
      <w:marTop w:val="0"/>
      <w:marBottom w:val="0"/>
      <w:divBdr>
        <w:top w:val="none" w:sz="0" w:space="0" w:color="auto"/>
        <w:left w:val="none" w:sz="0" w:space="0" w:color="auto"/>
        <w:bottom w:val="none" w:sz="0" w:space="0" w:color="auto"/>
        <w:right w:val="none" w:sz="0" w:space="0" w:color="auto"/>
      </w:divBdr>
    </w:div>
    <w:div w:id="586887037">
      <w:bodyDiv w:val="1"/>
      <w:marLeft w:val="0"/>
      <w:marRight w:val="0"/>
      <w:marTop w:val="0"/>
      <w:marBottom w:val="0"/>
      <w:divBdr>
        <w:top w:val="none" w:sz="0" w:space="0" w:color="auto"/>
        <w:left w:val="none" w:sz="0" w:space="0" w:color="auto"/>
        <w:bottom w:val="none" w:sz="0" w:space="0" w:color="auto"/>
        <w:right w:val="none" w:sz="0" w:space="0" w:color="auto"/>
      </w:divBdr>
    </w:div>
    <w:div w:id="638414739">
      <w:bodyDiv w:val="1"/>
      <w:marLeft w:val="0"/>
      <w:marRight w:val="0"/>
      <w:marTop w:val="0"/>
      <w:marBottom w:val="0"/>
      <w:divBdr>
        <w:top w:val="none" w:sz="0" w:space="0" w:color="auto"/>
        <w:left w:val="none" w:sz="0" w:space="0" w:color="auto"/>
        <w:bottom w:val="none" w:sz="0" w:space="0" w:color="auto"/>
        <w:right w:val="none" w:sz="0" w:space="0" w:color="auto"/>
      </w:divBdr>
    </w:div>
    <w:div w:id="650138768">
      <w:bodyDiv w:val="1"/>
      <w:marLeft w:val="0"/>
      <w:marRight w:val="0"/>
      <w:marTop w:val="0"/>
      <w:marBottom w:val="0"/>
      <w:divBdr>
        <w:top w:val="none" w:sz="0" w:space="0" w:color="auto"/>
        <w:left w:val="none" w:sz="0" w:space="0" w:color="auto"/>
        <w:bottom w:val="none" w:sz="0" w:space="0" w:color="auto"/>
        <w:right w:val="none" w:sz="0" w:space="0" w:color="auto"/>
      </w:divBdr>
    </w:div>
    <w:div w:id="683440979">
      <w:bodyDiv w:val="1"/>
      <w:marLeft w:val="0"/>
      <w:marRight w:val="0"/>
      <w:marTop w:val="0"/>
      <w:marBottom w:val="0"/>
      <w:divBdr>
        <w:top w:val="none" w:sz="0" w:space="0" w:color="auto"/>
        <w:left w:val="none" w:sz="0" w:space="0" w:color="auto"/>
        <w:bottom w:val="none" w:sz="0" w:space="0" w:color="auto"/>
        <w:right w:val="none" w:sz="0" w:space="0" w:color="auto"/>
      </w:divBdr>
    </w:div>
    <w:div w:id="692027017">
      <w:bodyDiv w:val="1"/>
      <w:marLeft w:val="0"/>
      <w:marRight w:val="0"/>
      <w:marTop w:val="0"/>
      <w:marBottom w:val="0"/>
      <w:divBdr>
        <w:top w:val="none" w:sz="0" w:space="0" w:color="auto"/>
        <w:left w:val="none" w:sz="0" w:space="0" w:color="auto"/>
        <w:bottom w:val="none" w:sz="0" w:space="0" w:color="auto"/>
        <w:right w:val="none" w:sz="0" w:space="0" w:color="auto"/>
      </w:divBdr>
    </w:div>
    <w:div w:id="692609931">
      <w:bodyDiv w:val="1"/>
      <w:marLeft w:val="0"/>
      <w:marRight w:val="0"/>
      <w:marTop w:val="0"/>
      <w:marBottom w:val="0"/>
      <w:divBdr>
        <w:top w:val="none" w:sz="0" w:space="0" w:color="auto"/>
        <w:left w:val="none" w:sz="0" w:space="0" w:color="auto"/>
        <w:bottom w:val="none" w:sz="0" w:space="0" w:color="auto"/>
        <w:right w:val="none" w:sz="0" w:space="0" w:color="auto"/>
      </w:divBdr>
    </w:div>
    <w:div w:id="714089235">
      <w:bodyDiv w:val="1"/>
      <w:marLeft w:val="0"/>
      <w:marRight w:val="0"/>
      <w:marTop w:val="0"/>
      <w:marBottom w:val="0"/>
      <w:divBdr>
        <w:top w:val="none" w:sz="0" w:space="0" w:color="auto"/>
        <w:left w:val="none" w:sz="0" w:space="0" w:color="auto"/>
        <w:bottom w:val="none" w:sz="0" w:space="0" w:color="auto"/>
        <w:right w:val="none" w:sz="0" w:space="0" w:color="auto"/>
      </w:divBdr>
    </w:div>
    <w:div w:id="720592094">
      <w:bodyDiv w:val="1"/>
      <w:marLeft w:val="0"/>
      <w:marRight w:val="0"/>
      <w:marTop w:val="0"/>
      <w:marBottom w:val="0"/>
      <w:divBdr>
        <w:top w:val="none" w:sz="0" w:space="0" w:color="auto"/>
        <w:left w:val="none" w:sz="0" w:space="0" w:color="auto"/>
        <w:bottom w:val="none" w:sz="0" w:space="0" w:color="auto"/>
        <w:right w:val="none" w:sz="0" w:space="0" w:color="auto"/>
      </w:divBdr>
    </w:div>
    <w:div w:id="723412033">
      <w:bodyDiv w:val="1"/>
      <w:marLeft w:val="0"/>
      <w:marRight w:val="0"/>
      <w:marTop w:val="0"/>
      <w:marBottom w:val="0"/>
      <w:divBdr>
        <w:top w:val="none" w:sz="0" w:space="0" w:color="auto"/>
        <w:left w:val="none" w:sz="0" w:space="0" w:color="auto"/>
        <w:bottom w:val="none" w:sz="0" w:space="0" w:color="auto"/>
        <w:right w:val="none" w:sz="0" w:space="0" w:color="auto"/>
      </w:divBdr>
    </w:div>
    <w:div w:id="734620607">
      <w:bodyDiv w:val="1"/>
      <w:marLeft w:val="0"/>
      <w:marRight w:val="0"/>
      <w:marTop w:val="0"/>
      <w:marBottom w:val="0"/>
      <w:divBdr>
        <w:top w:val="none" w:sz="0" w:space="0" w:color="auto"/>
        <w:left w:val="none" w:sz="0" w:space="0" w:color="auto"/>
        <w:bottom w:val="none" w:sz="0" w:space="0" w:color="auto"/>
        <w:right w:val="none" w:sz="0" w:space="0" w:color="auto"/>
      </w:divBdr>
    </w:div>
    <w:div w:id="750542734">
      <w:bodyDiv w:val="1"/>
      <w:marLeft w:val="0"/>
      <w:marRight w:val="0"/>
      <w:marTop w:val="0"/>
      <w:marBottom w:val="0"/>
      <w:divBdr>
        <w:top w:val="none" w:sz="0" w:space="0" w:color="auto"/>
        <w:left w:val="none" w:sz="0" w:space="0" w:color="auto"/>
        <w:bottom w:val="none" w:sz="0" w:space="0" w:color="auto"/>
        <w:right w:val="none" w:sz="0" w:space="0" w:color="auto"/>
      </w:divBdr>
    </w:div>
    <w:div w:id="750657590">
      <w:bodyDiv w:val="1"/>
      <w:marLeft w:val="0"/>
      <w:marRight w:val="0"/>
      <w:marTop w:val="0"/>
      <w:marBottom w:val="0"/>
      <w:divBdr>
        <w:top w:val="none" w:sz="0" w:space="0" w:color="auto"/>
        <w:left w:val="none" w:sz="0" w:space="0" w:color="auto"/>
        <w:bottom w:val="none" w:sz="0" w:space="0" w:color="auto"/>
        <w:right w:val="none" w:sz="0" w:space="0" w:color="auto"/>
      </w:divBdr>
    </w:div>
    <w:div w:id="802037991">
      <w:bodyDiv w:val="1"/>
      <w:marLeft w:val="0"/>
      <w:marRight w:val="0"/>
      <w:marTop w:val="0"/>
      <w:marBottom w:val="0"/>
      <w:divBdr>
        <w:top w:val="none" w:sz="0" w:space="0" w:color="auto"/>
        <w:left w:val="none" w:sz="0" w:space="0" w:color="auto"/>
        <w:bottom w:val="none" w:sz="0" w:space="0" w:color="auto"/>
        <w:right w:val="none" w:sz="0" w:space="0" w:color="auto"/>
      </w:divBdr>
    </w:div>
    <w:div w:id="818964356">
      <w:bodyDiv w:val="1"/>
      <w:marLeft w:val="0"/>
      <w:marRight w:val="0"/>
      <w:marTop w:val="0"/>
      <w:marBottom w:val="0"/>
      <w:divBdr>
        <w:top w:val="none" w:sz="0" w:space="0" w:color="auto"/>
        <w:left w:val="none" w:sz="0" w:space="0" w:color="auto"/>
        <w:bottom w:val="none" w:sz="0" w:space="0" w:color="auto"/>
        <w:right w:val="none" w:sz="0" w:space="0" w:color="auto"/>
      </w:divBdr>
    </w:div>
    <w:div w:id="906383330">
      <w:bodyDiv w:val="1"/>
      <w:marLeft w:val="0"/>
      <w:marRight w:val="0"/>
      <w:marTop w:val="0"/>
      <w:marBottom w:val="0"/>
      <w:divBdr>
        <w:top w:val="none" w:sz="0" w:space="0" w:color="auto"/>
        <w:left w:val="none" w:sz="0" w:space="0" w:color="auto"/>
        <w:bottom w:val="none" w:sz="0" w:space="0" w:color="auto"/>
        <w:right w:val="none" w:sz="0" w:space="0" w:color="auto"/>
      </w:divBdr>
    </w:div>
    <w:div w:id="906962368">
      <w:bodyDiv w:val="1"/>
      <w:marLeft w:val="0"/>
      <w:marRight w:val="0"/>
      <w:marTop w:val="0"/>
      <w:marBottom w:val="0"/>
      <w:divBdr>
        <w:top w:val="none" w:sz="0" w:space="0" w:color="auto"/>
        <w:left w:val="none" w:sz="0" w:space="0" w:color="auto"/>
        <w:bottom w:val="none" w:sz="0" w:space="0" w:color="auto"/>
        <w:right w:val="none" w:sz="0" w:space="0" w:color="auto"/>
      </w:divBdr>
    </w:div>
    <w:div w:id="937060483">
      <w:bodyDiv w:val="1"/>
      <w:marLeft w:val="0"/>
      <w:marRight w:val="0"/>
      <w:marTop w:val="0"/>
      <w:marBottom w:val="0"/>
      <w:divBdr>
        <w:top w:val="none" w:sz="0" w:space="0" w:color="auto"/>
        <w:left w:val="none" w:sz="0" w:space="0" w:color="auto"/>
        <w:bottom w:val="none" w:sz="0" w:space="0" w:color="auto"/>
        <w:right w:val="none" w:sz="0" w:space="0" w:color="auto"/>
      </w:divBdr>
    </w:div>
    <w:div w:id="984580021">
      <w:bodyDiv w:val="1"/>
      <w:marLeft w:val="0"/>
      <w:marRight w:val="0"/>
      <w:marTop w:val="0"/>
      <w:marBottom w:val="0"/>
      <w:divBdr>
        <w:top w:val="none" w:sz="0" w:space="0" w:color="auto"/>
        <w:left w:val="none" w:sz="0" w:space="0" w:color="auto"/>
        <w:bottom w:val="none" w:sz="0" w:space="0" w:color="auto"/>
        <w:right w:val="none" w:sz="0" w:space="0" w:color="auto"/>
      </w:divBdr>
    </w:div>
    <w:div w:id="1000697392">
      <w:bodyDiv w:val="1"/>
      <w:marLeft w:val="0"/>
      <w:marRight w:val="0"/>
      <w:marTop w:val="0"/>
      <w:marBottom w:val="0"/>
      <w:divBdr>
        <w:top w:val="none" w:sz="0" w:space="0" w:color="auto"/>
        <w:left w:val="none" w:sz="0" w:space="0" w:color="auto"/>
        <w:bottom w:val="none" w:sz="0" w:space="0" w:color="auto"/>
        <w:right w:val="none" w:sz="0" w:space="0" w:color="auto"/>
      </w:divBdr>
    </w:div>
    <w:div w:id="1003893669">
      <w:bodyDiv w:val="1"/>
      <w:marLeft w:val="0"/>
      <w:marRight w:val="0"/>
      <w:marTop w:val="0"/>
      <w:marBottom w:val="0"/>
      <w:divBdr>
        <w:top w:val="none" w:sz="0" w:space="0" w:color="auto"/>
        <w:left w:val="none" w:sz="0" w:space="0" w:color="auto"/>
        <w:bottom w:val="none" w:sz="0" w:space="0" w:color="auto"/>
        <w:right w:val="none" w:sz="0" w:space="0" w:color="auto"/>
      </w:divBdr>
    </w:div>
    <w:div w:id="1005128513">
      <w:bodyDiv w:val="1"/>
      <w:marLeft w:val="0"/>
      <w:marRight w:val="0"/>
      <w:marTop w:val="0"/>
      <w:marBottom w:val="0"/>
      <w:divBdr>
        <w:top w:val="none" w:sz="0" w:space="0" w:color="auto"/>
        <w:left w:val="none" w:sz="0" w:space="0" w:color="auto"/>
        <w:bottom w:val="none" w:sz="0" w:space="0" w:color="auto"/>
        <w:right w:val="none" w:sz="0" w:space="0" w:color="auto"/>
      </w:divBdr>
    </w:div>
    <w:div w:id="1012293474">
      <w:bodyDiv w:val="1"/>
      <w:marLeft w:val="0"/>
      <w:marRight w:val="0"/>
      <w:marTop w:val="0"/>
      <w:marBottom w:val="0"/>
      <w:divBdr>
        <w:top w:val="none" w:sz="0" w:space="0" w:color="auto"/>
        <w:left w:val="none" w:sz="0" w:space="0" w:color="auto"/>
        <w:bottom w:val="none" w:sz="0" w:space="0" w:color="auto"/>
        <w:right w:val="none" w:sz="0" w:space="0" w:color="auto"/>
      </w:divBdr>
    </w:div>
    <w:div w:id="1057242463">
      <w:bodyDiv w:val="1"/>
      <w:marLeft w:val="0"/>
      <w:marRight w:val="0"/>
      <w:marTop w:val="0"/>
      <w:marBottom w:val="0"/>
      <w:divBdr>
        <w:top w:val="none" w:sz="0" w:space="0" w:color="auto"/>
        <w:left w:val="none" w:sz="0" w:space="0" w:color="auto"/>
        <w:bottom w:val="none" w:sz="0" w:space="0" w:color="auto"/>
        <w:right w:val="none" w:sz="0" w:space="0" w:color="auto"/>
      </w:divBdr>
    </w:div>
    <w:div w:id="1061371285">
      <w:bodyDiv w:val="1"/>
      <w:marLeft w:val="0"/>
      <w:marRight w:val="0"/>
      <w:marTop w:val="0"/>
      <w:marBottom w:val="0"/>
      <w:divBdr>
        <w:top w:val="none" w:sz="0" w:space="0" w:color="auto"/>
        <w:left w:val="none" w:sz="0" w:space="0" w:color="auto"/>
        <w:bottom w:val="none" w:sz="0" w:space="0" w:color="auto"/>
        <w:right w:val="none" w:sz="0" w:space="0" w:color="auto"/>
      </w:divBdr>
    </w:div>
    <w:div w:id="1072891629">
      <w:bodyDiv w:val="1"/>
      <w:marLeft w:val="0"/>
      <w:marRight w:val="0"/>
      <w:marTop w:val="0"/>
      <w:marBottom w:val="0"/>
      <w:divBdr>
        <w:top w:val="none" w:sz="0" w:space="0" w:color="auto"/>
        <w:left w:val="none" w:sz="0" w:space="0" w:color="auto"/>
        <w:bottom w:val="none" w:sz="0" w:space="0" w:color="auto"/>
        <w:right w:val="none" w:sz="0" w:space="0" w:color="auto"/>
      </w:divBdr>
    </w:div>
    <w:div w:id="1098136143">
      <w:bodyDiv w:val="1"/>
      <w:marLeft w:val="0"/>
      <w:marRight w:val="0"/>
      <w:marTop w:val="0"/>
      <w:marBottom w:val="0"/>
      <w:divBdr>
        <w:top w:val="none" w:sz="0" w:space="0" w:color="auto"/>
        <w:left w:val="none" w:sz="0" w:space="0" w:color="auto"/>
        <w:bottom w:val="none" w:sz="0" w:space="0" w:color="auto"/>
        <w:right w:val="none" w:sz="0" w:space="0" w:color="auto"/>
      </w:divBdr>
    </w:div>
    <w:div w:id="1108156558">
      <w:bodyDiv w:val="1"/>
      <w:marLeft w:val="0"/>
      <w:marRight w:val="0"/>
      <w:marTop w:val="0"/>
      <w:marBottom w:val="0"/>
      <w:divBdr>
        <w:top w:val="none" w:sz="0" w:space="0" w:color="auto"/>
        <w:left w:val="none" w:sz="0" w:space="0" w:color="auto"/>
        <w:bottom w:val="none" w:sz="0" w:space="0" w:color="auto"/>
        <w:right w:val="none" w:sz="0" w:space="0" w:color="auto"/>
      </w:divBdr>
    </w:div>
    <w:div w:id="1137798312">
      <w:bodyDiv w:val="1"/>
      <w:marLeft w:val="0"/>
      <w:marRight w:val="0"/>
      <w:marTop w:val="0"/>
      <w:marBottom w:val="0"/>
      <w:divBdr>
        <w:top w:val="none" w:sz="0" w:space="0" w:color="auto"/>
        <w:left w:val="none" w:sz="0" w:space="0" w:color="auto"/>
        <w:bottom w:val="none" w:sz="0" w:space="0" w:color="auto"/>
        <w:right w:val="none" w:sz="0" w:space="0" w:color="auto"/>
      </w:divBdr>
    </w:div>
    <w:div w:id="1139767587">
      <w:bodyDiv w:val="1"/>
      <w:marLeft w:val="0"/>
      <w:marRight w:val="0"/>
      <w:marTop w:val="0"/>
      <w:marBottom w:val="0"/>
      <w:divBdr>
        <w:top w:val="none" w:sz="0" w:space="0" w:color="auto"/>
        <w:left w:val="none" w:sz="0" w:space="0" w:color="auto"/>
        <w:bottom w:val="none" w:sz="0" w:space="0" w:color="auto"/>
        <w:right w:val="none" w:sz="0" w:space="0" w:color="auto"/>
      </w:divBdr>
    </w:div>
    <w:div w:id="1146780386">
      <w:bodyDiv w:val="1"/>
      <w:marLeft w:val="0"/>
      <w:marRight w:val="0"/>
      <w:marTop w:val="0"/>
      <w:marBottom w:val="0"/>
      <w:divBdr>
        <w:top w:val="none" w:sz="0" w:space="0" w:color="auto"/>
        <w:left w:val="none" w:sz="0" w:space="0" w:color="auto"/>
        <w:bottom w:val="none" w:sz="0" w:space="0" w:color="auto"/>
        <w:right w:val="none" w:sz="0" w:space="0" w:color="auto"/>
      </w:divBdr>
    </w:div>
    <w:div w:id="1173838530">
      <w:bodyDiv w:val="1"/>
      <w:marLeft w:val="0"/>
      <w:marRight w:val="0"/>
      <w:marTop w:val="0"/>
      <w:marBottom w:val="0"/>
      <w:divBdr>
        <w:top w:val="none" w:sz="0" w:space="0" w:color="auto"/>
        <w:left w:val="none" w:sz="0" w:space="0" w:color="auto"/>
        <w:bottom w:val="none" w:sz="0" w:space="0" w:color="auto"/>
        <w:right w:val="none" w:sz="0" w:space="0" w:color="auto"/>
      </w:divBdr>
    </w:div>
    <w:div w:id="1190340074">
      <w:bodyDiv w:val="1"/>
      <w:marLeft w:val="0"/>
      <w:marRight w:val="0"/>
      <w:marTop w:val="0"/>
      <w:marBottom w:val="0"/>
      <w:divBdr>
        <w:top w:val="none" w:sz="0" w:space="0" w:color="auto"/>
        <w:left w:val="none" w:sz="0" w:space="0" w:color="auto"/>
        <w:bottom w:val="none" w:sz="0" w:space="0" w:color="auto"/>
        <w:right w:val="none" w:sz="0" w:space="0" w:color="auto"/>
      </w:divBdr>
    </w:div>
    <w:div w:id="1199775242">
      <w:bodyDiv w:val="1"/>
      <w:marLeft w:val="0"/>
      <w:marRight w:val="0"/>
      <w:marTop w:val="0"/>
      <w:marBottom w:val="0"/>
      <w:divBdr>
        <w:top w:val="none" w:sz="0" w:space="0" w:color="auto"/>
        <w:left w:val="none" w:sz="0" w:space="0" w:color="auto"/>
        <w:bottom w:val="none" w:sz="0" w:space="0" w:color="auto"/>
        <w:right w:val="none" w:sz="0" w:space="0" w:color="auto"/>
      </w:divBdr>
    </w:div>
    <w:div w:id="1241410121">
      <w:bodyDiv w:val="1"/>
      <w:marLeft w:val="0"/>
      <w:marRight w:val="0"/>
      <w:marTop w:val="0"/>
      <w:marBottom w:val="0"/>
      <w:divBdr>
        <w:top w:val="none" w:sz="0" w:space="0" w:color="auto"/>
        <w:left w:val="none" w:sz="0" w:space="0" w:color="auto"/>
        <w:bottom w:val="none" w:sz="0" w:space="0" w:color="auto"/>
        <w:right w:val="none" w:sz="0" w:space="0" w:color="auto"/>
      </w:divBdr>
    </w:div>
    <w:div w:id="1282305709">
      <w:bodyDiv w:val="1"/>
      <w:marLeft w:val="0"/>
      <w:marRight w:val="0"/>
      <w:marTop w:val="0"/>
      <w:marBottom w:val="0"/>
      <w:divBdr>
        <w:top w:val="none" w:sz="0" w:space="0" w:color="auto"/>
        <w:left w:val="none" w:sz="0" w:space="0" w:color="auto"/>
        <w:bottom w:val="none" w:sz="0" w:space="0" w:color="auto"/>
        <w:right w:val="none" w:sz="0" w:space="0" w:color="auto"/>
      </w:divBdr>
    </w:div>
    <w:div w:id="1354767522">
      <w:bodyDiv w:val="1"/>
      <w:marLeft w:val="0"/>
      <w:marRight w:val="0"/>
      <w:marTop w:val="0"/>
      <w:marBottom w:val="0"/>
      <w:divBdr>
        <w:top w:val="none" w:sz="0" w:space="0" w:color="auto"/>
        <w:left w:val="none" w:sz="0" w:space="0" w:color="auto"/>
        <w:bottom w:val="none" w:sz="0" w:space="0" w:color="auto"/>
        <w:right w:val="none" w:sz="0" w:space="0" w:color="auto"/>
      </w:divBdr>
    </w:div>
    <w:div w:id="1386027136">
      <w:bodyDiv w:val="1"/>
      <w:marLeft w:val="0"/>
      <w:marRight w:val="0"/>
      <w:marTop w:val="0"/>
      <w:marBottom w:val="0"/>
      <w:divBdr>
        <w:top w:val="none" w:sz="0" w:space="0" w:color="auto"/>
        <w:left w:val="none" w:sz="0" w:space="0" w:color="auto"/>
        <w:bottom w:val="none" w:sz="0" w:space="0" w:color="auto"/>
        <w:right w:val="none" w:sz="0" w:space="0" w:color="auto"/>
      </w:divBdr>
    </w:div>
    <w:div w:id="1391033666">
      <w:bodyDiv w:val="1"/>
      <w:marLeft w:val="0"/>
      <w:marRight w:val="0"/>
      <w:marTop w:val="0"/>
      <w:marBottom w:val="0"/>
      <w:divBdr>
        <w:top w:val="none" w:sz="0" w:space="0" w:color="auto"/>
        <w:left w:val="none" w:sz="0" w:space="0" w:color="auto"/>
        <w:bottom w:val="none" w:sz="0" w:space="0" w:color="auto"/>
        <w:right w:val="none" w:sz="0" w:space="0" w:color="auto"/>
      </w:divBdr>
    </w:div>
    <w:div w:id="1428311762">
      <w:bodyDiv w:val="1"/>
      <w:marLeft w:val="0"/>
      <w:marRight w:val="0"/>
      <w:marTop w:val="0"/>
      <w:marBottom w:val="0"/>
      <w:divBdr>
        <w:top w:val="none" w:sz="0" w:space="0" w:color="auto"/>
        <w:left w:val="none" w:sz="0" w:space="0" w:color="auto"/>
        <w:bottom w:val="none" w:sz="0" w:space="0" w:color="auto"/>
        <w:right w:val="none" w:sz="0" w:space="0" w:color="auto"/>
      </w:divBdr>
    </w:div>
    <w:div w:id="1448231071">
      <w:bodyDiv w:val="1"/>
      <w:marLeft w:val="0"/>
      <w:marRight w:val="0"/>
      <w:marTop w:val="0"/>
      <w:marBottom w:val="0"/>
      <w:divBdr>
        <w:top w:val="none" w:sz="0" w:space="0" w:color="auto"/>
        <w:left w:val="none" w:sz="0" w:space="0" w:color="auto"/>
        <w:bottom w:val="none" w:sz="0" w:space="0" w:color="auto"/>
        <w:right w:val="none" w:sz="0" w:space="0" w:color="auto"/>
      </w:divBdr>
    </w:div>
    <w:div w:id="1459761190">
      <w:bodyDiv w:val="1"/>
      <w:marLeft w:val="0"/>
      <w:marRight w:val="0"/>
      <w:marTop w:val="0"/>
      <w:marBottom w:val="0"/>
      <w:divBdr>
        <w:top w:val="none" w:sz="0" w:space="0" w:color="auto"/>
        <w:left w:val="none" w:sz="0" w:space="0" w:color="auto"/>
        <w:bottom w:val="none" w:sz="0" w:space="0" w:color="auto"/>
        <w:right w:val="none" w:sz="0" w:space="0" w:color="auto"/>
      </w:divBdr>
    </w:div>
    <w:div w:id="1460804013">
      <w:bodyDiv w:val="1"/>
      <w:marLeft w:val="0"/>
      <w:marRight w:val="0"/>
      <w:marTop w:val="0"/>
      <w:marBottom w:val="0"/>
      <w:divBdr>
        <w:top w:val="none" w:sz="0" w:space="0" w:color="auto"/>
        <w:left w:val="none" w:sz="0" w:space="0" w:color="auto"/>
        <w:bottom w:val="none" w:sz="0" w:space="0" w:color="auto"/>
        <w:right w:val="none" w:sz="0" w:space="0" w:color="auto"/>
      </w:divBdr>
    </w:div>
    <w:div w:id="1462531705">
      <w:bodyDiv w:val="1"/>
      <w:marLeft w:val="0"/>
      <w:marRight w:val="0"/>
      <w:marTop w:val="0"/>
      <w:marBottom w:val="0"/>
      <w:divBdr>
        <w:top w:val="none" w:sz="0" w:space="0" w:color="auto"/>
        <w:left w:val="none" w:sz="0" w:space="0" w:color="auto"/>
        <w:bottom w:val="none" w:sz="0" w:space="0" w:color="auto"/>
        <w:right w:val="none" w:sz="0" w:space="0" w:color="auto"/>
      </w:divBdr>
    </w:div>
    <w:div w:id="1477794660">
      <w:bodyDiv w:val="1"/>
      <w:marLeft w:val="0"/>
      <w:marRight w:val="0"/>
      <w:marTop w:val="0"/>
      <w:marBottom w:val="0"/>
      <w:divBdr>
        <w:top w:val="none" w:sz="0" w:space="0" w:color="auto"/>
        <w:left w:val="none" w:sz="0" w:space="0" w:color="auto"/>
        <w:bottom w:val="none" w:sz="0" w:space="0" w:color="auto"/>
        <w:right w:val="none" w:sz="0" w:space="0" w:color="auto"/>
      </w:divBdr>
    </w:div>
    <w:div w:id="1551382197">
      <w:bodyDiv w:val="1"/>
      <w:marLeft w:val="0"/>
      <w:marRight w:val="0"/>
      <w:marTop w:val="0"/>
      <w:marBottom w:val="0"/>
      <w:divBdr>
        <w:top w:val="none" w:sz="0" w:space="0" w:color="auto"/>
        <w:left w:val="none" w:sz="0" w:space="0" w:color="auto"/>
        <w:bottom w:val="none" w:sz="0" w:space="0" w:color="auto"/>
        <w:right w:val="none" w:sz="0" w:space="0" w:color="auto"/>
      </w:divBdr>
    </w:div>
    <w:div w:id="1563977792">
      <w:bodyDiv w:val="1"/>
      <w:marLeft w:val="0"/>
      <w:marRight w:val="0"/>
      <w:marTop w:val="0"/>
      <w:marBottom w:val="0"/>
      <w:divBdr>
        <w:top w:val="none" w:sz="0" w:space="0" w:color="auto"/>
        <w:left w:val="none" w:sz="0" w:space="0" w:color="auto"/>
        <w:bottom w:val="none" w:sz="0" w:space="0" w:color="auto"/>
        <w:right w:val="none" w:sz="0" w:space="0" w:color="auto"/>
      </w:divBdr>
    </w:div>
    <w:div w:id="1648393962">
      <w:bodyDiv w:val="1"/>
      <w:marLeft w:val="0"/>
      <w:marRight w:val="0"/>
      <w:marTop w:val="0"/>
      <w:marBottom w:val="0"/>
      <w:divBdr>
        <w:top w:val="none" w:sz="0" w:space="0" w:color="auto"/>
        <w:left w:val="none" w:sz="0" w:space="0" w:color="auto"/>
        <w:bottom w:val="none" w:sz="0" w:space="0" w:color="auto"/>
        <w:right w:val="none" w:sz="0" w:space="0" w:color="auto"/>
      </w:divBdr>
    </w:div>
    <w:div w:id="1678575915">
      <w:bodyDiv w:val="1"/>
      <w:marLeft w:val="0"/>
      <w:marRight w:val="0"/>
      <w:marTop w:val="0"/>
      <w:marBottom w:val="0"/>
      <w:divBdr>
        <w:top w:val="none" w:sz="0" w:space="0" w:color="auto"/>
        <w:left w:val="none" w:sz="0" w:space="0" w:color="auto"/>
        <w:bottom w:val="none" w:sz="0" w:space="0" w:color="auto"/>
        <w:right w:val="none" w:sz="0" w:space="0" w:color="auto"/>
      </w:divBdr>
    </w:div>
    <w:div w:id="1693385723">
      <w:bodyDiv w:val="1"/>
      <w:marLeft w:val="0"/>
      <w:marRight w:val="0"/>
      <w:marTop w:val="0"/>
      <w:marBottom w:val="0"/>
      <w:divBdr>
        <w:top w:val="none" w:sz="0" w:space="0" w:color="auto"/>
        <w:left w:val="none" w:sz="0" w:space="0" w:color="auto"/>
        <w:bottom w:val="none" w:sz="0" w:space="0" w:color="auto"/>
        <w:right w:val="none" w:sz="0" w:space="0" w:color="auto"/>
      </w:divBdr>
    </w:div>
    <w:div w:id="1695837592">
      <w:bodyDiv w:val="1"/>
      <w:marLeft w:val="0"/>
      <w:marRight w:val="0"/>
      <w:marTop w:val="0"/>
      <w:marBottom w:val="0"/>
      <w:divBdr>
        <w:top w:val="none" w:sz="0" w:space="0" w:color="auto"/>
        <w:left w:val="none" w:sz="0" w:space="0" w:color="auto"/>
        <w:bottom w:val="none" w:sz="0" w:space="0" w:color="auto"/>
        <w:right w:val="none" w:sz="0" w:space="0" w:color="auto"/>
      </w:divBdr>
    </w:div>
    <w:div w:id="1698697325">
      <w:bodyDiv w:val="1"/>
      <w:marLeft w:val="0"/>
      <w:marRight w:val="0"/>
      <w:marTop w:val="0"/>
      <w:marBottom w:val="0"/>
      <w:divBdr>
        <w:top w:val="none" w:sz="0" w:space="0" w:color="auto"/>
        <w:left w:val="none" w:sz="0" w:space="0" w:color="auto"/>
        <w:bottom w:val="none" w:sz="0" w:space="0" w:color="auto"/>
        <w:right w:val="none" w:sz="0" w:space="0" w:color="auto"/>
      </w:divBdr>
    </w:div>
    <w:div w:id="1699087714">
      <w:bodyDiv w:val="1"/>
      <w:marLeft w:val="0"/>
      <w:marRight w:val="0"/>
      <w:marTop w:val="0"/>
      <w:marBottom w:val="0"/>
      <w:divBdr>
        <w:top w:val="none" w:sz="0" w:space="0" w:color="auto"/>
        <w:left w:val="none" w:sz="0" w:space="0" w:color="auto"/>
        <w:bottom w:val="none" w:sz="0" w:space="0" w:color="auto"/>
        <w:right w:val="none" w:sz="0" w:space="0" w:color="auto"/>
      </w:divBdr>
    </w:div>
    <w:div w:id="1700542767">
      <w:bodyDiv w:val="1"/>
      <w:marLeft w:val="0"/>
      <w:marRight w:val="0"/>
      <w:marTop w:val="0"/>
      <w:marBottom w:val="0"/>
      <w:divBdr>
        <w:top w:val="none" w:sz="0" w:space="0" w:color="auto"/>
        <w:left w:val="none" w:sz="0" w:space="0" w:color="auto"/>
        <w:bottom w:val="none" w:sz="0" w:space="0" w:color="auto"/>
        <w:right w:val="none" w:sz="0" w:space="0" w:color="auto"/>
      </w:divBdr>
    </w:div>
    <w:div w:id="1721859920">
      <w:bodyDiv w:val="1"/>
      <w:marLeft w:val="0"/>
      <w:marRight w:val="0"/>
      <w:marTop w:val="0"/>
      <w:marBottom w:val="0"/>
      <w:divBdr>
        <w:top w:val="none" w:sz="0" w:space="0" w:color="auto"/>
        <w:left w:val="none" w:sz="0" w:space="0" w:color="auto"/>
        <w:bottom w:val="none" w:sz="0" w:space="0" w:color="auto"/>
        <w:right w:val="none" w:sz="0" w:space="0" w:color="auto"/>
      </w:divBdr>
    </w:div>
    <w:div w:id="1735737302">
      <w:bodyDiv w:val="1"/>
      <w:marLeft w:val="0"/>
      <w:marRight w:val="0"/>
      <w:marTop w:val="0"/>
      <w:marBottom w:val="0"/>
      <w:divBdr>
        <w:top w:val="none" w:sz="0" w:space="0" w:color="auto"/>
        <w:left w:val="none" w:sz="0" w:space="0" w:color="auto"/>
        <w:bottom w:val="none" w:sz="0" w:space="0" w:color="auto"/>
        <w:right w:val="none" w:sz="0" w:space="0" w:color="auto"/>
      </w:divBdr>
    </w:div>
    <w:div w:id="1736930557">
      <w:bodyDiv w:val="1"/>
      <w:marLeft w:val="0"/>
      <w:marRight w:val="0"/>
      <w:marTop w:val="0"/>
      <w:marBottom w:val="0"/>
      <w:divBdr>
        <w:top w:val="none" w:sz="0" w:space="0" w:color="auto"/>
        <w:left w:val="none" w:sz="0" w:space="0" w:color="auto"/>
        <w:bottom w:val="none" w:sz="0" w:space="0" w:color="auto"/>
        <w:right w:val="none" w:sz="0" w:space="0" w:color="auto"/>
      </w:divBdr>
    </w:div>
    <w:div w:id="1755854885">
      <w:bodyDiv w:val="1"/>
      <w:marLeft w:val="0"/>
      <w:marRight w:val="0"/>
      <w:marTop w:val="0"/>
      <w:marBottom w:val="0"/>
      <w:divBdr>
        <w:top w:val="none" w:sz="0" w:space="0" w:color="auto"/>
        <w:left w:val="none" w:sz="0" w:space="0" w:color="auto"/>
        <w:bottom w:val="none" w:sz="0" w:space="0" w:color="auto"/>
        <w:right w:val="none" w:sz="0" w:space="0" w:color="auto"/>
      </w:divBdr>
    </w:div>
    <w:div w:id="1772506740">
      <w:bodyDiv w:val="1"/>
      <w:marLeft w:val="0"/>
      <w:marRight w:val="0"/>
      <w:marTop w:val="0"/>
      <w:marBottom w:val="0"/>
      <w:divBdr>
        <w:top w:val="none" w:sz="0" w:space="0" w:color="auto"/>
        <w:left w:val="none" w:sz="0" w:space="0" w:color="auto"/>
        <w:bottom w:val="none" w:sz="0" w:space="0" w:color="auto"/>
        <w:right w:val="none" w:sz="0" w:space="0" w:color="auto"/>
      </w:divBdr>
    </w:div>
    <w:div w:id="1793472393">
      <w:bodyDiv w:val="1"/>
      <w:marLeft w:val="0"/>
      <w:marRight w:val="0"/>
      <w:marTop w:val="0"/>
      <w:marBottom w:val="0"/>
      <w:divBdr>
        <w:top w:val="none" w:sz="0" w:space="0" w:color="auto"/>
        <w:left w:val="none" w:sz="0" w:space="0" w:color="auto"/>
        <w:bottom w:val="none" w:sz="0" w:space="0" w:color="auto"/>
        <w:right w:val="none" w:sz="0" w:space="0" w:color="auto"/>
      </w:divBdr>
    </w:div>
    <w:div w:id="1797023665">
      <w:bodyDiv w:val="1"/>
      <w:marLeft w:val="0"/>
      <w:marRight w:val="0"/>
      <w:marTop w:val="0"/>
      <w:marBottom w:val="0"/>
      <w:divBdr>
        <w:top w:val="none" w:sz="0" w:space="0" w:color="auto"/>
        <w:left w:val="none" w:sz="0" w:space="0" w:color="auto"/>
        <w:bottom w:val="none" w:sz="0" w:space="0" w:color="auto"/>
        <w:right w:val="none" w:sz="0" w:space="0" w:color="auto"/>
      </w:divBdr>
    </w:div>
    <w:div w:id="1820927408">
      <w:bodyDiv w:val="1"/>
      <w:marLeft w:val="0"/>
      <w:marRight w:val="0"/>
      <w:marTop w:val="0"/>
      <w:marBottom w:val="0"/>
      <w:divBdr>
        <w:top w:val="none" w:sz="0" w:space="0" w:color="auto"/>
        <w:left w:val="none" w:sz="0" w:space="0" w:color="auto"/>
        <w:bottom w:val="none" w:sz="0" w:space="0" w:color="auto"/>
        <w:right w:val="none" w:sz="0" w:space="0" w:color="auto"/>
      </w:divBdr>
    </w:div>
    <w:div w:id="1822888035">
      <w:bodyDiv w:val="1"/>
      <w:marLeft w:val="0"/>
      <w:marRight w:val="0"/>
      <w:marTop w:val="0"/>
      <w:marBottom w:val="0"/>
      <w:divBdr>
        <w:top w:val="none" w:sz="0" w:space="0" w:color="auto"/>
        <w:left w:val="none" w:sz="0" w:space="0" w:color="auto"/>
        <w:bottom w:val="none" w:sz="0" w:space="0" w:color="auto"/>
        <w:right w:val="none" w:sz="0" w:space="0" w:color="auto"/>
      </w:divBdr>
    </w:div>
    <w:div w:id="1850370200">
      <w:bodyDiv w:val="1"/>
      <w:marLeft w:val="0"/>
      <w:marRight w:val="0"/>
      <w:marTop w:val="0"/>
      <w:marBottom w:val="0"/>
      <w:divBdr>
        <w:top w:val="none" w:sz="0" w:space="0" w:color="auto"/>
        <w:left w:val="none" w:sz="0" w:space="0" w:color="auto"/>
        <w:bottom w:val="none" w:sz="0" w:space="0" w:color="auto"/>
        <w:right w:val="none" w:sz="0" w:space="0" w:color="auto"/>
      </w:divBdr>
    </w:div>
    <w:div w:id="1866627866">
      <w:bodyDiv w:val="1"/>
      <w:marLeft w:val="0"/>
      <w:marRight w:val="0"/>
      <w:marTop w:val="0"/>
      <w:marBottom w:val="0"/>
      <w:divBdr>
        <w:top w:val="none" w:sz="0" w:space="0" w:color="auto"/>
        <w:left w:val="none" w:sz="0" w:space="0" w:color="auto"/>
        <w:bottom w:val="none" w:sz="0" w:space="0" w:color="auto"/>
        <w:right w:val="none" w:sz="0" w:space="0" w:color="auto"/>
      </w:divBdr>
    </w:div>
    <w:div w:id="1873297221">
      <w:bodyDiv w:val="1"/>
      <w:marLeft w:val="0"/>
      <w:marRight w:val="0"/>
      <w:marTop w:val="0"/>
      <w:marBottom w:val="0"/>
      <w:divBdr>
        <w:top w:val="none" w:sz="0" w:space="0" w:color="auto"/>
        <w:left w:val="none" w:sz="0" w:space="0" w:color="auto"/>
        <w:bottom w:val="none" w:sz="0" w:space="0" w:color="auto"/>
        <w:right w:val="none" w:sz="0" w:space="0" w:color="auto"/>
      </w:divBdr>
    </w:div>
    <w:div w:id="1914121959">
      <w:bodyDiv w:val="1"/>
      <w:marLeft w:val="0"/>
      <w:marRight w:val="0"/>
      <w:marTop w:val="0"/>
      <w:marBottom w:val="0"/>
      <w:divBdr>
        <w:top w:val="none" w:sz="0" w:space="0" w:color="auto"/>
        <w:left w:val="none" w:sz="0" w:space="0" w:color="auto"/>
        <w:bottom w:val="none" w:sz="0" w:space="0" w:color="auto"/>
        <w:right w:val="none" w:sz="0" w:space="0" w:color="auto"/>
      </w:divBdr>
    </w:div>
    <w:div w:id="1951817373">
      <w:bodyDiv w:val="1"/>
      <w:marLeft w:val="0"/>
      <w:marRight w:val="0"/>
      <w:marTop w:val="0"/>
      <w:marBottom w:val="0"/>
      <w:divBdr>
        <w:top w:val="none" w:sz="0" w:space="0" w:color="auto"/>
        <w:left w:val="none" w:sz="0" w:space="0" w:color="auto"/>
        <w:bottom w:val="none" w:sz="0" w:space="0" w:color="auto"/>
        <w:right w:val="none" w:sz="0" w:space="0" w:color="auto"/>
      </w:divBdr>
    </w:div>
    <w:div w:id="1956205458">
      <w:bodyDiv w:val="1"/>
      <w:marLeft w:val="0"/>
      <w:marRight w:val="0"/>
      <w:marTop w:val="0"/>
      <w:marBottom w:val="0"/>
      <w:divBdr>
        <w:top w:val="none" w:sz="0" w:space="0" w:color="auto"/>
        <w:left w:val="none" w:sz="0" w:space="0" w:color="auto"/>
        <w:bottom w:val="none" w:sz="0" w:space="0" w:color="auto"/>
        <w:right w:val="none" w:sz="0" w:space="0" w:color="auto"/>
      </w:divBdr>
    </w:div>
    <w:div w:id="1986274619">
      <w:bodyDiv w:val="1"/>
      <w:marLeft w:val="0"/>
      <w:marRight w:val="0"/>
      <w:marTop w:val="0"/>
      <w:marBottom w:val="0"/>
      <w:divBdr>
        <w:top w:val="none" w:sz="0" w:space="0" w:color="auto"/>
        <w:left w:val="none" w:sz="0" w:space="0" w:color="auto"/>
        <w:bottom w:val="none" w:sz="0" w:space="0" w:color="auto"/>
        <w:right w:val="none" w:sz="0" w:space="0" w:color="auto"/>
      </w:divBdr>
    </w:div>
    <w:div w:id="1986351421">
      <w:bodyDiv w:val="1"/>
      <w:marLeft w:val="0"/>
      <w:marRight w:val="0"/>
      <w:marTop w:val="0"/>
      <w:marBottom w:val="0"/>
      <w:divBdr>
        <w:top w:val="none" w:sz="0" w:space="0" w:color="auto"/>
        <w:left w:val="none" w:sz="0" w:space="0" w:color="auto"/>
        <w:bottom w:val="none" w:sz="0" w:space="0" w:color="auto"/>
        <w:right w:val="none" w:sz="0" w:space="0" w:color="auto"/>
      </w:divBdr>
    </w:div>
    <w:div w:id="2009744618">
      <w:bodyDiv w:val="1"/>
      <w:marLeft w:val="0"/>
      <w:marRight w:val="0"/>
      <w:marTop w:val="0"/>
      <w:marBottom w:val="0"/>
      <w:divBdr>
        <w:top w:val="none" w:sz="0" w:space="0" w:color="auto"/>
        <w:left w:val="none" w:sz="0" w:space="0" w:color="auto"/>
        <w:bottom w:val="none" w:sz="0" w:space="0" w:color="auto"/>
        <w:right w:val="none" w:sz="0" w:space="0" w:color="auto"/>
      </w:divBdr>
    </w:div>
    <w:div w:id="2016682900">
      <w:bodyDiv w:val="1"/>
      <w:marLeft w:val="0"/>
      <w:marRight w:val="0"/>
      <w:marTop w:val="0"/>
      <w:marBottom w:val="0"/>
      <w:divBdr>
        <w:top w:val="none" w:sz="0" w:space="0" w:color="auto"/>
        <w:left w:val="none" w:sz="0" w:space="0" w:color="auto"/>
        <w:bottom w:val="none" w:sz="0" w:space="0" w:color="auto"/>
        <w:right w:val="none" w:sz="0" w:space="0" w:color="auto"/>
      </w:divBdr>
    </w:div>
    <w:div w:id="2028359941">
      <w:bodyDiv w:val="1"/>
      <w:marLeft w:val="0"/>
      <w:marRight w:val="0"/>
      <w:marTop w:val="0"/>
      <w:marBottom w:val="0"/>
      <w:divBdr>
        <w:top w:val="none" w:sz="0" w:space="0" w:color="auto"/>
        <w:left w:val="none" w:sz="0" w:space="0" w:color="auto"/>
        <w:bottom w:val="none" w:sz="0" w:space="0" w:color="auto"/>
        <w:right w:val="none" w:sz="0" w:space="0" w:color="auto"/>
      </w:divBdr>
    </w:div>
    <w:div w:id="2032104571">
      <w:bodyDiv w:val="1"/>
      <w:marLeft w:val="0"/>
      <w:marRight w:val="0"/>
      <w:marTop w:val="0"/>
      <w:marBottom w:val="0"/>
      <w:divBdr>
        <w:top w:val="none" w:sz="0" w:space="0" w:color="auto"/>
        <w:left w:val="none" w:sz="0" w:space="0" w:color="auto"/>
        <w:bottom w:val="none" w:sz="0" w:space="0" w:color="auto"/>
        <w:right w:val="none" w:sz="0" w:space="0" w:color="auto"/>
      </w:divBdr>
    </w:div>
    <w:div w:id="2037541143">
      <w:bodyDiv w:val="1"/>
      <w:marLeft w:val="0"/>
      <w:marRight w:val="0"/>
      <w:marTop w:val="0"/>
      <w:marBottom w:val="0"/>
      <w:divBdr>
        <w:top w:val="none" w:sz="0" w:space="0" w:color="auto"/>
        <w:left w:val="none" w:sz="0" w:space="0" w:color="auto"/>
        <w:bottom w:val="none" w:sz="0" w:space="0" w:color="auto"/>
        <w:right w:val="none" w:sz="0" w:space="0" w:color="auto"/>
      </w:divBdr>
    </w:div>
    <w:div w:id="2090157480">
      <w:bodyDiv w:val="1"/>
      <w:marLeft w:val="0"/>
      <w:marRight w:val="0"/>
      <w:marTop w:val="0"/>
      <w:marBottom w:val="0"/>
      <w:divBdr>
        <w:top w:val="none" w:sz="0" w:space="0" w:color="auto"/>
        <w:left w:val="none" w:sz="0" w:space="0" w:color="auto"/>
        <w:bottom w:val="none" w:sz="0" w:space="0" w:color="auto"/>
        <w:right w:val="none" w:sz="0" w:space="0" w:color="auto"/>
      </w:divBdr>
    </w:div>
    <w:div w:id="2093045939">
      <w:bodyDiv w:val="1"/>
      <w:marLeft w:val="0"/>
      <w:marRight w:val="0"/>
      <w:marTop w:val="0"/>
      <w:marBottom w:val="0"/>
      <w:divBdr>
        <w:top w:val="none" w:sz="0" w:space="0" w:color="auto"/>
        <w:left w:val="none" w:sz="0" w:space="0" w:color="auto"/>
        <w:bottom w:val="none" w:sz="0" w:space="0" w:color="auto"/>
        <w:right w:val="none" w:sz="0" w:space="0" w:color="auto"/>
      </w:divBdr>
    </w:div>
    <w:div w:id="2116778524">
      <w:bodyDiv w:val="1"/>
      <w:marLeft w:val="0"/>
      <w:marRight w:val="0"/>
      <w:marTop w:val="0"/>
      <w:marBottom w:val="0"/>
      <w:divBdr>
        <w:top w:val="none" w:sz="0" w:space="0" w:color="auto"/>
        <w:left w:val="none" w:sz="0" w:space="0" w:color="auto"/>
        <w:bottom w:val="none" w:sz="0" w:space="0" w:color="auto"/>
        <w:right w:val="none" w:sz="0" w:space="0" w:color="auto"/>
      </w:divBdr>
    </w:div>
    <w:div w:id="2123648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hart" Target="charts/chart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oleObject" Target="../embeddings/oleObject3.bin"/><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3.xml.rels><?xml version="1.0" encoding="UTF-8" standalone="yes"?>
<Relationships xmlns="http://schemas.openxmlformats.org/package/2006/relationships"><Relationship Id="rId1" Type="http://schemas.openxmlformats.org/officeDocument/2006/relationships/oleObject" Target="file:///F:\Neboj&#353;a%20i%20Du&#353;ko%20kompletirano.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Uticaj</a:t>
            </a:r>
            <a:r>
              <a:rPr lang="en-US" baseline="0"/>
              <a:t> vremena na</a:t>
            </a:r>
            <a:r>
              <a:rPr lang="sr-Latn-BA" baseline="0"/>
              <a:t> koncentraciju</a:t>
            </a:r>
            <a:r>
              <a:rPr lang="en-US" baseline="0"/>
              <a:t> Fe</a:t>
            </a:r>
            <a:r>
              <a:rPr lang="sr-Latn-BA" baseline="0"/>
              <a:t>, </a:t>
            </a:r>
            <a:r>
              <a:rPr lang="en-US" baseline="0"/>
              <a:t>Zn</a:t>
            </a:r>
            <a:r>
              <a:rPr lang="sr-Latn-BA" baseline="0"/>
              <a:t> i Cu</a:t>
            </a:r>
            <a:r>
              <a:rPr lang="en-US" baseline="0"/>
              <a:t>  </a:t>
            </a:r>
            <a:endParaRPr lang="en-US"/>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sr-Latn-RS"/>
        </a:p>
      </c:txPr>
    </c:title>
    <c:autoTitleDeleted val="0"/>
    <c:plotArea>
      <c:layout/>
      <c:lineChart>
        <c:grouping val="standard"/>
        <c:varyColors val="0"/>
        <c:ser>
          <c:idx val="0"/>
          <c:order val="0"/>
          <c:tx>
            <c:v>fe rastvor</c:v>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'[Chart in Microsoft Word]Kostić'!$A$4:$A$10</c:f>
              <c:strCache>
                <c:ptCount val="6"/>
                <c:pt idx="0">
                  <c:v>početni aluminat/ cepivo</c:v>
                </c:pt>
                <c:pt idx="1">
                  <c:v>15 min</c:v>
                </c:pt>
                <c:pt idx="2">
                  <c:v>25 min</c:v>
                </c:pt>
                <c:pt idx="3">
                  <c:v>35 min</c:v>
                </c:pt>
                <c:pt idx="4">
                  <c:v>55 min</c:v>
                </c:pt>
                <c:pt idx="5">
                  <c:v>75 min</c:v>
                </c:pt>
              </c:strCache>
              <c:extLst/>
            </c:strRef>
          </c:cat>
          <c:val>
            <c:numRef>
              <c:f>'[Chart in Microsoft Word]Kostić'!$F$4:$F$10</c:f>
              <c:numCache>
                <c:formatCode>0.00</c:formatCode>
                <c:ptCount val="6"/>
                <c:pt idx="0">
                  <c:v>10.440000000000001</c:v>
                </c:pt>
                <c:pt idx="1">
                  <c:v>3.5651999999999999</c:v>
                </c:pt>
                <c:pt idx="2">
                  <c:v>1.4295999999999998</c:v>
                </c:pt>
                <c:pt idx="3">
                  <c:v>1.3271999999999999</c:v>
                </c:pt>
                <c:pt idx="4">
                  <c:v>0.99080000000000001</c:v>
                </c:pt>
                <c:pt idx="5">
                  <c:v>0.66120000000000001</c:v>
                </c:pt>
              </c:numCache>
              <c:extLst/>
            </c:numRef>
          </c:val>
          <c:smooth val="0"/>
          <c:extLst>
            <c:ext xmlns:c16="http://schemas.microsoft.com/office/drawing/2014/chart" uri="{C3380CC4-5D6E-409C-BE32-E72D297353CC}">
              <c16:uniqueId val="{00000000-869F-4124-8C90-3F471995F8FF}"/>
            </c:ext>
          </c:extLst>
        </c:ser>
        <c:ser>
          <c:idx val="2"/>
          <c:order val="1"/>
          <c:tx>
            <c:v>Zn rastvor</c:v>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Ref>
              <c:f>'[Chart in Microsoft Word]Kostić'!$A$4:$A$10</c:f>
              <c:strCache>
                <c:ptCount val="6"/>
                <c:pt idx="0">
                  <c:v>početni aluminat/ cepivo</c:v>
                </c:pt>
                <c:pt idx="1">
                  <c:v>15 min</c:v>
                </c:pt>
                <c:pt idx="2">
                  <c:v>25 min</c:v>
                </c:pt>
                <c:pt idx="3">
                  <c:v>35 min</c:v>
                </c:pt>
                <c:pt idx="4">
                  <c:v>55 min</c:v>
                </c:pt>
                <c:pt idx="5">
                  <c:v>75 min</c:v>
                </c:pt>
              </c:strCache>
              <c:extLst/>
            </c:strRef>
          </c:cat>
          <c:val>
            <c:numRef>
              <c:f>'[Chart in Microsoft Word]Kostić'!$G$4:$G$10</c:f>
              <c:numCache>
                <c:formatCode>0.00</c:formatCode>
                <c:ptCount val="6"/>
                <c:pt idx="0">
                  <c:v>11.639999999999999</c:v>
                </c:pt>
                <c:pt idx="1">
                  <c:v>1.1456</c:v>
                </c:pt>
                <c:pt idx="2">
                  <c:v>1.1200000000000001</c:v>
                </c:pt>
                <c:pt idx="3">
                  <c:v>1.2616000000000001</c:v>
                </c:pt>
                <c:pt idx="4">
                  <c:v>1.1224000000000001</c:v>
                </c:pt>
                <c:pt idx="5">
                  <c:v>0.77759999999999996</c:v>
                </c:pt>
              </c:numCache>
              <c:extLst/>
            </c:numRef>
          </c:val>
          <c:smooth val="0"/>
          <c:extLst>
            <c:ext xmlns:c16="http://schemas.microsoft.com/office/drawing/2014/chart" uri="{C3380CC4-5D6E-409C-BE32-E72D297353CC}">
              <c16:uniqueId val="{00000001-869F-4124-8C90-3F471995F8FF}"/>
            </c:ext>
          </c:extLst>
        </c:ser>
        <c:ser>
          <c:idx val="3"/>
          <c:order val="2"/>
          <c:tx>
            <c:v>Cu rastvor</c:v>
          </c:tx>
          <c:spPr>
            <a:ln w="28575" cap="rnd">
              <a:solidFill>
                <a:schemeClr val="accent4"/>
              </a:solidFill>
              <a:round/>
            </a:ln>
            <a:effectLst/>
          </c:spPr>
          <c:marker>
            <c:symbol val="circle"/>
            <c:size val="5"/>
            <c:spPr>
              <a:solidFill>
                <a:schemeClr val="accent4"/>
              </a:solidFill>
              <a:ln w="9525">
                <a:solidFill>
                  <a:schemeClr val="accent4"/>
                </a:solidFill>
              </a:ln>
              <a:effectLst/>
            </c:spPr>
          </c:marker>
          <c:cat>
            <c:strRef>
              <c:f>'[Chart in Microsoft Word]Kostić'!$A$4:$A$10</c:f>
              <c:strCache>
                <c:ptCount val="6"/>
                <c:pt idx="0">
                  <c:v>početni aluminat/ cepivo</c:v>
                </c:pt>
                <c:pt idx="1">
                  <c:v>15 min</c:v>
                </c:pt>
                <c:pt idx="2">
                  <c:v>25 min</c:v>
                </c:pt>
                <c:pt idx="3">
                  <c:v>35 min</c:v>
                </c:pt>
                <c:pt idx="4">
                  <c:v>55 min</c:v>
                </c:pt>
                <c:pt idx="5">
                  <c:v>75 min</c:v>
                </c:pt>
              </c:strCache>
              <c:extLst/>
            </c:strRef>
          </c:cat>
          <c:val>
            <c:numRef>
              <c:f>'[Chart in Microsoft Word]Kostić'!$E$4:$E$10</c:f>
              <c:numCache>
                <c:formatCode>0.00</c:formatCode>
                <c:ptCount val="6"/>
                <c:pt idx="0">
                  <c:v>7.3599999999999994</c:v>
                </c:pt>
                <c:pt idx="1">
                  <c:v>2.4335999999999998</c:v>
                </c:pt>
                <c:pt idx="2">
                  <c:v>1.0432000000000001</c:v>
                </c:pt>
                <c:pt idx="3">
                  <c:v>0.97959999999999992</c:v>
                </c:pt>
                <c:pt idx="4">
                  <c:v>0.72360000000000002</c:v>
                </c:pt>
                <c:pt idx="5">
                  <c:v>0.47720000000000001</c:v>
                </c:pt>
              </c:numCache>
              <c:extLst/>
            </c:numRef>
          </c:val>
          <c:smooth val="0"/>
          <c:extLst>
            <c:ext xmlns:c16="http://schemas.microsoft.com/office/drawing/2014/chart" uri="{C3380CC4-5D6E-409C-BE32-E72D297353CC}">
              <c16:uniqueId val="{00000002-869F-4124-8C90-3F471995F8FF}"/>
            </c:ext>
          </c:extLst>
        </c:ser>
        <c:dLbls>
          <c:showLegendKey val="0"/>
          <c:showVal val="0"/>
          <c:showCatName val="0"/>
          <c:showSerName val="0"/>
          <c:showPercent val="0"/>
          <c:showBubbleSize val="0"/>
        </c:dLbls>
        <c:marker val="1"/>
        <c:smooth val="0"/>
        <c:axId val="1941345616"/>
        <c:axId val="1941349424"/>
      </c:lineChart>
      <c:lineChart>
        <c:grouping val="standard"/>
        <c:varyColors val="0"/>
        <c:ser>
          <c:idx val="1"/>
          <c:order val="3"/>
          <c:tx>
            <c:v>alfa K</c:v>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'[Chart in Microsoft Word]Kostić'!$A$4:$A$10</c:f>
              <c:strCache>
                <c:ptCount val="6"/>
                <c:pt idx="0">
                  <c:v>početni aluminat/ cepivo</c:v>
                </c:pt>
                <c:pt idx="1">
                  <c:v>15 min</c:v>
                </c:pt>
                <c:pt idx="2">
                  <c:v>25 min</c:v>
                </c:pt>
                <c:pt idx="3">
                  <c:v>35 min</c:v>
                </c:pt>
                <c:pt idx="4">
                  <c:v>55 min</c:v>
                </c:pt>
                <c:pt idx="5">
                  <c:v>75 min</c:v>
                </c:pt>
              </c:strCache>
              <c:extLst/>
            </c:strRef>
          </c:cat>
          <c:val>
            <c:numRef>
              <c:f>'[Chart in Microsoft Word]Kostić'!$D$4:$D$10</c:f>
              <c:numCache>
                <c:formatCode>General</c:formatCode>
                <c:ptCount val="6"/>
                <c:pt idx="0" formatCode="0.00">
                  <c:v>1.5</c:v>
                </c:pt>
                <c:pt idx="1">
                  <c:v>1.52</c:v>
                </c:pt>
                <c:pt idx="2">
                  <c:v>1.55</c:v>
                </c:pt>
                <c:pt idx="3">
                  <c:v>1.61</c:v>
                </c:pt>
                <c:pt idx="4">
                  <c:v>1.69</c:v>
                </c:pt>
                <c:pt idx="5" formatCode="0.00">
                  <c:v>1.8</c:v>
                </c:pt>
              </c:numCache>
              <c:extLst/>
            </c:numRef>
          </c:val>
          <c:smooth val="0"/>
          <c:extLst>
            <c:ext xmlns:c16="http://schemas.microsoft.com/office/drawing/2014/chart" uri="{C3380CC4-5D6E-409C-BE32-E72D297353CC}">
              <c16:uniqueId val="{00000003-869F-4124-8C90-3F471995F8FF}"/>
            </c:ext>
          </c:extLst>
        </c:ser>
        <c:dLbls>
          <c:showLegendKey val="0"/>
          <c:showVal val="0"/>
          <c:showCatName val="0"/>
          <c:showSerName val="0"/>
          <c:showPercent val="0"/>
          <c:showBubbleSize val="0"/>
        </c:dLbls>
        <c:marker val="1"/>
        <c:smooth val="0"/>
        <c:axId val="1941350512"/>
        <c:axId val="1941349968"/>
      </c:lineChart>
      <c:catAx>
        <c:axId val="194134561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vrijeme sinteze</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sr-Latn-R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1941349424"/>
        <c:crosses val="autoZero"/>
        <c:auto val="1"/>
        <c:lblAlgn val="ctr"/>
        <c:lblOffset val="100"/>
        <c:noMultiLvlLbl val="0"/>
      </c:catAx>
      <c:valAx>
        <c:axId val="19413494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Fe</a:t>
                </a:r>
                <a:r>
                  <a:rPr lang="sr-Latn-BA"/>
                  <a:t>, Zn, Cu,[</a:t>
                </a:r>
                <a:r>
                  <a:rPr lang="en-US" baseline="0"/>
                  <a:t>g/l</a:t>
                </a:r>
                <a:r>
                  <a:rPr lang="sr-Latn-BA" baseline="0"/>
                  <a:t>]</a:t>
                </a:r>
                <a:endParaRPr lang="en-US"/>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sr-Latn-R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1941345616"/>
        <c:crosses val="autoZero"/>
        <c:crossBetween val="between"/>
      </c:valAx>
      <c:valAx>
        <c:axId val="1941349968"/>
        <c:scaling>
          <c:orientation val="minMax"/>
          <c:max val="2"/>
          <c:min val="1"/>
        </c:scaling>
        <c:delete val="0"/>
        <c:axPos val="r"/>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1941350512"/>
        <c:crosses val="max"/>
        <c:crossBetween val="between"/>
      </c:valAx>
      <c:catAx>
        <c:axId val="1941350512"/>
        <c:scaling>
          <c:orientation val="minMax"/>
        </c:scaling>
        <c:delete val="1"/>
        <c:axPos val="b"/>
        <c:numFmt formatCode="General" sourceLinked="1"/>
        <c:majorTickMark val="out"/>
        <c:minorTickMark val="none"/>
        <c:tickLblPos val="nextTo"/>
        <c:crossAx val="1941349968"/>
        <c:crosses val="autoZero"/>
        <c:auto val="1"/>
        <c:lblAlgn val="ctr"/>
        <c:lblOffset val="100"/>
        <c:noMultiLvlLbl val="0"/>
      </c:cat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sr-Latn-RS"/>
          </a:p>
        </c:txPr>
      </c:dTable>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sr-Latn-R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v>fe rastvor</c:v>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Kostić!$A$13:$A$17</c:f>
              <c:strCache>
                <c:ptCount val="5"/>
                <c:pt idx="0">
                  <c:v>ne tretiran</c:v>
                </c:pt>
                <c:pt idx="1">
                  <c:v>40°C </c:v>
                </c:pt>
                <c:pt idx="2">
                  <c:v>55°C </c:v>
                </c:pt>
                <c:pt idx="3">
                  <c:v>65°C </c:v>
                </c:pt>
                <c:pt idx="4">
                  <c:v>75°C </c:v>
                </c:pt>
              </c:strCache>
            </c:strRef>
          </c:cat>
          <c:val>
            <c:numRef>
              <c:f>Kostić!$F$13:$F$17</c:f>
              <c:numCache>
                <c:formatCode>0.00</c:formatCode>
                <c:ptCount val="5"/>
                <c:pt idx="0">
                  <c:v>15.12</c:v>
                </c:pt>
                <c:pt idx="1">
                  <c:v>2.3199999999999994</c:v>
                </c:pt>
                <c:pt idx="2">
                  <c:v>5.64</c:v>
                </c:pt>
                <c:pt idx="3">
                  <c:v>2.56</c:v>
                </c:pt>
                <c:pt idx="4">
                  <c:v>1.44</c:v>
                </c:pt>
              </c:numCache>
            </c:numRef>
          </c:val>
          <c:smooth val="0"/>
          <c:extLst>
            <c:ext xmlns:c16="http://schemas.microsoft.com/office/drawing/2014/chart" uri="{C3380CC4-5D6E-409C-BE32-E72D297353CC}">
              <c16:uniqueId val="{00000000-6D2E-4DA3-8859-69944D6CAAF8}"/>
            </c:ext>
          </c:extLst>
        </c:ser>
        <c:ser>
          <c:idx val="2"/>
          <c:order val="1"/>
          <c:tx>
            <c:v>Zn rastvor</c:v>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Ref>
              <c:f>Kostić!$A$13:$A$17</c:f>
              <c:strCache>
                <c:ptCount val="5"/>
                <c:pt idx="0">
                  <c:v>ne tretiran</c:v>
                </c:pt>
                <c:pt idx="1">
                  <c:v>40°C </c:v>
                </c:pt>
                <c:pt idx="2">
                  <c:v>55°C </c:v>
                </c:pt>
                <c:pt idx="3">
                  <c:v>65°C </c:v>
                </c:pt>
                <c:pt idx="4">
                  <c:v>75°C </c:v>
                </c:pt>
              </c:strCache>
            </c:strRef>
          </c:cat>
          <c:val>
            <c:numRef>
              <c:f>Kostić!$G$13:$G$17</c:f>
              <c:numCache>
                <c:formatCode>0.00</c:formatCode>
                <c:ptCount val="5"/>
                <c:pt idx="0">
                  <c:v>13.4</c:v>
                </c:pt>
                <c:pt idx="1">
                  <c:v>0</c:v>
                </c:pt>
                <c:pt idx="2">
                  <c:v>2.88</c:v>
                </c:pt>
                <c:pt idx="3">
                  <c:v>0.36000000000000004</c:v>
                </c:pt>
                <c:pt idx="4">
                  <c:v>3.7600000000000002</c:v>
                </c:pt>
              </c:numCache>
            </c:numRef>
          </c:val>
          <c:smooth val="0"/>
          <c:extLst>
            <c:ext xmlns:c16="http://schemas.microsoft.com/office/drawing/2014/chart" uri="{C3380CC4-5D6E-409C-BE32-E72D297353CC}">
              <c16:uniqueId val="{00000001-6D2E-4DA3-8859-69944D6CAAF8}"/>
            </c:ext>
          </c:extLst>
        </c:ser>
        <c:ser>
          <c:idx val="3"/>
          <c:order val="2"/>
          <c:tx>
            <c:v>Cu rastvor</c:v>
          </c:tx>
          <c:spPr>
            <a:ln w="28575" cap="rnd">
              <a:solidFill>
                <a:schemeClr val="accent4"/>
              </a:solidFill>
              <a:round/>
            </a:ln>
            <a:effectLst/>
          </c:spPr>
          <c:marker>
            <c:symbol val="circle"/>
            <c:size val="5"/>
            <c:spPr>
              <a:solidFill>
                <a:schemeClr val="accent4"/>
              </a:solidFill>
              <a:ln w="9525">
                <a:solidFill>
                  <a:schemeClr val="accent4"/>
                </a:solidFill>
              </a:ln>
              <a:effectLst/>
            </c:spPr>
          </c:marker>
          <c:cat>
            <c:strRef>
              <c:f>Kostić!$A$4:$A$10</c:f>
              <c:strCache>
                <c:ptCount val="7"/>
                <c:pt idx="0">
                  <c:v>ne tretiran</c:v>
                </c:pt>
                <c:pt idx="1">
                  <c:v>15</c:v>
                </c:pt>
                <c:pt idx="2">
                  <c:v>25</c:v>
                </c:pt>
                <c:pt idx="3">
                  <c:v>35</c:v>
                </c:pt>
                <c:pt idx="4">
                  <c:v>55</c:v>
                </c:pt>
                <c:pt idx="5">
                  <c:v>75</c:v>
                </c:pt>
                <c:pt idx="6">
                  <c:v>120</c:v>
                </c:pt>
              </c:strCache>
            </c:strRef>
          </c:cat>
          <c:val>
            <c:numRef>
              <c:f>Kostić!$E$13:$E$17</c:f>
              <c:numCache>
                <c:formatCode>0.00</c:formatCode>
                <c:ptCount val="5"/>
                <c:pt idx="0">
                  <c:v>9.6399999999999988</c:v>
                </c:pt>
                <c:pt idx="1">
                  <c:v>0</c:v>
                </c:pt>
                <c:pt idx="2">
                  <c:v>2.4</c:v>
                </c:pt>
                <c:pt idx="3">
                  <c:v>0</c:v>
                </c:pt>
                <c:pt idx="4">
                  <c:v>0</c:v>
                </c:pt>
              </c:numCache>
            </c:numRef>
          </c:val>
          <c:smooth val="0"/>
          <c:extLst>
            <c:ext xmlns:c16="http://schemas.microsoft.com/office/drawing/2014/chart" uri="{C3380CC4-5D6E-409C-BE32-E72D297353CC}">
              <c16:uniqueId val="{00000002-6D2E-4DA3-8859-69944D6CAAF8}"/>
            </c:ext>
          </c:extLst>
        </c:ser>
        <c:dLbls>
          <c:showLegendKey val="0"/>
          <c:showVal val="0"/>
          <c:showCatName val="0"/>
          <c:showSerName val="0"/>
          <c:showPercent val="0"/>
          <c:showBubbleSize val="0"/>
        </c:dLbls>
        <c:marker val="1"/>
        <c:smooth val="0"/>
        <c:axId val="91779840"/>
        <c:axId val="91781760"/>
      </c:lineChart>
      <c:lineChart>
        <c:grouping val="standard"/>
        <c:varyColors val="0"/>
        <c:ser>
          <c:idx val="1"/>
          <c:order val="3"/>
          <c:tx>
            <c:v>alfa K</c:v>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Kostić!$A$4:$A$10</c:f>
              <c:strCache>
                <c:ptCount val="7"/>
                <c:pt idx="0">
                  <c:v>ne tretiran</c:v>
                </c:pt>
                <c:pt idx="1">
                  <c:v>15</c:v>
                </c:pt>
                <c:pt idx="2">
                  <c:v>25</c:v>
                </c:pt>
                <c:pt idx="3">
                  <c:v>35</c:v>
                </c:pt>
                <c:pt idx="4">
                  <c:v>55</c:v>
                </c:pt>
                <c:pt idx="5">
                  <c:v>75</c:v>
                </c:pt>
                <c:pt idx="6">
                  <c:v>120</c:v>
                </c:pt>
              </c:strCache>
            </c:strRef>
          </c:cat>
          <c:val>
            <c:numRef>
              <c:f>Kostić!$D$13:$D$17</c:f>
              <c:numCache>
                <c:formatCode>General</c:formatCode>
                <c:ptCount val="5"/>
                <c:pt idx="0">
                  <c:v>1.51</c:v>
                </c:pt>
                <c:pt idx="1">
                  <c:v>2.0499999999999998</c:v>
                </c:pt>
                <c:pt idx="2">
                  <c:v>2.0099999999999998</c:v>
                </c:pt>
                <c:pt idx="3">
                  <c:v>1.9900000000000002</c:v>
                </c:pt>
                <c:pt idx="4">
                  <c:v>1.85</c:v>
                </c:pt>
              </c:numCache>
            </c:numRef>
          </c:val>
          <c:smooth val="0"/>
          <c:extLst>
            <c:ext xmlns:c16="http://schemas.microsoft.com/office/drawing/2014/chart" uri="{C3380CC4-5D6E-409C-BE32-E72D297353CC}">
              <c16:uniqueId val="{00000003-6D2E-4DA3-8859-69944D6CAAF8}"/>
            </c:ext>
          </c:extLst>
        </c:ser>
        <c:dLbls>
          <c:showLegendKey val="0"/>
          <c:showVal val="0"/>
          <c:showCatName val="0"/>
          <c:showSerName val="0"/>
          <c:showPercent val="0"/>
          <c:showBubbleSize val="0"/>
        </c:dLbls>
        <c:marker val="1"/>
        <c:smooth val="0"/>
        <c:axId val="91805952"/>
        <c:axId val="91804416"/>
      </c:lineChart>
      <c:catAx>
        <c:axId val="9177984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vrijeme sinteze</a:t>
                </a:r>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91781760"/>
        <c:crosses val="autoZero"/>
        <c:auto val="1"/>
        <c:lblAlgn val="ctr"/>
        <c:lblOffset val="100"/>
        <c:noMultiLvlLbl val="0"/>
      </c:catAx>
      <c:valAx>
        <c:axId val="917817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Fe</a:t>
                </a:r>
                <a:r>
                  <a:rPr lang="sr-Latn-BA"/>
                  <a:t>, Zn, Cu,[</a:t>
                </a:r>
                <a:r>
                  <a:rPr lang="en-US" baseline="0"/>
                  <a:t>g/l</a:t>
                </a:r>
                <a:r>
                  <a:rPr lang="sr-Latn-BA" baseline="0"/>
                  <a:t>]</a:t>
                </a:r>
                <a:endParaRPr lang="en-US"/>
              </a:p>
            </c:rich>
          </c:tx>
          <c:layout/>
          <c:overlay val="0"/>
          <c:spPr>
            <a:noFill/>
            <a:ln>
              <a:noFill/>
            </a:ln>
            <a:effectLst/>
          </c:sp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91779840"/>
        <c:crosses val="autoZero"/>
        <c:crossBetween val="between"/>
      </c:valAx>
      <c:valAx>
        <c:axId val="91804416"/>
        <c:scaling>
          <c:orientation val="minMax"/>
        </c:scaling>
        <c:delete val="0"/>
        <c:axPos val="r"/>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91805952"/>
        <c:crosses val="max"/>
        <c:crossBetween val="between"/>
      </c:valAx>
      <c:catAx>
        <c:axId val="91805952"/>
        <c:scaling>
          <c:orientation val="minMax"/>
        </c:scaling>
        <c:delete val="1"/>
        <c:axPos val="b"/>
        <c:numFmt formatCode="General" sourceLinked="1"/>
        <c:majorTickMark val="out"/>
        <c:minorTickMark val="none"/>
        <c:tickLblPos val="nextTo"/>
        <c:crossAx val="91804416"/>
        <c:crosses val="autoZero"/>
        <c:auto val="1"/>
        <c:lblAlgn val="ctr"/>
        <c:lblOffset val="100"/>
        <c:noMultiLvlLbl val="0"/>
      </c:cat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sr-Latn-RS"/>
          </a:p>
        </c:txPr>
      </c:dTable>
      <c:spPr>
        <a:noFill/>
        <a:ln>
          <a:noFill/>
        </a:ln>
        <a:effectLst/>
      </c:spPr>
    </c:plotArea>
    <c:plotVisOnly val="1"/>
    <c:dispBlanksAs val="gap"/>
    <c:showDLblsOverMax val="0"/>
  </c:chart>
  <c:spPr>
    <a:noFill/>
    <a:ln w="9525" cap="flat" cmpd="sng" algn="ctr">
      <a:solidFill>
        <a:schemeClr val="bg1"/>
      </a:solidFill>
      <a:round/>
    </a:ln>
    <a:effectLst/>
  </c:spPr>
  <c:txPr>
    <a:bodyPr/>
    <a:lstStyle/>
    <a:p>
      <a:pPr>
        <a:defRPr/>
      </a:pPr>
      <a:endParaRPr lang="sr-Latn-R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Uticaj</a:t>
            </a:r>
            <a:r>
              <a:rPr lang="en-US" baseline="0"/>
              <a:t> </a:t>
            </a:r>
            <a:r>
              <a:rPr lang="sr-Latn-BA" baseline="0"/>
              <a:t>klica kristalizacije</a:t>
            </a:r>
            <a:r>
              <a:rPr lang="en-US" baseline="0"/>
              <a:t> na</a:t>
            </a:r>
            <a:r>
              <a:rPr lang="sr-Latn-BA" baseline="0"/>
              <a:t> koncentraciju </a:t>
            </a:r>
            <a:r>
              <a:rPr lang="en-US" baseline="0"/>
              <a:t>Fe</a:t>
            </a:r>
            <a:r>
              <a:rPr lang="sr-Latn-BA" baseline="0"/>
              <a:t>, </a:t>
            </a:r>
            <a:r>
              <a:rPr lang="en-US" baseline="0"/>
              <a:t>Zn</a:t>
            </a:r>
            <a:r>
              <a:rPr lang="sr-Latn-BA" baseline="0"/>
              <a:t> i Cu</a:t>
            </a:r>
            <a:r>
              <a:rPr lang="en-US" baseline="0"/>
              <a:t>  </a:t>
            </a:r>
            <a:endParaRPr lang="en-US"/>
          </a:p>
        </c:rich>
      </c:tx>
      <c:layout/>
      <c:overlay val="0"/>
      <c:spPr>
        <a:noFill/>
        <a:ln>
          <a:noFill/>
        </a:ln>
        <a:effectLst/>
      </c:spPr>
    </c:title>
    <c:autoTitleDeleted val="0"/>
    <c:plotArea>
      <c:layout/>
      <c:lineChart>
        <c:grouping val="standard"/>
        <c:varyColors val="0"/>
        <c:ser>
          <c:idx val="0"/>
          <c:order val="0"/>
          <c:tx>
            <c:v>fe rastvor</c:v>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Kostić!$A$22:$A$27</c:f>
              <c:strCache>
                <c:ptCount val="6"/>
                <c:pt idx="0">
                  <c:v>ne tretiran</c:v>
                </c:pt>
                <c:pt idx="1">
                  <c:v>1 g</c:v>
                </c:pt>
                <c:pt idx="2">
                  <c:v>2 g</c:v>
                </c:pt>
                <c:pt idx="3">
                  <c:v>3 g</c:v>
                </c:pt>
                <c:pt idx="4">
                  <c:v>4 g</c:v>
                </c:pt>
                <c:pt idx="5">
                  <c:v>6 g</c:v>
                </c:pt>
              </c:strCache>
            </c:strRef>
          </c:cat>
          <c:val>
            <c:numRef>
              <c:f>Kostić!$F$22:$F$27</c:f>
              <c:numCache>
                <c:formatCode>0.00</c:formatCode>
                <c:ptCount val="6"/>
                <c:pt idx="0">
                  <c:v>13.44</c:v>
                </c:pt>
                <c:pt idx="1">
                  <c:v>0</c:v>
                </c:pt>
                <c:pt idx="2">
                  <c:v>0</c:v>
                </c:pt>
                <c:pt idx="3">
                  <c:v>0</c:v>
                </c:pt>
                <c:pt idx="4">
                  <c:v>2.0000000000000004E-2</c:v>
                </c:pt>
                <c:pt idx="5">
                  <c:v>0.92</c:v>
                </c:pt>
              </c:numCache>
            </c:numRef>
          </c:val>
          <c:smooth val="0"/>
          <c:extLst>
            <c:ext xmlns:c16="http://schemas.microsoft.com/office/drawing/2014/chart" uri="{C3380CC4-5D6E-409C-BE32-E72D297353CC}">
              <c16:uniqueId val="{00000000-01E2-4725-9ADE-9AC1F31B2B80}"/>
            </c:ext>
          </c:extLst>
        </c:ser>
        <c:ser>
          <c:idx val="2"/>
          <c:order val="1"/>
          <c:tx>
            <c:v>Zn rastvor</c:v>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Ref>
              <c:f>Kostić!$A$22:$A$27</c:f>
              <c:strCache>
                <c:ptCount val="6"/>
                <c:pt idx="0">
                  <c:v>ne tretiran</c:v>
                </c:pt>
                <c:pt idx="1">
                  <c:v>1 g</c:v>
                </c:pt>
                <c:pt idx="2">
                  <c:v>2 g</c:v>
                </c:pt>
                <c:pt idx="3">
                  <c:v>3 g</c:v>
                </c:pt>
                <c:pt idx="4">
                  <c:v>4 g</c:v>
                </c:pt>
                <c:pt idx="5">
                  <c:v>6 g</c:v>
                </c:pt>
              </c:strCache>
            </c:strRef>
          </c:cat>
          <c:val>
            <c:numRef>
              <c:f>Kostić!$G$22:$G$27</c:f>
              <c:numCache>
                <c:formatCode>0.00</c:formatCode>
                <c:ptCount val="6"/>
                <c:pt idx="0">
                  <c:v>11.2</c:v>
                </c:pt>
                <c:pt idx="1">
                  <c:v>7.52</c:v>
                </c:pt>
                <c:pt idx="2">
                  <c:v>0.24000000000000002</c:v>
                </c:pt>
                <c:pt idx="3">
                  <c:v>0</c:v>
                </c:pt>
                <c:pt idx="4">
                  <c:v>0</c:v>
                </c:pt>
                <c:pt idx="5">
                  <c:v>0.24000000000000002</c:v>
                </c:pt>
              </c:numCache>
            </c:numRef>
          </c:val>
          <c:smooth val="0"/>
          <c:extLst>
            <c:ext xmlns:c16="http://schemas.microsoft.com/office/drawing/2014/chart" uri="{C3380CC4-5D6E-409C-BE32-E72D297353CC}">
              <c16:uniqueId val="{00000001-01E2-4725-9ADE-9AC1F31B2B80}"/>
            </c:ext>
          </c:extLst>
        </c:ser>
        <c:ser>
          <c:idx val="3"/>
          <c:order val="2"/>
          <c:tx>
            <c:v>Cu rastvor</c:v>
          </c:tx>
          <c:spPr>
            <a:ln w="28575" cap="rnd">
              <a:solidFill>
                <a:schemeClr val="accent4"/>
              </a:solidFill>
              <a:round/>
            </a:ln>
            <a:effectLst/>
          </c:spPr>
          <c:marker>
            <c:symbol val="circle"/>
            <c:size val="5"/>
            <c:spPr>
              <a:solidFill>
                <a:schemeClr val="accent4"/>
              </a:solidFill>
              <a:ln w="9525">
                <a:solidFill>
                  <a:schemeClr val="accent4"/>
                </a:solidFill>
              </a:ln>
              <a:effectLst/>
            </c:spPr>
          </c:marker>
          <c:cat>
            <c:strRef>
              <c:f>Kostić!$A$4:$A$10</c:f>
              <c:strCache>
                <c:ptCount val="7"/>
                <c:pt idx="0">
                  <c:v>ne tretiran</c:v>
                </c:pt>
                <c:pt idx="1">
                  <c:v>15</c:v>
                </c:pt>
                <c:pt idx="2">
                  <c:v>25</c:v>
                </c:pt>
                <c:pt idx="3">
                  <c:v>35</c:v>
                </c:pt>
                <c:pt idx="4">
                  <c:v>55</c:v>
                </c:pt>
                <c:pt idx="5">
                  <c:v>75</c:v>
                </c:pt>
                <c:pt idx="6">
                  <c:v>120</c:v>
                </c:pt>
              </c:strCache>
            </c:strRef>
          </c:cat>
          <c:val>
            <c:numRef>
              <c:f>Kostić!$E$22:$E$27</c:f>
              <c:numCache>
                <c:formatCode>0.00</c:formatCode>
                <c:ptCount val="6"/>
                <c:pt idx="0">
                  <c:v>7.48</c:v>
                </c:pt>
                <c:pt idx="1">
                  <c:v>0</c:v>
                </c:pt>
                <c:pt idx="2">
                  <c:v>0</c:v>
                </c:pt>
                <c:pt idx="3">
                  <c:v>0</c:v>
                </c:pt>
                <c:pt idx="4">
                  <c:v>0</c:v>
                </c:pt>
                <c:pt idx="5">
                  <c:v>0</c:v>
                </c:pt>
              </c:numCache>
            </c:numRef>
          </c:val>
          <c:smooth val="0"/>
          <c:extLst>
            <c:ext xmlns:c16="http://schemas.microsoft.com/office/drawing/2014/chart" uri="{C3380CC4-5D6E-409C-BE32-E72D297353CC}">
              <c16:uniqueId val="{00000002-01E2-4725-9ADE-9AC1F31B2B80}"/>
            </c:ext>
          </c:extLst>
        </c:ser>
        <c:dLbls>
          <c:showLegendKey val="0"/>
          <c:showVal val="0"/>
          <c:showCatName val="0"/>
          <c:showSerName val="0"/>
          <c:showPercent val="0"/>
          <c:showBubbleSize val="0"/>
        </c:dLbls>
        <c:marker val="1"/>
        <c:smooth val="0"/>
        <c:axId val="93013504"/>
        <c:axId val="93015424"/>
      </c:lineChart>
      <c:lineChart>
        <c:grouping val="standard"/>
        <c:varyColors val="0"/>
        <c:ser>
          <c:idx val="1"/>
          <c:order val="3"/>
          <c:tx>
            <c:v>alfa K</c:v>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Kostić!$A$4:$A$10</c:f>
              <c:strCache>
                <c:ptCount val="7"/>
                <c:pt idx="0">
                  <c:v>ne tretiran</c:v>
                </c:pt>
                <c:pt idx="1">
                  <c:v>15</c:v>
                </c:pt>
                <c:pt idx="2">
                  <c:v>25</c:v>
                </c:pt>
                <c:pt idx="3">
                  <c:v>35</c:v>
                </c:pt>
                <c:pt idx="4">
                  <c:v>55</c:v>
                </c:pt>
                <c:pt idx="5">
                  <c:v>75</c:v>
                </c:pt>
                <c:pt idx="6">
                  <c:v>120</c:v>
                </c:pt>
              </c:strCache>
            </c:strRef>
          </c:cat>
          <c:val>
            <c:numRef>
              <c:f>Kostić!$D$22:$D$27</c:f>
              <c:numCache>
                <c:formatCode>General</c:formatCode>
                <c:ptCount val="6"/>
                <c:pt idx="0">
                  <c:v>1.54</c:v>
                </c:pt>
                <c:pt idx="1">
                  <c:v>1.55</c:v>
                </c:pt>
                <c:pt idx="2">
                  <c:v>1.75</c:v>
                </c:pt>
                <c:pt idx="3">
                  <c:v>1.86</c:v>
                </c:pt>
                <c:pt idx="4">
                  <c:v>1.9300000000000002</c:v>
                </c:pt>
                <c:pt idx="5">
                  <c:v>1.9700000000000002</c:v>
                </c:pt>
              </c:numCache>
            </c:numRef>
          </c:val>
          <c:smooth val="0"/>
          <c:extLst>
            <c:ext xmlns:c16="http://schemas.microsoft.com/office/drawing/2014/chart" uri="{C3380CC4-5D6E-409C-BE32-E72D297353CC}">
              <c16:uniqueId val="{00000003-01E2-4725-9ADE-9AC1F31B2B80}"/>
            </c:ext>
          </c:extLst>
        </c:ser>
        <c:dLbls>
          <c:showLegendKey val="0"/>
          <c:showVal val="0"/>
          <c:showCatName val="0"/>
          <c:showSerName val="0"/>
          <c:showPercent val="0"/>
          <c:showBubbleSize val="0"/>
        </c:dLbls>
        <c:marker val="1"/>
        <c:smooth val="0"/>
        <c:axId val="93031424"/>
        <c:axId val="93029888"/>
      </c:lineChart>
      <c:catAx>
        <c:axId val="9301350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vrijeme sinteze</a:t>
                </a:r>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93015424"/>
        <c:crosses val="autoZero"/>
        <c:auto val="1"/>
        <c:lblAlgn val="ctr"/>
        <c:lblOffset val="100"/>
        <c:noMultiLvlLbl val="0"/>
      </c:catAx>
      <c:valAx>
        <c:axId val="930154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Fe</a:t>
                </a:r>
                <a:r>
                  <a:rPr lang="sr-Latn-BA"/>
                  <a:t>, Zn, Cu,[</a:t>
                </a:r>
                <a:r>
                  <a:rPr lang="en-US" baseline="0"/>
                  <a:t>g/l</a:t>
                </a:r>
                <a:r>
                  <a:rPr lang="sr-Latn-BA" baseline="0"/>
                  <a:t>]</a:t>
                </a:r>
                <a:endParaRPr lang="en-US"/>
              </a:p>
            </c:rich>
          </c:tx>
          <c:layout/>
          <c:overlay val="0"/>
          <c:spPr>
            <a:noFill/>
            <a:ln>
              <a:noFill/>
            </a:ln>
            <a:effectLst/>
          </c:sp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93013504"/>
        <c:crosses val="autoZero"/>
        <c:crossBetween val="between"/>
      </c:valAx>
      <c:valAx>
        <c:axId val="93029888"/>
        <c:scaling>
          <c:orientation val="minMax"/>
        </c:scaling>
        <c:delete val="0"/>
        <c:axPos val="r"/>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93031424"/>
        <c:crosses val="max"/>
        <c:crossBetween val="between"/>
      </c:valAx>
      <c:catAx>
        <c:axId val="93031424"/>
        <c:scaling>
          <c:orientation val="minMax"/>
        </c:scaling>
        <c:delete val="1"/>
        <c:axPos val="b"/>
        <c:numFmt formatCode="General" sourceLinked="1"/>
        <c:majorTickMark val="out"/>
        <c:minorTickMark val="none"/>
        <c:tickLblPos val="nextTo"/>
        <c:crossAx val="93029888"/>
        <c:crosses val="autoZero"/>
        <c:auto val="1"/>
        <c:lblAlgn val="ctr"/>
        <c:lblOffset val="100"/>
        <c:noMultiLvlLbl val="0"/>
      </c:cat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sr-Latn-R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RVr93</b:Tag>
    <b:SourceType>Book</b:SourceType>
    <b:Guid>{BF6C5192-2BE0-4B9E-9B7F-E7FC24903165}</b:Guid>
    <b:Author>
      <b:Author>
        <b:NameList>
          <b:Person>
            <b:Last>R. Vračar</b:Last>
            <b:First>Ž.</b:First>
            <b:Middle>Živković</b:Middle>
          </b:Person>
        </b:NameList>
      </b:Author>
    </b:Author>
    <b:Title>Ekstraktivna metalurgija aluminijuma</b:Title>
    <b:Year>1993</b:Year>
    <b:City>Beograd</b:City>
    <b:Publisher>Naučna knjiga</b:Publisher>
    <b:RefOrder>9</b:RefOrder>
  </b:Source>
  <b:Source>
    <b:Tag>MJo16</b:Tag>
    <b:SourceType>Book</b:SourceType>
    <b:Guid>{08C07DE3-F6FB-4691-B003-CB578AE5C1E5}</b:Guid>
    <b:Author>
      <b:Author>
        <b:NameList>
          <b:Person>
            <b:Last>M. Jotanović</b:Last>
            <b:First>V.</b:First>
            <b:Middle>Mićić</b:Middle>
          </b:Person>
        </b:NameList>
      </b:Author>
    </b:Author>
    <b:Title>Hemijsko reakcijsko inženjerstvo</b:Title>
    <b:Year>2016</b:Year>
    <b:City>Zvornik</b:City>
    <b:Publisher>Tehnološki fakultet</b:Publisher>
    <b:RefOrder>24</b:RefOrder>
  </b:Source>
  <b:Source>
    <b:Tag>Che19</b:Tag>
    <b:SourceType>Book</b:SourceType>
    <b:Guid>{D24C17A4-8D65-4D78-B865-FA9331C483D2}</b:Guid>
    <b:Title>Ligh metals 2019</b:Title>
    <b:Year>2019</b:Year>
    <b:Publisher>Springer</b:Publisher>
    <b:Author>
      <b:Author>
        <b:NameList>
          <b:Person>
            <b:Last>Chesonis</b:Last>
            <b:First>Corleen</b:First>
          </b:Person>
        </b:NameList>
      </b:Author>
    </b:Author>
    <b:RefOrder>5</b:RefOrder>
  </b:Source>
  <b:Source>
    <b:Tag>CSu12</b:Tag>
    <b:SourceType>Book</b:SourceType>
    <b:Guid>{28C04ED8-D078-4026-BC1C-3B0C3D94AD4A}</b:Guid>
    <b:Author>
      <b:Author>
        <b:NameList>
          <b:Person>
            <b:Last>Suarez</b:Last>
            <b:First>C.</b:First>
          </b:Person>
        </b:NameList>
      </b:Author>
    </b:Author>
    <b:Title>Light Metals 2012</b:Title>
    <b:Year>2012</b:Year>
    <b:Publisher>TMS Springer</b:Publisher>
    <b:RefOrder>16</b:RefOrder>
  </b:Source>
  <b:Source>
    <b:Tag>EWi16</b:Tag>
    <b:SourceType>Book</b:SourceType>
    <b:Guid>{C705BA21-2A74-4798-8893-638C94F92C5B}</b:Guid>
    <b:Author>
      <b:Author>
        <b:NameList>
          <b:Person>
            <b:Last>Williams</b:Last>
            <b:First>E.</b:First>
          </b:Person>
        </b:NameList>
      </b:Author>
    </b:Author>
    <b:Title>Light Metals 2016</b:Title>
    <b:Year>2016</b:Year>
    <b:Publisher>TMS Springer</b:Publisher>
    <b:RefOrder>17</b:RefOrder>
  </b:Source>
  <b:Source>
    <b:Tag>Joh14</b:Tag>
    <b:SourceType>Book</b:SourceType>
    <b:Guid>{25D1FCFB-0190-4A33-A476-2E5E1D77F2DD}</b:Guid>
    <b:Author>
      <b:Author>
        <b:NameList>
          <b:Person>
            <b:Last>Grandfield</b:Last>
            <b:First>John</b:First>
          </b:Person>
        </b:NameList>
      </b:Author>
    </b:Author>
    <b:Title>Light Metals 2014</b:Title>
    <b:Year>2014</b:Year>
    <b:Publisher>TMS, Springer</b:Publisher>
    <b:RefOrder>7</b:RefOrder>
  </b:Source>
  <b:Source>
    <b:Tag>APR17</b:Tag>
    <b:SourceType>Book</b:SourceType>
    <b:Guid>{45635BB4-43FB-4181-B472-731F86A5F637}</b:Guid>
    <b:Author>
      <b:Author>
        <b:NameList>
          <b:Person>
            <b:Last>Ratvik</b:Last>
            <b:First>A.</b:First>
            <b:Middle>P.</b:Middle>
          </b:Person>
        </b:NameList>
      </b:Author>
    </b:Author>
    <b:Title>Light Metals 2017</b:Title>
    <b:Year>2017</b:Year>
    <b:Publisher>TMS, Springer</b:Publisher>
    <b:RefOrder>10</b:RefOrder>
  </b:Source>
  <b:Source>
    <b:Tag>JYi09</b:Tag>
    <b:SourceType>JournalArticle</b:SourceType>
    <b:Guid>{E643010D-CCFD-401C-87C2-148E795D69C0}</b:Guid>
    <b:Author>
      <b:Author>
        <b:NameList>
          <b:Person>
            <b:Last>J</b:Last>
            <b:First>Yi</b:First>
          </b:Person>
          <b:Person>
            <b:First>Y.</b:First>
            <b:Middle>Sun</b:Middle>
          </b:Person>
          <b:Person>
            <b:Last>J. Gao</b:Last>
            <b:First>C.</b:First>
            <b:Middle>Xu</b:Middle>
          </b:Person>
        </b:NameList>
      </b:Author>
    </b:Author>
    <b:Title>Synthesis of crystaline alumina wiht high purity</b:Title>
    <b:Year>2009</b:Year>
    <b:JournalName>Transactions of Nonferrous Metals Society of China</b:JournalName>
    <b:Pages>1237-1242</b:Pages>
    <b:RefOrder>12</b:RefOrder>
  </b:Source>
  <b:Source>
    <b:Tag>Zha18</b:Tag>
    <b:SourceType>JournalArticle</b:SourceType>
    <b:Guid>{A6A5D203-A4B7-4905-8B43-265AB0C9BF6C}</b:Guid>
    <b:Title>Sulfur Removal by Adding Iron During the Digestion Process of Hih-sulfur Bauxite</b:Title>
    <b:JournalName>The Minerals, Metals &amp; Materials Society and ASM Internation</b:JournalName>
    <b:Year>2018</b:Year>
    <b:Author>
      <b:Author>
        <b:NameList>
          <b:Person>
            <b:Last>Zhanwei</b:Last>
            <b:First>Liu</b:First>
          </b:Person>
          <b:Person>
            <b:Last>Hengwei</b:Last>
            <b:First>Yan</b:First>
          </b:Person>
          <b:Person>
            <b:Last>Wenhui </b:Last>
            <b:First>Ma</b:First>
          </b:Person>
          <b:Person>
            <b:Last>Xie</b:Last>
            <b:First>Keqiang</b:First>
          </b:Person>
          <b:Person>
            <b:Last>Dunyong</b:Last>
            <b:First>Li</b:First>
          </b:Person>
          <b:Person>
            <b:Last>Pengfei</b:Last>
            <b:First>Li</b:First>
          </b:Person>
        </b:NameList>
      </b:Author>
    </b:Author>
    <b:RefOrder>3</b:RefOrder>
  </b:Source>
  <b:Source>
    <b:Tag>Par12</b:Tag>
    <b:SourceType>JournalArticle</b:SourceType>
    <b:Guid>{2E377F12-5AD5-4A58-889A-BC83C4A58301}</b:Guid>
    <b:Title>Purification ofAl(OH)3 synthesized by Bayerp rocess for preparation of high purity alumina as sapphire raw material</b:Title>
    <b:JournalName>Journal of Crystal Growth</b:JournalName>
    <b:Year>2012</b:Year>
    <b:Author>
      <b:Author>
        <b:NameList>
          <b:Person>
            <b:Last>Park</b:Last>
            <b:First>No-kuk</b:First>
          </b:Person>
          <b:Person>
            <b:Last>Choi</b:Last>
            <b:First>Hee-Young</b:First>
          </b:Person>
          <b:Person>
            <b:Last>Kim</b:Last>
            <b:First>Do-Hyeong</b:First>
          </b:Person>
          <b:Person>
            <b:Last>Lee</b:Last>
            <b:First>Tae Jin</b:First>
          </b:Person>
          <b:Person>
            <b:Last>Kang</b:Last>
            <b:First>Misook</b:First>
          </b:Person>
          <b:Person>
            <b:Last>Lee</b:Last>
            <b:First>Won Gun</b:First>
          </b:Person>
          <b:Person>
            <b:Last>Kim</b:Last>
            <b:First>Heun Duk</b:First>
          </b:Person>
          <b:Person>
            <b:Last>Park</b:Last>
            <b:First>Joon Woo</b:First>
          </b:Person>
        </b:NameList>
      </b:Author>
    </b:Author>
    <b:RefOrder>1</b:RefOrder>
  </b:Source>
  <b:Source>
    <b:Tag>Met11</b:Tag>
    <b:SourceType>Report</b:SourceType>
    <b:Guid>{ACA4204D-6942-405A-824F-189905E0CF90}</b:Guid>
    <b:Title>Production of Alumina</b:Title>
    <b:Year>2011</b:Year>
    <b:Author>
      <b:Author>
        <b:NameList>
          <b:Person>
            <b:Last>Metson</b:Last>
            <b:First>J.</b:First>
          </b:Person>
        </b:NameList>
      </b:Author>
    </b:Author>
    <b:Publisher>Woodhead Publishing Limited</b:Publisher>
    <b:City>Auckland</b:City>
    <b:RefOrder>4</b:RefOrder>
  </b:Source>
  <b:Source>
    <b:Tag>LiX15</b:Tag>
    <b:SourceType>JournalArticle</b:SourceType>
    <b:Guid>{F9507BF9-2403-4C11-AF44-585D7F5999C3}</b:Guid>
    <b:Title>Interaction of sulfur with iron compounds in sodium aluminate solutions</b:Title>
    <b:Year>2015</b:Year>
    <b:JournalName>Trans. Nonferrous Met. Soc. China</b:JournalName>
    <b:Pages>608-614</b:Pages>
    <b:Author>
      <b:Author>
        <b:NameList>
          <b:Person>
            <b:Last>Li</b:Last>
            <b:First>Xiao-bin</b:First>
          </b:Person>
          <b:Person>
            <b:Last>Li</b:Last>
            <b:First>Chong-yang</b:First>
          </b:Person>
          <b:Person>
            <b:Last>Liu</b:Last>
            <b:First>Gui-hua</b:First>
          </b:Person>
          <b:Person>
            <b:Last>Zhou</b:Last>
            <b:First>Qui-sheng</b:First>
          </b:Person>
          <b:Person>
            <b:Last>Qi</b:Last>
            <b:First>Tian-gui</b:First>
          </b:Person>
        </b:NameList>
      </b:Author>
    </b:Author>
    <b:RefOrder>23</b:RefOrder>
  </b:Source>
  <b:Source>
    <b:Tag>Cou89</b:Tag>
    <b:SourceType>Patent</b:SourceType>
    <b:Guid>{A4263B8D-BD5B-4016-8C03-D4BBB71C59A1}</b:Guid>
    <b:Year>1989</b:Year>
    <b:CountryRegion>Europe</b:CountryRegion>
    <b:Author>
      <b:Inventor>
        <b:NameList>
          <b:Person>
            <b:Last>Cousineau</b:Last>
            <b:First>Pierre</b:First>
            <b:Middle>Gervais</b:Middle>
          </b:Person>
        </b:NameList>
      </b:Inventor>
    </b:Author>
    <b:PatentNumber>EP0339766</b:PatentNumber>
    <b:RefOrder>6</b:RefOrder>
  </b:Source>
  <b:Source>
    <b:Tag>Cyt98</b:Tag>
    <b:SourceType>Patent</b:SourceType>
    <b:Guid>{FD0C02E8-565E-495F-B04D-E971A7537B56}</b:Guid>
    <b:Author>
      <b:Inventor>
        <b:NameList>
          <b:Person>
            <b:Last>Corp.</b:Last>
            <b:First>Cytec</b:First>
            <b:Middle>Technology</b:Middle>
          </b:Person>
        </b:NameList>
      </b:Inventor>
    </b:Author>
    <b:Year>1998</b:Year>
    <b:CountryRegion>USA</b:CountryRegion>
    <b:PatentNumber>US9276357A</b:PatentNumber>
    <b:RefOrder>22</b:RefOrder>
  </b:Source>
  <b:Source>
    <b:Tag>Cho72</b:Tag>
    <b:SourceType>Patent</b:SourceType>
    <b:Guid>{05D7912F-CD3B-458F-A281-E9847DA0AAEB}</b:Guid>
    <b:Author>
      <b:Inventor>
        <b:NameList>
          <b:Person>
            <b:Last>Sato</b:Last>
            <b:First>Choesi</b:First>
          </b:Person>
          <b:Person>
            <b:Last>akihisa Furukawa</b:Last>
            <b:First>Yoishi</b:First>
            <b:Middle>Sano</b:Middle>
          </b:Person>
        </b:NameList>
      </b:Inventor>
    </b:Author>
    <b:Year>1972</b:Year>
    <b:CountryRegion>Japan</b:CountryRegion>
    <b:PatentNumber>3649185</b:PatentNumber>
    <b:RefOrder>11</b:RefOrder>
  </b:Source>
  <b:Source>
    <b:Tag>Pet73</b:Tag>
    <b:SourceType>Patent</b:SourceType>
    <b:Guid>{49146A08-F421-4779-B57B-748A09799A7C}</b:Guid>
    <b:Author>
      <b:Inventor>
        <b:NameList>
          <b:Person>
            <b:Last>Petitjean</b:Last>
            <b:First>M.</b:First>
          </b:Person>
          <b:Person>
            <b:Last>Rollet</b:Last>
            <b:First>G.</b:First>
          </b:Person>
          <b:Person>
            <b:Last>Ile</b:Last>
            <b:First>M</b:First>
          </b:Person>
        </b:NameList>
      </b:Inventor>
    </b:Author>
    <b:Year>1973</b:Year>
    <b:CountryRegion>France</b:CountryRegion>
    <b:PatentNumber>3728432</b:PatentNumber>
    <b:RefOrder>8</b:RefOrder>
  </b:Source>
  <b:Source>
    <b:Tag>Bir81</b:Tag>
    <b:SourceType>Patent</b:SourceType>
    <b:Guid>{50E123D0-F37F-4185-87D0-2C47A77DB08C}</b:Guid>
    <b:Author>
      <b:Inventor>
        <b:NameList>
          <b:Person>
            <b:Last>Bird</b:Last>
            <b:First>R</b:First>
          </b:Person>
          <b:Person>
            <b:Last>Vance</b:Last>
            <b:First>H</b:First>
          </b:Person>
        </b:NameList>
      </b:Inventor>
    </b:Author>
    <b:Year>1981</b:Year>
    <b:CountryRegion>USA</b:CountryRegion>
    <b:PatentNumber>4282191</b:PatentNumber>
    <b:RefOrder>20</b:RefOrder>
  </b:Source>
  <b:Source>
    <b:Tag>The83</b:Tag>
    <b:SourceType>Patent</b:SourceType>
    <b:Guid>{4ED520BD-7C7B-4CDF-B5D2-0664CCB9F9E8}</b:Guid>
    <b:Author>
      <b:Inventor>
        <b:NameList>
          <b:Person>
            <b:Last>The</b:Last>
            <b:First>P.</b:First>
          </b:Person>
          <b:Person>
            <b:Last>Pa</b:Last>
            <b:First>M.</b:First>
          </b:Person>
        </b:NameList>
      </b:Inventor>
    </b:Author>
    <b:Year>1983</b:Year>
    <b:CountryRegion>USA</b:CountryRegion>
    <b:PatentNumber>4414115</b:PatentNumber>
    <b:RefOrder>19</b:RefOrder>
  </b:Source>
  <b:Source>
    <b:Tag>Dev97</b:Tag>
    <b:SourceType>Patent</b:SourceType>
    <b:Guid>{742B1E12-8E6D-4362-946E-1B2D13F3B4BD}</b:Guid>
    <b:Author>
      <b:Inventor>
        <b:NameList>
          <b:Person>
            <b:Last>Devile</b:Last>
            <b:First>J.</b:First>
          </b:Person>
          <b:Person>
            <b:Last>Lameran</b:Last>
            <b:First>JM.</b:First>
          </b:Person>
        </b:NameList>
      </b:Inventor>
    </b:Author>
    <b:Year>1997</b:Year>
    <b:CountryRegion>USA, France</b:CountryRegion>
    <b:PatentNumber>5628972</b:PatentNumber>
    <b:RefOrder>21</b:RefOrder>
  </b:Source>
  <b:Source>
    <b:Tag>Kos19</b:Tag>
    <b:SourceType>ConferenceProceedings</b:SourceType>
    <b:Guid>{600DDA07-8983-4CC0-9B97-EDD3EE0AC439}</b:Guid>
    <b:Author>
      <b:Author>
        <b:NameList>
          <b:Person>
            <b:Last>Kostić</b:Last>
            <b:First>D.</b:First>
          </b:Person>
          <b:Person>
            <b:Last>Balaban</b:Last>
            <b:First>D.</b:First>
          </b:Person>
          <b:Person>
            <b:Last>Perušić</b:Last>
            <b:First>M.</b:First>
          </b:Person>
          <b:Person>
            <b:Last>Pejović</b:Last>
            <b:First>B</b:First>
          </b:Person>
        </b:NameList>
      </b:Author>
    </b:Author>
    <b:Title>Optimizacije procesnih parametara sinteze bijelog aluminijum trihidrata</b:Title>
    <b:Year>2019</b:Year>
    <b:ConferenceName>13th Conference for Young Scientists in Ceramics</b:ConferenceName>
    <b:City>Novi Sad</b:City>
    <b:Publisher>Tehnološki fakultet</b:Publisher>
    <b:RefOrder>15</b:RefOrder>
  </b:Source>
  <b:Source>
    <b:Tag>Sin98</b:Tag>
    <b:SourceType>JournalArticle</b:SourceType>
    <b:Guid>{A880EA6F-4D97-4021-BB7F-2523795CD9EE}</b:Guid>
    <b:Title>Adsorption methods for the characterization of porous materials</b:Title>
    <b:Pages>3-11</b:Pages>
    <b:Year>1998</b:Year>
    <b:Author>
      <b:Author>
        <b:NameList>
          <b:Person>
            <b:Last>Sing</b:Last>
            <b:First>Keneth</b:First>
          </b:Person>
        </b:NameList>
      </b:Author>
    </b:Author>
    <b:JournalName>Advances in Colloid and Interface Science</b:JournalName>
    <b:RefOrder>14</b:RefOrder>
  </b:Source>
  <b:Source>
    <b:Tag>Tie19</b:Tag>
    <b:SourceType>Book</b:SourceType>
    <b:Guid>{E7A230D6-C1DB-42B3-B87F-1AF953F1BCCD}</b:Guid>
    <b:Author>
      <b:Author>
        <b:NameList>
          <b:Person>
            <b:Last>Tien</b:Last>
            <b:First>Chi</b:First>
          </b:Person>
        </b:NameList>
      </b:Author>
    </b:Author>
    <b:Title>Introductio to adsorption</b:Title>
    <b:Year>2019</b:Year>
    <b:Publisher>Elsevier</b:Publisher>
    <b:RefOrder>18</b:RefOrder>
  </b:Source>
  <b:Source>
    <b:Tag>Sin19</b:Tag>
    <b:SourceType>Book</b:SourceType>
    <b:Guid>{6829DF2C-B2E7-4874-A2D3-C7A7442BFEC7}</b:Guid>
    <b:Author>
      <b:Author>
        <b:NameList>
          <b:Person>
            <b:Last>Singh</b:Last>
            <b:First>J.</b:First>
          </b:Person>
          <b:Person>
            <b:Last>Verma</b:Last>
            <b:First>N.</b:First>
          </b:Person>
        </b:NameList>
      </b:Author>
    </b:Author>
    <b:Title>Aqueous Phase Adsorption, Theory, Simulations, and Experiments</b:Title>
    <b:Year>2019</b:Year>
    <b:City>London</b:City>
    <b:Publisher>CRC Press, Taylor &amp; Francis Group</b:Publisher>
    <b:RefOrder>2</b:RefOrder>
  </b:Source>
  <b:Source>
    <b:Tag>Kel05</b:Tag>
    <b:SourceType>Book</b:SourceType>
    <b:Guid>{70E1C6E9-22D6-4402-B910-996C5AD3EC52}</b:Guid>
    <b:Author>
      <b:Author>
        <b:NameList>
          <b:Person>
            <b:Last>Keller</b:Last>
            <b:First>J.</b:First>
          </b:Person>
          <b:Person>
            <b:Last>Staudt</b:Last>
            <b:First>R.</b:First>
          </b:Person>
        </b:NameList>
      </b:Author>
    </b:Author>
    <b:Title>Gas Adsorption Equilibria</b:Title>
    <b:Year>2005</b:Year>
    <b:Publisher>Springer</b:Publisher>
    <b:RefOrder>13</b:RefOrder>
  </b:Source>
</b:Sources>
</file>

<file path=customXml/itemProps1.xml><?xml version="1.0" encoding="utf-8"?>
<ds:datastoreItem xmlns:ds="http://schemas.openxmlformats.org/officeDocument/2006/customXml" ds:itemID="{F094CC64-31F3-4AF6-A8E9-49D1207AE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11</Pages>
  <Words>2958</Words>
  <Characters>16864</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Duško Kostić</cp:lastModifiedBy>
  <cp:revision>10</cp:revision>
  <dcterms:created xsi:type="dcterms:W3CDTF">2020-06-19T10:47:00Z</dcterms:created>
  <dcterms:modified xsi:type="dcterms:W3CDTF">2020-06-18T14:42:00Z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