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277135" w14:textId="3BC86E2C" w:rsidR="00A07D19" w:rsidRPr="006E3B88" w:rsidRDefault="006E3B88" w:rsidP="00DA6FF6">
      <w:pPr>
        <w:jc w:val="center"/>
        <w:rPr>
          <w:rFonts w:asciiTheme="majorBidi" w:hAnsiTheme="majorBidi" w:cstheme="majorBidi"/>
          <w:b/>
          <w:bCs/>
          <w:sz w:val="28"/>
          <w:szCs w:val="28"/>
          <w:lang w:val="sr-Latn-BA"/>
        </w:rPr>
      </w:pPr>
      <w:r w:rsidRPr="006E3B88">
        <w:rPr>
          <w:rFonts w:asciiTheme="majorBidi" w:hAnsiTheme="majorBidi" w:cstheme="majorBidi"/>
          <w:b/>
          <w:bCs/>
          <w:sz w:val="28"/>
          <w:szCs w:val="28"/>
        </w:rPr>
        <w:t>UNIVERZITETSKO KLINI</w:t>
      </w:r>
      <w:r w:rsidRPr="006E3B88">
        <w:rPr>
          <w:rFonts w:asciiTheme="majorBidi" w:hAnsiTheme="majorBidi" w:cstheme="majorBidi"/>
          <w:b/>
          <w:bCs/>
          <w:sz w:val="28"/>
          <w:szCs w:val="28"/>
          <w:lang w:val="sr-Latn-BA"/>
        </w:rPr>
        <w:t>ČKI CENTAR BANJA LUKA</w:t>
      </w:r>
    </w:p>
    <w:p w14:paraId="13375C4A" w14:textId="6C9194E8" w:rsidR="006E3B88" w:rsidRPr="006E3B88" w:rsidRDefault="006E3B88" w:rsidP="00DA6FF6">
      <w:pPr>
        <w:jc w:val="center"/>
        <w:rPr>
          <w:rFonts w:asciiTheme="majorBidi" w:hAnsiTheme="majorBidi" w:cstheme="majorBidi"/>
          <w:b/>
          <w:bCs/>
          <w:sz w:val="28"/>
          <w:szCs w:val="28"/>
          <w:lang w:val="sr-Latn-BA"/>
        </w:rPr>
      </w:pPr>
      <w:r w:rsidRPr="006E3B88">
        <w:rPr>
          <w:rFonts w:asciiTheme="majorBidi" w:hAnsiTheme="majorBidi" w:cstheme="majorBidi"/>
          <w:b/>
          <w:bCs/>
          <w:sz w:val="28"/>
          <w:szCs w:val="28"/>
          <w:lang w:val="sr-Latn-BA"/>
        </w:rPr>
        <w:t>KLINIKA ZA</w:t>
      </w:r>
      <w:r>
        <w:rPr>
          <w:rFonts w:asciiTheme="majorBidi" w:hAnsiTheme="majorBidi" w:cstheme="majorBidi"/>
          <w:b/>
          <w:bCs/>
          <w:sz w:val="28"/>
          <w:szCs w:val="28"/>
          <w:lang w:val="sr-Latn-BA"/>
        </w:rPr>
        <w:t xml:space="preserve"> ANESTEZIJU I</w:t>
      </w:r>
      <w:r w:rsidRPr="006E3B88">
        <w:rPr>
          <w:rFonts w:asciiTheme="majorBidi" w:hAnsiTheme="majorBidi" w:cstheme="majorBidi"/>
          <w:b/>
          <w:bCs/>
          <w:sz w:val="28"/>
          <w:szCs w:val="28"/>
          <w:lang w:val="sr-Latn-BA"/>
        </w:rPr>
        <w:t xml:space="preserve"> INTENZIVNO LIJEČENJE</w:t>
      </w:r>
    </w:p>
    <w:p w14:paraId="336D162E" w14:textId="35A0A9CC" w:rsidR="00A07D19" w:rsidRDefault="00A07D19" w:rsidP="00DA6FF6">
      <w:pPr>
        <w:jc w:val="center"/>
        <w:rPr>
          <w:rFonts w:asciiTheme="majorBidi" w:hAnsiTheme="majorBidi" w:cstheme="majorBidi"/>
          <w:b/>
          <w:bCs/>
          <w:sz w:val="36"/>
          <w:szCs w:val="36"/>
        </w:rPr>
      </w:pPr>
    </w:p>
    <w:p w14:paraId="3016450C" w14:textId="228695D7" w:rsidR="00A07D19" w:rsidRDefault="00A07D19" w:rsidP="00DA6FF6">
      <w:pPr>
        <w:jc w:val="center"/>
        <w:rPr>
          <w:rFonts w:asciiTheme="majorBidi" w:hAnsiTheme="majorBidi" w:cstheme="majorBidi"/>
          <w:b/>
          <w:bCs/>
          <w:sz w:val="36"/>
          <w:szCs w:val="36"/>
        </w:rPr>
      </w:pPr>
    </w:p>
    <w:p w14:paraId="47A08669" w14:textId="77777777" w:rsidR="00A07D19" w:rsidRDefault="00A07D19" w:rsidP="00DA6FF6">
      <w:pPr>
        <w:jc w:val="center"/>
        <w:rPr>
          <w:rFonts w:asciiTheme="majorBidi" w:hAnsiTheme="majorBidi" w:cstheme="majorBidi"/>
          <w:b/>
          <w:bCs/>
          <w:sz w:val="36"/>
          <w:szCs w:val="36"/>
        </w:rPr>
      </w:pPr>
    </w:p>
    <w:p w14:paraId="6A654657" w14:textId="77777777" w:rsidR="00A07D19" w:rsidRDefault="00A07D19" w:rsidP="00DA6FF6">
      <w:pPr>
        <w:jc w:val="center"/>
        <w:rPr>
          <w:rFonts w:asciiTheme="majorBidi" w:hAnsiTheme="majorBidi" w:cstheme="majorBidi"/>
          <w:b/>
          <w:bCs/>
          <w:sz w:val="36"/>
          <w:szCs w:val="36"/>
        </w:rPr>
      </w:pPr>
    </w:p>
    <w:p w14:paraId="1837129D" w14:textId="582F901F" w:rsidR="00A07D19" w:rsidRDefault="00A07D19" w:rsidP="008A63FF">
      <w:pPr>
        <w:rPr>
          <w:rFonts w:asciiTheme="majorBidi" w:hAnsiTheme="majorBidi" w:cstheme="majorBidi"/>
          <w:b/>
          <w:bCs/>
          <w:sz w:val="36"/>
          <w:szCs w:val="36"/>
        </w:rPr>
      </w:pPr>
    </w:p>
    <w:p w14:paraId="33B8E6DB" w14:textId="77777777" w:rsidR="006E3B88" w:rsidRDefault="006E3B88" w:rsidP="008A63FF">
      <w:pPr>
        <w:rPr>
          <w:rFonts w:asciiTheme="majorBidi" w:hAnsiTheme="majorBidi" w:cstheme="majorBidi"/>
          <w:b/>
          <w:bCs/>
          <w:sz w:val="36"/>
          <w:szCs w:val="36"/>
        </w:rPr>
      </w:pPr>
    </w:p>
    <w:p w14:paraId="4B9515B6" w14:textId="63BB9696" w:rsidR="00DA6FF6" w:rsidRDefault="00DA6FF6" w:rsidP="00DA6FF6">
      <w:pPr>
        <w:jc w:val="center"/>
        <w:rPr>
          <w:rFonts w:asciiTheme="majorBidi" w:hAnsiTheme="majorBidi" w:cstheme="majorBidi"/>
          <w:b/>
          <w:bCs/>
          <w:sz w:val="56"/>
          <w:szCs w:val="56"/>
        </w:rPr>
      </w:pPr>
      <w:r w:rsidRPr="00A07D19">
        <w:rPr>
          <w:rFonts w:asciiTheme="majorBidi" w:hAnsiTheme="majorBidi" w:cstheme="majorBidi"/>
          <w:b/>
          <w:bCs/>
          <w:sz w:val="56"/>
          <w:szCs w:val="56"/>
        </w:rPr>
        <w:t>INCIDENCA BAKTERIJSKE REZISTENCIJE</w:t>
      </w:r>
    </w:p>
    <w:p w14:paraId="2E8CE7E9" w14:textId="77777777" w:rsidR="00A07D19" w:rsidRPr="00A07D19" w:rsidRDefault="00A07D19" w:rsidP="00DA6FF6">
      <w:pPr>
        <w:jc w:val="center"/>
        <w:rPr>
          <w:rFonts w:asciiTheme="majorBidi" w:hAnsiTheme="majorBidi" w:cstheme="majorBidi"/>
          <w:b/>
          <w:bCs/>
          <w:sz w:val="56"/>
          <w:szCs w:val="56"/>
        </w:rPr>
      </w:pPr>
    </w:p>
    <w:p w14:paraId="227708B0" w14:textId="77777777" w:rsidR="00DA6FF6" w:rsidRDefault="00DA6FF6" w:rsidP="005F768B">
      <w:pPr>
        <w:spacing w:after="0"/>
        <w:rPr>
          <w:rFonts w:asciiTheme="majorBidi" w:hAnsiTheme="majorBidi" w:cstheme="majorBidi"/>
          <w:sz w:val="24"/>
          <w:szCs w:val="24"/>
        </w:rPr>
      </w:pPr>
    </w:p>
    <w:p w14:paraId="66A6DF7A" w14:textId="3E5DCF04" w:rsidR="00E34F2B" w:rsidRDefault="00E34F2B" w:rsidP="005F768B">
      <w:pPr>
        <w:spacing w:after="0"/>
        <w:rPr>
          <w:rFonts w:asciiTheme="majorBidi" w:hAnsiTheme="majorBidi" w:cstheme="majorBidi"/>
          <w:sz w:val="24"/>
          <w:szCs w:val="24"/>
        </w:rPr>
      </w:pPr>
    </w:p>
    <w:p w14:paraId="2FDBB282" w14:textId="77777777" w:rsidR="00E34F2B" w:rsidRDefault="00E34F2B">
      <w:pPr>
        <w:rPr>
          <w:rFonts w:asciiTheme="majorBidi" w:hAnsiTheme="majorBidi" w:cstheme="majorBidi"/>
          <w:sz w:val="24"/>
          <w:szCs w:val="24"/>
        </w:rPr>
      </w:pPr>
      <w:r>
        <w:rPr>
          <w:rFonts w:asciiTheme="majorBidi" w:hAnsiTheme="majorBidi" w:cstheme="majorBidi"/>
          <w:sz w:val="24"/>
          <w:szCs w:val="24"/>
        </w:rPr>
        <w:br w:type="page"/>
      </w:r>
    </w:p>
    <w:p w14:paraId="4CB8E7E3" w14:textId="77777777" w:rsidR="00E34F2B" w:rsidRDefault="00E34F2B" w:rsidP="00E34F2B">
      <w:pPr>
        <w:jc w:val="center"/>
        <w:rPr>
          <w:rFonts w:asciiTheme="majorBidi" w:hAnsiTheme="majorBidi" w:cstheme="majorBidi"/>
          <w:b/>
          <w:bCs/>
          <w:sz w:val="36"/>
          <w:szCs w:val="36"/>
        </w:rPr>
      </w:pPr>
      <w:r w:rsidRPr="005F768B">
        <w:rPr>
          <w:rFonts w:asciiTheme="majorBidi" w:hAnsiTheme="majorBidi" w:cstheme="majorBidi"/>
          <w:b/>
          <w:bCs/>
          <w:sz w:val="36"/>
          <w:szCs w:val="36"/>
        </w:rPr>
        <w:lastRenderedPageBreak/>
        <w:t>INCIDENCA BAKTERIJSKE REZISTENCIJE</w:t>
      </w:r>
    </w:p>
    <w:p w14:paraId="6CA4D6DD" w14:textId="77777777" w:rsidR="00E34F2B" w:rsidRDefault="00E34F2B" w:rsidP="00E34F2B">
      <w:pPr>
        <w:spacing w:after="0"/>
        <w:rPr>
          <w:rFonts w:asciiTheme="majorBidi" w:hAnsiTheme="majorBidi" w:cstheme="majorBidi"/>
          <w:sz w:val="24"/>
          <w:szCs w:val="24"/>
        </w:rPr>
      </w:pPr>
    </w:p>
    <w:p w14:paraId="0AD3CF9A" w14:textId="77777777" w:rsidR="00E34F2B" w:rsidRPr="00C65665" w:rsidRDefault="00E34F2B" w:rsidP="00E34F2B">
      <w:pPr>
        <w:spacing w:after="0"/>
        <w:rPr>
          <w:rFonts w:asciiTheme="majorBidi" w:hAnsiTheme="majorBidi" w:cstheme="majorBidi"/>
          <w:sz w:val="24"/>
          <w:szCs w:val="24"/>
        </w:rPr>
      </w:pPr>
      <w:r w:rsidRPr="00C65665">
        <w:rPr>
          <w:rFonts w:asciiTheme="majorBidi" w:hAnsiTheme="majorBidi" w:cstheme="majorBidi"/>
          <w:sz w:val="24"/>
          <w:szCs w:val="24"/>
        </w:rPr>
        <w:t>Apstrakt</w:t>
      </w:r>
    </w:p>
    <w:p w14:paraId="7AD00F66" w14:textId="77777777" w:rsidR="00E34F2B" w:rsidRPr="00C65665" w:rsidRDefault="00E34F2B" w:rsidP="00E34F2B">
      <w:pPr>
        <w:spacing w:after="0"/>
        <w:jc w:val="both"/>
        <w:rPr>
          <w:rFonts w:asciiTheme="majorBidi" w:hAnsiTheme="majorBidi" w:cstheme="majorBidi"/>
          <w:sz w:val="24"/>
          <w:szCs w:val="24"/>
        </w:rPr>
      </w:pPr>
    </w:p>
    <w:p w14:paraId="1AEBAEB3" w14:textId="77777777" w:rsidR="00E34F2B" w:rsidRPr="00C65665" w:rsidRDefault="00E34F2B" w:rsidP="00E34F2B">
      <w:pPr>
        <w:spacing w:after="0"/>
        <w:jc w:val="both"/>
        <w:rPr>
          <w:rFonts w:asciiTheme="majorBidi" w:hAnsiTheme="majorBidi" w:cstheme="majorBidi"/>
          <w:sz w:val="24"/>
          <w:szCs w:val="24"/>
        </w:rPr>
      </w:pPr>
      <w:r w:rsidRPr="00C65665">
        <w:rPr>
          <w:rFonts w:asciiTheme="majorBidi" w:hAnsiTheme="majorBidi" w:cstheme="majorBidi"/>
          <w:sz w:val="24"/>
          <w:szCs w:val="24"/>
        </w:rPr>
        <w:t xml:space="preserve">Uvod: Rezistencija na antimikrobna sredstva postala je glavni izvor morbiditeta u svijetu. Kad su antibiotici prvi put uvedeni 1900-ih, smatralo se da smo pobijedili u ratu protiv mikroorganizama. Ubrzo je otkriveno da su mikroorganizmi sposobni razviti otpornost na bilo koji od korištenih lijekova. Glavni mehanizmi rezistencije su: ograničavanje unosa lijeka, modifikovanje cilja lijeka, inaktivacija lijeka i aktivni odliv lijeka. </w:t>
      </w:r>
    </w:p>
    <w:p w14:paraId="5E99B934" w14:textId="77777777" w:rsidR="00E34F2B" w:rsidRPr="00C65665" w:rsidRDefault="00E34F2B" w:rsidP="00E34F2B">
      <w:pPr>
        <w:spacing w:after="0"/>
        <w:jc w:val="both"/>
        <w:rPr>
          <w:rFonts w:asciiTheme="majorBidi" w:hAnsiTheme="majorBidi" w:cstheme="majorBidi"/>
          <w:sz w:val="24"/>
          <w:szCs w:val="24"/>
        </w:rPr>
      </w:pPr>
    </w:p>
    <w:p w14:paraId="4A62F83A" w14:textId="77777777" w:rsidR="00E34F2B" w:rsidRPr="00C65665" w:rsidRDefault="00E34F2B" w:rsidP="00E34F2B">
      <w:pPr>
        <w:spacing w:after="0"/>
        <w:jc w:val="both"/>
        <w:rPr>
          <w:rFonts w:asciiTheme="majorBidi" w:hAnsiTheme="majorBidi" w:cstheme="majorBidi"/>
          <w:sz w:val="24"/>
          <w:szCs w:val="24"/>
        </w:rPr>
      </w:pPr>
      <w:r w:rsidRPr="00C65665">
        <w:rPr>
          <w:rFonts w:asciiTheme="majorBidi" w:hAnsiTheme="majorBidi" w:cstheme="majorBidi"/>
          <w:sz w:val="24"/>
          <w:szCs w:val="24"/>
        </w:rPr>
        <w:t>Materijal i metode: U retrospektivnoj studiji, koja je provedena u periodu 2019. - 2021. godine na Klinici za Anesteziju i intenzivno liječenje UKC Republike Srpske uključeno je 250 ispitanika sa kliničkom slikom bakterijemije. Kriterijumi uključivanja u studiju su dijagnoza sepse utvrđena na temelju, kliničkih i laboratorijskih parametara, prisutnosti znakova SIRS-a.</w:t>
      </w:r>
    </w:p>
    <w:p w14:paraId="51D997F8" w14:textId="77777777" w:rsidR="00E34F2B" w:rsidRPr="00C65665" w:rsidRDefault="00E34F2B" w:rsidP="00E34F2B">
      <w:pPr>
        <w:spacing w:after="0"/>
        <w:jc w:val="both"/>
        <w:rPr>
          <w:rFonts w:asciiTheme="majorBidi" w:hAnsiTheme="majorBidi" w:cstheme="majorBidi"/>
          <w:sz w:val="24"/>
          <w:szCs w:val="24"/>
        </w:rPr>
      </w:pPr>
    </w:p>
    <w:p w14:paraId="23A7E933" w14:textId="77777777" w:rsidR="00E34F2B" w:rsidRPr="00C65665" w:rsidRDefault="00E34F2B" w:rsidP="00E34F2B">
      <w:pPr>
        <w:spacing w:after="0"/>
        <w:jc w:val="both"/>
        <w:rPr>
          <w:rFonts w:asciiTheme="majorBidi" w:hAnsiTheme="majorBidi" w:cstheme="majorBidi"/>
          <w:sz w:val="24"/>
          <w:szCs w:val="24"/>
        </w:rPr>
      </w:pPr>
      <w:r w:rsidRPr="00C65665">
        <w:rPr>
          <w:rFonts w:asciiTheme="majorBidi" w:hAnsiTheme="majorBidi" w:cstheme="majorBidi"/>
          <w:sz w:val="24"/>
          <w:szCs w:val="24"/>
        </w:rPr>
        <w:t>Rezultati: Kod 108 ispitanika (42,3%) hemokulture su bile pozitivne i utvrđeni su bakterijski uzročnici kao i njihova senzitivnost i rezistencija na određene antibiotike. Od 108 pozitivnih hemokultura kod 73 (68%) su izolovane Gram pozitivne bakterije, a kod 35 (32%) Gram negativne bakterije. Najčešće izolovana bakterija Staphylococcus epidermidis sa 50,93% tj. 55 izolata, zatim slijedi Enterococcus spp.-Enterococcus faecalis sa 7,41% tj. 8 izolata, zatim Staphylococcus aureus sa 6,48% tj. 7 izolata i Koagulaza negativan stafilokok sa 2,78% tj. 3 izolata. Najveća senzitivnost Gram pozitivnih bakterija je uočena sa vankomicinom, a najveća rezistencija sa ceftriaksonom i ciprofloksacinom. Gram negativna bakterija Pseudomonas aeruginosa sa 8,33% tj. 9 izolata, zatim slijede Proteus mirabilis i Acinetobacter spp. sa po 6,48% tj. po 7 izolata, zatim Escherichia coli sa 4,63% tj. 5 izolata, Klebsiella sa 3,70% tj. 4 izolata, Serratia sa 1,85% tj. 2 izolata i Proteus vulgaris sa 0,93% tj. 1 izolat.</w:t>
      </w:r>
    </w:p>
    <w:p w14:paraId="7BAA16C6" w14:textId="77777777" w:rsidR="00E34F2B" w:rsidRPr="00C65665" w:rsidRDefault="00E34F2B" w:rsidP="00E34F2B">
      <w:pPr>
        <w:spacing w:after="0"/>
        <w:jc w:val="both"/>
        <w:rPr>
          <w:rFonts w:asciiTheme="majorBidi" w:hAnsiTheme="majorBidi" w:cstheme="majorBidi"/>
          <w:sz w:val="24"/>
          <w:szCs w:val="24"/>
        </w:rPr>
      </w:pPr>
    </w:p>
    <w:p w14:paraId="4738B48C" w14:textId="5B066BF6" w:rsidR="00E34F2B" w:rsidRDefault="00E34F2B" w:rsidP="00E34F2B">
      <w:pPr>
        <w:spacing w:after="0"/>
        <w:jc w:val="both"/>
        <w:rPr>
          <w:rFonts w:asciiTheme="majorBidi" w:hAnsiTheme="majorBidi" w:cstheme="majorBidi"/>
          <w:sz w:val="24"/>
          <w:szCs w:val="24"/>
        </w:rPr>
      </w:pPr>
      <w:r w:rsidRPr="00C65665">
        <w:rPr>
          <w:rFonts w:asciiTheme="majorBidi" w:hAnsiTheme="majorBidi" w:cstheme="majorBidi"/>
          <w:sz w:val="24"/>
          <w:szCs w:val="24"/>
        </w:rPr>
        <w:t>Zaključak: Kao krajnji zaključak nameće se ideja da moramo da „čuvamo" antibiotike sa kojima raspolažemo kao i one koje razvijamo u budućnosti - implementacijom efektivnih strategija za poboljšanje propisivanja antibiotika. Koagulaza negativni stafilokok i proteus vulgaris pokazuju najveći stepen rezistencije.</w:t>
      </w:r>
    </w:p>
    <w:p w14:paraId="2068AF9C" w14:textId="77777777" w:rsidR="00E34F2B" w:rsidRDefault="00E34F2B">
      <w:pPr>
        <w:rPr>
          <w:rFonts w:asciiTheme="majorBidi" w:hAnsiTheme="majorBidi" w:cstheme="majorBidi"/>
          <w:sz w:val="24"/>
          <w:szCs w:val="24"/>
        </w:rPr>
      </w:pPr>
      <w:r>
        <w:rPr>
          <w:rFonts w:asciiTheme="majorBidi" w:hAnsiTheme="majorBidi" w:cstheme="majorBidi"/>
          <w:sz w:val="24"/>
          <w:szCs w:val="24"/>
        </w:rPr>
        <w:br w:type="page"/>
      </w:r>
    </w:p>
    <w:p w14:paraId="6B688F7F" w14:textId="77777777" w:rsidR="00A07D19" w:rsidRPr="00A07D19" w:rsidRDefault="00A07D19" w:rsidP="00A07D19">
      <w:pPr>
        <w:spacing w:after="0"/>
        <w:jc w:val="both"/>
        <w:rPr>
          <w:rFonts w:asciiTheme="majorBidi" w:hAnsiTheme="majorBidi" w:cstheme="majorBidi"/>
          <w:sz w:val="24"/>
          <w:szCs w:val="24"/>
        </w:rPr>
      </w:pPr>
      <w:r w:rsidRPr="00A07D19">
        <w:rPr>
          <w:rFonts w:asciiTheme="majorBidi" w:hAnsiTheme="majorBidi" w:cstheme="majorBidi"/>
          <w:sz w:val="24"/>
          <w:szCs w:val="24"/>
        </w:rPr>
        <w:lastRenderedPageBreak/>
        <w:t>Abstract</w:t>
      </w:r>
    </w:p>
    <w:p w14:paraId="2555E251" w14:textId="77777777" w:rsidR="00A07D19" w:rsidRPr="00A07D19" w:rsidRDefault="00A07D19" w:rsidP="00A07D19">
      <w:pPr>
        <w:spacing w:after="0"/>
        <w:jc w:val="both"/>
        <w:rPr>
          <w:rFonts w:asciiTheme="majorBidi" w:hAnsiTheme="majorBidi" w:cstheme="majorBidi"/>
          <w:sz w:val="24"/>
          <w:szCs w:val="24"/>
        </w:rPr>
      </w:pPr>
    </w:p>
    <w:p w14:paraId="6AD7F58B" w14:textId="77777777" w:rsidR="00A07D19" w:rsidRPr="00A07D19" w:rsidRDefault="00A07D19" w:rsidP="00A07D19">
      <w:pPr>
        <w:spacing w:after="0"/>
        <w:jc w:val="both"/>
        <w:rPr>
          <w:rFonts w:asciiTheme="majorBidi" w:hAnsiTheme="majorBidi" w:cstheme="majorBidi"/>
          <w:sz w:val="24"/>
          <w:szCs w:val="24"/>
        </w:rPr>
      </w:pPr>
      <w:r w:rsidRPr="00A07D19">
        <w:rPr>
          <w:rFonts w:asciiTheme="majorBidi" w:hAnsiTheme="majorBidi" w:cstheme="majorBidi"/>
          <w:sz w:val="24"/>
          <w:szCs w:val="24"/>
        </w:rPr>
        <w:t>Introduction: Antimicrobial resistance has become a major source of morbidity in the world. When antibiotics were first introduced in the 1900s, we were considered to have won the war against microorganisms. It was soon discovered that microorganisms were capable of developing resistance to any of the drugs used. The main mechanisms of resistance are: limiting drug intake, modifying the target of the drug, inactivating the drug, and active drug outflow.</w:t>
      </w:r>
    </w:p>
    <w:p w14:paraId="79F3D792" w14:textId="77777777" w:rsidR="00A07D19" w:rsidRPr="00A07D19" w:rsidRDefault="00A07D19" w:rsidP="00A07D19">
      <w:pPr>
        <w:spacing w:after="0"/>
        <w:jc w:val="both"/>
        <w:rPr>
          <w:rFonts w:asciiTheme="majorBidi" w:hAnsiTheme="majorBidi" w:cstheme="majorBidi"/>
          <w:sz w:val="24"/>
          <w:szCs w:val="24"/>
        </w:rPr>
      </w:pPr>
    </w:p>
    <w:p w14:paraId="1AA1E278" w14:textId="77777777" w:rsidR="00A07D19" w:rsidRPr="00A07D19" w:rsidRDefault="00A07D19" w:rsidP="00A07D19">
      <w:pPr>
        <w:spacing w:after="0"/>
        <w:jc w:val="both"/>
        <w:rPr>
          <w:rFonts w:asciiTheme="majorBidi" w:hAnsiTheme="majorBidi" w:cstheme="majorBidi"/>
          <w:sz w:val="24"/>
          <w:szCs w:val="24"/>
        </w:rPr>
      </w:pPr>
      <w:r w:rsidRPr="00A07D19">
        <w:rPr>
          <w:rFonts w:asciiTheme="majorBidi" w:hAnsiTheme="majorBidi" w:cstheme="majorBidi"/>
          <w:sz w:val="24"/>
          <w:szCs w:val="24"/>
        </w:rPr>
        <w:t>Material and methods: The retrospective study, which was conducted in the period 2019-2021 at the Clinic for Anesthesia and Intensive Care of the University Medical Center of Republika Srpska, included 250 subjects with a clinical picture of bacteremia. Criteria for inclusion in the study are the diagnosis of sepsis determined on the basis of clinical and laboratory parameters, the presence of signs of SIRS.</w:t>
      </w:r>
    </w:p>
    <w:p w14:paraId="4F79D4C2" w14:textId="77777777" w:rsidR="00A07D19" w:rsidRPr="00A07D19" w:rsidRDefault="00A07D19" w:rsidP="00A07D19">
      <w:pPr>
        <w:spacing w:after="0"/>
        <w:jc w:val="both"/>
        <w:rPr>
          <w:rFonts w:asciiTheme="majorBidi" w:hAnsiTheme="majorBidi" w:cstheme="majorBidi"/>
          <w:sz w:val="24"/>
          <w:szCs w:val="24"/>
        </w:rPr>
      </w:pPr>
    </w:p>
    <w:p w14:paraId="0FE3F50A" w14:textId="77777777" w:rsidR="00A07D19" w:rsidRPr="00A07D19" w:rsidRDefault="00A07D19" w:rsidP="00A07D19">
      <w:pPr>
        <w:spacing w:after="0"/>
        <w:jc w:val="both"/>
        <w:rPr>
          <w:rFonts w:asciiTheme="majorBidi" w:hAnsiTheme="majorBidi" w:cstheme="majorBidi"/>
          <w:sz w:val="24"/>
          <w:szCs w:val="24"/>
        </w:rPr>
      </w:pPr>
      <w:r w:rsidRPr="00A07D19">
        <w:rPr>
          <w:rFonts w:asciiTheme="majorBidi" w:hAnsiTheme="majorBidi" w:cstheme="majorBidi"/>
          <w:sz w:val="24"/>
          <w:szCs w:val="24"/>
        </w:rPr>
        <w:t>Results: In 108 subjects (42.3%) blood cultures were positive and bacterial pathogens were identified as well as their sensitivity and resistance to certain antibiotics. Of the 108 positive blood cultures, Gram-positive bacteria were isolated in 73 (68%) and Gram-negative bacteria in 35 (32%). The most commonly isolated bacterium is Staphylococcus epidermidis with 50.93%, ie. 55 isolates, followed by Enterococcus spp.-Enterococcus faecalis with 7.41% i.e. 8 isolates, then Staphylococcus aureus with 6.48%, ie. 7 isolates and Coagulase negative staphylococci with 2.78%, ie. 3 isolates. The highest sensitivity of Gram-positive bacteria was observed with vancomycin, and the highest resistance with ceftriaxone and ciprofloxacin. Gram-negative bacterium Pseudomonas aeruginosa with 8.33%, ie. 9 isolates, followed by Proteus mirabilis and Acinetobacter spp. with 6.48%, ie. 7 isolates, then Escherichia coli with 4.63%, ie. 5 isolates, Klebsiella with 3.70%, ie. 4 isolates, Serratia with 1.85%, ie. 2 isolates and Proteus vulgaris with 0.93%, ie. 1 isolate.</w:t>
      </w:r>
    </w:p>
    <w:p w14:paraId="373C3CF3" w14:textId="77777777" w:rsidR="00A07D19" w:rsidRPr="00A07D19" w:rsidRDefault="00A07D19" w:rsidP="00A07D19">
      <w:pPr>
        <w:spacing w:after="0"/>
        <w:jc w:val="both"/>
        <w:rPr>
          <w:rFonts w:asciiTheme="majorBidi" w:hAnsiTheme="majorBidi" w:cstheme="majorBidi"/>
          <w:sz w:val="24"/>
          <w:szCs w:val="24"/>
        </w:rPr>
      </w:pPr>
    </w:p>
    <w:p w14:paraId="30A23CE2" w14:textId="1CFB1896" w:rsidR="00E34F2B" w:rsidRPr="00C65665" w:rsidRDefault="00A07D19" w:rsidP="00A07D19">
      <w:pPr>
        <w:spacing w:after="0"/>
        <w:jc w:val="both"/>
        <w:rPr>
          <w:rFonts w:asciiTheme="majorBidi" w:hAnsiTheme="majorBidi" w:cstheme="majorBidi"/>
          <w:sz w:val="24"/>
          <w:szCs w:val="24"/>
        </w:rPr>
      </w:pPr>
      <w:r w:rsidRPr="00A07D19">
        <w:rPr>
          <w:rFonts w:asciiTheme="majorBidi" w:hAnsiTheme="majorBidi" w:cstheme="majorBidi"/>
          <w:sz w:val="24"/>
          <w:szCs w:val="24"/>
        </w:rPr>
        <w:t>Conclusion: The ultimate conclusion is that we need to "preserve" the antibiotics we have as well as those we develop in the future - by implementing effective strategies to improve antibiotic prescribing.</w:t>
      </w:r>
    </w:p>
    <w:p w14:paraId="203F7AFC" w14:textId="77777777" w:rsidR="005F768B" w:rsidRPr="00C65665" w:rsidRDefault="005F768B" w:rsidP="005F768B">
      <w:pPr>
        <w:spacing w:after="0"/>
        <w:rPr>
          <w:rFonts w:asciiTheme="majorBidi" w:hAnsiTheme="majorBidi" w:cstheme="majorBidi"/>
          <w:sz w:val="24"/>
          <w:szCs w:val="24"/>
        </w:rPr>
      </w:pPr>
    </w:p>
    <w:p w14:paraId="77CE3C1A" w14:textId="7F2D36A3" w:rsidR="005F768B" w:rsidRPr="005F768B" w:rsidRDefault="005F768B">
      <w:pPr>
        <w:rPr>
          <w:rFonts w:asciiTheme="majorBidi" w:hAnsiTheme="majorBidi" w:cstheme="majorBidi"/>
          <w:b/>
          <w:bCs/>
          <w:sz w:val="36"/>
          <w:szCs w:val="36"/>
        </w:rPr>
      </w:pPr>
    </w:p>
    <w:p w14:paraId="286D8015" w14:textId="316ED5CA" w:rsidR="005F768B" w:rsidRDefault="005F768B" w:rsidP="00DA6FF6">
      <w:pPr>
        <w:rPr>
          <w:rFonts w:asciiTheme="majorBidi" w:hAnsiTheme="majorBidi" w:cstheme="majorBidi"/>
          <w:b/>
          <w:bCs/>
          <w:sz w:val="36"/>
          <w:szCs w:val="36"/>
        </w:rPr>
      </w:pPr>
      <w:r w:rsidRPr="005F768B">
        <w:rPr>
          <w:rFonts w:asciiTheme="majorBidi" w:hAnsiTheme="majorBidi" w:cstheme="majorBidi"/>
          <w:b/>
          <w:bCs/>
          <w:sz w:val="36"/>
          <w:szCs w:val="36"/>
        </w:rPr>
        <w:br w:type="page"/>
      </w:r>
    </w:p>
    <w:p w14:paraId="61465228" w14:textId="69FE2B4A" w:rsidR="005F768B" w:rsidRPr="005F768B" w:rsidRDefault="005F768B" w:rsidP="00DA6FF6">
      <w:pPr>
        <w:pStyle w:val="Heading2"/>
      </w:pPr>
      <w:r w:rsidRPr="00DA6FF6">
        <w:lastRenderedPageBreak/>
        <w:t>UVOD</w:t>
      </w:r>
    </w:p>
    <w:p w14:paraId="61CAB28E" w14:textId="77777777" w:rsidR="005F768B" w:rsidRPr="00E34F2B" w:rsidRDefault="005F768B" w:rsidP="00DA6FF6">
      <w:pPr>
        <w:pStyle w:val="Heading2"/>
        <w:rPr>
          <w:sz w:val="24"/>
          <w:szCs w:val="24"/>
        </w:rPr>
      </w:pPr>
      <w:r w:rsidRPr="00E34F2B">
        <w:rPr>
          <w:sz w:val="24"/>
          <w:szCs w:val="24"/>
        </w:rPr>
        <w:t>1.1.</w:t>
      </w:r>
      <w:r w:rsidRPr="00E34F2B">
        <w:rPr>
          <w:sz w:val="24"/>
          <w:szCs w:val="24"/>
        </w:rPr>
        <w:tab/>
        <w:t>Bakterije</w:t>
      </w:r>
    </w:p>
    <w:p w14:paraId="3830CC40" w14:textId="77777777" w:rsidR="005F768B" w:rsidRPr="005F768B" w:rsidRDefault="005F768B" w:rsidP="005F768B">
      <w:pPr>
        <w:rPr>
          <w:rFonts w:asciiTheme="majorBidi" w:hAnsiTheme="majorBidi" w:cstheme="majorBidi"/>
          <w:sz w:val="24"/>
          <w:szCs w:val="24"/>
        </w:rPr>
      </w:pPr>
      <w:r w:rsidRPr="005F768B">
        <w:rPr>
          <w:rFonts w:asciiTheme="majorBidi" w:hAnsiTheme="majorBidi" w:cstheme="majorBidi"/>
          <w:sz w:val="24"/>
          <w:szCs w:val="24"/>
        </w:rPr>
        <w:t>Bakterije su mikroskopski jednoćelijski organizmi sa prokariotskom građom ćelije, što znači da nemaju oblikovano jedro, već u citoplazmi perzistira ekvivalent- nukleoid. Bakterije se mogu klasifikovati na više načina:</w:t>
      </w:r>
    </w:p>
    <w:p w14:paraId="431884D9" w14:textId="01C0FD0E" w:rsidR="005F768B" w:rsidRPr="005F768B" w:rsidRDefault="005F768B" w:rsidP="005F768B">
      <w:pPr>
        <w:pStyle w:val="ListParagraph"/>
        <w:numPr>
          <w:ilvl w:val="0"/>
          <w:numId w:val="30"/>
        </w:numPr>
        <w:rPr>
          <w:rFonts w:asciiTheme="majorBidi" w:hAnsiTheme="majorBidi" w:cstheme="majorBidi"/>
          <w:sz w:val="24"/>
          <w:szCs w:val="24"/>
        </w:rPr>
      </w:pPr>
      <w:r w:rsidRPr="005F768B">
        <w:rPr>
          <w:rFonts w:asciiTheme="majorBidi" w:hAnsiTheme="majorBidi" w:cstheme="majorBidi"/>
          <w:sz w:val="24"/>
          <w:szCs w:val="24"/>
        </w:rPr>
        <w:t>prema rodu i vrsti,</w:t>
      </w:r>
    </w:p>
    <w:p w14:paraId="1EAD4B41" w14:textId="3D3051DA" w:rsidR="005F768B" w:rsidRPr="005F768B" w:rsidRDefault="005F768B" w:rsidP="005F768B">
      <w:pPr>
        <w:pStyle w:val="ListParagraph"/>
        <w:numPr>
          <w:ilvl w:val="0"/>
          <w:numId w:val="30"/>
        </w:numPr>
        <w:rPr>
          <w:rFonts w:asciiTheme="majorBidi" w:hAnsiTheme="majorBidi" w:cstheme="majorBidi"/>
          <w:sz w:val="24"/>
          <w:szCs w:val="24"/>
        </w:rPr>
      </w:pPr>
      <w:r w:rsidRPr="005F768B">
        <w:rPr>
          <w:rFonts w:asciiTheme="majorBidi" w:hAnsiTheme="majorBidi" w:cstheme="majorBidi"/>
          <w:sz w:val="24"/>
          <w:szCs w:val="24"/>
        </w:rPr>
        <w:t>prema bojenju (Gram pozitivne i Gram negativne),</w:t>
      </w:r>
    </w:p>
    <w:p w14:paraId="792CCEF5" w14:textId="682060D9" w:rsidR="005F768B" w:rsidRPr="005F768B" w:rsidRDefault="005F768B" w:rsidP="005F768B">
      <w:pPr>
        <w:pStyle w:val="ListParagraph"/>
        <w:numPr>
          <w:ilvl w:val="0"/>
          <w:numId w:val="30"/>
        </w:numPr>
        <w:rPr>
          <w:rFonts w:asciiTheme="majorBidi" w:hAnsiTheme="majorBidi" w:cstheme="majorBidi"/>
          <w:sz w:val="24"/>
          <w:szCs w:val="24"/>
        </w:rPr>
      </w:pPr>
      <w:r w:rsidRPr="005F768B">
        <w:rPr>
          <w:rFonts w:asciiTheme="majorBidi" w:hAnsiTheme="majorBidi" w:cstheme="majorBidi"/>
          <w:sz w:val="24"/>
          <w:szCs w:val="24"/>
        </w:rPr>
        <w:t>prema obliku (koke, bacili, spirohete) i</w:t>
      </w:r>
    </w:p>
    <w:p w14:paraId="470C7EBF" w14:textId="6DA182B6" w:rsidR="005F768B" w:rsidRPr="005F768B" w:rsidRDefault="005F768B" w:rsidP="005F768B">
      <w:pPr>
        <w:pStyle w:val="ListParagraph"/>
        <w:numPr>
          <w:ilvl w:val="0"/>
          <w:numId w:val="30"/>
        </w:numPr>
        <w:rPr>
          <w:rFonts w:asciiTheme="majorBidi" w:hAnsiTheme="majorBidi" w:cstheme="majorBidi"/>
          <w:sz w:val="24"/>
          <w:szCs w:val="24"/>
        </w:rPr>
      </w:pPr>
      <w:r w:rsidRPr="005F768B">
        <w:rPr>
          <w:rFonts w:asciiTheme="majorBidi" w:hAnsiTheme="majorBidi" w:cstheme="majorBidi"/>
          <w:sz w:val="24"/>
          <w:szCs w:val="24"/>
        </w:rPr>
        <w:t>prema potrebama za kiseonikom (aerobne i anaerobne) (1)</w:t>
      </w:r>
    </w:p>
    <w:p w14:paraId="45673509" w14:textId="77777777" w:rsidR="005F768B" w:rsidRPr="00E34F2B" w:rsidRDefault="005F768B" w:rsidP="00DA6FF6">
      <w:pPr>
        <w:pStyle w:val="Heading2"/>
        <w:rPr>
          <w:sz w:val="24"/>
          <w:szCs w:val="24"/>
        </w:rPr>
      </w:pPr>
      <w:r w:rsidRPr="00E34F2B">
        <w:rPr>
          <w:sz w:val="24"/>
          <w:szCs w:val="24"/>
        </w:rPr>
        <w:t>1.2.</w:t>
      </w:r>
      <w:r w:rsidRPr="00E34F2B">
        <w:rPr>
          <w:sz w:val="24"/>
          <w:szCs w:val="24"/>
        </w:rPr>
        <w:tab/>
        <w:t>Patogenost bakterija</w:t>
      </w:r>
    </w:p>
    <w:p w14:paraId="236A7755" w14:textId="77777777" w:rsidR="005F768B" w:rsidRPr="005F768B" w:rsidRDefault="005F768B" w:rsidP="005F768B">
      <w:pPr>
        <w:rPr>
          <w:rFonts w:asciiTheme="majorBidi" w:hAnsiTheme="majorBidi" w:cstheme="majorBidi"/>
          <w:sz w:val="24"/>
          <w:szCs w:val="24"/>
        </w:rPr>
      </w:pPr>
      <w:r w:rsidRPr="005F768B">
        <w:rPr>
          <w:rFonts w:asciiTheme="majorBidi" w:hAnsiTheme="majorBidi" w:cstheme="majorBidi"/>
          <w:sz w:val="24"/>
          <w:szCs w:val="24"/>
        </w:rPr>
        <w:t>Patogenost je genetski determinisano svojstvo koje predstavlja sposobnost jednog organizma da izazove bolest. Prema svojoj patogenosti, dijele se na primarno patogene, uslovno patogene i nepatogene bakterije. (1)</w:t>
      </w:r>
    </w:p>
    <w:p w14:paraId="4670C248" w14:textId="77777777" w:rsidR="005F768B" w:rsidRPr="00E34F2B" w:rsidRDefault="005F768B" w:rsidP="00DA6FF6">
      <w:pPr>
        <w:pStyle w:val="Heading2"/>
        <w:rPr>
          <w:sz w:val="24"/>
          <w:szCs w:val="24"/>
        </w:rPr>
      </w:pPr>
      <w:r w:rsidRPr="00E34F2B">
        <w:rPr>
          <w:sz w:val="24"/>
          <w:szCs w:val="24"/>
        </w:rPr>
        <w:t>1.3.</w:t>
      </w:r>
      <w:r w:rsidRPr="00E34F2B">
        <w:rPr>
          <w:sz w:val="24"/>
          <w:szCs w:val="24"/>
        </w:rPr>
        <w:tab/>
        <w:t>Bakterijska rezistencija</w:t>
      </w:r>
    </w:p>
    <w:p w14:paraId="6EDA2C27" w14:textId="77777777" w:rsidR="005F768B" w:rsidRPr="005F768B" w:rsidRDefault="005F768B" w:rsidP="005F768B">
      <w:pPr>
        <w:rPr>
          <w:rFonts w:asciiTheme="majorBidi" w:hAnsiTheme="majorBidi" w:cstheme="majorBidi"/>
          <w:sz w:val="24"/>
          <w:szCs w:val="24"/>
        </w:rPr>
      </w:pPr>
      <w:r w:rsidRPr="005F768B">
        <w:rPr>
          <w:rFonts w:asciiTheme="majorBidi" w:hAnsiTheme="majorBidi" w:cstheme="majorBidi"/>
          <w:sz w:val="24"/>
          <w:szCs w:val="24"/>
        </w:rPr>
        <w:t>Uzroci nastanka rezistencije su mnogobrojni. Prekomjerna upotreba antibiotika jasno podstiče razvoj rezistencije. Epidemiološke studije pokazale su direktnu vezu između konzumacije antibiotika i pojave i širenja rezistentnih sojeva bakterija. (2)</w:t>
      </w:r>
    </w:p>
    <w:p w14:paraId="42DCD8DE" w14:textId="77777777" w:rsidR="005F768B" w:rsidRPr="00E34F2B" w:rsidRDefault="005F768B" w:rsidP="00DA6FF6">
      <w:pPr>
        <w:pStyle w:val="Heading2"/>
        <w:rPr>
          <w:sz w:val="24"/>
          <w:szCs w:val="24"/>
        </w:rPr>
      </w:pPr>
      <w:r w:rsidRPr="00E34F2B">
        <w:rPr>
          <w:sz w:val="24"/>
          <w:szCs w:val="24"/>
        </w:rPr>
        <w:t>1.4.</w:t>
      </w:r>
      <w:r w:rsidRPr="00E34F2B">
        <w:rPr>
          <w:sz w:val="24"/>
          <w:szCs w:val="24"/>
        </w:rPr>
        <w:tab/>
        <w:t>Mehanizam nastanka i razvoja bakterijske rezistencije</w:t>
      </w:r>
    </w:p>
    <w:p w14:paraId="77E7A99C" w14:textId="2D788A80" w:rsidR="005F768B" w:rsidRPr="005F768B" w:rsidRDefault="005F768B" w:rsidP="005F768B">
      <w:pPr>
        <w:rPr>
          <w:rFonts w:asciiTheme="majorBidi" w:hAnsiTheme="majorBidi" w:cstheme="majorBidi"/>
          <w:sz w:val="24"/>
          <w:szCs w:val="24"/>
        </w:rPr>
      </w:pPr>
      <w:r w:rsidRPr="005F768B">
        <w:rPr>
          <w:rFonts w:asciiTheme="majorBidi" w:hAnsiTheme="majorBidi" w:cstheme="majorBidi"/>
          <w:sz w:val="24"/>
          <w:szCs w:val="24"/>
        </w:rPr>
        <w:t>Mehanizam dejstva antibiotika na bakterijske ćelije se bazira prvenstveno na ometanju vitalnih procesa u ćelijama bakterije, kao što su: a) inhibicija sinteze ćelijskog zida; inhibicija sinteze proteina; b) izmjena propustljivosti membrane; c) ometanje intermedijarnog metabolizma i d) inhibicija sinteze nukleinskih kiselina.  Rezistencija može biti prirodna i stečena. (2)</w:t>
      </w:r>
    </w:p>
    <w:p w14:paraId="6F8E0BBA" w14:textId="77777777" w:rsidR="005F768B" w:rsidRPr="00C65665" w:rsidRDefault="005F768B" w:rsidP="005F768B">
      <w:pPr>
        <w:spacing w:after="0" w:line="360" w:lineRule="auto"/>
        <w:ind w:firstLine="567"/>
        <w:jc w:val="both"/>
        <w:rPr>
          <w:rFonts w:asciiTheme="majorBidi" w:eastAsia="Calibri" w:hAnsiTheme="majorBidi" w:cstheme="majorBidi"/>
          <w:sz w:val="24"/>
          <w:szCs w:val="24"/>
          <w:lang w:val="sr-Latn-BA"/>
        </w:rPr>
      </w:pPr>
      <w:r>
        <w:rPr>
          <w:rFonts w:asciiTheme="majorBidi" w:hAnsiTheme="majorBidi" w:cstheme="majorBidi"/>
          <w:sz w:val="24"/>
          <w:szCs w:val="24"/>
        </w:rPr>
        <w:br w:type="page"/>
      </w:r>
    </w:p>
    <w:p w14:paraId="3764E3B8" w14:textId="77777777" w:rsidR="005F768B" w:rsidRPr="00C65665" w:rsidRDefault="005F768B" w:rsidP="005F768B">
      <w:pPr>
        <w:pStyle w:val="Heading2"/>
        <w:numPr>
          <w:ilvl w:val="1"/>
          <w:numId w:val="12"/>
        </w:numPr>
        <w:spacing w:before="0" w:after="0"/>
        <w:ind w:left="1134" w:hanging="567"/>
        <w:rPr>
          <w:rFonts w:asciiTheme="majorBidi" w:hAnsiTheme="majorBidi" w:cstheme="majorBidi"/>
          <w:spacing w:val="4"/>
          <w:sz w:val="24"/>
          <w:szCs w:val="24"/>
          <w:lang w:val="sr-Latn-CS" w:eastAsia="sr-Latn-CS"/>
        </w:rPr>
      </w:pPr>
      <w:bookmarkStart w:id="0" w:name="_Toc76462903"/>
      <w:r w:rsidRPr="00C65665">
        <w:rPr>
          <w:rFonts w:asciiTheme="majorBidi" w:hAnsiTheme="majorBidi" w:cstheme="majorBidi"/>
          <w:spacing w:val="4"/>
          <w:sz w:val="24"/>
          <w:szCs w:val="24"/>
          <w:lang w:val="sr-Latn-CS" w:eastAsia="sr-Latn-CS"/>
        </w:rPr>
        <w:lastRenderedPageBreak/>
        <w:t>Klinički značajne rezistentne bakterije</w:t>
      </w:r>
      <w:bookmarkStart w:id="1" w:name="_Toc75694170"/>
      <w:bookmarkStart w:id="2" w:name="_Toc76321285"/>
      <w:bookmarkEnd w:id="0"/>
    </w:p>
    <w:p w14:paraId="3480DB24" w14:textId="77777777" w:rsidR="005F768B" w:rsidRPr="00C65665" w:rsidRDefault="005F768B" w:rsidP="005F768B">
      <w:pPr>
        <w:pStyle w:val="Caption"/>
        <w:keepNext/>
        <w:spacing w:after="0"/>
        <w:rPr>
          <w:rFonts w:asciiTheme="majorBidi" w:hAnsiTheme="majorBidi" w:cstheme="majorBidi"/>
          <w:color w:val="auto"/>
          <w:spacing w:val="4"/>
          <w:sz w:val="24"/>
          <w:szCs w:val="24"/>
        </w:rPr>
      </w:pPr>
      <w:r w:rsidRPr="00C65665">
        <w:rPr>
          <w:rFonts w:asciiTheme="majorBidi" w:hAnsiTheme="majorBidi" w:cstheme="majorBidi"/>
          <w:color w:val="auto"/>
          <w:spacing w:val="4"/>
          <w:sz w:val="24"/>
          <w:szCs w:val="24"/>
        </w:rPr>
        <w:t xml:space="preserve">Tabela 1. </w:t>
      </w:r>
      <w:r w:rsidRPr="00C65665">
        <w:rPr>
          <w:rFonts w:asciiTheme="majorBidi" w:eastAsia="Times New Roman" w:hAnsiTheme="majorBidi" w:cstheme="majorBidi"/>
          <w:bCs/>
          <w:color w:val="auto"/>
          <w:spacing w:val="4"/>
          <w:sz w:val="24"/>
          <w:szCs w:val="24"/>
          <w:lang w:val="sr-Latn-CS" w:eastAsia="sr-Latn-CS"/>
        </w:rPr>
        <w:t>Nivo zna</w:t>
      </w:r>
      <w:r w:rsidRPr="00C65665">
        <w:rPr>
          <w:rFonts w:asciiTheme="majorBidi" w:eastAsia="Times New Roman" w:hAnsiTheme="majorBidi" w:cstheme="majorBidi"/>
          <w:color w:val="auto"/>
          <w:spacing w:val="4"/>
          <w:sz w:val="24"/>
          <w:szCs w:val="24"/>
          <w:lang w:val="sr-Latn-CS" w:eastAsia="sr-Latn-CS"/>
        </w:rPr>
        <w:t>č</w:t>
      </w:r>
      <w:r w:rsidRPr="00C65665">
        <w:rPr>
          <w:rFonts w:asciiTheme="majorBidi" w:eastAsia="Times New Roman" w:hAnsiTheme="majorBidi" w:cstheme="majorBidi"/>
          <w:bCs/>
          <w:color w:val="auto"/>
          <w:spacing w:val="4"/>
          <w:sz w:val="24"/>
          <w:szCs w:val="24"/>
          <w:lang w:val="sr-Latn-CS" w:eastAsia="sr-Latn-CS"/>
        </w:rPr>
        <w:t>aja prioriteta rezistentnih bakterija</w:t>
      </w:r>
      <w:bookmarkEnd w:id="1"/>
      <w:bookmarkEnd w:id="2"/>
    </w:p>
    <w:tbl>
      <w:tblPr>
        <w:tblW w:w="9326" w:type="dxa"/>
        <w:tblInd w:w="5" w:type="dxa"/>
        <w:tblLayout w:type="fixed"/>
        <w:tblCellMar>
          <w:left w:w="0" w:type="dxa"/>
          <w:right w:w="0" w:type="dxa"/>
        </w:tblCellMar>
        <w:tblLook w:val="0000" w:firstRow="0" w:lastRow="0" w:firstColumn="0" w:lastColumn="0" w:noHBand="0" w:noVBand="0"/>
      </w:tblPr>
      <w:tblGrid>
        <w:gridCol w:w="2726"/>
        <w:gridCol w:w="3485"/>
        <w:gridCol w:w="3115"/>
      </w:tblGrid>
      <w:tr w:rsidR="005F768B" w:rsidRPr="00C65665" w14:paraId="1AE9B182" w14:textId="77777777" w:rsidTr="00CC2905">
        <w:trPr>
          <w:trHeight w:val="254"/>
        </w:trPr>
        <w:tc>
          <w:tcPr>
            <w:tcW w:w="2726" w:type="dxa"/>
            <w:tcBorders>
              <w:top w:val="single" w:sz="4" w:space="0" w:color="auto"/>
              <w:left w:val="single" w:sz="4" w:space="0" w:color="auto"/>
              <w:bottom w:val="nil"/>
              <w:right w:val="nil"/>
            </w:tcBorders>
            <w:shd w:val="clear" w:color="auto" w:fill="FFFFFF"/>
            <w:vAlign w:val="bottom"/>
          </w:tcPr>
          <w:p w14:paraId="4E63D0FD" w14:textId="77777777" w:rsidR="005F768B" w:rsidRPr="00C65665" w:rsidRDefault="005F768B" w:rsidP="00CC2905">
            <w:pPr>
              <w:spacing w:after="0" w:line="360" w:lineRule="auto"/>
              <w:jc w:val="both"/>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i/>
                <w:iCs/>
                <w:spacing w:val="4"/>
                <w:sz w:val="24"/>
                <w:szCs w:val="24"/>
                <w:lang w:val="sr-Latn-CS" w:eastAsia="sr-Latn-CS"/>
              </w:rPr>
              <w:t>Urgentno</w:t>
            </w:r>
          </w:p>
        </w:tc>
        <w:tc>
          <w:tcPr>
            <w:tcW w:w="3485" w:type="dxa"/>
            <w:tcBorders>
              <w:top w:val="single" w:sz="4" w:space="0" w:color="auto"/>
              <w:left w:val="single" w:sz="4" w:space="0" w:color="auto"/>
              <w:bottom w:val="nil"/>
              <w:right w:val="nil"/>
            </w:tcBorders>
            <w:shd w:val="clear" w:color="auto" w:fill="FFFFFF"/>
            <w:vAlign w:val="bottom"/>
          </w:tcPr>
          <w:p w14:paraId="66555CBD" w14:textId="77777777" w:rsidR="005F768B" w:rsidRPr="00C65665" w:rsidRDefault="005F768B" w:rsidP="00CC2905">
            <w:pPr>
              <w:spacing w:after="0" w:line="360" w:lineRule="auto"/>
              <w:jc w:val="both"/>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i/>
                <w:iCs/>
                <w:spacing w:val="4"/>
                <w:sz w:val="24"/>
                <w:szCs w:val="24"/>
                <w:lang w:val="sr-Latn-CS" w:eastAsia="sr-Latn-CS"/>
              </w:rPr>
              <w:t>Ozbiljno</w:t>
            </w:r>
          </w:p>
        </w:tc>
        <w:tc>
          <w:tcPr>
            <w:tcW w:w="3115" w:type="dxa"/>
            <w:tcBorders>
              <w:top w:val="single" w:sz="4" w:space="0" w:color="auto"/>
              <w:left w:val="single" w:sz="4" w:space="0" w:color="auto"/>
              <w:bottom w:val="nil"/>
              <w:right w:val="single" w:sz="4" w:space="0" w:color="auto"/>
            </w:tcBorders>
            <w:shd w:val="clear" w:color="auto" w:fill="FFFFFF"/>
            <w:vAlign w:val="bottom"/>
          </w:tcPr>
          <w:p w14:paraId="73D3AEE6" w14:textId="77777777" w:rsidR="005F768B" w:rsidRPr="00C65665" w:rsidRDefault="005F768B" w:rsidP="00CC2905">
            <w:pPr>
              <w:spacing w:after="0" w:line="360" w:lineRule="auto"/>
              <w:jc w:val="both"/>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i/>
                <w:iCs/>
                <w:spacing w:val="4"/>
                <w:sz w:val="24"/>
                <w:szCs w:val="24"/>
                <w:lang w:val="sr-Latn-CS" w:eastAsia="sr-Latn-CS"/>
              </w:rPr>
              <w:t>Zabrinjavajuće</w:t>
            </w:r>
          </w:p>
        </w:tc>
      </w:tr>
      <w:tr w:rsidR="005F768B" w:rsidRPr="00C65665" w14:paraId="772BC79D" w14:textId="77777777" w:rsidTr="00CC2905">
        <w:trPr>
          <w:trHeight w:val="4574"/>
        </w:trPr>
        <w:tc>
          <w:tcPr>
            <w:tcW w:w="2726" w:type="dxa"/>
            <w:tcBorders>
              <w:top w:val="single" w:sz="4" w:space="0" w:color="auto"/>
              <w:left w:val="single" w:sz="4" w:space="0" w:color="auto"/>
              <w:bottom w:val="single" w:sz="4" w:space="0" w:color="auto"/>
              <w:right w:val="nil"/>
            </w:tcBorders>
            <w:shd w:val="clear" w:color="auto" w:fill="FFFFFF"/>
          </w:tcPr>
          <w:p w14:paraId="124B76C3" w14:textId="77777777" w:rsidR="005F768B" w:rsidRPr="00C65665" w:rsidRDefault="005F768B" w:rsidP="00CC2905">
            <w:pPr>
              <w:pStyle w:val="ListParagraph"/>
              <w:numPr>
                <w:ilvl w:val="0"/>
                <w:numId w:val="13"/>
              </w:numPr>
              <w:spacing w:after="0" w:line="360" w:lineRule="auto"/>
              <w:contextualSpacing w:val="0"/>
              <w:jc w:val="both"/>
              <w:rPr>
                <w:rFonts w:asciiTheme="majorBidi" w:eastAsia="Times New Roman" w:hAnsiTheme="majorBidi" w:cstheme="majorBidi"/>
                <w:i/>
                <w:iCs/>
                <w:spacing w:val="4"/>
                <w:sz w:val="24"/>
                <w:szCs w:val="24"/>
                <w:lang w:val="sr-Latn-CS" w:eastAsia="sr-Latn-CS"/>
              </w:rPr>
            </w:pPr>
            <w:r w:rsidRPr="00C65665">
              <w:rPr>
                <w:rFonts w:asciiTheme="majorBidi" w:eastAsia="Times New Roman" w:hAnsiTheme="majorBidi" w:cstheme="majorBidi"/>
                <w:i/>
                <w:iCs/>
                <w:spacing w:val="4"/>
                <w:sz w:val="24"/>
                <w:szCs w:val="24"/>
                <w:lang w:val="sr-Latn-CS" w:eastAsia="sr-Latn-CS"/>
              </w:rPr>
              <w:t>Clostridium difficile*</w:t>
            </w:r>
          </w:p>
          <w:p w14:paraId="7417C298" w14:textId="77777777" w:rsidR="005F768B" w:rsidRPr="00C65665" w:rsidRDefault="005F768B" w:rsidP="00CC2905">
            <w:pPr>
              <w:pStyle w:val="ListParagraph"/>
              <w:numPr>
                <w:ilvl w:val="0"/>
                <w:numId w:val="13"/>
              </w:numPr>
              <w:spacing w:after="0" w:line="360" w:lineRule="auto"/>
              <w:contextualSpacing w:val="0"/>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Karbapenem- rezistentne</w:t>
            </w:r>
          </w:p>
          <w:p w14:paraId="4E91446B" w14:textId="77777777" w:rsidR="005F768B" w:rsidRPr="00C65665" w:rsidRDefault="005F768B" w:rsidP="00CC2905">
            <w:pPr>
              <w:pStyle w:val="ListParagraph"/>
              <w:numPr>
                <w:ilvl w:val="0"/>
                <w:numId w:val="13"/>
              </w:numPr>
              <w:spacing w:after="0" w:line="360" w:lineRule="auto"/>
              <w:contextualSpacing w:val="0"/>
              <w:jc w:val="both"/>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Enterobacteriaceae (CRE)</w:t>
            </w:r>
          </w:p>
          <w:p w14:paraId="35FA98CF" w14:textId="77777777" w:rsidR="005F768B" w:rsidRPr="00C65665" w:rsidRDefault="005F768B" w:rsidP="00CC2905">
            <w:pPr>
              <w:pStyle w:val="ListParagraph"/>
              <w:numPr>
                <w:ilvl w:val="0"/>
                <w:numId w:val="13"/>
              </w:numPr>
              <w:spacing w:after="0" w:line="360" w:lineRule="auto"/>
              <w:contextualSpacing w:val="0"/>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Rezistentna </w:t>
            </w:r>
            <w:r w:rsidRPr="00C65665">
              <w:rPr>
                <w:rFonts w:asciiTheme="majorBidi" w:eastAsia="Times New Roman" w:hAnsiTheme="majorBidi" w:cstheme="majorBidi"/>
                <w:i/>
                <w:iCs/>
                <w:spacing w:val="4"/>
                <w:sz w:val="24"/>
                <w:szCs w:val="24"/>
                <w:lang w:val="sr-Latn-CS" w:eastAsia="sr-Latn-CS"/>
              </w:rPr>
              <w:t>Neisseria gonorrhoeae</w:t>
            </w:r>
          </w:p>
        </w:tc>
        <w:tc>
          <w:tcPr>
            <w:tcW w:w="3485" w:type="dxa"/>
            <w:tcBorders>
              <w:top w:val="single" w:sz="4" w:space="0" w:color="auto"/>
              <w:left w:val="single" w:sz="4" w:space="0" w:color="auto"/>
              <w:bottom w:val="single" w:sz="4" w:space="0" w:color="auto"/>
              <w:right w:val="nil"/>
            </w:tcBorders>
            <w:shd w:val="clear" w:color="auto" w:fill="FFFFFF"/>
            <w:vAlign w:val="bottom"/>
          </w:tcPr>
          <w:p w14:paraId="69C5122A" w14:textId="77777777" w:rsidR="005F768B" w:rsidRPr="00C65665" w:rsidRDefault="005F768B" w:rsidP="00CC2905">
            <w:pPr>
              <w:numPr>
                <w:ilvl w:val="0"/>
                <w:numId w:val="14"/>
              </w:numPr>
              <w:spacing w:after="0" w:line="360" w:lineRule="auto"/>
              <w:ind w:left="676" w:hanging="425"/>
              <w:jc w:val="both"/>
              <w:rPr>
                <w:rFonts w:asciiTheme="majorBidi" w:eastAsia="Times New Roman" w:hAnsiTheme="majorBidi" w:cstheme="majorBidi"/>
                <w:i/>
                <w:iCs/>
                <w:spacing w:val="4"/>
                <w:sz w:val="24"/>
                <w:szCs w:val="24"/>
                <w:lang w:val="sr-Latn-CS" w:eastAsia="sr-Latn-CS"/>
              </w:rPr>
            </w:pPr>
            <w:r w:rsidRPr="00C65665">
              <w:rPr>
                <w:rFonts w:asciiTheme="majorBidi" w:eastAsia="Times New Roman" w:hAnsiTheme="majorBidi" w:cstheme="majorBidi"/>
                <w:i/>
                <w:iCs/>
                <w:spacing w:val="4"/>
                <w:sz w:val="24"/>
                <w:szCs w:val="24"/>
                <w:lang w:val="sr-Latn-CS" w:eastAsia="sr-Latn-CS"/>
              </w:rPr>
              <w:t>Acinetobacter</w:t>
            </w:r>
          </w:p>
          <w:p w14:paraId="4856D4B6" w14:textId="77777777" w:rsidR="005F768B" w:rsidRPr="00C65665" w:rsidRDefault="005F768B" w:rsidP="00CC2905">
            <w:pPr>
              <w:numPr>
                <w:ilvl w:val="0"/>
                <w:numId w:val="14"/>
              </w:numPr>
              <w:spacing w:after="0" w:line="360" w:lineRule="auto"/>
              <w:ind w:left="676" w:hanging="425"/>
              <w:jc w:val="both"/>
              <w:rPr>
                <w:rFonts w:asciiTheme="majorBidi" w:eastAsia="Times New Roman" w:hAnsiTheme="majorBidi" w:cstheme="majorBidi"/>
                <w:i/>
                <w:iCs/>
                <w:spacing w:val="4"/>
                <w:sz w:val="24"/>
                <w:szCs w:val="24"/>
                <w:lang w:val="sr-Latn-CS" w:eastAsia="sr-Latn-CS"/>
              </w:rPr>
            </w:pPr>
            <w:r w:rsidRPr="00C65665">
              <w:rPr>
                <w:rFonts w:asciiTheme="majorBidi" w:eastAsia="Times New Roman" w:hAnsiTheme="majorBidi" w:cstheme="majorBidi"/>
                <w:i/>
                <w:iCs/>
                <w:spacing w:val="4"/>
                <w:sz w:val="24"/>
                <w:szCs w:val="24"/>
                <w:lang w:val="sr-Latn-CS" w:eastAsia="sr-Latn-CS"/>
              </w:rPr>
              <w:t>Campylobacter</w:t>
            </w:r>
          </w:p>
          <w:p w14:paraId="462B22D5" w14:textId="77777777" w:rsidR="005F768B" w:rsidRPr="00C65665" w:rsidRDefault="005F768B" w:rsidP="00CC2905">
            <w:pPr>
              <w:numPr>
                <w:ilvl w:val="0"/>
                <w:numId w:val="14"/>
              </w:numPr>
              <w:spacing w:after="0" w:line="360" w:lineRule="auto"/>
              <w:ind w:left="676" w:hanging="425"/>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Flukonazol-rezistentna </w:t>
            </w:r>
            <w:r w:rsidRPr="00C65665">
              <w:rPr>
                <w:rFonts w:asciiTheme="majorBidi" w:eastAsia="Times New Roman" w:hAnsiTheme="majorBidi" w:cstheme="majorBidi"/>
                <w:i/>
                <w:iCs/>
                <w:spacing w:val="4"/>
                <w:sz w:val="24"/>
                <w:szCs w:val="24"/>
                <w:lang w:val="sr-Latn-CS" w:eastAsia="sr-Latn-CS"/>
              </w:rPr>
              <w:t>Candida</w:t>
            </w:r>
          </w:p>
          <w:p w14:paraId="7FE4219D" w14:textId="77777777" w:rsidR="005F768B" w:rsidRPr="00C65665" w:rsidRDefault="005F768B" w:rsidP="00CC2905">
            <w:pPr>
              <w:numPr>
                <w:ilvl w:val="0"/>
                <w:numId w:val="14"/>
              </w:numPr>
              <w:spacing w:after="0" w:line="360" w:lineRule="auto"/>
              <w:ind w:left="676" w:hanging="425"/>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Cefalosporin-rezistentne Enterobacteriaceae</w:t>
            </w:r>
          </w:p>
          <w:p w14:paraId="6DEA74E0" w14:textId="77777777" w:rsidR="005F768B" w:rsidRPr="00C65665" w:rsidRDefault="005F768B" w:rsidP="00CC2905">
            <w:pPr>
              <w:numPr>
                <w:ilvl w:val="0"/>
                <w:numId w:val="14"/>
              </w:numPr>
              <w:spacing w:after="0" w:line="360" w:lineRule="auto"/>
              <w:ind w:left="676" w:hanging="425"/>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Vankomicin-rezistentni </w:t>
            </w:r>
            <w:r w:rsidRPr="00C65665">
              <w:rPr>
                <w:rFonts w:asciiTheme="majorBidi" w:eastAsia="Times New Roman" w:hAnsiTheme="majorBidi" w:cstheme="majorBidi"/>
                <w:i/>
                <w:iCs/>
                <w:spacing w:val="4"/>
                <w:sz w:val="24"/>
                <w:szCs w:val="24"/>
                <w:lang w:val="sr-Latn-CS" w:eastAsia="sr-Latn-CS"/>
              </w:rPr>
              <w:t>Enterococcus (VRE)</w:t>
            </w:r>
          </w:p>
          <w:p w14:paraId="5692A47E" w14:textId="77777777" w:rsidR="005F768B" w:rsidRPr="00C65665" w:rsidRDefault="005F768B" w:rsidP="00CC2905">
            <w:pPr>
              <w:numPr>
                <w:ilvl w:val="0"/>
                <w:numId w:val="14"/>
              </w:numPr>
              <w:spacing w:after="0" w:line="360" w:lineRule="auto"/>
              <w:ind w:left="676" w:hanging="425"/>
              <w:jc w:val="both"/>
              <w:rPr>
                <w:rFonts w:asciiTheme="majorBidi" w:eastAsia="Times New Roman" w:hAnsiTheme="majorBidi" w:cstheme="majorBidi"/>
                <w:i/>
                <w:iCs/>
                <w:spacing w:val="4"/>
                <w:sz w:val="24"/>
                <w:szCs w:val="24"/>
                <w:lang w:val="sr-Latn-CS" w:eastAsia="sr-Latn-CS"/>
              </w:rPr>
            </w:pPr>
            <w:r w:rsidRPr="00C65665">
              <w:rPr>
                <w:rFonts w:asciiTheme="majorBidi" w:eastAsia="Times New Roman" w:hAnsiTheme="majorBidi" w:cstheme="majorBidi"/>
                <w:i/>
                <w:iCs/>
                <w:spacing w:val="4"/>
                <w:sz w:val="24"/>
                <w:szCs w:val="24"/>
                <w:lang w:val="sr-Latn-CS" w:eastAsia="sr-Latn-CS"/>
              </w:rPr>
              <w:t>Pseudomonas aeruginosa</w:t>
            </w:r>
          </w:p>
          <w:p w14:paraId="52BD5DFF" w14:textId="77777777" w:rsidR="005F768B" w:rsidRPr="00C65665" w:rsidRDefault="005F768B" w:rsidP="00CC2905">
            <w:pPr>
              <w:numPr>
                <w:ilvl w:val="0"/>
                <w:numId w:val="14"/>
              </w:numPr>
              <w:spacing w:after="0" w:line="360" w:lineRule="auto"/>
              <w:ind w:left="676" w:hanging="425"/>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Nontyphoidal </w:t>
            </w:r>
            <w:r w:rsidRPr="00C65665">
              <w:rPr>
                <w:rFonts w:asciiTheme="majorBidi" w:eastAsia="Times New Roman" w:hAnsiTheme="majorBidi" w:cstheme="majorBidi"/>
                <w:i/>
                <w:iCs/>
                <w:spacing w:val="4"/>
                <w:sz w:val="24"/>
                <w:szCs w:val="24"/>
                <w:lang w:val="sr-Latn-CS" w:eastAsia="sr-Latn-CS"/>
              </w:rPr>
              <w:t>Salmonella</w:t>
            </w:r>
          </w:p>
          <w:p w14:paraId="45CBF2E0" w14:textId="77777777" w:rsidR="005F768B" w:rsidRPr="00C65665" w:rsidRDefault="005F768B" w:rsidP="00CC2905">
            <w:pPr>
              <w:numPr>
                <w:ilvl w:val="0"/>
                <w:numId w:val="14"/>
              </w:numPr>
              <w:spacing w:after="0" w:line="360" w:lineRule="auto"/>
              <w:ind w:left="676" w:hanging="425"/>
              <w:jc w:val="both"/>
              <w:rPr>
                <w:rFonts w:asciiTheme="majorBidi" w:eastAsia="Times New Roman" w:hAnsiTheme="majorBidi" w:cstheme="majorBidi"/>
                <w:i/>
                <w:iCs/>
                <w:spacing w:val="4"/>
                <w:sz w:val="24"/>
                <w:szCs w:val="24"/>
                <w:lang w:val="sr-Latn-CS" w:eastAsia="sr-Latn-CS"/>
              </w:rPr>
            </w:pPr>
            <w:r w:rsidRPr="00C65665">
              <w:rPr>
                <w:rFonts w:asciiTheme="majorBidi" w:eastAsia="Times New Roman" w:hAnsiTheme="majorBidi" w:cstheme="majorBidi"/>
                <w:i/>
                <w:iCs/>
                <w:spacing w:val="4"/>
                <w:sz w:val="24"/>
                <w:szCs w:val="24"/>
                <w:lang w:val="sr-Latn-CS" w:eastAsia="sr-Latn-CS"/>
              </w:rPr>
              <w:t>Salmonella Typhi</w:t>
            </w:r>
          </w:p>
          <w:p w14:paraId="3C316327" w14:textId="77777777" w:rsidR="005F768B" w:rsidRPr="00C65665" w:rsidRDefault="005F768B" w:rsidP="00CC2905">
            <w:pPr>
              <w:numPr>
                <w:ilvl w:val="0"/>
                <w:numId w:val="14"/>
              </w:numPr>
              <w:spacing w:after="0" w:line="360" w:lineRule="auto"/>
              <w:ind w:left="676" w:hanging="425"/>
              <w:jc w:val="both"/>
              <w:rPr>
                <w:rFonts w:asciiTheme="majorBidi" w:eastAsia="Times New Roman" w:hAnsiTheme="majorBidi" w:cstheme="majorBidi"/>
                <w:i/>
                <w:iCs/>
                <w:spacing w:val="4"/>
                <w:sz w:val="24"/>
                <w:szCs w:val="24"/>
                <w:lang w:val="sr-Latn-CS" w:eastAsia="sr-Latn-CS"/>
              </w:rPr>
            </w:pPr>
            <w:r w:rsidRPr="00C65665">
              <w:rPr>
                <w:rFonts w:asciiTheme="majorBidi" w:eastAsia="Times New Roman" w:hAnsiTheme="majorBidi" w:cstheme="majorBidi"/>
                <w:i/>
                <w:iCs/>
                <w:spacing w:val="4"/>
                <w:sz w:val="24"/>
                <w:szCs w:val="24"/>
                <w:lang w:val="sr-Latn-CS" w:eastAsia="sr-Latn-CS"/>
              </w:rPr>
              <w:t>Shigella</w:t>
            </w:r>
          </w:p>
          <w:p w14:paraId="4DB59899" w14:textId="77777777" w:rsidR="005F768B" w:rsidRPr="00C65665" w:rsidRDefault="005F768B" w:rsidP="00CC2905">
            <w:pPr>
              <w:numPr>
                <w:ilvl w:val="0"/>
                <w:numId w:val="14"/>
              </w:numPr>
              <w:spacing w:after="0" w:line="360" w:lineRule="auto"/>
              <w:ind w:left="676" w:hanging="425"/>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Meticilin-rezistentni </w:t>
            </w:r>
            <w:r w:rsidRPr="00C65665">
              <w:rPr>
                <w:rFonts w:asciiTheme="majorBidi" w:eastAsia="Times New Roman" w:hAnsiTheme="majorBidi" w:cstheme="majorBidi"/>
                <w:i/>
                <w:iCs/>
                <w:spacing w:val="4"/>
                <w:sz w:val="24"/>
                <w:szCs w:val="24"/>
                <w:lang w:val="sr-Latn-CS" w:eastAsia="sr-Latn-CS"/>
              </w:rPr>
              <w:t>Staphylococcus aureus (MRSA)</w:t>
            </w:r>
          </w:p>
          <w:p w14:paraId="4AABFFB8" w14:textId="77777777" w:rsidR="005F768B" w:rsidRPr="00C65665" w:rsidRDefault="005F768B" w:rsidP="00CC2905">
            <w:pPr>
              <w:numPr>
                <w:ilvl w:val="0"/>
                <w:numId w:val="14"/>
              </w:numPr>
              <w:spacing w:after="0" w:line="360" w:lineRule="auto"/>
              <w:ind w:left="676" w:hanging="425"/>
              <w:jc w:val="both"/>
              <w:rPr>
                <w:rFonts w:asciiTheme="majorBidi" w:eastAsia="Times New Roman" w:hAnsiTheme="majorBidi" w:cstheme="majorBidi"/>
                <w:i/>
                <w:iCs/>
                <w:spacing w:val="4"/>
                <w:sz w:val="24"/>
                <w:szCs w:val="24"/>
                <w:lang w:val="sr-Latn-CS" w:eastAsia="sr-Latn-CS"/>
              </w:rPr>
            </w:pPr>
            <w:r w:rsidRPr="00C65665">
              <w:rPr>
                <w:rFonts w:asciiTheme="majorBidi" w:eastAsia="Times New Roman" w:hAnsiTheme="majorBidi" w:cstheme="majorBidi"/>
                <w:i/>
                <w:iCs/>
                <w:spacing w:val="4"/>
                <w:sz w:val="24"/>
                <w:szCs w:val="24"/>
                <w:lang w:val="sr-Latn-CS" w:eastAsia="sr-Latn-CS"/>
              </w:rPr>
              <w:t>Streptococcus pneumoniae</w:t>
            </w:r>
          </w:p>
          <w:p w14:paraId="437E2364" w14:textId="77777777" w:rsidR="005F768B" w:rsidRPr="00C65665" w:rsidRDefault="005F768B" w:rsidP="00CC2905">
            <w:pPr>
              <w:numPr>
                <w:ilvl w:val="0"/>
                <w:numId w:val="14"/>
              </w:numPr>
              <w:spacing w:after="0" w:line="360" w:lineRule="auto"/>
              <w:ind w:left="676" w:hanging="425"/>
              <w:jc w:val="both"/>
              <w:rPr>
                <w:rFonts w:asciiTheme="majorBidi" w:eastAsia="Times New Roman" w:hAnsiTheme="majorBidi" w:cstheme="majorBidi"/>
                <w:i/>
                <w:iCs/>
                <w:spacing w:val="4"/>
                <w:sz w:val="24"/>
                <w:szCs w:val="24"/>
                <w:lang w:val="sr-Latn-CS" w:eastAsia="sr-Latn-CS"/>
              </w:rPr>
            </w:pPr>
            <w:r w:rsidRPr="00C65665">
              <w:rPr>
                <w:rFonts w:asciiTheme="majorBidi" w:eastAsia="Times New Roman" w:hAnsiTheme="majorBidi" w:cstheme="majorBidi"/>
                <w:i/>
                <w:iCs/>
                <w:spacing w:val="4"/>
                <w:sz w:val="24"/>
                <w:szCs w:val="24"/>
                <w:lang w:val="sr-Latn-CS" w:eastAsia="sr-Latn-CS"/>
              </w:rPr>
              <w:t>M. tuberculosis</w:t>
            </w:r>
            <w:r w:rsidRPr="00C65665">
              <w:rPr>
                <w:rFonts w:asciiTheme="majorBidi" w:eastAsia="Times New Roman" w:hAnsiTheme="majorBidi" w:cstheme="majorBidi"/>
                <w:spacing w:val="4"/>
                <w:sz w:val="24"/>
                <w:szCs w:val="24"/>
                <w:lang w:val="sr-Latn-CS" w:eastAsia="sr-Latn-CS"/>
              </w:rPr>
              <w:t xml:space="preserve"> (MDR and XDR)</w:t>
            </w:r>
          </w:p>
        </w:tc>
        <w:tc>
          <w:tcPr>
            <w:tcW w:w="3115" w:type="dxa"/>
            <w:tcBorders>
              <w:top w:val="single" w:sz="4" w:space="0" w:color="auto"/>
              <w:left w:val="single" w:sz="4" w:space="0" w:color="auto"/>
              <w:bottom w:val="single" w:sz="4" w:space="0" w:color="auto"/>
              <w:right w:val="single" w:sz="4" w:space="0" w:color="auto"/>
            </w:tcBorders>
            <w:shd w:val="clear" w:color="auto" w:fill="FFFFFF"/>
          </w:tcPr>
          <w:p w14:paraId="59207C3B" w14:textId="77777777" w:rsidR="005F768B" w:rsidRPr="00C65665" w:rsidRDefault="005F768B" w:rsidP="00CC2905">
            <w:pPr>
              <w:numPr>
                <w:ilvl w:val="0"/>
                <w:numId w:val="15"/>
              </w:numPr>
              <w:spacing w:after="0" w:line="360" w:lineRule="auto"/>
              <w:ind w:left="597" w:hanging="283"/>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Vankomicin-rezistentni </w:t>
            </w:r>
            <w:r w:rsidRPr="00C65665">
              <w:rPr>
                <w:rFonts w:asciiTheme="majorBidi" w:eastAsia="Times New Roman" w:hAnsiTheme="majorBidi" w:cstheme="majorBidi"/>
                <w:i/>
                <w:iCs/>
                <w:spacing w:val="4"/>
                <w:sz w:val="24"/>
                <w:szCs w:val="24"/>
                <w:lang w:val="sr-Latn-CS" w:eastAsia="sr-Latn-CS"/>
              </w:rPr>
              <w:t>Staphylococcus aureus (VRSA)</w:t>
            </w:r>
          </w:p>
          <w:p w14:paraId="4E4AD985" w14:textId="77777777" w:rsidR="005F768B" w:rsidRPr="00C65665" w:rsidRDefault="005F768B" w:rsidP="00CC2905">
            <w:pPr>
              <w:numPr>
                <w:ilvl w:val="0"/>
                <w:numId w:val="15"/>
              </w:numPr>
              <w:spacing w:after="0" w:line="360" w:lineRule="auto"/>
              <w:ind w:left="597" w:hanging="283"/>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Eritromicin-rezistentni </w:t>
            </w:r>
            <w:r w:rsidRPr="00C65665">
              <w:rPr>
                <w:rFonts w:asciiTheme="majorBidi" w:eastAsia="Times New Roman" w:hAnsiTheme="majorBidi" w:cstheme="majorBidi"/>
                <w:i/>
                <w:iCs/>
                <w:spacing w:val="4"/>
                <w:sz w:val="24"/>
                <w:szCs w:val="24"/>
                <w:lang w:val="sr-Latn-CS" w:eastAsia="sr-Latn-CS"/>
              </w:rPr>
              <w:t>Streptococcus Group A</w:t>
            </w:r>
          </w:p>
          <w:p w14:paraId="2887A759" w14:textId="77777777" w:rsidR="005F768B" w:rsidRPr="00C65665" w:rsidRDefault="005F768B" w:rsidP="00CC2905">
            <w:pPr>
              <w:numPr>
                <w:ilvl w:val="0"/>
                <w:numId w:val="15"/>
              </w:numPr>
              <w:spacing w:after="0" w:line="360" w:lineRule="auto"/>
              <w:ind w:left="597" w:hanging="283"/>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Klindamicin-rezistentni </w:t>
            </w:r>
            <w:r w:rsidRPr="00C65665">
              <w:rPr>
                <w:rFonts w:asciiTheme="majorBidi" w:eastAsia="Times New Roman" w:hAnsiTheme="majorBidi" w:cstheme="majorBidi"/>
                <w:i/>
                <w:iCs/>
                <w:spacing w:val="4"/>
                <w:sz w:val="24"/>
                <w:szCs w:val="24"/>
                <w:lang w:val="sr-Latn-CS" w:eastAsia="sr-Latn-CS"/>
              </w:rPr>
              <w:t>Streptococcus Group B</w:t>
            </w:r>
          </w:p>
        </w:tc>
      </w:tr>
    </w:tbl>
    <w:p w14:paraId="6595BA69" w14:textId="782DC07C" w:rsidR="005F768B" w:rsidRDefault="005F768B" w:rsidP="005F768B">
      <w:pPr>
        <w:spacing w:after="0" w:line="360" w:lineRule="auto"/>
        <w:jc w:val="both"/>
        <w:rPr>
          <w:rFonts w:asciiTheme="majorBidi" w:eastAsia="Times New Roman" w:hAnsiTheme="majorBidi" w:cstheme="majorBidi"/>
          <w:bCs/>
          <w:i/>
          <w:spacing w:val="4"/>
          <w:sz w:val="24"/>
          <w:szCs w:val="24"/>
          <w:lang w:val="sr-Latn-CS" w:eastAsia="sr-Latn-CS"/>
        </w:rPr>
      </w:pPr>
      <w:r w:rsidRPr="00C65665">
        <w:rPr>
          <w:rFonts w:asciiTheme="majorBidi" w:eastAsia="Times New Roman" w:hAnsiTheme="majorBidi" w:cstheme="majorBidi"/>
          <w:bCs/>
          <w:i/>
          <w:spacing w:val="4"/>
          <w:sz w:val="24"/>
          <w:szCs w:val="24"/>
          <w:lang w:val="sr-Latn-CS" w:eastAsia="sr-Latn-CS"/>
        </w:rPr>
        <w:t xml:space="preserve">*Iako </w:t>
      </w:r>
      <w:r w:rsidRPr="00C65665">
        <w:rPr>
          <w:rFonts w:asciiTheme="majorBidi" w:eastAsia="Times New Roman" w:hAnsiTheme="majorBidi" w:cstheme="majorBidi"/>
          <w:bCs/>
          <w:i/>
          <w:iCs/>
          <w:spacing w:val="4"/>
          <w:sz w:val="24"/>
          <w:szCs w:val="24"/>
          <w:lang w:val="sr-Latn-CS" w:eastAsia="sr-Latn-CS"/>
        </w:rPr>
        <w:t>bakterija C.difficile</w:t>
      </w:r>
      <w:r w:rsidRPr="00C65665">
        <w:rPr>
          <w:rFonts w:asciiTheme="majorBidi" w:eastAsia="Times New Roman" w:hAnsiTheme="majorBidi" w:cstheme="majorBidi"/>
          <w:bCs/>
          <w:i/>
          <w:spacing w:val="4"/>
          <w:sz w:val="24"/>
          <w:szCs w:val="24"/>
          <w:lang w:val="sr-Latn-CS" w:eastAsia="sr-Latn-CS"/>
        </w:rPr>
        <w:t xml:space="preserve"> nije značajno rezistentna na lijekove kojima se liječi, nivo prioriteta je direktno povezan sa primjenom antibiotika i rezistencijom; MDR - višestruka rezistencija na lijekove; XDR - rasprostranjena rezistencija na lijekove (3)</w:t>
      </w:r>
    </w:p>
    <w:p w14:paraId="0E3E3C60" w14:textId="77777777" w:rsidR="00DA6FF6" w:rsidRPr="00C65665" w:rsidRDefault="00DA6FF6" w:rsidP="005F768B">
      <w:pPr>
        <w:spacing w:after="0" w:line="360" w:lineRule="auto"/>
        <w:jc w:val="both"/>
        <w:rPr>
          <w:rFonts w:asciiTheme="majorBidi" w:eastAsia="Times New Roman" w:hAnsiTheme="majorBidi" w:cstheme="majorBidi"/>
          <w:bCs/>
          <w:i/>
          <w:spacing w:val="4"/>
          <w:sz w:val="24"/>
          <w:szCs w:val="24"/>
          <w:lang w:val="sr-Latn-CS" w:eastAsia="sr-Latn-CS"/>
        </w:rPr>
      </w:pPr>
    </w:p>
    <w:p w14:paraId="3C1D2908" w14:textId="77777777" w:rsidR="005F768B" w:rsidRPr="00C65665" w:rsidRDefault="005F768B" w:rsidP="005F768B">
      <w:pPr>
        <w:pStyle w:val="Heading2"/>
        <w:numPr>
          <w:ilvl w:val="1"/>
          <w:numId w:val="12"/>
        </w:numPr>
        <w:spacing w:before="0" w:after="0"/>
        <w:ind w:left="1134" w:hanging="567"/>
        <w:rPr>
          <w:rFonts w:asciiTheme="majorBidi" w:hAnsiTheme="majorBidi" w:cstheme="majorBidi"/>
          <w:spacing w:val="4"/>
          <w:sz w:val="24"/>
          <w:szCs w:val="24"/>
          <w:lang w:val="sr-Latn-CS" w:eastAsia="sr-Latn-CS"/>
        </w:rPr>
      </w:pPr>
      <w:bookmarkStart w:id="3" w:name="_Toc76462904"/>
      <w:r w:rsidRPr="00C65665">
        <w:rPr>
          <w:rFonts w:asciiTheme="majorBidi" w:hAnsiTheme="majorBidi" w:cstheme="majorBidi"/>
          <w:spacing w:val="4"/>
          <w:sz w:val="24"/>
          <w:szCs w:val="24"/>
          <w:lang w:val="sr-Latn-CS" w:eastAsia="sr-Latn-CS"/>
        </w:rPr>
        <w:t>Mjere kontrole praćenja i prevencije antibiotske rezistencije</w:t>
      </w:r>
      <w:bookmarkEnd w:id="3"/>
    </w:p>
    <w:p w14:paraId="6127484B" w14:textId="6B25B515" w:rsidR="00DA6FF6" w:rsidRPr="00C65665" w:rsidRDefault="005F768B" w:rsidP="00E34F2B">
      <w:pPr>
        <w:spacing w:after="0" w:line="360" w:lineRule="auto"/>
        <w:ind w:firstLine="562"/>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Nekoliko je mogućih načina za usporavanje rastućeg trenda antibiotske rezistencije, kao što su postizanje odgovarajuće kontrole infektivnog procesa, razvijanje novih antibiotika i racionalna upotreba postojećih. Potrebno je identifikovati pacijente sa infekcijom rezistentnom na klasičnu antibiotsku terapiju. Problem postoji i kada pacijenti prijevremeno prekinu/obustave antibiotsku terapiju zbog poboljšanja simptoma bolesti, što dalje podstiče </w:t>
      </w:r>
      <w:r w:rsidRPr="00C65665">
        <w:rPr>
          <w:rFonts w:asciiTheme="majorBidi" w:eastAsia="Times New Roman" w:hAnsiTheme="majorBidi" w:cstheme="majorBidi"/>
          <w:spacing w:val="4"/>
          <w:sz w:val="24"/>
          <w:szCs w:val="24"/>
          <w:lang w:val="sr-Latn-CS" w:eastAsia="sr-Latn-CS"/>
        </w:rPr>
        <w:lastRenderedPageBreak/>
        <w:t>proliferaciju rezistentnih bakterijskih sojeva. Stoga je neophodno savjetovati pacijente da se pridržavaju doznog režima i dužine terapije, jer se time smanjuje mogućnost pojave rezistencije. Oprez je potreban i pri propisivanju široko-spektralnih antibiotika, posebno zbog izloženosti dejstvu antibiotika većeg broja bakterijskih vrsta i samim tim većeg rizika za pojavu i razvoj rezistencije.</w:t>
      </w:r>
      <w:bookmarkStart w:id="4" w:name="_Toc76462906"/>
      <w:r w:rsidRPr="00C65665">
        <w:rPr>
          <w:rFonts w:asciiTheme="majorBidi" w:eastAsia="Times New Roman" w:hAnsiTheme="majorBidi" w:cstheme="majorBidi"/>
          <w:spacing w:val="4"/>
          <w:sz w:val="24"/>
          <w:szCs w:val="24"/>
          <w:lang w:val="sr-Latn-CS" w:eastAsia="sr-Latn-CS"/>
        </w:rPr>
        <w:t xml:space="preserve"> (2)</w:t>
      </w:r>
    </w:p>
    <w:p w14:paraId="581BC834" w14:textId="77777777" w:rsidR="005F768B" w:rsidRPr="00C65665" w:rsidRDefault="005F768B" w:rsidP="005F768B">
      <w:pPr>
        <w:pStyle w:val="Heading1"/>
        <w:pageBreakBefore w:val="0"/>
        <w:numPr>
          <w:ilvl w:val="0"/>
          <w:numId w:val="29"/>
        </w:numPr>
        <w:spacing w:before="0" w:after="0"/>
        <w:ind w:left="922"/>
        <w:rPr>
          <w:rFonts w:asciiTheme="majorBidi" w:hAnsiTheme="majorBidi" w:cstheme="majorBidi"/>
          <w:spacing w:val="4"/>
          <w:sz w:val="24"/>
          <w:szCs w:val="24"/>
        </w:rPr>
      </w:pPr>
      <w:r w:rsidRPr="00C65665">
        <w:rPr>
          <w:rFonts w:asciiTheme="majorBidi" w:hAnsiTheme="majorBidi" w:cstheme="majorBidi"/>
          <w:spacing w:val="4"/>
          <w:sz w:val="24"/>
          <w:szCs w:val="24"/>
        </w:rPr>
        <w:t>HIPOTEZA</w:t>
      </w:r>
      <w:bookmarkEnd w:id="4"/>
    </w:p>
    <w:p w14:paraId="3CDC465C" w14:textId="77777777" w:rsidR="005F768B" w:rsidRPr="00C65665" w:rsidRDefault="005F768B" w:rsidP="005F768B">
      <w:pPr>
        <w:spacing w:after="0" w:line="360" w:lineRule="auto"/>
        <w:jc w:val="both"/>
        <w:rPr>
          <w:rFonts w:asciiTheme="majorBidi" w:eastAsia="Times New Roman" w:hAnsiTheme="majorBidi" w:cstheme="majorBidi"/>
          <w:spacing w:val="4"/>
          <w:sz w:val="24"/>
          <w:szCs w:val="24"/>
          <w:lang w:val="sr-Latn-RS" w:eastAsia="sr-Latn-BA"/>
        </w:rPr>
      </w:pPr>
      <w:r w:rsidRPr="00C65665">
        <w:rPr>
          <w:rFonts w:asciiTheme="majorBidi" w:hAnsiTheme="majorBidi" w:cstheme="majorBidi"/>
          <w:spacing w:val="4"/>
          <w:sz w:val="24"/>
          <w:szCs w:val="24"/>
        </w:rPr>
        <w:t>H0: Kogaluza negativni stafilokok i proteus vulgaris pokazuju najveći stepen rezistencije u odnosu na posmatrane antibiotike.</w:t>
      </w:r>
      <w:r w:rsidRPr="00C65665">
        <w:rPr>
          <w:rFonts w:asciiTheme="majorBidi" w:eastAsia="Times New Roman" w:hAnsiTheme="majorBidi" w:cstheme="majorBidi"/>
          <w:spacing w:val="4"/>
          <w:sz w:val="24"/>
          <w:szCs w:val="24"/>
          <w:lang w:val="sr-Latn-RS" w:eastAsia="sr-Latn-BA"/>
        </w:rPr>
        <w:t xml:space="preserve"> </w:t>
      </w:r>
    </w:p>
    <w:p w14:paraId="0A646087" w14:textId="20A0D66D" w:rsidR="00DA6FF6" w:rsidRPr="00C65665" w:rsidRDefault="005F768B" w:rsidP="00E34F2B">
      <w:pPr>
        <w:spacing w:after="0" w:line="360" w:lineRule="auto"/>
        <w:jc w:val="both"/>
        <w:rPr>
          <w:rFonts w:asciiTheme="majorBidi" w:eastAsia="Times New Roman" w:hAnsiTheme="majorBidi" w:cstheme="majorBidi"/>
          <w:spacing w:val="4"/>
          <w:sz w:val="24"/>
          <w:szCs w:val="24"/>
          <w:lang w:val="sr-Latn-RS" w:eastAsia="sr-Latn-BA"/>
        </w:rPr>
      </w:pPr>
      <w:r w:rsidRPr="00C65665">
        <w:rPr>
          <w:rFonts w:asciiTheme="majorBidi" w:eastAsia="Times New Roman" w:hAnsiTheme="majorBidi" w:cstheme="majorBidi"/>
          <w:spacing w:val="4"/>
          <w:sz w:val="24"/>
          <w:szCs w:val="24"/>
          <w:lang w:val="sr-Latn-RS" w:eastAsia="sr-Latn-BA"/>
        </w:rPr>
        <w:t>H1: Erythromycin i Vancomycin pokazuju bolje rezultate, odnosno uočena je veća senzitivnost gram negativnih bakterija u odnosu na gram pozitivne.</w:t>
      </w:r>
    </w:p>
    <w:p w14:paraId="0C96B1FF" w14:textId="77777777" w:rsidR="005F768B" w:rsidRPr="00C65665" w:rsidRDefault="005F768B" w:rsidP="005F768B">
      <w:pPr>
        <w:pStyle w:val="Heading1"/>
        <w:pageBreakBefore w:val="0"/>
        <w:numPr>
          <w:ilvl w:val="0"/>
          <w:numId w:val="29"/>
        </w:numPr>
        <w:spacing w:before="0" w:after="0"/>
        <w:ind w:left="922"/>
        <w:jc w:val="both"/>
        <w:rPr>
          <w:rFonts w:asciiTheme="majorBidi" w:hAnsiTheme="majorBidi" w:cstheme="majorBidi"/>
          <w:spacing w:val="4"/>
          <w:sz w:val="24"/>
          <w:szCs w:val="24"/>
        </w:rPr>
      </w:pPr>
      <w:bookmarkStart w:id="5" w:name="_Toc76462907"/>
      <w:r w:rsidRPr="00C65665">
        <w:rPr>
          <w:rFonts w:asciiTheme="majorBidi" w:hAnsiTheme="majorBidi" w:cstheme="majorBidi"/>
          <w:spacing w:val="4"/>
          <w:sz w:val="24"/>
          <w:szCs w:val="24"/>
        </w:rPr>
        <w:t>CILJEVI ISTRAŽIVANJA</w:t>
      </w:r>
      <w:bookmarkEnd w:id="5"/>
    </w:p>
    <w:p w14:paraId="0C373205" w14:textId="77777777" w:rsidR="005F768B" w:rsidRPr="00C65665" w:rsidRDefault="005F768B" w:rsidP="005F768B">
      <w:pPr>
        <w:spacing w:after="0" w:line="360" w:lineRule="auto"/>
        <w:jc w:val="both"/>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Definisali smo sljedeće ciljeve rada:</w:t>
      </w:r>
    </w:p>
    <w:p w14:paraId="3C86AE00" w14:textId="4AF388F8" w:rsidR="005F768B" w:rsidRPr="00C65665" w:rsidRDefault="005F768B" w:rsidP="005F768B">
      <w:pPr>
        <w:spacing w:after="0" w:line="360" w:lineRule="auto"/>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Utvrditi bakterijske uzročnike iz primarno sterilnih uzoraka (hemokultura) u vremenskom periodu od 2019.-2021. kod pacijenata liječenih na Klinici za </w:t>
      </w:r>
      <w:r w:rsidR="006E3B88">
        <w:rPr>
          <w:rFonts w:asciiTheme="majorBidi" w:eastAsia="Times New Roman" w:hAnsiTheme="majorBidi" w:cstheme="majorBidi"/>
          <w:spacing w:val="4"/>
          <w:sz w:val="24"/>
          <w:szCs w:val="24"/>
          <w:lang w:val="sr-Latn-CS" w:eastAsia="sr-Latn-CS"/>
        </w:rPr>
        <w:t>a</w:t>
      </w:r>
      <w:r w:rsidRPr="00C65665">
        <w:rPr>
          <w:rFonts w:asciiTheme="majorBidi" w:eastAsia="Times New Roman" w:hAnsiTheme="majorBidi" w:cstheme="majorBidi"/>
          <w:spacing w:val="4"/>
          <w:sz w:val="24"/>
          <w:szCs w:val="24"/>
          <w:lang w:val="sr-Latn-CS" w:eastAsia="sr-Latn-CS"/>
        </w:rPr>
        <w:t>nesteziju i intenzivno liječenje UKC Banja Luka.</w:t>
      </w:r>
    </w:p>
    <w:p w14:paraId="15CE1B15" w14:textId="77777777" w:rsidR="005F768B" w:rsidRPr="00C65665" w:rsidRDefault="005F768B" w:rsidP="005F768B">
      <w:pPr>
        <w:spacing w:after="0" w:line="360" w:lineRule="auto"/>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Utvrditi učestalost Gram pozitivnih i Gram negativnih bakterija kod pozitivnih hemokultura.</w:t>
      </w:r>
    </w:p>
    <w:p w14:paraId="6095E0B2" w14:textId="554EC75F" w:rsidR="00DA6FF6" w:rsidRPr="00DC7CD9" w:rsidRDefault="005F768B" w:rsidP="00E34F2B">
      <w:pPr>
        <w:spacing w:after="0" w:line="360" w:lineRule="auto"/>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Utvrditi incidencu rezistencije izolovanih bakterija</w:t>
      </w:r>
    </w:p>
    <w:p w14:paraId="37FBC348" w14:textId="77777777" w:rsidR="005F768B" w:rsidRPr="00C65665" w:rsidRDefault="005F768B" w:rsidP="005F768B">
      <w:pPr>
        <w:pStyle w:val="Heading1"/>
        <w:pageBreakBefore w:val="0"/>
        <w:numPr>
          <w:ilvl w:val="0"/>
          <w:numId w:val="29"/>
        </w:numPr>
        <w:spacing w:before="0" w:after="0"/>
        <w:ind w:left="922"/>
        <w:rPr>
          <w:rFonts w:asciiTheme="majorBidi" w:hAnsiTheme="majorBidi" w:cstheme="majorBidi"/>
          <w:spacing w:val="4"/>
          <w:sz w:val="24"/>
          <w:szCs w:val="24"/>
        </w:rPr>
      </w:pPr>
      <w:bookmarkStart w:id="6" w:name="_Toc76462908"/>
      <w:r w:rsidRPr="00C65665">
        <w:rPr>
          <w:rFonts w:asciiTheme="majorBidi" w:hAnsiTheme="majorBidi" w:cstheme="majorBidi"/>
          <w:spacing w:val="4"/>
          <w:sz w:val="24"/>
          <w:szCs w:val="24"/>
        </w:rPr>
        <w:t>MATERIJAL I METODE</w:t>
      </w:r>
      <w:bookmarkEnd w:id="6"/>
    </w:p>
    <w:p w14:paraId="507F8137" w14:textId="77777777" w:rsidR="005F768B" w:rsidRPr="00C65665" w:rsidRDefault="005F768B" w:rsidP="005F768B">
      <w:pPr>
        <w:pStyle w:val="Heading2"/>
        <w:numPr>
          <w:ilvl w:val="1"/>
          <w:numId w:val="13"/>
        </w:numPr>
        <w:spacing w:before="0" w:after="0"/>
        <w:ind w:left="1134" w:hanging="567"/>
        <w:rPr>
          <w:rFonts w:asciiTheme="majorBidi" w:hAnsiTheme="majorBidi" w:cstheme="majorBidi"/>
          <w:spacing w:val="4"/>
          <w:sz w:val="24"/>
          <w:szCs w:val="24"/>
          <w:lang w:val="sr-Latn-CS" w:eastAsia="sr-Latn-CS"/>
        </w:rPr>
      </w:pPr>
      <w:bookmarkStart w:id="7" w:name="_Toc76462909"/>
      <w:r w:rsidRPr="00C65665">
        <w:rPr>
          <w:rFonts w:asciiTheme="majorBidi" w:hAnsiTheme="majorBidi" w:cstheme="majorBidi"/>
          <w:spacing w:val="4"/>
          <w:sz w:val="24"/>
          <w:szCs w:val="24"/>
          <w:lang w:val="sr-Latn-CS" w:eastAsia="sr-Latn-CS"/>
        </w:rPr>
        <w:t>Materijal</w:t>
      </w:r>
      <w:bookmarkEnd w:id="7"/>
    </w:p>
    <w:p w14:paraId="468CEF93" w14:textId="77777777" w:rsidR="005F768B" w:rsidRPr="00C65665"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Ova studija je retrospektivna i obuhvatala je 250 ispitanika, starijih od 18 godina,  liječenih  na Klinici za anesteziju i intenzivno liječenje Univerzitetsko Kliničkog Centra Banja Luka od 1. januara 2019. do 31. decembra 2021. godine. Kriterijumi uključivanja u studiju su dijagnoza sepse utvrđena na temelju, kliničkih i laboratorijskih parametara, prisutnosti znakova SIRS-a nezavisno od toga da li je sepsa bila razlog prijema u JIL ili je nastala u JIL-u kao komplikacija osnovne bolesti ili je povezana s postupcima zdravstvene njege. Istraživanje je sprovedeno uz suglasnost Etičkog odbora UKC Republike Srpska i u  skladu je sa propisima o čuvanju profesionalne tajne i u potpunosti je zaštićena privatnost ličnih podataka ispitanika.</w:t>
      </w:r>
    </w:p>
    <w:p w14:paraId="27CFB704" w14:textId="77777777" w:rsidR="005F768B" w:rsidRPr="00C65665" w:rsidRDefault="005F768B" w:rsidP="005F768B">
      <w:pPr>
        <w:pStyle w:val="Heading2"/>
        <w:numPr>
          <w:ilvl w:val="1"/>
          <w:numId w:val="13"/>
        </w:numPr>
        <w:spacing w:before="0" w:after="0"/>
        <w:ind w:left="1134" w:hanging="567"/>
        <w:rPr>
          <w:rFonts w:asciiTheme="majorBidi" w:hAnsiTheme="majorBidi" w:cstheme="majorBidi"/>
          <w:spacing w:val="4"/>
          <w:sz w:val="24"/>
          <w:szCs w:val="24"/>
          <w:lang w:val="sr-Latn-CS" w:eastAsia="sr-Latn-CS"/>
        </w:rPr>
      </w:pPr>
      <w:bookmarkStart w:id="8" w:name="_Toc76462910"/>
      <w:r w:rsidRPr="00C65665">
        <w:rPr>
          <w:rFonts w:asciiTheme="majorBidi" w:hAnsiTheme="majorBidi" w:cstheme="majorBidi"/>
          <w:spacing w:val="4"/>
          <w:sz w:val="24"/>
          <w:szCs w:val="24"/>
          <w:lang w:val="sr-Latn-CS" w:eastAsia="sr-Latn-CS"/>
        </w:rPr>
        <w:t>Metode</w:t>
      </w:r>
      <w:bookmarkEnd w:id="8"/>
    </w:p>
    <w:p w14:paraId="66ACDB68" w14:textId="77777777" w:rsidR="005F768B" w:rsidRPr="00DC7CD9"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Klinički podaci o ispitanicima su prikupljeni iz istorija bolesti, a podaci o izolovanim patogenima iz mikrobiološkog protokola Zavoda za mikrobiologiju Banja Luka. </w:t>
      </w:r>
    </w:p>
    <w:p w14:paraId="106A2583" w14:textId="77777777" w:rsidR="005F768B" w:rsidRPr="00C65665" w:rsidRDefault="005F768B" w:rsidP="005F768B">
      <w:pPr>
        <w:pStyle w:val="Heading1"/>
        <w:numPr>
          <w:ilvl w:val="0"/>
          <w:numId w:val="29"/>
        </w:numPr>
        <w:spacing w:before="0" w:after="0"/>
        <w:rPr>
          <w:rFonts w:asciiTheme="majorBidi" w:hAnsiTheme="majorBidi" w:cstheme="majorBidi"/>
          <w:spacing w:val="4"/>
          <w:sz w:val="24"/>
          <w:szCs w:val="24"/>
        </w:rPr>
      </w:pPr>
      <w:bookmarkStart w:id="9" w:name="_Toc76462911"/>
      <w:r w:rsidRPr="00C65665">
        <w:rPr>
          <w:rFonts w:asciiTheme="majorBidi" w:hAnsiTheme="majorBidi" w:cstheme="majorBidi"/>
          <w:spacing w:val="4"/>
          <w:sz w:val="24"/>
          <w:szCs w:val="24"/>
        </w:rPr>
        <w:lastRenderedPageBreak/>
        <w:t>REZULTATI ISTRAŽIVANJA</w:t>
      </w:r>
      <w:bookmarkEnd w:id="9"/>
    </w:p>
    <w:p w14:paraId="532DC850" w14:textId="77777777" w:rsidR="005F768B" w:rsidRPr="00C65665" w:rsidRDefault="005F768B" w:rsidP="005F768B">
      <w:pPr>
        <w:pStyle w:val="Heading2"/>
        <w:numPr>
          <w:ilvl w:val="1"/>
          <w:numId w:val="5"/>
        </w:numPr>
        <w:spacing w:before="0" w:after="0"/>
        <w:ind w:left="1134" w:hanging="567"/>
        <w:rPr>
          <w:rFonts w:asciiTheme="majorBidi" w:hAnsiTheme="majorBidi" w:cstheme="majorBidi"/>
          <w:spacing w:val="4"/>
          <w:sz w:val="24"/>
          <w:szCs w:val="24"/>
          <w:lang w:val="sr-Latn-CS" w:eastAsia="sr-Latn-BA"/>
        </w:rPr>
      </w:pPr>
      <w:bookmarkStart w:id="10" w:name="_Toc76462912"/>
      <w:r w:rsidRPr="00C65665">
        <w:rPr>
          <w:rFonts w:asciiTheme="majorBidi" w:hAnsiTheme="majorBidi" w:cstheme="majorBidi"/>
          <w:spacing w:val="4"/>
          <w:sz w:val="24"/>
          <w:szCs w:val="24"/>
          <w:lang w:val="sr-Latn-CS" w:eastAsia="sr-Latn-CS"/>
        </w:rPr>
        <w:t>Bakteriološki rezultati hemokultura</w:t>
      </w:r>
      <w:bookmarkEnd w:id="10"/>
    </w:p>
    <w:p w14:paraId="1E6A87F8" w14:textId="77777777" w:rsidR="005F768B" w:rsidRPr="00C65665" w:rsidRDefault="005F768B" w:rsidP="005F768B">
      <w:pPr>
        <w:spacing w:after="0" w:line="360" w:lineRule="auto"/>
        <w:ind w:firstLine="562"/>
        <w:jc w:val="both"/>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Istraživanje je sprovedeno na 250 ispitanika hospitalizovanih na Klinici za anesteziju i intenzivno liječenje UKC Banja Luka tokom dvogodišnjeg razdoblja.</w:t>
      </w:r>
    </w:p>
    <w:p w14:paraId="77EF05F0" w14:textId="77777777" w:rsidR="005F768B" w:rsidRPr="00C65665" w:rsidRDefault="005F768B" w:rsidP="005F768B">
      <w:pPr>
        <w:spacing w:after="0" w:line="360" w:lineRule="auto"/>
        <w:ind w:firstLine="562"/>
        <w:jc w:val="both"/>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Hemokulture su uzimane kod naglog skoka temperature ili sumnje na sepsu.</w:t>
      </w:r>
    </w:p>
    <w:p w14:paraId="27C3C804" w14:textId="77777777" w:rsidR="005F768B" w:rsidRPr="00C65665" w:rsidRDefault="005F768B" w:rsidP="005F768B">
      <w:pPr>
        <w:spacing w:after="0" w:line="360" w:lineRule="auto"/>
        <w:ind w:firstLine="562"/>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Kod 108 ispitanika hemokulture su bile pozitivne i utvrđeni su bakterijski uzročnici kao i njihova senzitivnost i rezistencija na određene antibiotike. Od 108 pozitivnih hemokultura, 64 pripada muškarcima, a 44 ženama.</w:t>
      </w:r>
    </w:p>
    <w:p w14:paraId="1CDD16CD" w14:textId="77777777" w:rsidR="005F768B" w:rsidRPr="00C65665"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CS"/>
        </w:rPr>
      </w:pPr>
    </w:p>
    <w:p w14:paraId="68C065AD" w14:textId="597DD47A" w:rsidR="005F768B" w:rsidRPr="00C65665" w:rsidRDefault="005F768B" w:rsidP="005F768B">
      <w:pPr>
        <w:keepNext/>
        <w:spacing w:after="0" w:line="360" w:lineRule="auto"/>
        <w:ind w:firstLine="567"/>
        <w:jc w:val="both"/>
        <w:rPr>
          <w:rFonts w:asciiTheme="majorBidi" w:hAnsiTheme="majorBidi" w:cstheme="majorBidi"/>
          <w:sz w:val="24"/>
          <w:szCs w:val="24"/>
        </w:rPr>
      </w:pPr>
      <w:r>
        <w:rPr>
          <w:noProof/>
        </w:rPr>
        <w:drawing>
          <wp:anchor distT="0" distB="0" distL="114300" distR="114300" simplePos="0" relativeHeight="251661312" behindDoc="0" locked="0" layoutInCell="1" allowOverlap="1" wp14:anchorId="1CFBBEC6" wp14:editId="10046443">
            <wp:simplePos x="0" y="0"/>
            <wp:positionH relativeFrom="column">
              <wp:posOffset>358140</wp:posOffset>
            </wp:positionH>
            <wp:positionV relativeFrom="paragraph">
              <wp:posOffset>10795</wp:posOffset>
            </wp:positionV>
            <wp:extent cx="1935480" cy="1485900"/>
            <wp:effectExtent l="0" t="0" r="7620" b="0"/>
            <wp:wrapSquare wrapText="bothSides"/>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3548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098852" w14:textId="77777777" w:rsidR="005F768B" w:rsidRPr="00C65665" w:rsidRDefault="005F768B" w:rsidP="005F768B">
      <w:pPr>
        <w:pStyle w:val="Caption"/>
        <w:spacing w:after="0"/>
        <w:jc w:val="both"/>
        <w:rPr>
          <w:rFonts w:asciiTheme="majorBidi" w:hAnsiTheme="majorBidi" w:cstheme="majorBidi"/>
          <w:color w:val="auto"/>
          <w:spacing w:val="4"/>
          <w:sz w:val="24"/>
          <w:szCs w:val="24"/>
        </w:rPr>
      </w:pPr>
      <w:bookmarkStart w:id="11" w:name="_Toc76321280"/>
      <w:r w:rsidRPr="00C65665">
        <w:rPr>
          <w:rFonts w:asciiTheme="majorBidi" w:hAnsiTheme="majorBidi" w:cstheme="majorBidi"/>
          <w:color w:val="auto"/>
          <w:sz w:val="24"/>
          <w:szCs w:val="24"/>
        </w:rPr>
        <w:t xml:space="preserve">Slika 1. </w:t>
      </w:r>
      <w:r w:rsidRPr="00C65665">
        <w:rPr>
          <w:rFonts w:asciiTheme="majorBidi" w:eastAsia="Times New Roman" w:hAnsiTheme="majorBidi" w:cstheme="majorBidi"/>
          <w:bCs/>
          <w:iCs w:val="0"/>
          <w:color w:val="auto"/>
          <w:spacing w:val="4"/>
          <w:sz w:val="24"/>
          <w:szCs w:val="24"/>
          <w:lang w:val="sr-Latn-CS" w:eastAsia="sr-Latn-CS"/>
        </w:rPr>
        <w:t>Prikaz odnosa pozitivnih i negativnih hemokultura izražen u procentima</w:t>
      </w:r>
      <w:bookmarkEnd w:id="11"/>
    </w:p>
    <w:p w14:paraId="60BF8FE6" w14:textId="77777777" w:rsidR="005F768B" w:rsidRPr="00C65665" w:rsidRDefault="005F768B" w:rsidP="005F768B">
      <w:pPr>
        <w:pStyle w:val="Caption"/>
        <w:spacing w:after="0"/>
        <w:jc w:val="both"/>
        <w:rPr>
          <w:rFonts w:asciiTheme="majorBidi" w:eastAsia="Times New Roman" w:hAnsiTheme="majorBidi" w:cstheme="majorBidi"/>
          <w:color w:val="auto"/>
          <w:spacing w:val="4"/>
          <w:sz w:val="24"/>
          <w:szCs w:val="24"/>
          <w:lang w:val="sr-Latn-CS" w:eastAsia="sr-Latn-BA"/>
        </w:rPr>
      </w:pPr>
    </w:p>
    <w:p w14:paraId="300049CA" w14:textId="77777777" w:rsidR="005F768B" w:rsidRPr="005F768B" w:rsidRDefault="005F768B" w:rsidP="005F768B">
      <w:pPr>
        <w:spacing w:after="0" w:line="360" w:lineRule="auto"/>
        <w:ind w:firstLine="567"/>
        <w:jc w:val="both"/>
        <w:rPr>
          <w:rFonts w:asciiTheme="majorBidi" w:hAnsiTheme="majorBidi" w:cstheme="majorBidi"/>
          <w:spacing w:val="4"/>
          <w:sz w:val="24"/>
          <w:szCs w:val="24"/>
          <w:lang w:val="sr-Latn-CS"/>
        </w:rPr>
      </w:pPr>
      <w:r w:rsidRPr="00C65665">
        <w:rPr>
          <w:rFonts w:asciiTheme="majorBidi" w:eastAsia="Times New Roman" w:hAnsiTheme="majorBidi" w:cstheme="majorBidi"/>
          <w:spacing w:val="4"/>
          <w:sz w:val="24"/>
          <w:szCs w:val="24"/>
          <w:lang w:val="sr-Latn-CS" w:eastAsia="sr-Latn-CS"/>
        </w:rPr>
        <w:t xml:space="preserve">Na </w:t>
      </w:r>
      <w:r w:rsidRPr="00C65665">
        <w:rPr>
          <w:rFonts w:asciiTheme="majorBidi" w:eastAsia="Times New Roman" w:hAnsiTheme="majorBidi" w:cstheme="majorBidi"/>
          <w:i/>
          <w:iCs/>
          <w:spacing w:val="4"/>
          <w:sz w:val="24"/>
          <w:szCs w:val="24"/>
          <w:lang w:val="sr-Latn-CS" w:eastAsia="sr-Latn-CS"/>
        </w:rPr>
        <w:t>Slici 1.</w:t>
      </w:r>
      <w:r w:rsidRPr="00C65665">
        <w:rPr>
          <w:rFonts w:asciiTheme="majorBidi" w:eastAsia="Times New Roman" w:hAnsiTheme="majorBidi" w:cstheme="majorBidi"/>
          <w:spacing w:val="4"/>
          <w:sz w:val="24"/>
          <w:szCs w:val="24"/>
          <w:lang w:val="sr-Latn-CS" w:eastAsia="sr-Latn-CS"/>
        </w:rPr>
        <w:t xml:space="preserve"> je prikazan odnos pozitivnih i negativnih hemokultura izražen u procentima koji iznosi 43,2% (tj.108 hemokultura) za pozitivne i 56,8% (142 hemokulture) za negativne.</w:t>
      </w:r>
    </w:p>
    <w:p w14:paraId="3CB1994E" w14:textId="4381EDD9" w:rsidR="005F768B" w:rsidRPr="00C65665" w:rsidRDefault="005F768B" w:rsidP="00E34F2B">
      <w:pPr>
        <w:spacing w:after="0" w:line="36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Od 108 pozitivnih hemokultura kod 73 su izolovane Gram pozitivne bakterije, a kod 35 Gram negativne bakterije.</w:t>
      </w:r>
    </w:p>
    <w:p w14:paraId="0453082D" w14:textId="3635813D" w:rsidR="005F768B" w:rsidRPr="00C65665" w:rsidRDefault="005F768B" w:rsidP="005F768B">
      <w:pPr>
        <w:keepNext/>
        <w:spacing w:after="0" w:line="360" w:lineRule="auto"/>
        <w:ind w:firstLine="567"/>
        <w:jc w:val="both"/>
        <w:rPr>
          <w:rFonts w:asciiTheme="majorBidi" w:hAnsiTheme="majorBidi" w:cstheme="majorBidi"/>
          <w:sz w:val="24"/>
          <w:szCs w:val="24"/>
        </w:rPr>
      </w:pPr>
      <w:r w:rsidRPr="00C65665">
        <w:rPr>
          <w:rFonts w:asciiTheme="majorBidi" w:hAnsiTheme="majorBidi" w:cstheme="majorBidi"/>
          <w:noProof/>
          <w:spacing w:val="4"/>
          <w:sz w:val="24"/>
          <w:szCs w:val="24"/>
          <w:lang w:eastAsia="sr-Latn-BA"/>
        </w:rPr>
        <w:drawing>
          <wp:inline distT="0" distB="0" distL="0" distR="0" wp14:anchorId="3732429A" wp14:editId="40865118">
            <wp:extent cx="2903220" cy="1714500"/>
            <wp:effectExtent l="0" t="0" r="0" b="0"/>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06D5ABA" w14:textId="77777777" w:rsidR="005F768B" w:rsidRPr="00C65665" w:rsidRDefault="005F768B" w:rsidP="005F768B">
      <w:pPr>
        <w:pStyle w:val="Caption"/>
        <w:spacing w:after="0"/>
        <w:jc w:val="both"/>
        <w:rPr>
          <w:rFonts w:asciiTheme="majorBidi" w:hAnsiTheme="majorBidi" w:cstheme="majorBidi"/>
          <w:color w:val="auto"/>
          <w:spacing w:val="4"/>
          <w:sz w:val="24"/>
          <w:szCs w:val="24"/>
        </w:rPr>
      </w:pPr>
      <w:bookmarkStart w:id="12" w:name="_Toc76321281"/>
      <w:r w:rsidRPr="00C65665">
        <w:rPr>
          <w:rFonts w:asciiTheme="majorBidi" w:hAnsiTheme="majorBidi" w:cstheme="majorBidi"/>
          <w:color w:val="auto"/>
          <w:sz w:val="24"/>
          <w:szCs w:val="24"/>
        </w:rPr>
        <w:t xml:space="preserve">Slika 2. </w:t>
      </w:r>
      <w:r w:rsidRPr="00C65665">
        <w:rPr>
          <w:rFonts w:asciiTheme="majorBidi" w:eastAsia="Times New Roman" w:hAnsiTheme="majorBidi" w:cstheme="majorBidi"/>
          <w:color w:val="auto"/>
          <w:spacing w:val="4"/>
          <w:sz w:val="24"/>
          <w:szCs w:val="24"/>
          <w:lang w:val="sr-Latn-CS" w:eastAsia="sr-Latn-CS"/>
        </w:rPr>
        <w:t>Odnos Gram pozitivnih i Gram negativnih bakterija izražen u procentima</w:t>
      </w:r>
      <w:bookmarkEnd w:id="12"/>
    </w:p>
    <w:p w14:paraId="7E3E43C5" w14:textId="77777777" w:rsidR="005F768B" w:rsidRPr="00C65665" w:rsidRDefault="005F768B" w:rsidP="005F768B">
      <w:pPr>
        <w:spacing w:after="0" w:line="360" w:lineRule="auto"/>
        <w:rPr>
          <w:rFonts w:asciiTheme="majorBidi" w:eastAsia="Times New Roman" w:hAnsiTheme="majorBidi" w:cstheme="majorBidi"/>
          <w:spacing w:val="4"/>
          <w:sz w:val="24"/>
          <w:szCs w:val="24"/>
          <w:lang w:val="sr-Latn-CS" w:eastAsia="sr-Latn-CS"/>
        </w:rPr>
      </w:pPr>
    </w:p>
    <w:p w14:paraId="35BAD13B" w14:textId="77777777" w:rsidR="005F768B" w:rsidRPr="00C65665" w:rsidRDefault="005F768B" w:rsidP="005F768B">
      <w:pPr>
        <w:spacing w:after="0" w:line="360" w:lineRule="auto"/>
        <w:ind w:firstLine="567"/>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Na </w:t>
      </w:r>
      <w:r w:rsidRPr="00C65665">
        <w:rPr>
          <w:rFonts w:asciiTheme="majorBidi" w:eastAsia="Times New Roman" w:hAnsiTheme="majorBidi" w:cstheme="majorBidi"/>
          <w:i/>
          <w:iCs/>
          <w:spacing w:val="4"/>
          <w:sz w:val="24"/>
          <w:szCs w:val="24"/>
          <w:lang w:val="sr-Latn-CS" w:eastAsia="sr-Latn-CS"/>
        </w:rPr>
        <w:t>Slici 2.</w:t>
      </w:r>
      <w:r w:rsidRPr="00C65665">
        <w:rPr>
          <w:rFonts w:asciiTheme="majorBidi" w:eastAsia="Times New Roman" w:hAnsiTheme="majorBidi" w:cstheme="majorBidi"/>
          <w:spacing w:val="4"/>
          <w:sz w:val="24"/>
          <w:szCs w:val="24"/>
          <w:lang w:val="sr-Latn-CS" w:eastAsia="sr-Latn-CS"/>
        </w:rPr>
        <w:t xml:space="preserve"> je prikazana zastupljenost Gram pozitivnih i Gram negativnih bakterija izražena u procentima u korist Gram pozitivnih bakterija(67,3%) kao češće izolovanih iz hemokultura tokom trogodišnjeg razdoblja.</w:t>
      </w:r>
    </w:p>
    <w:p w14:paraId="5AF9A2C4" w14:textId="77777777" w:rsidR="005F768B" w:rsidRPr="00C65665" w:rsidRDefault="005F768B" w:rsidP="005F768B">
      <w:pPr>
        <w:spacing w:after="0" w:line="360" w:lineRule="auto"/>
        <w:ind w:firstLine="567"/>
        <w:rPr>
          <w:rFonts w:asciiTheme="majorBidi" w:eastAsia="Times New Roman" w:hAnsiTheme="majorBidi" w:cstheme="majorBidi"/>
          <w:spacing w:val="4"/>
          <w:sz w:val="24"/>
          <w:szCs w:val="24"/>
          <w:lang w:val="sr-Latn-CS" w:eastAsia="sr-Latn-BA"/>
        </w:rPr>
      </w:pPr>
    </w:p>
    <w:p w14:paraId="35E62D58" w14:textId="77777777" w:rsidR="005F768B" w:rsidRPr="00C65665" w:rsidRDefault="005F768B" w:rsidP="005F768B">
      <w:pPr>
        <w:pStyle w:val="Caption"/>
        <w:keepNext/>
        <w:spacing w:after="0"/>
        <w:rPr>
          <w:rFonts w:asciiTheme="majorBidi" w:hAnsiTheme="majorBidi" w:cstheme="majorBidi"/>
          <w:color w:val="auto"/>
          <w:spacing w:val="4"/>
          <w:sz w:val="24"/>
          <w:szCs w:val="24"/>
        </w:rPr>
      </w:pPr>
      <w:bookmarkStart w:id="13" w:name="_Toc75694172"/>
      <w:bookmarkStart w:id="14" w:name="_Toc76321286"/>
      <w:r w:rsidRPr="00C65665">
        <w:rPr>
          <w:rFonts w:asciiTheme="majorBidi" w:hAnsiTheme="majorBidi" w:cstheme="majorBidi"/>
          <w:color w:val="auto"/>
          <w:spacing w:val="4"/>
          <w:sz w:val="24"/>
          <w:szCs w:val="24"/>
        </w:rPr>
        <w:lastRenderedPageBreak/>
        <w:t xml:space="preserve">Tabela 2. </w:t>
      </w:r>
      <w:r w:rsidRPr="00C65665">
        <w:rPr>
          <w:rFonts w:asciiTheme="majorBidi" w:eastAsia="Times New Roman" w:hAnsiTheme="majorBidi" w:cstheme="majorBidi"/>
          <w:color w:val="auto"/>
          <w:spacing w:val="4"/>
          <w:sz w:val="24"/>
          <w:szCs w:val="24"/>
          <w:lang w:val="sr-Latn-CS" w:eastAsia="sr-Latn-CS"/>
        </w:rPr>
        <w:t>Broj izolata pojedinačnih Gram pozitivnih bakterija</w:t>
      </w:r>
      <w:bookmarkEnd w:id="13"/>
      <w:bookmarkEnd w:id="14"/>
    </w:p>
    <w:tbl>
      <w:tblPr>
        <w:tblW w:w="0" w:type="auto"/>
        <w:tblInd w:w="5" w:type="dxa"/>
        <w:tblLayout w:type="fixed"/>
        <w:tblCellMar>
          <w:left w:w="0" w:type="dxa"/>
          <w:right w:w="0" w:type="dxa"/>
        </w:tblCellMar>
        <w:tblLook w:val="0000" w:firstRow="0" w:lastRow="0" w:firstColumn="0" w:lastColumn="0" w:noHBand="0" w:noVBand="0"/>
      </w:tblPr>
      <w:tblGrid>
        <w:gridCol w:w="3437"/>
        <w:gridCol w:w="4501"/>
      </w:tblGrid>
      <w:tr w:rsidR="005F768B" w:rsidRPr="006E3B88" w14:paraId="2248CF23" w14:textId="77777777" w:rsidTr="00CC2905">
        <w:trPr>
          <w:trHeight w:val="293"/>
        </w:trPr>
        <w:tc>
          <w:tcPr>
            <w:tcW w:w="7938" w:type="dxa"/>
            <w:gridSpan w:val="2"/>
            <w:tcBorders>
              <w:top w:val="single" w:sz="4" w:space="0" w:color="auto"/>
              <w:left w:val="single" w:sz="4" w:space="0" w:color="auto"/>
              <w:bottom w:val="nil"/>
              <w:right w:val="single" w:sz="4" w:space="0" w:color="auto"/>
            </w:tcBorders>
            <w:shd w:val="clear" w:color="auto" w:fill="D99594"/>
          </w:tcPr>
          <w:p w14:paraId="5A66514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spacing w:val="4"/>
                <w:sz w:val="24"/>
                <w:szCs w:val="24"/>
                <w:lang w:val="sr-Latn-CS" w:eastAsia="sr-Latn-CS"/>
              </w:rPr>
              <w:t>Broj pojedinačnih Gram pozitivnih bakterija izolovanih iz hemokultura</w:t>
            </w:r>
          </w:p>
        </w:tc>
      </w:tr>
      <w:tr w:rsidR="005F768B" w:rsidRPr="00C65665" w14:paraId="3A07665A" w14:textId="77777777" w:rsidTr="00CC2905">
        <w:trPr>
          <w:trHeight w:val="279"/>
        </w:trPr>
        <w:tc>
          <w:tcPr>
            <w:tcW w:w="3437" w:type="dxa"/>
            <w:tcBorders>
              <w:top w:val="single" w:sz="4" w:space="0" w:color="auto"/>
              <w:left w:val="single" w:sz="4" w:space="0" w:color="auto"/>
              <w:bottom w:val="nil"/>
              <w:right w:val="nil"/>
            </w:tcBorders>
            <w:shd w:val="clear" w:color="auto" w:fill="E5B8B7"/>
          </w:tcPr>
          <w:p w14:paraId="5E3F29FC"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spacing w:val="4"/>
                <w:sz w:val="24"/>
                <w:szCs w:val="24"/>
                <w:lang w:val="sr-Latn-CS" w:eastAsia="sr-Latn-CS"/>
              </w:rPr>
              <w:t>Naziv bakterije</w:t>
            </w:r>
          </w:p>
        </w:tc>
        <w:tc>
          <w:tcPr>
            <w:tcW w:w="4501" w:type="dxa"/>
            <w:tcBorders>
              <w:top w:val="single" w:sz="4" w:space="0" w:color="auto"/>
              <w:left w:val="single" w:sz="4" w:space="0" w:color="auto"/>
              <w:bottom w:val="nil"/>
              <w:right w:val="single" w:sz="4" w:space="0" w:color="auto"/>
            </w:tcBorders>
            <w:shd w:val="clear" w:color="auto" w:fill="E5B8B7"/>
          </w:tcPr>
          <w:p w14:paraId="383A9232"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spacing w:val="4"/>
                <w:sz w:val="24"/>
                <w:szCs w:val="24"/>
                <w:lang w:val="sr-Latn-CS" w:eastAsia="sr-Latn-CS"/>
              </w:rPr>
              <w:t>Broj izolata</w:t>
            </w:r>
          </w:p>
        </w:tc>
      </w:tr>
      <w:tr w:rsidR="005F768B" w:rsidRPr="00C65665" w14:paraId="4F001961" w14:textId="77777777" w:rsidTr="00CC2905">
        <w:trPr>
          <w:trHeight w:val="283"/>
        </w:trPr>
        <w:tc>
          <w:tcPr>
            <w:tcW w:w="3437" w:type="dxa"/>
            <w:tcBorders>
              <w:top w:val="single" w:sz="4" w:space="0" w:color="auto"/>
              <w:left w:val="single" w:sz="4" w:space="0" w:color="auto"/>
              <w:bottom w:val="nil"/>
              <w:right w:val="nil"/>
            </w:tcBorders>
            <w:shd w:val="clear" w:color="auto" w:fill="F2DBDB"/>
          </w:tcPr>
          <w:p w14:paraId="48EE4A89"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Staphylococcus epidermidis</w:t>
            </w:r>
          </w:p>
        </w:tc>
        <w:tc>
          <w:tcPr>
            <w:tcW w:w="4501" w:type="dxa"/>
            <w:tcBorders>
              <w:top w:val="single" w:sz="4" w:space="0" w:color="auto"/>
              <w:left w:val="single" w:sz="4" w:space="0" w:color="auto"/>
              <w:bottom w:val="nil"/>
              <w:right w:val="single" w:sz="4" w:space="0" w:color="auto"/>
            </w:tcBorders>
            <w:shd w:val="clear" w:color="auto" w:fill="F2DBDB"/>
          </w:tcPr>
          <w:p w14:paraId="78AE3A50"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55</w:t>
            </w:r>
          </w:p>
        </w:tc>
      </w:tr>
      <w:tr w:rsidR="005F768B" w:rsidRPr="00C65665" w14:paraId="4BF1C715" w14:textId="77777777" w:rsidTr="00CC2905">
        <w:trPr>
          <w:trHeight w:val="279"/>
        </w:trPr>
        <w:tc>
          <w:tcPr>
            <w:tcW w:w="3437" w:type="dxa"/>
            <w:tcBorders>
              <w:top w:val="single" w:sz="4" w:space="0" w:color="auto"/>
              <w:left w:val="single" w:sz="4" w:space="0" w:color="auto"/>
              <w:bottom w:val="nil"/>
              <w:right w:val="nil"/>
            </w:tcBorders>
            <w:shd w:val="clear" w:color="auto" w:fill="F2DBDB"/>
            <w:vAlign w:val="center"/>
          </w:tcPr>
          <w:p w14:paraId="51DA8411"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Enterococcus spp.-Enterococcus faecalis</w:t>
            </w:r>
          </w:p>
        </w:tc>
        <w:tc>
          <w:tcPr>
            <w:tcW w:w="4501" w:type="dxa"/>
            <w:tcBorders>
              <w:top w:val="single" w:sz="4" w:space="0" w:color="auto"/>
              <w:left w:val="single" w:sz="4" w:space="0" w:color="auto"/>
              <w:bottom w:val="nil"/>
              <w:right w:val="single" w:sz="4" w:space="0" w:color="auto"/>
            </w:tcBorders>
            <w:shd w:val="clear" w:color="auto" w:fill="F2DBDB"/>
            <w:vAlign w:val="center"/>
          </w:tcPr>
          <w:p w14:paraId="4709543F"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8</w:t>
            </w:r>
          </w:p>
        </w:tc>
      </w:tr>
      <w:tr w:rsidR="005F768B" w:rsidRPr="00C65665" w14:paraId="064DA08E" w14:textId="77777777" w:rsidTr="00CC2905">
        <w:trPr>
          <w:trHeight w:val="264"/>
        </w:trPr>
        <w:tc>
          <w:tcPr>
            <w:tcW w:w="3437" w:type="dxa"/>
            <w:tcBorders>
              <w:top w:val="single" w:sz="4" w:space="0" w:color="auto"/>
              <w:left w:val="single" w:sz="4" w:space="0" w:color="auto"/>
              <w:bottom w:val="nil"/>
              <w:right w:val="nil"/>
            </w:tcBorders>
            <w:shd w:val="clear" w:color="auto" w:fill="F2DBDB"/>
          </w:tcPr>
          <w:p w14:paraId="156F5470"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Staphylococcus aureus</w:t>
            </w:r>
          </w:p>
        </w:tc>
        <w:tc>
          <w:tcPr>
            <w:tcW w:w="4501" w:type="dxa"/>
            <w:tcBorders>
              <w:top w:val="single" w:sz="4" w:space="0" w:color="auto"/>
              <w:left w:val="single" w:sz="4" w:space="0" w:color="auto"/>
              <w:bottom w:val="nil"/>
              <w:right w:val="single" w:sz="4" w:space="0" w:color="auto"/>
            </w:tcBorders>
            <w:shd w:val="clear" w:color="auto" w:fill="F2DBDB"/>
          </w:tcPr>
          <w:p w14:paraId="6B06FE10"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7</w:t>
            </w:r>
          </w:p>
        </w:tc>
      </w:tr>
      <w:tr w:rsidR="005F768B" w:rsidRPr="00C65665" w14:paraId="7F519C95" w14:textId="77777777" w:rsidTr="00CC2905">
        <w:trPr>
          <w:trHeight w:val="312"/>
        </w:trPr>
        <w:tc>
          <w:tcPr>
            <w:tcW w:w="3437" w:type="dxa"/>
            <w:tcBorders>
              <w:top w:val="single" w:sz="4" w:space="0" w:color="auto"/>
              <w:left w:val="single" w:sz="4" w:space="0" w:color="auto"/>
              <w:bottom w:val="single" w:sz="4" w:space="0" w:color="auto"/>
              <w:right w:val="nil"/>
            </w:tcBorders>
            <w:shd w:val="clear" w:color="auto" w:fill="F2DBDB"/>
          </w:tcPr>
          <w:p w14:paraId="6B151B0F"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Koagulaza negativan stafilokok</w:t>
            </w:r>
          </w:p>
        </w:tc>
        <w:tc>
          <w:tcPr>
            <w:tcW w:w="4501" w:type="dxa"/>
            <w:tcBorders>
              <w:top w:val="single" w:sz="4" w:space="0" w:color="auto"/>
              <w:left w:val="single" w:sz="4" w:space="0" w:color="auto"/>
              <w:bottom w:val="single" w:sz="4" w:space="0" w:color="auto"/>
              <w:right w:val="single" w:sz="4" w:space="0" w:color="auto"/>
            </w:tcBorders>
            <w:shd w:val="clear" w:color="auto" w:fill="F2DBDB"/>
          </w:tcPr>
          <w:p w14:paraId="23BC067D"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3</w:t>
            </w:r>
          </w:p>
        </w:tc>
      </w:tr>
    </w:tbl>
    <w:p w14:paraId="50FFAAB1" w14:textId="77777777" w:rsidR="005F768B" w:rsidRPr="00C65665" w:rsidRDefault="005F768B" w:rsidP="005F768B">
      <w:pPr>
        <w:keepNext/>
        <w:spacing w:after="0" w:line="360" w:lineRule="auto"/>
        <w:rPr>
          <w:rFonts w:asciiTheme="majorBidi" w:hAnsiTheme="majorBidi" w:cstheme="majorBidi"/>
          <w:sz w:val="24"/>
          <w:szCs w:val="24"/>
        </w:rPr>
      </w:pPr>
    </w:p>
    <w:p w14:paraId="7B442309" w14:textId="2A0B01F5" w:rsidR="005F768B" w:rsidRPr="00C65665" w:rsidRDefault="005F768B" w:rsidP="005F768B">
      <w:pPr>
        <w:pStyle w:val="Caption"/>
        <w:spacing w:after="0"/>
        <w:rPr>
          <w:rFonts w:asciiTheme="majorBidi" w:hAnsiTheme="majorBidi" w:cstheme="majorBidi"/>
          <w:color w:val="auto"/>
          <w:spacing w:val="4"/>
          <w:sz w:val="24"/>
          <w:szCs w:val="24"/>
        </w:rPr>
      </w:pPr>
      <w:bookmarkStart w:id="15" w:name="_Toc76321282"/>
      <w:r>
        <w:rPr>
          <w:noProof/>
        </w:rPr>
        <w:drawing>
          <wp:anchor distT="0" distB="0" distL="114300" distR="114300" simplePos="0" relativeHeight="251660288" behindDoc="0" locked="0" layoutInCell="1" allowOverlap="1" wp14:anchorId="00D2767E" wp14:editId="4FE359CA">
            <wp:simplePos x="0" y="0"/>
            <wp:positionH relativeFrom="margin">
              <wp:align>left</wp:align>
            </wp:positionH>
            <wp:positionV relativeFrom="paragraph">
              <wp:posOffset>69850</wp:posOffset>
            </wp:positionV>
            <wp:extent cx="2628900" cy="2186305"/>
            <wp:effectExtent l="0" t="0" r="0" b="4445"/>
            <wp:wrapSquare wrapText="bothSides"/>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3"/>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8900" cy="2186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5665">
        <w:rPr>
          <w:rFonts w:asciiTheme="majorBidi" w:hAnsiTheme="majorBidi" w:cstheme="majorBidi"/>
          <w:color w:val="auto"/>
          <w:sz w:val="24"/>
          <w:szCs w:val="24"/>
        </w:rPr>
        <w:t xml:space="preserve">Slika 3. </w:t>
      </w:r>
      <w:r w:rsidRPr="00C65665">
        <w:rPr>
          <w:rFonts w:asciiTheme="majorBidi" w:eastAsia="Times New Roman" w:hAnsiTheme="majorBidi" w:cstheme="majorBidi"/>
          <w:bCs/>
          <w:color w:val="auto"/>
          <w:spacing w:val="4"/>
          <w:sz w:val="24"/>
          <w:szCs w:val="24"/>
          <w:lang w:val="sr-Latn-CS" w:eastAsia="sr-Latn-CS"/>
        </w:rPr>
        <w:t>Odnos zstupljenosti pojedinačnih Gram pozitivnih bakterija izražen u procentima</w:t>
      </w:r>
      <w:bookmarkEnd w:id="15"/>
    </w:p>
    <w:p w14:paraId="00010F34" w14:textId="77777777" w:rsidR="005F768B" w:rsidRPr="00C65665" w:rsidRDefault="005F768B" w:rsidP="005F768B">
      <w:pPr>
        <w:spacing w:after="0" w:line="360" w:lineRule="auto"/>
        <w:ind w:firstLine="720"/>
        <w:jc w:val="both"/>
        <w:rPr>
          <w:rFonts w:asciiTheme="majorBidi" w:eastAsia="Times New Roman" w:hAnsiTheme="majorBidi" w:cstheme="majorBidi"/>
          <w:spacing w:val="4"/>
          <w:sz w:val="24"/>
          <w:szCs w:val="24"/>
          <w:lang w:val="sr-Latn-CS" w:eastAsia="sr-Latn-CS"/>
        </w:rPr>
      </w:pPr>
    </w:p>
    <w:p w14:paraId="43B0E5FA" w14:textId="77777777" w:rsidR="005F768B" w:rsidRPr="00C65665" w:rsidRDefault="005F768B" w:rsidP="005F768B">
      <w:pPr>
        <w:spacing w:after="0" w:line="360" w:lineRule="auto"/>
        <w:ind w:firstLine="720"/>
        <w:jc w:val="both"/>
        <w:rPr>
          <w:rFonts w:asciiTheme="majorBidi" w:eastAsia="Times New Roman" w:hAnsiTheme="majorBidi" w:cstheme="majorBidi"/>
          <w:spacing w:val="4"/>
          <w:sz w:val="24"/>
          <w:szCs w:val="24"/>
          <w:lang w:val="sr-Latn-CS" w:eastAsia="sr-Latn-CS"/>
        </w:rPr>
      </w:pPr>
    </w:p>
    <w:p w14:paraId="168F269F" w14:textId="6C6C2F6F" w:rsidR="005F768B" w:rsidRPr="00C65665" w:rsidRDefault="005F768B" w:rsidP="005F768B">
      <w:pPr>
        <w:spacing w:after="0" w:line="360" w:lineRule="auto"/>
        <w:ind w:firstLine="720"/>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Na </w:t>
      </w:r>
      <w:r w:rsidRPr="00C65665">
        <w:rPr>
          <w:rFonts w:asciiTheme="majorBidi" w:eastAsia="Times New Roman" w:hAnsiTheme="majorBidi" w:cstheme="majorBidi"/>
          <w:i/>
          <w:iCs/>
          <w:spacing w:val="4"/>
          <w:sz w:val="24"/>
          <w:szCs w:val="24"/>
          <w:lang w:val="sr-Latn-CS" w:eastAsia="sr-Latn-CS"/>
        </w:rPr>
        <w:t>Slici 3.</w:t>
      </w:r>
      <w:r w:rsidRPr="00C65665">
        <w:rPr>
          <w:rFonts w:asciiTheme="majorBidi" w:eastAsia="Times New Roman" w:hAnsiTheme="majorBidi" w:cstheme="majorBidi"/>
          <w:spacing w:val="4"/>
          <w:sz w:val="24"/>
          <w:szCs w:val="24"/>
          <w:lang w:val="sr-Latn-CS" w:eastAsia="sr-Latn-CS"/>
        </w:rPr>
        <w:t xml:space="preserve"> prikazan je odnos zastupljenosti pojedinačnih Gram pozitivnih bakterija, od 108 pozitivnih hemokultura, izražen u procentima gdje se vidi da je najčešće izolovana bakterija </w:t>
      </w:r>
      <w:r w:rsidRPr="00C65665">
        <w:rPr>
          <w:rFonts w:asciiTheme="majorBidi" w:eastAsia="Times New Roman" w:hAnsiTheme="majorBidi" w:cstheme="majorBidi"/>
          <w:i/>
          <w:iCs/>
          <w:spacing w:val="4"/>
          <w:sz w:val="24"/>
          <w:szCs w:val="24"/>
          <w:lang w:val="sr-Latn-CS" w:eastAsia="sr-Latn-CS"/>
        </w:rPr>
        <w:t>Staphylococcus epidermidis</w:t>
      </w:r>
      <w:r w:rsidRPr="00C65665">
        <w:rPr>
          <w:rFonts w:asciiTheme="majorBidi" w:eastAsia="Times New Roman" w:hAnsiTheme="majorBidi" w:cstheme="majorBidi"/>
          <w:spacing w:val="4"/>
          <w:sz w:val="24"/>
          <w:szCs w:val="24"/>
          <w:lang w:val="sr-Latn-CS" w:eastAsia="sr-Latn-CS"/>
        </w:rPr>
        <w:t xml:space="preserve"> sa 50,93% tj. 55 izolata, zatim sledi </w:t>
      </w:r>
      <w:r w:rsidRPr="00C65665">
        <w:rPr>
          <w:rFonts w:asciiTheme="majorBidi" w:eastAsia="Times New Roman" w:hAnsiTheme="majorBidi" w:cstheme="majorBidi"/>
          <w:i/>
          <w:iCs/>
          <w:spacing w:val="4"/>
          <w:sz w:val="24"/>
          <w:szCs w:val="24"/>
          <w:lang w:val="sr-Latn-CS" w:eastAsia="sr-Latn-CS"/>
        </w:rPr>
        <w:t>Enterococcus spp.-Enterococcus faecalis</w:t>
      </w:r>
      <w:r w:rsidRPr="00C65665">
        <w:rPr>
          <w:rFonts w:asciiTheme="majorBidi" w:eastAsia="Times New Roman" w:hAnsiTheme="majorBidi" w:cstheme="majorBidi"/>
          <w:spacing w:val="4"/>
          <w:sz w:val="24"/>
          <w:szCs w:val="24"/>
          <w:lang w:val="sr-Latn-CS" w:eastAsia="sr-Latn-CS"/>
        </w:rPr>
        <w:t xml:space="preserve"> sa 7,41% tj. 8 izolata, zatim </w:t>
      </w:r>
      <w:r w:rsidRPr="00C65665">
        <w:rPr>
          <w:rFonts w:asciiTheme="majorBidi" w:eastAsia="Times New Roman" w:hAnsiTheme="majorBidi" w:cstheme="majorBidi"/>
          <w:i/>
          <w:iCs/>
          <w:spacing w:val="4"/>
          <w:sz w:val="24"/>
          <w:szCs w:val="24"/>
          <w:lang w:val="sr-Latn-CS" w:eastAsia="sr-Latn-CS"/>
        </w:rPr>
        <w:t>Staphylococcus aureus</w:t>
      </w:r>
      <w:r w:rsidRPr="00C65665">
        <w:rPr>
          <w:rFonts w:asciiTheme="majorBidi" w:eastAsia="Times New Roman" w:hAnsiTheme="majorBidi" w:cstheme="majorBidi"/>
          <w:spacing w:val="4"/>
          <w:sz w:val="24"/>
          <w:szCs w:val="24"/>
          <w:lang w:val="sr-Latn-CS" w:eastAsia="sr-Latn-CS"/>
        </w:rPr>
        <w:t xml:space="preserve"> sa 6,48% tj. 7 izolata i </w:t>
      </w:r>
      <w:r w:rsidRPr="00C65665">
        <w:rPr>
          <w:rFonts w:asciiTheme="majorBidi" w:eastAsia="Times New Roman" w:hAnsiTheme="majorBidi" w:cstheme="majorBidi"/>
          <w:i/>
          <w:iCs/>
          <w:spacing w:val="4"/>
          <w:sz w:val="24"/>
          <w:szCs w:val="24"/>
          <w:lang w:val="sr-Latn-CS" w:eastAsia="sr-Latn-CS"/>
        </w:rPr>
        <w:t>Koagulaza negativan stafilokok</w:t>
      </w:r>
      <w:r w:rsidRPr="00C65665">
        <w:rPr>
          <w:rFonts w:asciiTheme="majorBidi" w:eastAsia="Times New Roman" w:hAnsiTheme="majorBidi" w:cstheme="majorBidi"/>
          <w:spacing w:val="4"/>
          <w:sz w:val="24"/>
          <w:szCs w:val="24"/>
          <w:lang w:val="sr-Latn-CS" w:eastAsia="sr-Latn-CS"/>
        </w:rPr>
        <w:t xml:space="preserve"> sa 2,78% tj. 3 izolata.</w:t>
      </w:r>
    </w:p>
    <w:p w14:paraId="0CC963BD" w14:textId="77777777" w:rsidR="005F768B" w:rsidRPr="00C65665" w:rsidRDefault="005F768B" w:rsidP="005F768B">
      <w:pPr>
        <w:pStyle w:val="Caption"/>
        <w:keepNext/>
        <w:spacing w:after="0"/>
        <w:rPr>
          <w:rFonts w:asciiTheme="majorBidi" w:hAnsiTheme="majorBidi" w:cstheme="majorBidi"/>
          <w:color w:val="auto"/>
          <w:sz w:val="24"/>
          <w:szCs w:val="24"/>
        </w:rPr>
      </w:pPr>
      <w:bookmarkStart w:id="16" w:name="_Toc76321287"/>
      <w:r w:rsidRPr="00C65665">
        <w:rPr>
          <w:rFonts w:asciiTheme="majorBidi" w:hAnsiTheme="majorBidi" w:cstheme="majorBidi"/>
          <w:color w:val="auto"/>
          <w:sz w:val="24"/>
          <w:szCs w:val="24"/>
        </w:rPr>
        <w:t xml:space="preserve">Tabela 3. </w:t>
      </w:r>
      <w:r w:rsidRPr="00C65665">
        <w:rPr>
          <w:rFonts w:asciiTheme="majorBidi" w:eastAsia="Times New Roman" w:hAnsiTheme="majorBidi" w:cstheme="majorBidi"/>
          <w:bCs/>
          <w:color w:val="auto"/>
          <w:spacing w:val="4"/>
          <w:sz w:val="24"/>
          <w:szCs w:val="24"/>
          <w:lang w:val="sr-Latn-CS" w:eastAsia="sr-Latn-CS"/>
        </w:rPr>
        <w:t>Rezultati izolovanih bakterija i njihova senzitivnost i rezistencija na antibiotike</w:t>
      </w:r>
      <w:bookmarkEnd w:id="16"/>
    </w:p>
    <w:tbl>
      <w:tblPr>
        <w:tblW w:w="0" w:type="auto"/>
        <w:tblInd w:w="108" w:type="dxa"/>
        <w:tblBorders>
          <w:top w:val="single" w:sz="4" w:space="0" w:color="auto"/>
        </w:tblBorders>
        <w:tblLook w:val="0000" w:firstRow="0" w:lastRow="0" w:firstColumn="0" w:lastColumn="0" w:noHBand="0" w:noVBand="0"/>
      </w:tblPr>
      <w:tblGrid>
        <w:gridCol w:w="1767"/>
        <w:gridCol w:w="1647"/>
        <w:gridCol w:w="1465"/>
        <w:gridCol w:w="1559"/>
        <w:gridCol w:w="1506"/>
      </w:tblGrid>
      <w:tr w:rsidR="005F768B" w:rsidRPr="00C65665" w14:paraId="27928C9D" w14:textId="77777777" w:rsidTr="00CC2905">
        <w:trPr>
          <w:trHeight w:val="96"/>
        </w:trPr>
        <w:tc>
          <w:tcPr>
            <w:tcW w:w="7905" w:type="dxa"/>
            <w:gridSpan w:val="5"/>
            <w:tcBorders>
              <w:left w:val="single" w:sz="4" w:space="0" w:color="auto"/>
              <w:right w:val="single" w:sz="4" w:space="0" w:color="auto"/>
            </w:tcBorders>
            <w:shd w:val="clear" w:color="auto" w:fill="D99594"/>
          </w:tcPr>
          <w:p w14:paraId="25040DCF" w14:textId="77777777" w:rsidR="005F768B" w:rsidRPr="00C65665" w:rsidRDefault="005F768B" w:rsidP="00CC2905">
            <w:pPr>
              <w:spacing w:after="0" w:line="360" w:lineRule="auto"/>
              <w:rPr>
                <w:rFonts w:asciiTheme="majorBidi" w:eastAsia="Times New Roman" w:hAnsiTheme="majorBidi" w:cstheme="majorBidi"/>
                <w:b/>
                <w:bCs/>
                <w:spacing w:val="4"/>
                <w:sz w:val="24"/>
                <w:szCs w:val="24"/>
                <w:lang w:val="sr-Latn-CS" w:eastAsia="sr-Latn-CS"/>
              </w:rPr>
            </w:pPr>
            <w:r w:rsidRPr="00C65665">
              <w:rPr>
                <w:rFonts w:asciiTheme="majorBidi" w:eastAsia="Times New Roman" w:hAnsiTheme="majorBidi" w:cstheme="majorBidi"/>
                <w:b/>
                <w:bCs/>
                <w:spacing w:val="4"/>
                <w:sz w:val="24"/>
                <w:szCs w:val="24"/>
                <w:lang w:val="sr-Latn-CS" w:eastAsia="sr-Latn-CS"/>
              </w:rPr>
              <w:t>Senzitivnost izolovanih Gram pozitivnih bakterija na antibiotike</w:t>
            </w:r>
          </w:p>
        </w:tc>
      </w:tr>
      <w:tr w:rsidR="005F768B" w:rsidRPr="00C65665" w14:paraId="341A3CE9" w14:textId="77777777" w:rsidTr="00CC2905">
        <w:tblPrEx>
          <w:tblBorders>
            <w:top w:val="none" w:sz="0" w:space="0" w:color="auto"/>
          </w:tblBorders>
          <w:tblCellMar>
            <w:left w:w="0" w:type="dxa"/>
            <w:right w:w="0" w:type="dxa"/>
          </w:tblCellMar>
        </w:tblPrEx>
        <w:trPr>
          <w:trHeight w:val="243"/>
        </w:trPr>
        <w:tc>
          <w:tcPr>
            <w:tcW w:w="1753" w:type="dxa"/>
            <w:vMerge w:val="restart"/>
            <w:tcBorders>
              <w:top w:val="single" w:sz="4" w:space="0" w:color="auto"/>
              <w:left w:val="single" w:sz="4" w:space="0" w:color="auto"/>
              <w:bottom w:val="nil"/>
              <w:right w:val="nil"/>
            </w:tcBorders>
            <w:shd w:val="clear" w:color="auto" w:fill="F2DBDB"/>
          </w:tcPr>
          <w:p w14:paraId="3C292D07"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spacing w:val="4"/>
                <w:sz w:val="24"/>
                <w:szCs w:val="24"/>
                <w:lang w:val="sr-Latn-CS" w:eastAsia="sr-Latn-CS"/>
              </w:rPr>
              <w:t>Antibiotici</w:t>
            </w:r>
          </w:p>
        </w:tc>
        <w:tc>
          <w:tcPr>
            <w:tcW w:w="6151" w:type="dxa"/>
            <w:gridSpan w:val="4"/>
            <w:tcBorders>
              <w:top w:val="single" w:sz="4" w:space="0" w:color="auto"/>
              <w:left w:val="single" w:sz="4" w:space="0" w:color="auto"/>
              <w:bottom w:val="nil"/>
              <w:right w:val="single" w:sz="4" w:space="0" w:color="auto"/>
            </w:tcBorders>
            <w:shd w:val="clear" w:color="auto" w:fill="E5B8B7"/>
            <w:vAlign w:val="bottom"/>
          </w:tcPr>
          <w:p w14:paraId="12B13A67"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spacing w:val="4"/>
                <w:sz w:val="24"/>
                <w:szCs w:val="24"/>
                <w:lang w:val="sr-Latn-CS" w:eastAsia="sr-Latn-CS"/>
              </w:rPr>
              <w:t>Izolovane Gram pozitivne bakterije</w:t>
            </w:r>
          </w:p>
        </w:tc>
      </w:tr>
      <w:tr w:rsidR="005F768B" w:rsidRPr="00C65665" w14:paraId="47F96569" w14:textId="77777777" w:rsidTr="00CC2905">
        <w:tblPrEx>
          <w:tblBorders>
            <w:top w:val="none" w:sz="0" w:space="0" w:color="auto"/>
          </w:tblBorders>
          <w:tblCellMar>
            <w:left w:w="0" w:type="dxa"/>
            <w:right w:w="0" w:type="dxa"/>
          </w:tblCellMar>
        </w:tblPrEx>
        <w:trPr>
          <w:trHeight w:val="895"/>
        </w:trPr>
        <w:tc>
          <w:tcPr>
            <w:tcW w:w="1753" w:type="dxa"/>
            <w:vMerge/>
            <w:tcBorders>
              <w:top w:val="nil"/>
              <w:left w:val="single" w:sz="4" w:space="0" w:color="auto"/>
              <w:bottom w:val="nil"/>
              <w:right w:val="nil"/>
            </w:tcBorders>
            <w:shd w:val="clear" w:color="auto" w:fill="F2DBDB"/>
          </w:tcPr>
          <w:p w14:paraId="6D9F990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p>
        </w:tc>
        <w:tc>
          <w:tcPr>
            <w:tcW w:w="1634" w:type="dxa"/>
            <w:tcBorders>
              <w:top w:val="single" w:sz="4" w:space="0" w:color="auto"/>
              <w:left w:val="single" w:sz="4" w:space="0" w:color="auto"/>
              <w:bottom w:val="nil"/>
              <w:right w:val="nil"/>
            </w:tcBorders>
            <w:shd w:val="clear" w:color="auto" w:fill="F2DBDB"/>
          </w:tcPr>
          <w:p w14:paraId="1EBE67FA"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Staphylococcus</w:t>
            </w:r>
          </w:p>
          <w:p w14:paraId="09A7B1C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epidermidis</w:t>
            </w:r>
          </w:p>
        </w:tc>
        <w:tc>
          <w:tcPr>
            <w:tcW w:w="1465" w:type="dxa"/>
            <w:tcBorders>
              <w:top w:val="single" w:sz="4" w:space="0" w:color="auto"/>
              <w:left w:val="single" w:sz="4" w:space="0" w:color="auto"/>
              <w:bottom w:val="nil"/>
              <w:right w:val="nil"/>
            </w:tcBorders>
            <w:shd w:val="clear" w:color="auto" w:fill="F2DBDB"/>
            <w:vAlign w:val="bottom"/>
          </w:tcPr>
          <w:p w14:paraId="015BA524"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Enterococcus</w:t>
            </w:r>
          </w:p>
          <w:p w14:paraId="33DB1000"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spp.-</w:t>
            </w:r>
          </w:p>
          <w:p w14:paraId="76019322"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Enterococcus</w:t>
            </w:r>
          </w:p>
          <w:p w14:paraId="35768177"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faecalis</w:t>
            </w:r>
          </w:p>
        </w:tc>
        <w:tc>
          <w:tcPr>
            <w:tcW w:w="1547" w:type="dxa"/>
            <w:tcBorders>
              <w:top w:val="single" w:sz="4" w:space="0" w:color="auto"/>
              <w:left w:val="single" w:sz="4" w:space="0" w:color="auto"/>
              <w:bottom w:val="nil"/>
              <w:right w:val="nil"/>
            </w:tcBorders>
            <w:shd w:val="clear" w:color="auto" w:fill="F2DBDB"/>
          </w:tcPr>
          <w:p w14:paraId="1E51891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Staphylococcus</w:t>
            </w:r>
          </w:p>
          <w:p w14:paraId="39046562"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aureus</w:t>
            </w:r>
          </w:p>
        </w:tc>
        <w:tc>
          <w:tcPr>
            <w:tcW w:w="1503" w:type="dxa"/>
            <w:tcBorders>
              <w:top w:val="single" w:sz="4" w:space="0" w:color="auto"/>
              <w:left w:val="single" w:sz="4" w:space="0" w:color="auto"/>
              <w:bottom w:val="nil"/>
              <w:right w:val="single" w:sz="4" w:space="0" w:color="auto"/>
            </w:tcBorders>
            <w:shd w:val="clear" w:color="auto" w:fill="F2DBDB"/>
          </w:tcPr>
          <w:p w14:paraId="78B24561"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Koagulaza</w:t>
            </w:r>
          </w:p>
          <w:p w14:paraId="6A1C7FD7"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negativan</w:t>
            </w:r>
          </w:p>
          <w:p w14:paraId="626140A2"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stafilokok</w:t>
            </w:r>
          </w:p>
        </w:tc>
      </w:tr>
      <w:tr w:rsidR="005F768B" w:rsidRPr="00C65665" w14:paraId="63CD9342" w14:textId="77777777" w:rsidTr="00CC2905">
        <w:tblPrEx>
          <w:tblBorders>
            <w:top w:val="none" w:sz="0" w:space="0" w:color="auto"/>
          </w:tblBorders>
          <w:tblCellMar>
            <w:left w:w="0" w:type="dxa"/>
            <w:right w:w="0" w:type="dxa"/>
          </w:tblCellMar>
        </w:tblPrEx>
        <w:trPr>
          <w:trHeight w:val="217"/>
        </w:trPr>
        <w:tc>
          <w:tcPr>
            <w:tcW w:w="1753" w:type="dxa"/>
            <w:vMerge/>
            <w:tcBorders>
              <w:top w:val="nil"/>
              <w:left w:val="single" w:sz="4" w:space="0" w:color="auto"/>
              <w:bottom w:val="nil"/>
              <w:right w:val="nil"/>
            </w:tcBorders>
            <w:shd w:val="clear" w:color="auto" w:fill="F2DBDB"/>
          </w:tcPr>
          <w:p w14:paraId="45B44FD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p>
        </w:tc>
        <w:tc>
          <w:tcPr>
            <w:tcW w:w="1634" w:type="dxa"/>
            <w:tcBorders>
              <w:top w:val="single" w:sz="4" w:space="0" w:color="auto"/>
              <w:left w:val="single" w:sz="4" w:space="0" w:color="auto"/>
              <w:bottom w:val="nil"/>
              <w:right w:val="nil"/>
            </w:tcBorders>
            <w:shd w:val="clear" w:color="auto" w:fill="DBE5F1"/>
            <w:vAlign w:val="bottom"/>
          </w:tcPr>
          <w:p w14:paraId="316733F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broj izolata 55</w:t>
            </w:r>
          </w:p>
        </w:tc>
        <w:tc>
          <w:tcPr>
            <w:tcW w:w="1465" w:type="dxa"/>
            <w:tcBorders>
              <w:top w:val="single" w:sz="4" w:space="0" w:color="auto"/>
              <w:left w:val="single" w:sz="4" w:space="0" w:color="auto"/>
              <w:bottom w:val="nil"/>
              <w:right w:val="nil"/>
            </w:tcBorders>
            <w:shd w:val="clear" w:color="auto" w:fill="DBE5F1"/>
            <w:vAlign w:val="bottom"/>
          </w:tcPr>
          <w:p w14:paraId="5F4123D4"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broj izolata 8</w:t>
            </w:r>
          </w:p>
        </w:tc>
        <w:tc>
          <w:tcPr>
            <w:tcW w:w="1547" w:type="dxa"/>
            <w:tcBorders>
              <w:top w:val="single" w:sz="4" w:space="0" w:color="auto"/>
              <w:left w:val="single" w:sz="4" w:space="0" w:color="auto"/>
              <w:bottom w:val="nil"/>
              <w:right w:val="nil"/>
            </w:tcBorders>
            <w:shd w:val="clear" w:color="auto" w:fill="DBE5F1"/>
            <w:vAlign w:val="bottom"/>
          </w:tcPr>
          <w:p w14:paraId="61087672"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broj izolata 7</w:t>
            </w:r>
          </w:p>
        </w:tc>
        <w:tc>
          <w:tcPr>
            <w:tcW w:w="1503" w:type="dxa"/>
            <w:tcBorders>
              <w:top w:val="single" w:sz="4" w:space="0" w:color="auto"/>
              <w:left w:val="single" w:sz="4" w:space="0" w:color="auto"/>
              <w:bottom w:val="nil"/>
              <w:right w:val="single" w:sz="4" w:space="0" w:color="auto"/>
            </w:tcBorders>
            <w:shd w:val="clear" w:color="auto" w:fill="DBE5F1"/>
            <w:vAlign w:val="bottom"/>
          </w:tcPr>
          <w:p w14:paraId="1CB4EBFA"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broj izolata 3</w:t>
            </w:r>
          </w:p>
        </w:tc>
      </w:tr>
      <w:tr w:rsidR="005F768B" w:rsidRPr="00C65665" w14:paraId="35DB6013" w14:textId="77777777" w:rsidTr="00CC2905">
        <w:tblPrEx>
          <w:tblBorders>
            <w:top w:val="none" w:sz="0" w:space="0" w:color="auto"/>
          </w:tblBorders>
          <w:tblCellMar>
            <w:left w:w="0" w:type="dxa"/>
            <w:right w:w="0" w:type="dxa"/>
          </w:tblCellMar>
        </w:tblPrEx>
        <w:trPr>
          <w:trHeight w:val="620"/>
        </w:trPr>
        <w:tc>
          <w:tcPr>
            <w:tcW w:w="1753" w:type="dxa"/>
            <w:tcBorders>
              <w:top w:val="single" w:sz="4" w:space="0" w:color="auto"/>
              <w:left w:val="single" w:sz="4" w:space="0" w:color="auto"/>
              <w:bottom w:val="nil"/>
              <w:right w:val="nil"/>
            </w:tcBorders>
            <w:shd w:val="clear" w:color="auto" w:fill="E5DFEC"/>
            <w:vAlign w:val="bottom"/>
          </w:tcPr>
          <w:p w14:paraId="60974914"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Amoksicillin</w:t>
            </w:r>
          </w:p>
          <w:p w14:paraId="26DB7901"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Klavulonska</w:t>
            </w:r>
          </w:p>
          <w:p w14:paraId="4CBDF50D"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kiselina</w:t>
            </w:r>
          </w:p>
        </w:tc>
        <w:tc>
          <w:tcPr>
            <w:tcW w:w="1634" w:type="dxa"/>
            <w:tcBorders>
              <w:top w:val="single" w:sz="4" w:space="0" w:color="auto"/>
              <w:left w:val="single" w:sz="4" w:space="0" w:color="auto"/>
              <w:bottom w:val="nil"/>
              <w:right w:val="nil"/>
            </w:tcBorders>
            <w:shd w:val="clear" w:color="auto" w:fill="E5DFEC"/>
          </w:tcPr>
          <w:p w14:paraId="2E6EDDD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S(10), R(45)</w:t>
            </w:r>
          </w:p>
        </w:tc>
        <w:tc>
          <w:tcPr>
            <w:tcW w:w="1465" w:type="dxa"/>
            <w:tcBorders>
              <w:top w:val="single" w:sz="4" w:space="0" w:color="auto"/>
              <w:left w:val="single" w:sz="4" w:space="0" w:color="auto"/>
              <w:bottom w:val="nil"/>
              <w:right w:val="nil"/>
            </w:tcBorders>
            <w:shd w:val="clear" w:color="auto" w:fill="E5DFEC"/>
          </w:tcPr>
          <w:p w14:paraId="6E40A2EB"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S(1),R(7)</w:t>
            </w:r>
          </w:p>
        </w:tc>
        <w:tc>
          <w:tcPr>
            <w:tcW w:w="1547" w:type="dxa"/>
            <w:tcBorders>
              <w:top w:val="single" w:sz="4" w:space="0" w:color="auto"/>
              <w:left w:val="single" w:sz="4" w:space="0" w:color="auto"/>
              <w:bottom w:val="nil"/>
              <w:right w:val="nil"/>
            </w:tcBorders>
            <w:shd w:val="clear" w:color="auto" w:fill="E5DFEC"/>
          </w:tcPr>
          <w:p w14:paraId="40B7053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S(2),R(5)</w:t>
            </w:r>
          </w:p>
        </w:tc>
        <w:tc>
          <w:tcPr>
            <w:tcW w:w="1503" w:type="dxa"/>
            <w:tcBorders>
              <w:top w:val="single" w:sz="4" w:space="0" w:color="auto"/>
              <w:left w:val="single" w:sz="4" w:space="0" w:color="auto"/>
              <w:bottom w:val="nil"/>
              <w:right w:val="single" w:sz="4" w:space="0" w:color="auto"/>
            </w:tcBorders>
            <w:shd w:val="clear" w:color="auto" w:fill="E5DFEC"/>
          </w:tcPr>
          <w:p w14:paraId="484FBB90"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S(0),R(3)</w:t>
            </w:r>
          </w:p>
        </w:tc>
      </w:tr>
      <w:tr w:rsidR="005F768B" w:rsidRPr="00C65665" w14:paraId="635B1713" w14:textId="77777777" w:rsidTr="00CC2905">
        <w:tblPrEx>
          <w:tblBorders>
            <w:top w:val="none" w:sz="0" w:space="0" w:color="auto"/>
          </w:tblBorders>
          <w:tblCellMar>
            <w:left w:w="0" w:type="dxa"/>
            <w:right w:w="0" w:type="dxa"/>
          </w:tblCellMar>
        </w:tblPrEx>
        <w:trPr>
          <w:trHeight w:val="212"/>
        </w:trPr>
        <w:tc>
          <w:tcPr>
            <w:tcW w:w="1753" w:type="dxa"/>
            <w:tcBorders>
              <w:top w:val="single" w:sz="4" w:space="0" w:color="auto"/>
              <w:left w:val="single" w:sz="4" w:space="0" w:color="auto"/>
              <w:bottom w:val="nil"/>
              <w:right w:val="nil"/>
            </w:tcBorders>
            <w:shd w:val="clear" w:color="auto" w:fill="E5DFEC"/>
            <w:vAlign w:val="bottom"/>
          </w:tcPr>
          <w:p w14:paraId="3C018DCC"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lastRenderedPageBreak/>
              <w:t>Cefuroxim</w:t>
            </w:r>
          </w:p>
        </w:tc>
        <w:tc>
          <w:tcPr>
            <w:tcW w:w="1634" w:type="dxa"/>
            <w:tcBorders>
              <w:top w:val="single" w:sz="4" w:space="0" w:color="auto"/>
              <w:left w:val="single" w:sz="4" w:space="0" w:color="auto"/>
              <w:bottom w:val="nil"/>
              <w:right w:val="nil"/>
            </w:tcBorders>
            <w:shd w:val="clear" w:color="auto" w:fill="E5DFEC"/>
            <w:vAlign w:val="bottom"/>
          </w:tcPr>
          <w:p w14:paraId="22A99D3C"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S(11),R(44)</w:t>
            </w:r>
          </w:p>
        </w:tc>
        <w:tc>
          <w:tcPr>
            <w:tcW w:w="1465" w:type="dxa"/>
            <w:tcBorders>
              <w:top w:val="single" w:sz="4" w:space="0" w:color="auto"/>
              <w:left w:val="single" w:sz="4" w:space="0" w:color="auto"/>
              <w:bottom w:val="nil"/>
              <w:right w:val="nil"/>
            </w:tcBorders>
            <w:shd w:val="clear" w:color="auto" w:fill="E5DFEC"/>
            <w:vAlign w:val="bottom"/>
          </w:tcPr>
          <w:p w14:paraId="6001BD45"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S(0),R(8)</w:t>
            </w:r>
          </w:p>
        </w:tc>
        <w:tc>
          <w:tcPr>
            <w:tcW w:w="1547" w:type="dxa"/>
            <w:tcBorders>
              <w:top w:val="single" w:sz="4" w:space="0" w:color="auto"/>
              <w:left w:val="single" w:sz="4" w:space="0" w:color="auto"/>
              <w:bottom w:val="nil"/>
              <w:right w:val="nil"/>
            </w:tcBorders>
            <w:shd w:val="clear" w:color="auto" w:fill="E5DFEC"/>
            <w:vAlign w:val="bottom"/>
          </w:tcPr>
          <w:p w14:paraId="3DC6DBEE"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S(2),R(5)</w:t>
            </w:r>
          </w:p>
        </w:tc>
        <w:tc>
          <w:tcPr>
            <w:tcW w:w="1503" w:type="dxa"/>
            <w:tcBorders>
              <w:top w:val="single" w:sz="4" w:space="0" w:color="auto"/>
              <w:left w:val="single" w:sz="4" w:space="0" w:color="auto"/>
              <w:bottom w:val="nil"/>
              <w:right w:val="single" w:sz="4" w:space="0" w:color="auto"/>
            </w:tcBorders>
            <w:shd w:val="clear" w:color="auto" w:fill="E5DFEC"/>
            <w:vAlign w:val="bottom"/>
          </w:tcPr>
          <w:p w14:paraId="10F00777"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S(0),R(3)</w:t>
            </w:r>
          </w:p>
        </w:tc>
      </w:tr>
      <w:tr w:rsidR="005F768B" w:rsidRPr="00C65665" w14:paraId="7B69CBDE" w14:textId="77777777" w:rsidTr="00CC2905">
        <w:tblPrEx>
          <w:tblBorders>
            <w:top w:val="none" w:sz="0" w:space="0" w:color="auto"/>
          </w:tblBorders>
          <w:tblCellMar>
            <w:left w:w="0" w:type="dxa"/>
            <w:right w:w="0" w:type="dxa"/>
          </w:tblCellMar>
        </w:tblPrEx>
        <w:trPr>
          <w:trHeight w:val="212"/>
        </w:trPr>
        <w:tc>
          <w:tcPr>
            <w:tcW w:w="1753" w:type="dxa"/>
            <w:tcBorders>
              <w:top w:val="single" w:sz="4" w:space="0" w:color="auto"/>
              <w:left w:val="single" w:sz="4" w:space="0" w:color="auto"/>
              <w:bottom w:val="nil"/>
              <w:right w:val="nil"/>
            </w:tcBorders>
            <w:shd w:val="clear" w:color="auto" w:fill="E5DFEC"/>
            <w:vAlign w:val="bottom"/>
          </w:tcPr>
          <w:p w14:paraId="3891329B"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Cefataxim</w:t>
            </w:r>
          </w:p>
        </w:tc>
        <w:tc>
          <w:tcPr>
            <w:tcW w:w="1634" w:type="dxa"/>
            <w:tcBorders>
              <w:top w:val="single" w:sz="4" w:space="0" w:color="auto"/>
              <w:left w:val="single" w:sz="4" w:space="0" w:color="auto"/>
              <w:bottom w:val="nil"/>
              <w:right w:val="nil"/>
            </w:tcBorders>
            <w:shd w:val="clear" w:color="auto" w:fill="E5DFEC"/>
            <w:vAlign w:val="bottom"/>
          </w:tcPr>
          <w:p w14:paraId="354F4411"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S(11),R(44)</w:t>
            </w:r>
          </w:p>
        </w:tc>
        <w:tc>
          <w:tcPr>
            <w:tcW w:w="1465" w:type="dxa"/>
            <w:tcBorders>
              <w:top w:val="single" w:sz="4" w:space="0" w:color="auto"/>
              <w:left w:val="single" w:sz="4" w:space="0" w:color="auto"/>
              <w:bottom w:val="nil"/>
              <w:right w:val="nil"/>
            </w:tcBorders>
            <w:shd w:val="clear" w:color="auto" w:fill="E5DFEC"/>
            <w:vAlign w:val="bottom"/>
          </w:tcPr>
          <w:p w14:paraId="3CF31F4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S(0),R(8)</w:t>
            </w:r>
          </w:p>
        </w:tc>
        <w:tc>
          <w:tcPr>
            <w:tcW w:w="1547" w:type="dxa"/>
            <w:tcBorders>
              <w:top w:val="single" w:sz="4" w:space="0" w:color="auto"/>
              <w:left w:val="single" w:sz="4" w:space="0" w:color="auto"/>
              <w:bottom w:val="nil"/>
              <w:right w:val="nil"/>
            </w:tcBorders>
            <w:shd w:val="clear" w:color="auto" w:fill="E5DFEC"/>
            <w:vAlign w:val="bottom"/>
          </w:tcPr>
          <w:p w14:paraId="56031412"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S(2),R(5)</w:t>
            </w:r>
          </w:p>
        </w:tc>
        <w:tc>
          <w:tcPr>
            <w:tcW w:w="1503" w:type="dxa"/>
            <w:tcBorders>
              <w:top w:val="single" w:sz="4" w:space="0" w:color="auto"/>
              <w:left w:val="single" w:sz="4" w:space="0" w:color="auto"/>
              <w:bottom w:val="nil"/>
              <w:right w:val="single" w:sz="4" w:space="0" w:color="auto"/>
            </w:tcBorders>
            <w:shd w:val="clear" w:color="auto" w:fill="E5DFEC"/>
            <w:vAlign w:val="bottom"/>
          </w:tcPr>
          <w:p w14:paraId="4F25E25C"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S(0),R(3)</w:t>
            </w:r>
          </w:p>
        </w:tc>
      </w:tr>
      <w:tr w:rsidR="005F768B" w:rsidRPr="00C65665" w14:paraId="222B34D1" w14:textId="77777777" w:rsidTr="00CC2905">
        <w:tblPrEx>
          <w:tblBorders>
            <w:top w:val="none" w:sz="0" w:space="0" w:color="auto"/>
          </w:tblBorders>
          <w:tblCellMar>
            <w:left w:w="0" w:type="dxa"/>
            <w:right w:w="0" w:type="dxa"/>
          </w:tblCellMar>
        </w:tblPrEx>
        <w:trPr>
          <w:trHeight w:val="206"/>
        </w:trPr>
        <w:tc>
          <w:tcPr>
            <w:tcW w:w="1753" w:type="dxa"/>
            <w:tcBorders>
              <w:top w:val="single" w:sz="4" w:space="0" w:color="auto"/>
              <w:left w:val="single" w:sz="4" w:space="0" w:color="auto"/>
              <w:bottom w:val="nil"/>
              <w:right w:val="nil"/>
            </w:tcBorders>
            <w:shd w:val="clear" w:color="auto" w:fill="E5DFEC"/>
            <w:vAlign w:val="bottom"/>
          </w:tcPr>
          <w:p w14:paraId="24BF0BCC"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Ceftiaxon</w:t>
            </w:r>
          </w:p>
        </w:tc>
        <w:tc>
          <w:tcPr>
            <w:tcW w:w="1634" w:type="dxa"/>
            <w:tcBorders>
              <w:top w:val="single" w:sz="4" w:space="0" w:color="auto"/>
              <w:left w:val="single" w:sz="4" w:space="0" w:color="auto"/>
              <w:bottom w:val="nil"/>
              <w:right w:val="nil"/>
            </w:tcBorders>
            <w:shd w:val="clear" w:color="auto" w:fill="E5DFEC"/>
            <w:vAlign w:val="bottom"/>
          </w:tcPr>
          <w:p w14:paraId="5034463C"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S(11),R(44)</w:t>
            </w:r>
          </w:p>
        </w:tc>
        <w:tc>
          <w:tcPr>
            <w:tcW w:w="1465" w:type="dxa"/>
            <w:tcBorders>
              <w:top w:val="single" w:sz="4" w:space="0" w:color="auto"/>
              <w:left w:val="single" w:sz="4" w:space="0" w:color="auto"/>
              <w:bottom w:val="nil"/>
              <w:right w:val="nil"/>
            </w:tcBorders>
            <w:shd w:val="clear" w:color="auto" w:fill="E5DFEC"/>
            <w:vAlign w:val="bottom"/>
          </w:tcPr>
          <w:p w14:paraId="00773D5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S(0),R(8)</w:t>
            </w:r>
          </w:p>
        </w:tc>
        <w:tc>
          <w:tcPr>
            <w:tcW w:w="1547" w:type="dxa"/>
            <w:tcBorders>
              <w:top w:val="single" w:sz="4" w:space="0" w:color="auto"/>
              <w:left w:val="single" w:sz="4" w:space="0" w:color="auto"/>
              <w:bottom w:val="nil"/>
              <w:right w:val="nil"/>
            </w:tcBorders>
            <w:shd w:val="clear" w:color="auto" w:fill="E5DFEC"/>
            <w:vAlign w:val="bottom"/>
          </w:tcPr>
          <w:p w14:paraId="79783E3D"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S(2),R(5)</w:t>
            </w:r>
          </w:p>
        </w:tc>
        <w:tc>
          <w:tcPr>
            <w:tcW w:w="1503" w:type="dxa"/>
            <w:tcBorders>
              <w:top w:val="single" w:sz="4" w:space="0" w:color="auto"/>
              <w:left w:val="single" w:sz="4" w:space="0" w:color="auto"/>
              <w:bottom w:val="nil"/>
              <w:right w:val="single" w:sz="4" w:space="0" w:color="auto"/>
            </w:tcBorders>
            <w:shd w:val="clear" w:color="auto" w:fill="E5DFEC"/>
            <w:vAlign w:val="bottom"/>
          </w:tcPr>
          <w:p w14:paraId="14F8A6FF"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S(0),R(3)</w:t>
            </w:r>
          </w:p>
        </w:tc>
      </w:tr>
      <w:tr w:rsidR="005F768B" w:rsidRPr="00C65665" w14:paraId="3E6F5C7C" w14:textId="77777777" w:rsidTr="00CC2905">
        <w:tblPrEx>
          <w:tblBorders>
            <w:top w:val="none" w:sz="0" w:space="0" w:color="auto"/>
          </w:tblBorders>
          <w:tblCellMar>
            <w:left w:w="0" w:type="dxa"/>
            <w:right w:w="0" w:type="dxa"/>
          </w:tblCellMar>
        </w:tblPrEx>
        <w:trPr>
          <w:trHeight w:val="206"/>
        </w:trPr>
        <w:tc>
          <w:tcPr>
            <w:tcW w:w="1753" w:type="dxa"/>
            <w:tcBorders>
              <w:top w:val="single" w:sz="4" w:space="0" w:color="auto"/>
              <w:left w:val="single" w:sz="4" w:space="0" w:color="auto"/>
              <w:bottom w:val="nil"/>
              <w:right w:val="nil"/>
            </w:tcBorders>
            <w:shd w:val="clear" w:color="auto" w:fill="E5DFEC"/>
            <w:vAlign w:val="bottom"/>
          </w:tcPr>
          <w:p w14:paraId="6E9607E5"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Ciprofloxacin</w:t>
            </w:r>
          </w:p>
        </w:tc>
        <w:tc>
          <w:tcPr>
            <w:tcW w:w="1634" w:type="dxa"/>
            <w:tcBorders>
              <w:top w:val="single" w:sz="4" w:space="0" w:color="auto"/>
              <w:left w:val="single" w:sz="4" w:space="0" w:color="auto"/>
              <w:bottom w:val="nil"/>
              <w:right w:val="nil"/>
            </w:tcBorders>
            <w:shd w:val="clear" w:color="auto" w:fill="E5DFEC"/>
            <w:vAlign w:val="bottom"/>
          </w:tcPr>
          <w:p w14:paraId="0CB9D175"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S(9),R(34),I(1)</w:t>
            </w:r>
          </w:p>
        </w:tc>
        <w:tc>
          <w:tcPr>
            <w:tcW w:w="1465" w:type="dxa"/>
            <w:tcBorders>
              <w:top w:val="single" w:sz="4" w:space="0" w:color="auto"/>
              <w:left w:val="single" w:sz="4" w:space="0" w:color="auto"/>
              <w:bottom w:val="nil"/>
              <w:right w:val="nil"/>
            </w:tcBorders>
            <w:shd w:val="clear" w:color="auto" w:fill="E5DFEC"/>
            <w:vAlign w:val="bottom"/>
          </w:tcPr>
          <w:p w14:paraId="4FA53352"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S(1),R(2)</w:t>
            </w:r>
          </w:p>
        </w:tc>
        <w:tc>
          <w:tcPr>
            <w:tcW w:w="1547" w:type="dxa"/>
            <w:tcBorders>
              <w:top w:val="single" w:sz="4" w:space="0" w:color="auto"/>
              <w:left w:val="single" w:sz="4" w:space="0" w:color="auto"/>
              <w:bottom w:val="nil"/>
              <w:right w:val="nil"/>
            </w:tcBorders>
            <w:shd w:val="clear" w:color="auto" w:fill="E5DFEC"/>
            <w:vAlign w:val="bottom"/>
          </w:tcPr>
          <w:p w14:paraId="0FAEA50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S(2),R(5)</w:t>
            </w:r>
          </w:p>
        </w:tc>
        <w:tc>
          <w:tcPr>
            <w:tcW w:w="1503" w:type="dxa"/>
            <w:tcBorders>
              <w:top w:val="single" w:sz="4" w:space="0" w:color="auto"/>
              <w:left w:val="single" w:sz="4" w:space="0" w:color="auto"/>
              <w:bottom w:val="nil"/>
              <w:right w:val="single" w:sz="4" w:space="0" w:color="auto"/>
            </w:tcBorders>
            <w:shd w:val="clear" w:color="auto" w:fill="E5DFEC"/>
            <w:vAlign w:val="bottom"/>
          </w:tcPr>
          <w:p w14:paraId="39FD1DDC"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S(0),R(3)</w:t>
            </w:r>
          </w:p>
        </w:tc>
      </w:tr>
      <w:tr w:rsidR="005F768B" w:rsidRPr="00C65665" w14:paraId="170CA93D" w14:textId="77777777" w:rsidTr="00CC2905">
        <w:tblPrEx>
          <w:tblBorders>
            <w:top w:val="none" w:sz="0" w:space="0" w:color="auto"/>
          </w:tblBorders>
          <w:tblCellMar>
            <w:left w:w="0" w:type="dxa"/>
            <w:right w:w="0" w:type="dxa"/>
          </w:tblCellMar>
        </w:tblPrEx>
        <w:trPr>
          <w:trHeight w:val="419"/>
        </w:trPr>
        <w:tc>
          <w:tcPr>
            <w:tcW w:w="1753" w:type="dxa"/>
            <w:tcBorders>
              <w:top w:val="single" w:sz="4" w:space="0" w:color="auto"/>
              <w:left w:val="single" w:sz="4" w:space="0" w:color="auto"/>
              <w:bottom w:val="nil"/>
              <w:right w:val="nil"/>
            </w:tcBorders>
            <w:shd w:val="clear" w:color="auto" w:fill="E5DFEC"/>
          </w:tcPr>
          <w:p w14:paraId="513BD989"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Trimethoprim/</w:t>
            </w:r>
          </w:p>
          <w:p w14:paraId="00154A78"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sulfamethoxazole</w:t>
            </w:r>
          </w:p>
        </w:tc>
        <w:tc>
          <w:tcPr>
            <w:tcW w:w="1634" w:type="dxa"/>
            <w:tcBorders>
              <w:top w:val="single" w:sz="4" w:space="0" w:color="auto"/>
              <w:left w:val="single" w:sz="4" w:space="0" w:color="auto"/>
              <w:bottom w:val="nil"/>
              <w:right w:val="nil"/>
            </w:tcBorders>
            <w:shd w:val="clear" w:color="auto" w:fill="E5DFEC"/>
          </w:tcPr>
          <w:p w14:paraId="4BD68E12"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S(19),R(31),I(2)</w:t>
            </w:r>
          </w:p>
        </w:tc>
        <w:tc>
          <w:tcPr>
            <w:tcW w:w="1465" w:type="dxa"/>
            <w:tcBorders>
              <w:top w:val="single" w:sz="4" w:space="0" w:color="auto"/>
              <w:left w:val="single" w:sz="4" w:space="0" w:color="auto"/>
              <w:bottom w:val="nil"/>
              <w:right w:val="nil"/>
            </w:tcBorders>
            <w:shd w:val="clear" w:color="auto" w:fill="E5DFEC"/>
          </w:tcPr>
          <w:p w14:paraId="01153664"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S(0),R(3)</w:t>
            </w:r>
          </w:p>
        </w:tc>
        <w:tc>
          <w:tcPr>
            <w:tcW w:w="1547" w:type="dxa"/>
            <w:tcBorders>
              <w:top w:val="single" w:sz="4" w:space="0" w:color="auto"/>
              <w:left w:val="single" w:sz="4" w:space="0" w:color="auto"/>
              <w:bottom w:val="nil"/>
              <w:right w:val="nil"/>
            </w:tcBorders>
            <w:shd w:val="clear" w:color="auto" w:fill="E5DFEC"/>
          </w:tcPr>
          <w:p w14:paraId="25D44005"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S(6),R(1)</w:t>
            </w:r>
          </w:p>
        </w:tc>
        <w:tc>
          <w:tcPr>
            <w:tcW w:w="1503" w:type="dxa"/>
            <w:tcBorders>
              <w:top w:val="single" w:sz="4" w:space="0" w:color="auto"/>
              <w:left w:val="single" w:sz="4" w:space="0" w:color="auto"/>
              <w:bottom w:val="nil"/>
              <w:right w:val="single" w:sz="4" w:space="0" w:color="auto"/>
            </w:tcBorders>
            <w:shd w:val="clear" w:color="auto" w:fill="E5DFEC"/>
          </w:tcPr>
          <w:p w14:paraId="5AA8C14E"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S(2),R(0)</w:t>
            </w:r>
          </w:p>
        </w:tc>
      </w:tr>
      <w:tr w:rsidR="005F768B" w:rsidRPr="00C65665" w14:paraId="4732B157" w14:textId="77777777" w:rsidTr="00CC2905">
        <w:tblPrEx>
          <w:tblBorders>
            <w:top w:val="none" w:sz="0" w:space="0" w:color="auto"/>
          </w:tblBorders>
          <w:tblCellMar>
            <w:left w:w="0" w:type="dxa"/>
            <w:right w:w="0" w:type="dxa"/>
          </w:tblCellMar>
        </w:tblPrEx>
        <w:trPr>
          <w:trHeight w:val="206"/>
        </w:trPr>
        <w:tc>
          <w:tcPr>
            <w:tcW w:w="1753" w:type="dxa"/>
            <w:tcBorders>
              <w:top w:val="single" w:sz="4" w:space="0" w:color="auto"/>
              <w:left w:val="single" w:sz="4" w:space="0" w:color="auto"/>
              <w:bottom w:val="nil"/>
              <w:right w:val="nil"/>
            </w:tcBorders>
            <w:shd w:val="clear" w:color="auto" w:fill="E5DFEC"/>
            <w:vAlign w:val="bottom"/>
          </w:tcPr>
          <w:p w14:paraId="5BC54780"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Gentamicin</w:t>
            </w:r>
          </w:p>
        </w:tc>
        <w:tc>
          <w:tcPr>
            <w:tcW w:w="1634" w:type="dxa"/>
            <w:tcBorders>
              <w:top w:val="single" w:sz="4" w:space="0" w:color="auto"/>
              <w:left w:val="single" w:sz="4" w:space="0" w:color="auto"/>
              <w:bottom w:val="nil"/>
              <w:right w:val="nil"/>
            </w:tcBorders>
            <w:shd w:val="clear" w:color="auto" w:fill="E5DFEC"/>
            <w:vAlign w:val="bottom"/>
          </w:tcPr>
          <w:p w14:paraId="3A54D82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S(16),R(31),I(1)</w:t>
            </w:r>
          </w:p>
        </w:tc>
        <w:tc>
          <w:tcPr>
            <w:tcW w:w="1465" w:type="dxa"/>
            <w:tcBorders>
              <w:top w:val="single" w:sz="4" w:space="0" w:color="auto"/>
              <w:left w:val="single" w:sz="4" w:space="0" w:color="auto"/>
              <w:bottom w:val="nil"/>
              <w:right w:val="nil"/>
            </w:tcBorders>
            <w:shd w:val="clear" w:color="auto" w:fill="E5DFEC"/>
            <w:vAlign w:val="bottom"/>
          </w:tcPr>
          <w:p w14:paraId="63F47A00"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c>
          <w:tcPr>
            <w:tcW w:w="1547" w:type="dxa"/>
            <w:tcBorders>
              <w:top w:val="single" w:sz="4" w:space="0" w:color="auto"/>
              <w:left w:val="single" w:sz="4" w:space="0" w:color="auto"/>
              <w:bottom w:val="nil"/>
              <w:right w:val="nil"/>
            </w:tcBorders>
            <w:shd w:val="clear" w:color="auto" w:fill="E5DFEC"/>
            <w:vAlign w:val="bottom"/>
          </w:tcPr>
          <w:p w14:paraId="34F93030"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S(2),R(4)</w:t>
            </w:r>
          </w:p>
        </w:tc>
        <w:tc>
          <w:tcPr>
            <w:tcW w:w="1503" w:type="dxa"/>
            <w:tcBorders>
              <w:top w:val="single" w:sz="4" w:space="0" w:color="auto"/>
              <w:left w:val="single" w:sz="4" w:space="0" w:color="auto"/>
              <w:bottom w:val="nil"/>
              <w:right w:val="single" w:sz="4" w:space="0" w:color="auto"/>
            </w:tcBorders>
            <w:shd w:val="clear" w:color="auto" w:fill="E5DFEC"/>
            <w:vAlign w:val="bottom"/>
          </w:tcPr>
          <w:p w14:paraId="56BA614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S(0),R(1)</w:t>
            </w:r>
          </w:p>
        </w:tc>
      </w:tr>
      <w:tr w:rsidR="005F768B" w:rsidRPr="00C65665" w14:paraId="4AD41F1E" w14:textId="77777777" w:rsidTr="00CC2905">
        <w:tblPrEx>
          <w:tblBorders>
            <w:top w:val="none" w:sz="0" w:space="0" w:color="auto"/>
          </w:tblBorders>
          <w:tblCellMar>
            <w:left w:w="0" w:type="dxa"/>
            <w:right w:w="0" w:type="dxa"/>
          </w:tblCellMar>
        </w:tblPrEx>
        <w:trPr>
          <w:trHeight w:val="206"/>
        </w:trPr>
        <w:tc>
          <w:tcPr>
            <w:tcW w:w="1753" w:type="dxa"/>
            <w:tcBorders>
              <w:top w:val="single" w:sz="4" w:space="0" w:color="auto"/>
              <w:left w:val="single" w:sz="4" w:space="0" w:color="auto"/>
              <w:bottom w:val="nil"/>
              <w:right w:val="nil"/>
            </w:tcBorders>
            <w:shd w:val="clear" w:color="auto" w:fill="E5DFEC"/>
            <w:vAlign w:val="bottom"/>
          </w:tcPr>
          <w:p w14:paraId="7ECA3A8E"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Vancomycin</w:t>
            </w:r>
          </w:p>
        </w:tc>
        <w:tc>
          <w:tcPr>
            <w:tcW w:w="1634" w:type="dxa"/>
            <w:tcBorders>
              <w:top w:val="single" w:sz="4" w:space="0" w:color="auto"/>
              <w:left w:val="single" w:sz="4" w:space="0" w:color="auto"/>
              <w:bottom w:val="nil"/>
              <w:right w:val="nil"/>
            </w:tcBorders>
            <w:shd w:val="clear" w:color="auto" w:fill="E5DFEC"/>
            <w:vAlign w:val="bottom"/>
          </w:tcPr>
          <w:p w14:paraId="2F3565A1"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S(52),R(0)</w:t>
            </w:r>
          </w:p>
        </w:tc>
        <w:tc>
          <w:tcPr>
            <w:tcW w:w="1465" w:type="dxa"/>
            <w:tcBorders>
              <w:top w:val="single" w:sz="4" w:space="0" w:color="auto"/>
              <w:left w:val="single" w:sz="4" w:space="0" w:color="auto"/>
              <w:bottom w:val="nil"/>
              <w:right w:val="nil"/>
            </w:tcBorders>
            <w:shd w:val="clear" w:color="auto" w:fill="E5DFEC"/>
            <w:vAlign w:val="bottom"/>
          </w:tcPr>
          <w:p w14:paraId="2E8897B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S(6),R(2)</w:t>
            </w:r>
          </w:p>
        </w:tc>
        <w:tc>
          <w:tcPr>
            <w:tcW w:w="1547" w:type="dxa"/>
            <w:tcBorders>
              <w:top w:val="single" w:sz="4" w:space="0" w:color="auto"/>
              <w:left w:val="single" w:sz="4" w:space="0" w:color="auto"/>
              <w:bottom w:val="nil"/>
              <w:right w:val="nil"/>
            </w:tcBorders>
            <w:shd w:val="clear" w:color="auto" w:fill="E5DFEC"/>
            <w:vAlign w:val="bottom"/>
          </w:tcPr>
          <w:p w14:paraId="49306912"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S(7),R(0)</w:t>
            </w:r>
          </w:p>
        </w:tc>
        <w:tc>
          <w:tcPr>
            <w:tcW w:w="1503" w:type="dxa"/>
            <w:tcBorders>
              <w:top w:val="single" w:sz="4" w:space="0" w:color="auto"/>
              <w:left w:val="single" w:sz="4" w:space="0" w:color="auto"/>
              <w:bottom w:val="nil"/>
              <w:right w:val="single" w:sz="4" w:space="0" w:color="auto"/>
            </w:tcBorders>
            <w:shd w:val="clear" w:color="auto" w:fill="E5DFEC"/>
            <w:vAlign w:val="bottom"/>
          </w:tcPr>
          <w:p w14:paraId="613BB679"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S(3),R(0)</w:t>
            </w:r>
          </w:p>
        </w:tc>
      </w:tr>
      <w:tr w:rsidR="005F768B" w:rsidRPr="00C65665" w14:paraId="57830206" w14:textId="77777777" w:rsidTr="00CC2905">
        <w:tblPrEx>
          <w:tblBorders>
            <w:top w:val="none" w:sz="0" w:space="0" w:color="auto"/>
          </w:tblBorders>
          <w:tblCellMar>
            <w:left w:w="0" w:type="dxa"/>
            <w:right w:w="0" w:type="dxa"/>
          </w:tblCellMar>
        </w:tblPrEx>
        <w:trPr>
          <w:trHeight w:val="232"/>
        </w:trPr>
        <w:tc>
          <w:tcPr>
            <w:tcW w:w="1753" w:type="dxa"/>
            <w:tcBorders>
              <w:top w:val="single" w:sz="4" w:space="0" w:color="auto"/>
              <w:left w:val="single" w:sz="4" w:space="0" w:color="auto"/>
              <w:bottom w:val="single" w:sz="4" w:space="0" w:color="auto"/>
              <w:right w:val="nil"/>
            </w:tcBorders>
            <w:shd w:val="clear" w:color="auto" w:fill="E5DFEC"/>
            <w:vAlign w:val="bottom"/>
          </w:tcPr>
          <w:p w14:paraId="46BA8F99"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Erythromycin</w:t>
            </w:r>
          </w:p>
        </w:tc>
        <w:tc>
          <w:tcPr>
            <w:tcW w:w="1634" w:type="dxa"/>
            <w:tcBorders>
              <w:top w:val="single" w:sz="4" w:space="0" w:color="auto"/>
              <w:left w:val="single" w:sz="4" w:space="0" w:color="auto"/>
              <w:bottom w:val="single" w:sz="4" w:space="0" w:color="auto"/>
              <w:right w:val="nil"/>
            </w:tcBorders>
            <w:shd w:val="clear" w:color="auto" w:fill="E5DFEC"/>
            <w:vAlign w:val="bottom"/>
          </w:tcPr>
          <w:p w14:paraId="7E23C848"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S(7),R(48)</w:t>
            </w:r>
          </w:p>
        </w:tc>
        <w:tc>
          <w:tcPr>
            <w:tcW w:w="1465" w:type="dxa"/>
            <w:tcBorders>
              <w:top w:val="single" w:sz="4" w:space="0" w:color="auto"/>
              <w:left w:val="single" w:sz="4" w:space="0" w:color="auto"/>
              <w:bottom w:val="single" w:sz="4" w:space="0" w:color="auto"/>
              <w:right w:val="nil"/>
            </w:tcBorders>
            <w:shd w:val="clear" w:color="auto" w:fill="E5DFEC"/>
            <w:vAlign w:val="bottom"/>
          </w:tcPr>
          <w:p w14:paraId="3DC75AFB"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S(0),R(7)</w:t>
            </w:r>
          </w:p>
        </w:tc>
        <w:tc>
          <w:tcPr>
            <w:tcW w:w="1547" w:type="dxa"/>
            <w:tcBorders>
              <w:top w:val="single" w:sz="4" w:space="0" w:color="auto"/>
              <w:left w:val="single" w:sz="4" w:space="0" w:color="auto"/>
              <w:bottom w:val="single" w:sz="4" w:space="0" w:color="auto"/>
              <w:right w:val="nil"/>
            </w:tcBorders>
            <w:shd w:val="clear" w:color="auto" w:fill="E5DFEC"/>
            <w:vAlign w:val="bottom"/>
          </w:tcPr>
          <w:p w14:paraId="23FA2D85"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S(2),R(5)</w:t>
            </w:r>
          </w:p>
        </w:tc>
        <w:tc>
          <w:tcPr>
            <w:tcW w:w="1503" w:type="dxa"/>
            <w:tcBorders>
              <w:top w:val="single" w:sz="4" w:space="0" w:color="auto"/>
              <w:left w:val="single" w:sz="4" w:space="0" w:color="auto"/>
              <w:bottom w:val="single" w:sz="4" w:space="0" w:color="auto"/>
              <w:right w:val="single" w:sz="4" w:space="0" w:color="auto"/>
            </w:tcBorders>
            <w:shd w:val="clear" w:color="auto" w:fill="E5DFEC"/>
            <w:vAlign w:val="bottom"/>
          </w:tcPr>
          <w:p w14:paraId="4FB11517"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S(0),R(2)</w:t>
            </w:r>
          </w:p>
        </w:tc>
      </w:tr>
    </w:tbl>
    <w:p w14:paraId="57F184E2" w14:textId="77777777" w:rsidR="005F768B" w:rsidRPr="00C65665" w:rsidRDefault="005F768B" w:rsidP="005F768B">
      <w:pPr>
        <w:spacing w:after="0" w:line="360" w:lineRule="auto"/>
        <w:rPr>
          <w:rFonts w:asciiTheme="majorBidi" w:hAnsiTheme="majorBidi" w:cstheme="majorBidi"/>
          <w:spacing w:val="4"/>
          <w:sz w:val="24"/>
          <w:szCs w:val="24"/>
        </w:rPr>
      </w:pPr>
    </w:p>
    <w:p w14:paraId="6783B0BC" w14:textId="77777777" w:rsidR="005F768B" w:rsidRPr="00C65665" w:rsidRDefault="005F768B" w:rsidP="005F768B">
      <w:pPr>
        <w:spacing w:after="0" w:line="360" w:lineRule="auto"/>
        <w:jc w:val="both"/>
        <w:rPr>
          <w:rFonts w:asciiTheme="majorBidi" w:eastAsia="Times New Roman" w:hAnsiTheme="majorBidi" w:cstheme="majorBidi"/>
          <w:spacing w:val="4"/>
          <w:sz w:val="24"/>
          <w:szCs w:val="24"/>
          <w:lang w:val="sr-Latn-CS" w:eastAsia="sr-Latn-BA"/>
        </w:rPr>
      </w:pPr>
    </w:p>
    <w:p w14:paraId="422005F2" w14:textId="77777777" w:rsidR="005F768B" w:rsidRPr="00C65665" w:rsidRDefault="005F768B" w:rsidP="005F768B">
      <w:pPr>
        <w:pStyle w:val="Caption"/>
        <w:keepNext/>
        <w:spacing w:after="0"/>
        <w:rPr>
          <w:rFonts w:asciiTheme="majorBidi" w:hAnsiTheme="majorBidi" w:cstheme="majorBidi"/>
          <w:color w:val="auto"/>
          <w:spacing w:val="4"/>
          <w:sz w:val="24"/>
          <w:szCs w:val="24"/>
        </w:rPr>
      </w:pPr>
      <w:bookmarkStart w:id="17" w:name="_Toc75694174"/>
      <w:bookmarkStart w:id="18" w:name="_Toc76321288"/>
      <w:r w:rsidRPr="00C65665">
        <w:rPr>
          <w:rFonts w:asciiTheme="majorBidi" w:hAnsiTheme="majorBidi" w:cstheme="majorBidi"/>
          <w:color w:val="auto"/>
          <w:spacing w:val="4"/>
          <w:sz w:val="24"/>
          <w:szCs w:val="24"/>
        </w:rPr>
        <w:t xml:space="preserve">Tabela 4. </w:t>
      </w:r>
      <w:r w:rsidRPr="00C65665">
        <w:rPr>
          <w:rFonts w:asciiTheme="majorBidi" w:eastAsia="Times New Roman" w:hAnsiTheme="majorBidi" w:cstheme="majorBidi"/>
          <w:bCs/>
          <w:color w:val="auto"/>
          <w:spacing w:val="4"/>
          <w:sz w:val="24"/>
          <w:szCs w:val="24"/>
          <w:lang w:val="sr-Latn-CS" w:eastAsia="sr-Latn-CS"/>
        </w:rPr>
        <w:t>Rezultati izolovanih bakterija i njihova rezistencija (u procentima) na antibiotike</w:t>
      </w:r>
      <w:bookmarkEnd w:id="17"/>
      <w:bookmarkEnd w:id="18"/>
    </w:p>
    <w:tbl>
      <w:tblPr>
        <w:tblW w:w="8733" w:type="dxa"/>
        <w:tblLook w:val="04A0" w:firstRow="1" w:lastRow="0" w:firstColumn="1" w:lastColumn="0" w:noHBand="0" w:noVBand="1"/>
      </w:tblPr>
      <w:tblGrid>
        <w:gridCol w:w="2060"/>
        <w:gridCol w:w="1768"/>
        <w:gridCol w:w="1557"/>
        <w:gridCol w:w="1765"/>
        <w:gridCol w:w="1640"/>
      </w:tblGrid>
      <w:tr w:rsidR="005F768B" w:rsidRPr="00C65665" w14:paraId="53D77D11" w14:textId="77777777" w:rsidTr="00CC2905">
        <w:trPr>
          <w:trHeight w:val="288"/>
        </w:trPr>
        <w:tc>
          <w:tcPr>
            <w:tcW w:w="2060" w:type="dxa"/>
            <w:tcBorders>
              <w:top w:val="nil"/>
              <w:left w:val="nil"/>
              <w:bottom w:val="nil"/>
              <w:right w:val="nil"/>
            </w:tcBorders>
            <w:shd w:val="clear" w:color="auto" w:fill="auto"/>
            <w:noWrap/>
            <w:vAlign w:val="bottom"/>
            <w:hideMark/>
          </w:tcPr>
          <w:p w14:paraId="6190F319"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p>
        </w:tc>
        <w:tc>
          <w:tcPr>
            <w:tcW w:w="6673" w:type="dxa"/>
            <w:gridSpan w:val="4"/>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10CAEC4A" w14:textId="77777777" w:rsidR="005F768B" w:rsidRPr="00C65665" w:rsidRDefault="005F768B" w:rsidP="00CC2905">
            <w:pPr>
              <w:spacing w:after="0" w:line="360" w:lineRule="auto"/>
              <w:jc w:val="center"/>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 rezistencije</w:t>
            </w:r>
          </w:p>
        </w:tc>
      </w:tr>
      <w:tr w:rsidR="005F768B" w:rsidRPr="00C65665" w14:paraId="78C8D413" w14:textId="77777777" w:rsidTr="00CC2905">
        <w:trPr>
          <w:trHeight w:val="1152"/>
        </w:trPr>
        <w:tc>
          <w:tcPr>
            <w:tcW w:w="2060" w:type="dxa"/>
            <w:tcBorders>
              <w:top w:val="nil"/>
              <w:left w:val="nil"/>
              <w:bottom w:val="nil"/>
              <w:right w:val="nil"/>
            </w:tcBorders>
            <w:shd w:val="clear" w:color="auto" w:fill="auto"/>
            <w:noWrap/>
            <w:vAlign w:val="bottom"/>
            <w:hideMark/>
          </w:tcPr>
          <w:p w14:paraId="0CE5D922" w14:textId="77777777" w:rsidR="005F768B" w:rsidRPr="00C65665" w:rsidRDefault="005F768B" w:rsidP="00CC2905">
            <w:pPr>
              <w:spacing w:after="0" w:line="360" w:lineRule="auto"/>
              <w:jc w:val="center"/>
              <w:rPr>
                <w:rFonts w:asciiTheme="majorBidi" w:eastAsia="Times New Roman" w:hAnsiTheme="majorBidi" w:cstheme="majorBidi"/>
                <w:spacing w:val="4"/>
                <w:sz w:val="24"/>
                <w:szCs w:val="24"/>
                <w:lang w:eastAsia="sr-Latn-BA"/>
              </w:rPr>
            </w:pPr>
          </w:p>
        </w:tc>
        <w:tc>
          <w:tcPr>
            <w:tcW w:w="1768" w:type="dxa"/>
            <w:tcBorders>
              <w:top w:val="nil"/>
              <w:left w:val="single" w:sz="4" w:space="0" w:color="auto"/>
              <w:bottom w:val="single" w:sz="4" w:space="0" w:color="auto"/>
              <w:right w:val="single" w:sz="4" w:space="0" w:color="auto"/>
            </w:tcBorders>
            <w:shd w:val="clear" w:color="000000" w:fill="FCE4D6"/>
            <w:vAlign w:val="center"/>
            <w:hideMark/>
          </w:tcPr>
          <w:p w14:paraId="68C7ACAA" w14:textId="77777777" w:rsidR="005F768B" w:rsidRPr="00C65665" w:rsidRDefault="005F768B" w:rsidP="00CC2905">
            <w:pPr>
              <w:spacing w:after="0" w:line="360" w:lineRule="auto"/>
              <w:rPr>
                <w:rFonts w:asciiTheme="majorBidi" w:eastAsia="Times New Roman" w:hAnsiTheme="majorBidi" w:cstheme="majorBidi"/>
                <w:i/>
                <w:iCs/>
                <w:spacing w:val="4"/>
                <w:sz w:val="24"/>
                <w:szCs w:val="24"/>
                <w:lang w:eastAsia="sr-Latn-BA"/>
              </w:rPr>
            </w:pPr>
            <w:r w:rsidRPr="00C65665">
              <w:rPr>
                <w:rFonts w:asciiTheme="majorBidi" w:eastAsia="Times New Roman" w:hAnsiTheme="majorBidi" w:cstheme="majorBidi"/>
                <w:i/>
                <w:iCs/>
                <w:spacing w:val="4"/>
                <w:sz w:val="24"/>
                <w:szCs w:val="24"/>
                <w:lang w:val="sr-Latn-RS" w:eastAsia="sr-Latn-BA"/>
              </w:rPr>
              <w:t xml:space="preserve">Staphylococcus </w:t>
            </w:r>
            <w:r w:rsidRPr="00C65665">
              <w:rPr>
                <w:rFonts w:asciiTheme="majorBidi" w:eastAsia="Times New Roman" w:hAnsiTheme="majorBidi" w:cstheme="majorBidi"/>
                <w:i/>
                <w:iCs/>
                <w:spacing w:val="4"/>
                <w:sz w:val="24"/>
                <w:szCs w:val="24"/>
                <w:lang w:val="sr-Latn-RS" w:eastAsia="sr-Latn-BA"/>
              </w:rPr>
              <w:br/>
              <w:t>epidermidis</w:t>
            </w:r>
          </w:p>
        </w:tc>
        <w:tc>
          <w:tcPr>
            <w:tcW w:w="1500" w:type="dxa"/>
            <w:tcBorders>
              <w:top w:val="nil"/>
              <w:left w:val="nil"/>
              <w:bottom w:val="single" w:sz="4" w:space="0" w:color="auto"/>
              <w:right w:val="single" w:sz="4" w:space="0" w:color="auto"/>
            </w:tcBorders>
            <w:shd w:val="clear" w:color="000000" w:fill="FCE4D6"/>
            <w:vAlign w:val="bottom"/>
            <w:hideMark/>
          </w:tcPr>
          <w:p w14:paraId="4F37E241"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Enterococcus spp.-</w:t>
            </w:r>
            <w:r w:rsidRPr="00C65665">
              <w:rPr>
                <w:rFonts w:asciiTheme="majorBidi" w:eastAsia="Times New Roman" w:hAnsiTheme="majorBidi" w:cstheme="majorBidi"/>
                <w:spacing w:val="4"/>
                <w:sz w:val="24"/>
                <w:szCs w:val="24"/>
                <w:lang w:eastAsia="sr-Latn-BA"/>
              </w:rPr>
              <w:br/>
              <w:t>Enterococcus faecalis</w:t>
            </w:r>
          </w:p>
        </w:tc>
        <w:tc>
          <w:tcPr>
            <w:tcW w:w="1765" w:type="dxa"/>
            <w:tcBorders>
              <w:top w:val="nil"/>
              <w:left w:val="nil"/>
              <w:bottom w:val="single" w:sz="4" w:space="0" w:color="auto"/>
              <w:right w:val="single" w:sz="4" w:space="0" w:color="auto"/>
            </w:tcBorders>
            <w:shd w:val="clear" w:color="000000" w:fill="FCE4D6"/>
            <w:vAlign w:val="center"/>
            <w:hideMark/>
          </w:tcPr>
          <w:p w14:paraId="2DEFB20E" w14:textId="77777777" w:rsidR="005F768B" w:rsidRPr="00C65665" w:rsidRDefault="005F768B" w:rsidP="00CC2905">
            <w:pPr>
              <w:spacing w:after="0" w:line="360" w:lineRule="auto"/>
              <w:rPr>
                <w:rFonts w:asciiTheme="majorBidi" w:eastAsia="Times New Roman" w:hAnsiTheme="majorBidi" w:cstheme="majorBidi"/>
                <w:i/>
                <w:iCs/>
                <w:spacing w:val="4"/>
                <w:sz w:val="24"/>
                <w:szCs w:val="24"/>
                <w:lang w:eastAsia="sr-Latn-BA"/>
              </w:rPr>
            </w:pPr>
            <w:r w:rsidRPr="00C65665">
              <w:rPr>
                <w:rFonts w:asciiTheme="majorBidi" w:eastAsia="Times New Roman" w:hAnsiTheme="majorBidi" w:cstheme="majorBidi"/>
                <w:i/>
                <w:iCs/>
                <w:spacing w:val="4"/>
                <w:sz w:val="24"/>
                <w:szCs w:val="24"/>
                <w:lang w:val="sr-Latn-RS" w:eastAsia="sr-Latn-BA"/>
              </w:rPr>
              <w:t>Staphylococcus</w:t>
            </w:r>
            <w:r w:rsidRPr="00C65665">
              <w:rPr>
                <w:rFonts w:asciiTheme="majorBidi" w:eastAsia="Times New Roman" w:hAnsiTheme="majorBidi" w:cstheme="majorBidi"/>
                <w:i/>
                <w:iCs/>
                <w:spacing w:val="4"/>
                <w:sz w:val="24"/>
                <w:szCs w:val="24"/>
                <w:lang w:val="sr-Latn-RS" w:eastAsia="sr-Latn-BA"/>
              </w:rPr>
              <w:br/>
              <w:t>aureus</w:t>
            </w:r>
          </w:p>
        </w:tc>
        <w:tc>
          <w:tcPr>
            <w:tcW w:w="1640" w:type="dxa"/>
            <w:tcBorders>
              <w:top w:val="nil"/>
              <w:left w:val="nil"/>
              <w:bottom w:val="single" w:sz="4" w:space="0" w:color="auto"/>
              <w:right w:val="single" w:sz="4" w:space="0" w:color="auto"/>
            </w:tcBorders>
            <w:shd w:val="clear" w:color="000000" w:fill="FCE4D6"/>
            <w:vAlign w:val="bottom"/>
            <w:hideMark/>
          </w:tcPr>
          <w:p w14:paraId="5F8E7FC7"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 xml:space="preserve">Koagulaza </w:t>
            </w:r>
            <w:r w:rsidRPr="00C65665">
              <w:rPr>
                <w:rFonts w:asciiTheme="majorBidi" w:eastAsia="Times New Roman" w:hAnsiTheme="majorBidi" w:cstheme="majorBidi"/>
                <w:spacing w:val="4"/>
                <w:sz w:val="24"/>
                <w:szCs w:val="24"/>
                <w:lang w:eastAsia="sr-Latn-BA"/>
              </w:rPr>
              <w:br/>
              <w:t>negativan stafilokok</w:t>
            </w:r>
          </w:p>
        </w:tc>
      </w:tr>
      <w:tr w:rsidR="005F768B" w:rsidRPr="00C65665" w14:paraId="0FBE6CC3" w14:textId="77777777" w:rsidTr="00CC2905">
        <w:trPr>
          <w:trHeight w:val="312"/>
        </w:trPr>
        <w:tc>
          <w:tcPr>
            <w:tcW w:w="2060" w:type="dxa"/>
            <w:tcBorders>
              <w:top w:val="single" w:sz="4" w:space="0" w:color="auto"/>
              <w:left w:val="single" w:sz="4" w:space="0" w:color="auto"/>
              <w:bottom w:val="single" w:sz="4" w:space="0" w:color="auto"/>
              <w:right w:val="single" w:sz="4" w:space="0" w:color="auto"/>
            </w:tcBorders>
            <w:shd w:val="clear" w:color="000000" w:fill="E5DFEC"/>
            <w:vAlign w:val="center"/>
            <w:hideMark/>
          </w:tcPr>
          <w:p w14:paraId="4B7CD47D"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Amoksicillin</w:t>
            </w:r>
          </w:p>
        </w:tc>
        <w:tc>
          <w:tcPr>
            <w:tcW w:w="1768" w:type="dxa"/>
            <w:tcBorders>
              <w:top w:val="nil"/>
              <w:left w:val="nil"/>
              <w:bottom w:val="single" w:sz="4" w:space="0" w:color="auto"/>
              <w:right w:val="single" w:sz="4" w:space="0" w:color="auto"/>
            </w:tcBorders>
            <w:shd w:val="clear" w:color="000000" w:fill="FFF2CC"/>
            <w:noWrap/>
            <w:vAlign w:val="bottom"/>
            <w:hideMark/>
          </w:tcPr>
          <w:p w14:paraId="0EF0955B"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81.82%</w:t>
            </w:r>
          </w:p>
        </w:tc>
        <w:tc>
          <w:tcPr>
            <w:tcW w:w="1500" w:type="dxa"/>
            <w:tcBorders>
              <w:top w:val="nil"/>
              <w:left w:val="nil"/>
              <w:bottom w:val="single" w:sz="4" w:space="0" w:color="auto"/>
              <w:right w:val="single" w:sz="4" w:space="0" w:color="auto"/>
            </w:tcBorders>
            <w:shd w:val="clear" w:color="000000" w:fill="FFF2CC"/>
            <w:noWrap/>
            <w:vAlign w:val="bottom"/>
            <w:hideMark/>
          </w:tcPr>
          <w:p w14:paraId="3E9E84A6"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87.50%</w:t>
            </w:r>
          </w:p>
        </w:tc>
        <w:tc>
          <w:tcPr>
            <w:tcW w:w="1765" w:type="dxa"/>
            <w:tcBorders>
              <w:top w:val="nil"/>
              <w:left w:val="nil"/>
              <w:bottom w:val="single" w:sz="4" w:space="0" w:color="auto"/>
              <w:right w:val="single" w:sz="4" w:space="0" w:color="auto"/>
            </w:tcBorders>
            <w:shd w:val="clear" w:color="000000" w:fill="FFF2CC"/>
            <w:noWrap/>
            <w:vAlign w:val="bottom"/>
            <w:hideMark/>
          </w:tcPr>
          <w:p w14:paraId="62539DCF"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71.43%</w:t>
            </w:r>
          </w:p>
        </w:tc>
        <w:tc>
          <w:tcPr>
            <w:tcW w:w="1640" w:type="dxa"/>
            <w:tcBorders>
              <w:top w:val="nil"/>
              <w:left w:val="nil"/>
              <w:bottom w:val="single" w:sz="4" w:space="0" w:color="auto"/>
              <w:right w:val="single" w:sz="4" w:space="0" w:color="auto"/>
            </w:tcBorders>
            <w:shd w:val="clear" w:color="000000" w:fill="FFF2CC"/>
            <w:noWrap/>
            <w:vAlign w:val="bottom"/>
            <w:hideMark/>
          </w:tcPr>
          <w:p w14:paraId="3CD9EF4F"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r>
      <w:tr w:rsidR="005F768B" w:rsidRPr="00C65665" w14:paraId="265EB1A4" w14:textId="77777777" w:rsidTr="00CC2905">
        <w:trPr>
          <w:trHeight w:val="312"/>
        </w:trPr>
        <w:tc>
          <w:tcPr>
            <w:tcW w:w="2060" w:type="dxa"/>
            <w:tcBorders>
              <w:top w:val="nil"/>
              <w:left w:val="single" w:sz="4" w:space="0" w:color="auto"/>
              <w:bottom w:val="single" w:sz="4" w:space="0" w:color="auto"/>
              <w:right w:val="single" w:sz="4" w:space="0" w:color="auto"/>
            </w:tcBorders>
            <w:shd w:val="clear" w:color="000000" w:fill="E5DFEC"/>
            <w:vAlign w:val="center"/>
            <w:hideMark/>
          </w:tcPr>
          <w:p w14:paraId="175F3E1F"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Cefuroxim</w:t>
            </w:r>
          </w:p>
        </w:tc>
        <w:tc>
          <w:tcPr>
            <w:tcW w:w="1768" w:type="dxa"/>
            <w:tcBorders>
              <w:top w:val="nil"/>
              <w:left w:val="nil"/>
              <w:bottom w:val="single" w:sz="4" w:space="0" w:color="auto"/>
              <w:right w:val="single" w:sz="4" w:space="0" w:color="auto"/>
            </w:tcBorders>
            <w:shd w:val="clear" w:color="000000" w:fill="FFF2CC"/>
            <w:noWrap/>
            <w:vAlign w:val="bottom"/>
            <w:hideMark/>
          </w:tcPr>
          <w:p w14:paraId="3BDEF777"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80.00%</w:t>
            </w:r>
          </w:p>
        </w:tc>
        <w:tc>
          <w:tcPr>
            <w:tcW w:w="1500" w:type="dxa"/>
            <w:tcBorders>
              <w:top w:val="nil"/>
              <w:left w:val="nil"/>
              <w:bottom w:val="single" w:sz="4" w:space="0" w:color="auto"/>
              <w:right w:val="single" w:sz="4" w:space="0" w:color="auto"/>
            </w:tcBorders>
            <w:shd w:val="clear" w:color="000000" w:fill="FFF2CC"/>
            <w:noWrap/>
            <w:vAlign w:val="bottom"/>
            <w:hideMark/>
          </w:tcPr>
          <w:p w14:paraId="73C85FA7"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c>
          <w:tcPr>
            <w:tcW w:w="1765" w:type="dxa"/>
            <w:tcBorders>
              <w:top w:val="nil"/>
              <w:left w:val="nil"/>
              <w:bottom w:val="single" w:sz="4" w:space="0" w:color="auto"/>
              <w:right w:val="single" w:sz="4" w:space="0" w:color="auto"/>
            </w:tcBorders>
            <w:shd w:val="clear" w:color="000000" w:fill="FFF2CC"/>
            <w:noWrap/>
            <w:vAlign w:val="bottom"/>
            <w:hideMark/>
          </w:tcPr>
          <w:p w14:paraId="690A782F"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71.43%</w:t>
            </w:r>
          </w:p>
        </w:tc>
        <w:tc>
          <w:tcPr>
            <w:tcW w:w="1640" w:type="dxa"/>
            <w:tcBorders>
              <w:top w:val="nil"/>
              <w:left w:val="nil"/>
              <w:bottom w:val="single" w:sz="4" w:space="0" w:color="auto"/>
              <w:right w:val="single" w:sz="4" w:space="0" w:color="auto"/>
            </w:tcBorders>
            <w:shd w:val="clear" w:color="000000" w:fill="FFF2CC"/>
            <w:noWrap/>
            <w:vAlign w:val="bottom"/>
            <w:hideMark/>
          </w:tcPr>
          <w:p w14:paraId="51B1A047"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r>
      <w:tr w:rsidR="005F768B" w:rsidRPr="00C65665" w14:paraId="26F8360D" w14:textId="77777777" w:rsidTr="00CC2905">
        <w:trPr>
          <w:trHeight w:val="312"/>
        </w:trPr>
        <w:tc>
          <w:tcPr>
            <w:tcW w:w="2060" w:type="dxa"/>
            <w:tcBorders>
              <w:top w:val="nil"/>
              <w:left w:val="single" w:sz="4" w:space="0" w:color="auto"/>
              <w:bottom w:val="single" w:sz="4" w:space="0" w:color="auto"/>
              <w:right w:val="single" w:sz="4" w:space="0" w:color="auto"/>
            </w:tcBorders>
            <w:shd w:val="clear" w:color="000000" w:fill="E5DFEC"/>
            <w:vAlign w:val="center"/>
            <w:hideMark/>
          </w:tcPr>
          <w:p w14:paraId="19D19EFF"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Cefataxim</w:t>
            </w:r>
          </w:p>
        </w:tc>
        <w:tc>
          <w:tcPr>
            <w:tcW w:w="1768" w:type="dxa"/>
            <w:tcBorders>
              <w:top w:val="nil"/>
              <w:left w:val="nil"/>
              <w:bottom w:val="single" w:sz="4" w:space="0" w:color="auto"/>
              <w:right w:val="single" w:sz="4" w:space="0" w:color="auto"/>
            </w:tcBorders>
            <w:shd w:val="clear" w:color="000000" w:fill="FFF2CC"/>
            <w:noWrap/>
            <w:vAlign w:val="bottom"/>
            <w:hideMark/>
          </w:tcPr>
          <w:p w14:paraId="19CD5BE1"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80.00%</w:t>
            </w:r>
          </w:p>
        </w:tc>
        <w:tc>
          <w:tcPr>
            <w:tcW w:w="1500" w:type="dxa"/>
            <w:tcBorders>
              <w:top w:val="nil"/>
              <w:left w:val="nil"/>
              <w:bottom w:val="single" w:sz="4" w:space="0" w:color="auto"/>
              <w:right w:val="single" w:sz="4" w:space="0" w:color="auto"/>
            </w:tcBorders>
            <w:shd w:val="clear" w:color="000000" w:fill="FFF2CC"/>
            <w:noWrap/>
            <w:vAlign w:val="bottom"/>
            <w:hideMark/>
          </w:tcPr>
          <w:p w14:paraId="764A85E6"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c>
          <w:tcPr>
            <w:tcW w:w="1765" w:type="dxa"/>
            <w:tcBorders>
              <w:top w:val="nil"/>
              <w:left w:val="nil"/>
              <w:bottom w:val="single" w:sz="4" w:space="0" w:color="auto"/>
              <w:right w:val="single" w:sz="4" w:space="0" w:color="auto"/>
            </w:tcBorders>
            <w:shd w:val="clear" w:color="000000" w:fill="FFF2CC"/>
            <w:noWrap/>
            <w:vAlign w:val="bottom"/>
            <w:hideMark/>
          </w:tcPr>
          <w:p w14:paraId="23FFCD7B"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71.43%</w:t>
            </w:r>
          </w:p>
        </w:tc>
        <w:tc>
          <w:tcPr>
            <w:tcW w:w="1640" w:type="dxa"/>
            <w:tcBorders>
              <w:top w:val="nil"/>
              <w:left w:val="nil"/>
              <w:bottom w:val="single" w:sz="4" w:space="0" w:color="auto"/>
              <w:right w:val="single" w:sz="4" w:space="0" w:color="auto"/>
            </w:tcBorders>
            <w:shd w:val="clear" w:color="000000" w:fill="FFF2CC"/>
            <w:noWrap/>
            <w:vAlign w:val="bottom"/>
            <w:hideMark/>
          </w:tcPr>
          <w:p w14:paraId="277AA427"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r>
      <w:tr w:rsidR="005F768B" w:rsidRPr="00C65665" w14:paraId="41B99D8B" w14:textId="77777777" w:rsidTr="00CC2905">
        <w:trPr>
          <w:trHeight w:val="312"/>
        </w:trPr>
        <w:tc>
          <w:tcPr>
            <w:tcW w:w="2060" w:type="dxa"/>
            <w:tcBorders>
              <w:top w:val="nil"/>
              <w:left w:val="single" w:sz="4" w:space="0" w:color="auto"/>
              <w:bottom w:val="single" w:sz="4" w:space="0" w:color="auto"/>
              <w:right w:val="single" w:sz="4" w:space="0" w:color="auto"/>
            </w:tcBorders>
            <w:shd w:val="clear" w:color="000000" w:fill="E5DFEC"/>
            <w:vAlign w:val="center"/>
            <w:hideMark/>
          </w:tcPr>
          <w:p w14:paraId="1B3E47F3"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Ceftiaxon</w:t>
            </w:r>
          </w:p>
        </w:tc>
        <w:tc>
          <w:tcPr>
            <w:tcW w:w="1768" w:type="dxa"/>
            <w:tcBorders>
              <w:top w:val="nil"/>
              <w:left w:val="nil"/>
              <w:bottom w:val="single" w:sz="4" w:space="0" w:color="auto"/>
              <w:right w:val="single" w:sz="4" w:space="0" w:color="auto"/>
            </w:tcBorders>
            <w:shd w:val="clear" w:color="000000" w:fill="FFF2CC"/>
            <w:noWrap/>
            <w:vAlign w:val="bottom"/>
            <w:hideMark/>
          </w:tcPr>
          <w:p w14:paraId="3F5AE3BC"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80.00%</w:t>
            </w:r>
          </w:p>
        </w:tc>
        <w:tc>
          <w:tcPr>
            <w:tcW w:w="1500" w:type="dxa"/>
            <w:tcBorders>
              <w:top w:val="nil"/>
              <w:left w:val="nil"/>
              <w:bottom w:val="single" w:sz="4" w:space="0" w:color="auto"/>
              <w:right w:val="single" w:sz="4" w:space="0" w:color="auto"/>
            </w:tcBorders>
            <w:shd w:val="clear" w:color="000000" w:fill="FFF2CC"/>
            <w:noWrap/>
            <w:vAlign w:val="bottom"/>
            <w:hideMark/>
          </w:tcPr>
          <w:p w14:paraId="1CDF6E74"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c>
          <w:tcPr>
            <w:tcW w:w="1765" w:type="dxa"/>
            <w:tcBorders>
              <w:top w:val="nil"/>
              <w:left w:val="nil"/>
              <w:bottom w:val="single" w:sz="4" w:space="0" w:color="auto"/>
              <w:right w:val="single" w:sz="4" w:space="0" w:color="auto"/>
            </w:tcBorders>
            <w:shd w:val="clear" w:color="000000" w:fill="FFF2CC"/>
            <w:noWrap/>
            <w:vAlign w:val="bottom"/>
            <w:hideMark/>
          </w:tcPr>
          <w:p w14:paraId="429D12BC"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71.43%</w:t>
            </w:r>
          </w:p>
        </w:tc>
        <w:tc>
          <w:tcPr>
            <w:tcW w:w="1640" w:type="dxa"/>
            <w:tcBorders>
              <w:top w:val="nil"/>
              <w:left w:val="nil"/>
              <w:bottom w:val="single" w:sz="4" w:space="0" w:color="auto"/>
              <w:right w:val="single" w:sz="4" w:space="0" w:color="auto"/>
            </w:tcBorders>
            <w:shd w:val="clear" w:color="000000" w:fill="FFF2CC"/>
            <w:noWrap/>
            <w:vAlign w:val="bottom"/>
            <w:hideMark/>
          </w:tcPr>
          <w:p w14:paraId="1EE491C9"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r>
      <w:tr w:rsidR="005F768B" w:rsidRPr="00C65665" w14:paraId="0B03A997" w14:textId="77777777" w:rsidTr="00CC2905">
        <w:trPr>
          <w:trHeight w:val="312"/>
        </w:trPr>
        <w:tc>
          <w:tcPr>
            <w:tcW w:w="2060" w:type="dxa"/>
            <w:tcBorders>
              <w:top w:val="nil"/>
              <w:left w:val="single" w:sz="4" w:space="0" w:color="auto"/>
              <w:bottom w:val="single" w:sz="4" w:space="0" w:color="auto"/>
              <w:right w:val="single" w:sz="4" w:space="0" w:color="auto"/>
            </w:tcBorders>
            <w:shd w:val="clear" w:color="000000" w:fill="E5DFEC"/>
            <w:vAlign w:val="center"/>
            <w:hideMark/>
          </w:tcPr>
          <w:p w14:paraId="08DDA8F4"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Ciprofloxacin</w:t>
            </w:r>
          </w:p>
        </w:tc>
        <w:tc>
          <w:tcPr>
            <w:tcW w:w="1768" w:type="dxa"/>
            <w:tcBorders>
              <w:top w:val="nil"/>
              <w:left w:val="nil"/>
              <w:bottom w:val="single" w:sz="4" w:space="0" w:color="auto"/>
              <w:right w:val="single" w:sz="4" w:space="0" w:color="auto"/>
            </w:tcBorders>
            <w:shd w:val="clear" w:color="000000" w:fill="FFF2CC"/>
            <w:noWrap/>
            <w:vAlign w:val="bottom"/>
            <w:hideMark/>
          </w:tcPr>
          <w:p w14:paraId="3AA748BF"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61.82%</w:t>
            </w:r>
          </w:p>
        </w:tc>
        <w:tc>
          <w:tcPr>
            <w:tcW w:w="1500" w:type="dxa"/>
            <w:tcBorders>
              <w:top w:val="nil"/>
              <w:left w:val="nil"/>
              <w:bottom w:val="single" w:sz="4" w:space="0" w:color="auto"/>
              <w:right w:val="single" w:sz="4" w:space="0" w:color="auto"/>
            </w:tcBorders>
            <w:shd w:val="clear" w:color="000000" w:fill="FFF2CC"/>
            <w:noWrap/>
            <w:vAlign w:val="bottom"/>
            <w:hideMark/>
          </w:tcPr>
          <w:p w14:paraId="3E9E9264"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25.00%</w:t>
            </w:r>
          </w:p>
        </w:tc>
        <w:tc>
          <w:tcPr>
            <w:tcW w:w="1765" w:type="dxa"/>
            <w:tcBorders>
              <w:top w:val="nil"/>
              <w:left w:val="nil"/>
              <w:bottom w:val="single" w:sz="4" w:space="0" w:color="auto"/>
              <w:right w:val="single" w:sz="4" w:space="0" w:color="auto"/>
            </w:tcBorders>
            <w:shd w:val="clear" w:color="000000" w:fill="FFF2CC"/>
            <w:noWrap/>
            <w:vAlign w:val="bottom"/>
            <w:hideMark/>
          </w:tcPr>
          <w:p w14:paraId="6462D959"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71.43%</w:t>
            </w:r>
          </w:p>
        </w:tc>
        <w:tc>
          <w:tcPr>
            <w:tcW w:w="1640" w:type="dxa"/>
            <w:tcBorders>
              <w:top w:val="nil"/>
              <w:left w:val="nil"/>
              <w:bottom w:val="single" w:sz="4" w:space="0" w:color="auto"/>
              <w:right w:val="single" w:sz="4" w:space="0" w:color="auto"/>
            </w:tcBorders>
            <w:shd w:val="clear" w:color="000000" w:fill="FFF2CC"/>
            <w:noWrap/>
            <w:vAlign w:val="bottom"/>
            <w:hideMark/>
          </w:tcPr>
          <w:p w14:paraId="3F390F10"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r>
      <w:tr w:rsidR="005F768B" w:rsidRPr="00C65665" w14:paraId="7851179A" w14:textId="77777777" w:rsidTr="00CC2905">
        <w:trPr>
          <w:trHeight w:val="312"/>
        </w:trPr>
        <w:tc>
          <w:tcPr>
            <w:tcW w:w="2060" w:type="dxa"/>
            <w:tcBorders>
              <w:top w:val="nil"/>
              <w:left w:val="single" w:sz="4" w:space="0" w:color="auto"/>
              <w:bottom w:val="single" w:sz="4" w:space="0" w:color="auto"/>
              <w:right w:val="single" w:sz="4" w:space="0" w:color="auto"/>
            </w:tcBorders>
            <w:shd w:val="clear" w:color="000000" w:fill="E5DFEC"/>
            <w:vAlign w:val="center"/>
            <w:hideMark/>
          </w:tcPr>
          <w:p w14:paraId="268DB1FD"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Trimethoprim/</w:t>
            </w:r>
          </w:p>
        </w:tc>
        <w:tc>
          <w:tcPr>
            <w:tcW w:w="1768" w:type="dxa"/>
            <w:tcBorders>
              <w:top w:val="nil"/>
              <w:left w:val="nil"/>
              <w:bottom w:val="single" w:sz="4" w:space="0" w:color="auto"/>
              <w:right w:val="single" w:sz="4" w:space="0" w:color="auto"/>
            </w:tcBorders>
            <w:shd w:val="clear" w:color="000000" w:fill="FFF2CC"/>
            <w:noWrap/>
            <w:vAlign w:val="bottom"/>
            <w:hideMark/>
          </w:tcPr>
          <w:p w14:paraId="24F2103A"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56.36%</w:t>
            </w:r>
          </w:p>
        </w:tc>
        <w:tc>
          <w:tcPr>
            <w:tcW w:w="1500" w:type="dxa"/>
            <w:tcBorders>
              <w:top w:val="nil"/>
              <w:left w:val="nil"/>
              <w:bottom w:val="single" w:sz="4" w:space="0" w:color="auto"/>
              <w:right w:val="single" w:sz="4" w:space="0" w:color="auto"/>
            </w:tcBorders>
            <w:shd w:val="clear" w:color="000000" w:fill="FFF2CC"/>
            <w:noWrap/>
            <w:vAlign w:val="bottom"/>
            <w:hideMark/>
          </w:tcPr>
          <w:p w14:paraId="75654853"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37.50%</w:t>
            </w:r>
          </w:p>
        </w:tc>
        <w:tc>
          <w:tcPr>
            <w:tcW w:w="1765" w:type="dxa"/>
            <w:tcBorders>
              <w:top w:val="nil"/>
              <w:left w:val="nil"/>
              <w:bottom w:val="single" w:sz="4" w:space="0" w:color="auto"/>
              <w:right w:val="single" w:sz="4" w:space="0" w:color="auto"/>
            </w:tcBorders>
            <w:shd w:val="clear" w:color="000000" w:fill="FFF2CC"/>
            <w:noWrap/>
            <w:vAlign w:val="bottom"/>
            <w:hideMark/>
          </w:tcPr>
          <w:p w14:paraId="49948E64"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14.29%</w:t>
            </w:r>
          </w:p>
        </w:tc>
        <w:tc>
          <w:tcPr>
            <w:tcW w:w="1640" w:type="dxa"/>
            <w:tcBorders>
              <w:top w:val="nil"/>
              <w:left w:val="nil"/>
              <w:bottom w:val="single" w:sz="4" w:space="0" w:color="auto"/>
              <w:right w:val="single" w:sz="4" w:space="0" w:color="auto"/>
            </w:tcBorders>
            <w:shd w:val="clear" w:color="000000" w:fill="FFF2CC"/>
            <w:noWrap/>
            <w:vAlign w:val="bottom"/>
            <w:hideMark/>
          </w:tcPr>
          <w:p w14:paraId="63275E14"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r>
      <w:tr w:rsidR="005F768B" w:rsidRPr="00C65665" w14:paraId="062B2BC3" w14:textId="77777777" w:rsidTr="00CC2905">
        <w:trPr>
          <w:trHeight w:val="312"/>
        </w:trPr>
        <w:tc>
          <w:tcPr>
            <w:tcW w:w="2060" w:type="dxa"/>
            <w:tcBorders>
              <w:top w:val="nil"/>
              <w:left w:val="single" w:sz="4" w:space="0" w:color="auto"/>
              <w:bottom w:val="single" w:sz="4" w:space="0" w:color="auto"/>
              <w:right w:val="single" w:sz="4" w:space="0" w:color="auto"/>
            </w:tcBorders>
            <w:shd w:val="clear" w:color="000000" w:fill="E5DFEC"/>
            <w:vAlign w:val="center"/>
            <w:hideMark/>
          </w:tcPr>
          <w:p w14:paraId="5A037631"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sulfamethoxazole</w:t>
            </w:r>
          </w:p>
        </w:tc>
        <w:tc>
          <w:tcPr>
            <w:tcW w:w="1768" w:type="dxa"/>
            <w:tcBorders>
              <w:top w:val="nil"/>
              <w:left w:val="nil"/>
              <w:bottom w:val="single" w:sz="4" w:space="0" w:color="auto"/>
              <w:right w:val="single" w:sz="4" w:space="0" w:color="auto"/>
            </w:tcBorders>
            <w:shd w:val="clear" w:color="000000" w:fill="FFF2CC"/>
            <w:noWrap/>
            <w:vAlign w:val="bottom"/>
            <w:hideMark/>
          </w:tcPr>
          <w:p w14:paraId="51DA0A65"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1500" w:type="dxa"/>
            <w:tcBorders>
              <w:top w:val="nil"/>
              <w:left w:val="nil"/>
              <w:bottom w:val="single" w:sz="4" w:space="0" w:color="auto"/>
              <w:right w:val="single" w:sz="4" w:space="0" w:color="auto"/>
            </w:tcBorders>
            <w:shd w:val="clear" w:color="000000" w:fill="FFF2CC"/>
            <w:noWrap/>
            <w:vAlign w:val="bottom"/>
            <w:hideMark/>
          </w:tcPr>
          <w:p w14:paraId="34CDA14E"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1765" w:type="dxa"/>
            <w:tcBorders>
              <w:top w:val="nil"/>
              <w:left w:val="nil"/>
              <w:bottom w:val="single" w:sz="4" w:space="0" w:color="auto"/>
              <w:right w:val="single" w:sz="4" w:space="0" w:color="auto"/>
            </w:tcBorders>
            <w:shd w:val="clear" w:color="000000" w:fill="FFF2CC"/>
            <w:noWrap/>
            <w:vAlign w:val="bottom"/>
            <w:hideMark/>
          </w:tcPr>
          <w:p w14:paraId="4FB1F44B"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1640" w:type="dxa"/>
            <w:tcBorders>
              <w:top w:val="nil"/>
              <w:left w:val="nil"/>
              <w:bottom w:val="single" w:sz="4" w:space="0" w:color="auto"/>
              <w:right w:val="single" w:sz="4" w:space="0" w:color="auto"/>
            </w:tcBorders>
            <w:shd w:val="clear" w:color="000000" w:fill="FFF2CC"/>
            <w:noWrap/>
            <w:vAlign w:val="bottom"/>
            <w:hideMark/>
          </w:tcPr>
          <w:p w14:paraId="78F5BB9B"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r>
      <w:tr w:rsidR="005F768B" w:rsidRPr="00C65665" w14:paraId="6FEEB777" w14:textId="77777777" w:rsidTr="00CC2905">
        <w:trPr>
          <w:trHeight w:val="312"/>
        </w:trPr>
        <w:tc>
          <w:tcPr>
            <w:tcW w:w="2060" w:type="dxa"/>
            <w:tcBorders>
              <w:top w:val="nil"/>
              <w:left w:val="single" w:sz="4" w:space="0" w:color="auto"/>
              <w:bottom w:val="single" w:sz="4" w:space="0" w:color="auto"/>
              <w:right w:val="single" w:sz="4" w:space="0" w:color="auto"/>
            </w:tcBorders>
            <w:shd w:val="clear" w:color="000000" w:fill="E5DFEC"/>
            <w:vAlign w:val="center"/>
            <w:hideMark/>
          </w:tcPr>
          <w:p w14:paraId="413A9475"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Gentamicin</w:t>
            </w:r>
          </w:p>
        </w:tc>
        <w:tc>
          <w:tcPr>
            <w:tcW w:w="1768" w:type="dxa"/>
            <w:tcBorders>
              <w:top w:val="nil"/>
              <w:left w:val="nil"/>
              <w:bottom w:val="single" w:sz="4" w:space="0" w:color="auto"/>
              <w:right w:val="single" w:sz="4" w:space="0" w:color="auto"/>
            </w:tcBorders>
            <w:shd w:val="clear" w:color="000000" w:fill="FFF2CC"/>
            <w:noWrap/>
            <w:vAlign w:val="bottom"/>
            <w:hideMark/>
          </w:tcPr>
          <w:p w14:paraId="7F5E2451"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56.36%</w:t>
            </w:r>
          </w:p>
        </w:tc>
        <w:tc>
          <w:tcPr>
            <w:tcW w:w="1500" w:type="dxa"/>
            <w:tcBorders>
              <w:top w:val="nil"/>
              <w:left w:val="nil"/>
              <w:bottom w:val="single" w:sz="4" w:space="0" w:color="auto"/>
              <w:right w:val="single" w:sz="4" w:space="0" w:color="auto"/>
            </w:tcBorders>
            <w:shd w:val="clear" w:color="000000" w:fill="FFF2CC"/>
            <w:noWrap/>
            <w:vAlign w:val="bottom"/>
            <w:hideMark/>
          </w:tcPr>
          <w:p w14:paraId="59A43322"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1765" w:type="dxa"/>
            <w:tcBorders>
              <w:top w:val="nil"/>
              <w:left w:val="nil"/>
              <w:bottom w:val="single" w:sz="4" w:space="0" w:color="auto"/>
              <w:right w:val="single" w:sz="4" w:space="0" w:color="auto"/>
            </w:tcBorders>
            <w:shd w:val="clear" w:color="000000" w:fill="FFF2CC"/>
            <w:noWrap/>
            <w:vAlign w:val="bottom"/>
            <w:hideMark/>
          </w:tcPr>
          <w:p w14:paraId="0B4A7500"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57.14%</w:t>
            </w:r>
          </w:p>
        </w:tc>
        <w:tc>
          <w:tcPr>
            <w:tcW w:w="1640" w:type="dxa"/>
            <w:tcBorders>
              <w:top w:val="nil"/>
              <w:left w:val="nil"/>
              <w:bottom w:val="single" w:sz="4" w:space="0" w:color="auto"/>
              <w:right w:val="single" w:sz="4" w:space="0" w:color="auto"/>
            </w:tcBorders>
            <w:shd w:val="clear" w:color="000000" w:fill="FFF2CC"/>
            <w:noWrap/>
            <w:vAlign w:val="bottom"/>
            <w:hideMark/>
          </w:tcPr>
          <w:p w14:paraId="427725B7"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33.33%</w:t>
            </w:r>
          </w:p>
        </w:tc>
      </w:tr>
      <w:tr w:rsidR="005F768B" w:rsidRPr="00C65665" w14:paraId="1ADBEF70" w14:textId="77777777" w:rsidTr="00CC2905">
        <w:trPr>
          <w:trHeight w:val="312"/>
        </w:trPr>
        <w:tc>
          <w:tcPr>
            <w:tcW w:w="2060" w:type="dxa"/>
            <w:tcBorders>
              <w:top w:val="nil"/>
              <w:left w:val="single" w:sz="4" w:space="0" w:color="auto"/>
              <w:bottom w:val="single" w:sz="4" w:space="0" w:color="auto"/>
              <w:right w:val="single" w:sz="4" w:space="0" w:color="auto"/>
            </w:tcBorders>
            <w:shd w:val="clear" w:color="000000" w:fill="E5DFEC"/>
            <w:vAlign w:val="center"/>
            <w:hideMark/>
          </w:tcPr>
          <w:p w14:paraId="34015634"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Vancomycin</w:t>
            </w:r>
          </w:p>
        </w:tc>
        <w:tc>
          <w:tcPr>
            <w:tcW w:w="1768" w:type="dxa"/>
            <w:tcBorders>
              <w:top w:val="nil"/>
              <w:left w:val="nil"/>
              <w:bottom w:val="single" w:sz="4" w:space="0" w:color="auto"/>
              <w:right w:val="single" w:sz="4" w:space="0" w:color="auto"/>
            </w:tcBorders>
            <w:shd w:val="clear" w:color="000000" w:fill="FFF2CC"/>
            <w:noWrap/>
            <w:vAlign w:val="bottom"/>
            <w:hideMark/>
          </w:tcPr>
          <w:p w14:paraId="3254DA0A"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1500" w:type="dxa"/>
            <w:tcBorders>
              <w:top w:val="nil"/>
              <w:left w:val="nil"/>
              <w:bottom w:val="single" w:sz="4" w:space="0" w:color="auto"/>
              <w:right w:val="single" w:sz="4" w:space="0" w:color="auto"/>
            </w:tcBorders>
            <w:shd w:val="clear" w:color="000000" w:fill="FFF2CC"/>
            <w:noWrap/>
            <w:vAlign w:val="bottom"/>
            <w:hideMark/>
          </w:tcPr>
          <w:p w14:paraId="7C3D809B"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25.00%</w:t>
            </w:r>
          </w:p>
        </w:tc>
        <w:tc>
          <w:tcPr>
            <w:tcW w:w="1765" w:type="dxa"/>
            <w:tcBorders>
              <w:top w:val="nil"/>
              <w:left w:val="nil"/>
              <w:bottom w:val="single" w:sz="4" w:space="0" w:color="auto"/>
              <w:right w:val="single" w:sz="4" w:space="0" w:color="auto"/>
            </w:tcBorders>
            <w:shd w:val="clear" w:color="000000" w:fill="FFF2CC"/>
            <w:noWrap/>
            <w:vAlign w:val="bottom"/>
            <w:hideMark/>
          </w:tcPr>
          <w:p w14:paraId="5E7BA561"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1640" w:type="dxa"/>
            <w:tcBorders>
              <w:top w:val="nil"/>
              <w:left w:val="nil"/>
              <w:bottom w:val="single" w:sz="4" w:space="0" w:color="auto"/>
              <w:right w:val="single" w:sz="4" w:space="0" w:color="auto"/>
            </w:tcBorders>
            <w:shd w:val="clear" w:color="000000" w:fill="FFF2CC"/>
            <w:noWrap/>
            <w:vAlign w:val="bottom"/>
            <w:hideMark/>
          </w:tcPr>
          <w:p w14:paraId="488469CE"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r>
      <w:tr w:rsidR="005F768B" w:rsidRPr="00C65665" w14:paraId="26F02AB9" w14:textId="77777777" w:rsidTr="00CC2905">
        <w:trPr>
          <w:trHeight w:val="312"/>
        </w:trPr>
        <w:tc>
          <w:tcPr>
            <w:tcW w:w="2060" w:type="dxa"/>
            <w:tcBorders>
              <w:top w:val="nil"/>
              <w:left w:val="single" w:sz="4" w:space="0" w:color="auto"/>
              <w:bottom w:val="single" w:sz="4" w:space="0" w:color="auto"/>
              <w:right w:val="single" w:sz="4" w:space="0" w:color="auto"/>
            </w:tcBorders>
            <w:shd w:val="clear" w:color="000000" w:fill="E5DFEC"/>
            <w:vAlign w:val="center"/>
            <w:hideMark/>
          </w:tcPr>
          <w:p w14:paraId="027D48E0"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Erythromycin</w:t>
            </w:r>
          </w:p>
        </w:tc>
        <w:tc>
          <w:tcPr>
            <w:tcW w:w="1768" w:type="dxa"/>
            <w:tcBorders>
              <w:top w:val="nil"/>
              <w:left w:val="nil"/>
              <w:bottom w:val="single" w:sz="4" w:space="0" w:color="auto"/>
              <w:right w:val="single" w:sz="4" w:space="0" w:color="auto"/>
            </w:tcBorders>
            <w:shd w:val="clear" w:color="000000" w:fill="FFF2CC"/>
            <w:noWrap/>
            <w:vAlign w:val="bottom"/>
            <w:hideMark/>
          </w:tcPr>
          <w:p w14:paraId="1B615ACC"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87.27%</w:t>
            </w:r>
          </w:p>
        </w:tc>
        <w:tc>
          <w:tcPr>
            <w:tcW w:w="1500" w:type="dxa"/>
            <w:tcBorders>
              <w:top w:val="nil"/>
              <w:left w:val="nil"/>
              <w:bottom w:val="single" w:sz="4" w:space="0" w:color="auto"/>
              <w:right w:val="single" w:sz="4" w:space="0" w:color="auto"/>
            </w:tcBorders>
            <w:shd w:val="clear" w:color="000000" w:fill="FFF2CC"/>
            <w:noWrap/>
            <w:vAlign w:val="bottom"/>
            <w:hideMark/>
          </w:tcPr>
          <w:p w14:paraId="00E4F80B"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87.50%</w:t>
            </w:r>
          </w:p>
        </w:tc>
        <w:tc>
          <w:tcPr>
            <w:tcW w:w="1765" w:type="dxa"/>
            <w:tcBorders>
              <w:top w:val="nil"/>
              <w:left w:val="nil"/>
              <w:bottom w:val="single" w:sz="4" w:space="0" w:color="auto"/>
              <w:right w:val="single" w:sz="4" w:space="0" w:color="auto"/>
            </w:tcBorders>
            <w:shd w:val="clear" w:color="000000" w:fill="FFF2CC"/>
            <w:noWrap/>
            <w:vAlign w:val="bottom"/>
            <w:hideMark/>
          </w:tcPr>
          <w:p w14:paraId="6B0C5D64"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71.43%</w:t>
            </w:r>
          </w:p>
        </w:tc>
        <w:tc>
          <w:tcPr>
            <w:tcW w:w="1640" w:type="dxa"/>
            <w:tcBorders>
              <w:top w:val="nil"/>
              <w:left w:val="nil"/>
              <w:bottom w:val="single" w:sz="4" w:space="0" w:color="auto"/>
              <w:right w:val="single" w:sz="4" w:space="0" w:color="auto"/>
            </w:tcBorders>
            <w:shd w:val="clear" w:color="000000" w:fill="FFF2CC"/>
            <w:noWrap/>
            <w:vAlign w:val="bottom"/>
            <w:hideMark/>
          </w:tcPr>
          <w:p w14:paraId="5467A34A"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66.67%</w:t>
            </w:r>
          </w:p>
        </w:tc>
      </w:tr>
    </w:tbl>
    <w:p w14:paraId="30BEDDC1" w14:textId="77777777" w:rsidR="005F768B" w:rsidRPr="00C65665" w:rsidRDefault="005F768B" w:rsidP="005F768B">
      <w:pPr>
        <w:spacing w:after="0" w:line="360" w:lineRule="auto"/>
        <w:jc w:val="both"/>
        <w:rPr>
          <w:rFonts w:asciiTheme="majorBidi" w:eastAsia="Times New Roman" w:hAnsiTheme="majorBidi" w:cstheme="majorBidi"/>
          <w:spacing w:val="4"/>
          <w:sz w:val="24"/>
          <w:szCs w:val="24"/>
          <w:lang w:val="sr-Latn-CS" w:eastAsia="sr-Latn-CS"/>
        </w:rPr>
      </w:pPr>
    </w:p>
    <w:p w14:paraId="254E1253" w14:textId="77777777" w:rsidR="005F768B" w:rsidRPr="00C65665" w:rsidRDefault="005F768B" w:rsidP="005F768B">
      <w:pPr>
        <w:spacing w:after="0" w:line="360" w:lineRule="auto"/>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U </w:t>
      </w:r>
      <w:r w:rsidRPr="00C65665">
        <w:rPr>
          <w:rFonts w:asciiTheme="majorBidi" w:eastAsia="Times New Roman" w:hAnsiTheme="majorBidi" w:cstheme="majorBidi"/>
          <w:i/>
          <w:iCs/>
          <w:spacing w:val="4"/>
          <w:sz w:val="24"/>
          <w:szCs w:val="24"/>
          <w:lang w:val="sr-Latn-CS" w:eastAsia="sr-Latn-CS"/>
        </w:rPr>
        <w:t>Tabeli 5.</w:t>
      </w:r>
      <w:r w:rsidRPr="00C65665">
        <w:rPr>
          <w:rFonts w:asciiTheme="majorBidi" w:eastAsia="Times New Roman" w:hAnsiTheme="majorBidi" w:cstheme="majorBidi"/>
          <w:spacing w:val="4"/>
          <w:sz w:val="24"/>
          <w:szCs w:val="24"/>
          <w:lang w:val="sr-Latn-CS" w:eastAsia="sr-Latn-CS"/>
        </w:rPr>
        <w:t xml:space="preserve"> prikazan je ukupan broj izolovanih Gram pozitivnih bakterija i njihova senzitivnost na antibiotike. Najveća senzitivnost Gram pozitivnih bakterija je uočena sa vankomicinom, a najveća rezistencija sa ceftriaksonom i ciprofloksacinom.</w:t>
      </w:r>
    </w:p>
    <w:p w14:paraId="3F21D27E" w14:textId="77777777" w:rsidR="005F768B" w:rsidRPr="00C65665" w:rsidRDefault="005F768B" w:rsidP="005F768B">
      <w:pPr>
        <w:pStyle w:val="Caption"/>
        <w:keepNext/>
        <w:spacing w:after="0"/>
        <w:rPr>
          <w:rFonts w:asciiTheme="majorBidi" w:hAnsiTheme="majorBidi" w:cstheme="majorBidi"/>
          <w:color w:val="auto"/>
          <w:spacing w:val="4"/>
          <w:sz w:val="24"/>
          <w:szCs w:val="24"/>
        </w:rPr>
      </w:pPr>
      <w:bookmarkStart w:id="19" w:name="_Toc76321289"/>
      <w:r w:rsidRPr="00C65665">
        <w:rPr>
          <w:rFonts w:asciiTheme="majorBidi" w:hAnsiTheme="majorBidi" w:cstheme="majorBidi"/>
          <w:color w:val="auto"/>
          <w:sz w:val="24"/>
          <w:szCs w:val="24"/>
        </w:rPr>
        <w:lastRenderedPageBreak/>
        <w:t xml:space="preserve">Tabela 5. </w:t>
      </w:r>
      <w:bookmarkStart w:id="20" w:name="_Toc75694175"/>
      <w:r w:rsidRPr="00C65665">
        <w:rPr>
          <w:rFonts w:asciiTheme="majorBidi" w:eastAsia="Times New Roman" w:hAnsiTheme="majorBidi" w:cstheme="majorBidi"/>
          <w:color w:val="auto"/>
          <w:spacing w:val="4"/>
          <w:sz w:val="24"/>
          <w:szCs w:val="24"/>
          <w:lang w:val="sr-Latn-CS" w:eastAsia="sr-Latn-CS"/>
        </w:rPr>
        <w:t>Broj izolata pojedinačrtih Gram negativnih bakterija</w:t>
      </w:r>
      <w:bookmarkEnd w:id="19"/>
      <w:bookmarkEnd w:id="20"/>
    </w:p>
    <w:tbl>
      <w:tblPr>
        <w:tblW w:w="0" w:type="auto"/>
        <w:tblInd w:w="5" w:type="dxa"/>
        <w:tblLayout w:type="fixed"/>
        <w:tblCellMar>
          <w:left w:w="0" w:type="dxa"/>
          <w:right w:w="0" w:type="dxa"/>
        </w:tblCellMar>
        <w:tblLook w:val="0000" w:firstRow="0" w:lastRow="0" w:firstColumn="0" w:lastColumn="0" w:noHBand="0" w:noVBand="0"/>
      </w:tblPr>
      <w:tblGrid>
        <w:gridCol w:w="3739"/>
        <w:gridCol w:w="3650"/>
      </w:tblGrid>
      <w:tr w:rsidR="005F768B" w:rsidRPr="00C65665" w14:paraId="63E83F7D" w14:textId="77777777" w:rsidTr="00CC2905">
        <w:trPr>
          <w:trHeight w:val="241"/>
        </w:trPr>
        <w:tc>
          <w:tcPr>
            <w:tcW w:w="7389" w:type="dxa"/>
            <w:gridSpan w:val="2"/>
            <w:tcBorders>
              <w:top w:val="single" w:sz="4" w:space="0" w:color="auto"/>
              <w:left w:val="single" w:sz="4" w:space="0" w:color="auto"/>
              <w:bottom w:val="nil"/>
              <w:right w:val="single" w:sz="4" w:space="0" w:color="auto"/>
            </w:tcBorders>
            <w:shd w:val="clear" w:color="auto" w:fill="D99594"/>
            <w:vAlign w:val="bottom"/>
          </w:tcPr>
          <w:p w14:paraId="0F950B89"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spacing w:val="4"/>
                <w:sz w:val="24"/>
                <w:szCs w:val="24"/>
                <w:lang w:val="sr-Latn-CS" w:eastAsia="sr-Latn-CS"/>
              </w:rPr>
              <w:t>Broj pojedinačnih Gram negativnih bakterija izolovanih iz hemokultura</w:t>
            </w:r>
          </w:p>
        </w:tc>
      </w:tr>
      <w:tr w:rsidR="005F768B" w:rsidRPr="00C65665" w14:paraId="14028507" w14:textId="77777777" w:rsidTr="00CC2905">
        <w:trPr>
          <w:trHeight w:val="230"/>
        </w:trPr>
        <w:tc>
          <w:tcPr>
            <w:tcW w:w="3739" w:type="dxa"/>
            <w:tcBorders>
              <w:top w:val="single" w:sz="4" w:space="0" w:color="auto"/>
              <w:left w:val="single" w:sz="4" w:space="0" w:color="auto"/>
              <w:bottom w:val="nil"/>
              <w:right w:val="nil"/>
            </w:tcBorders>
            <w:shd w:val="clear" w:color="auto" w:fill="E5B8B7"/>
            <w:vAlign w:val="bottom"/>
          </w:tcPr>
          <w:p w14:paraId="5FD88B81"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spacing w:val="4"/>
                <w:sz w:val="24"/>
                <w:szCs w:val="24"/>
                <w:lang w:val="sr-Latn-CS" w:eastAsia="sr-Latn-CS"/>
              </w:rPr>
              <w:t>Naziv bakterije</w:t>
            </w:r>
          </w:p>
        </w:tc>
        <w:tc>
          <w:tcPr>
            <w:tcW w:w="3650" w:type="dxa"/>
            <w:tcBorders>
              <w:top w:val="single" w:sz="4" w:space="0" w:color="auto"/>
              <w:left w:val="single" w:sz="4" w:space="0" w:color="auto"/>
              <w:bottom w:val="nil"/>
              <w:right w:val="single" w:sz="4" w:space="0" w:color="auto"/>
            </w:tcBorders>
            <w:shd w:val="clear" w:color="auto" w:fill="E5B8B7"/>
            <w:vAlign w:val="bottom"/>
          </w:tcPr>
          <w:p w14:paraId="116CBFB0"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spacing w:val="4"/>
                <w:sz w:val="24"/>
                <w:szCs w:val="24"/>
                <w:lang w:val="sr-Latn-CS" w:eastAsia="sr-Latn-CS"/>
              </w:rPr>
              <w:t>Broj izolata</w:t>
            </w:r>
          </w:p>
        </w:tc>
      </w:tr>
      <w:tr w:rsidR="005F768B" w:rsidRPr="00C65665" w14:paraId="3B3B7336" w14:textId="77777777" w:rsidTr="00CC2905">
        <w:trPr>
          <w:trHeight w:val="230"/>
        </w:trPr>
        <w:tc>
          <w:tcPr>
            <w:tcW w:w="3739" w:type="dxa"/>
            <w:tcBorders>
              <w:top w:val="single" w:sz="4" w:space="0" w:color="auto"/>
              <w:left w:val="single" w:sz="4" w:space="0" w:color="auto"/>
              <w:bottom w:val="nil"/>
              <w:right w:val="nil"/>
            </w:tcBorders>
            <w:shd w:val="clear" w:color="auto" w:fill="F2DBDB"/>
            <w:vAlign w:val="bottom"/>
          </w:tcPr>
          <w:p w14:paraId="3FB618F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Pseudomonas aeruginosa</w:t>
            </w:r>
          </w:p>
        </w:tc>
        <w:tc>
          <w:tcPr>
            <w:tcW w:w="3650" w:type="dxa"/>
            <w:tcBorders>
              <w:top w:val="single" w:sz="4" w:space="0" w:color="auto"/>
              <w:left w:val="single" w:sz="4" w:space="0" w:color="auto"/>
              <w:bottom w:val="nil"/>
              <w:right w:val="single" w:sz="4" w:space="0" w:color="auto"/>
            </w:tcBorders>
            <w:shd w:val="clear" w:color="auto" w:fill="F2DBDB"/>
            <w:vAlign w:val="bottom"/>
          </w:tcPr>
          <w:p w14:paraId="47E870C8"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9</w:t>
            </w:r>
          </w:p>
        </w:tc>
      </w:tr>
      <w:tr w:rsidR="005F768B" w:rsidRPr="00C65665" w14:paraId="5E2716CA" w14:textId="77777777" w:rsidTr="00CC2905">
        <w:trPr>
          <w:trHeight w:val="230"/>
        </w:trPr>
        <w:tc>
          <w:tcPr>
            <w:tcW w:w="3739" w:type="dxa"/>
            <w:tcBorders>
              <w:top w:val="single" w:sz="4" w:space="0" w:color="auto"/>
              <w:left w:val="single" w:sz="4" w:space="0" w:color="auto"/>
              <w:bottom w:val="nil"/>
              <w:right w:val="nil"/>
            </w:tcBorders>
            <w:shd w:val="clear" w:color="auto" w:fill="F2DBDB"/>
            <w:vAlign w:val="bottom"/>
          </w:tcPr>
          <w:p w14:paraId="72BFAE30"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Acinetobacter spp.</w:t>
            </w:r>
          </w:p>
        </w:tc>
        <w:tc>
          <w:tcPr>
            <w:tcW w:w="3650" w:type="dxa"/>
            <w:tcBorders>
              <w:top w:val="single" w:sz="4" w:space="0" w:color="auto"/>
              <w:left w:val="single" w:sz="4" w:space="0" w:color="auto"/>
              <w:bottom w:val="nil"/>
              <w:right w:val="single" w:sz="4" w:space="0" w:color="auto"/>
            </w:tcBorders>
            <w:shd w:val="clear" w:color="auto" w:fill="F2DBDB"/>
            <w:vAlign w:val="bottom"/>
          </w:tcPr>
          <w:p w14:paraId="3E8A63E5"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7</w:t>
            </w:r>
          </w:p>
        </w:tc>
      </w:tr>
      <w:tr w:rsidR="005F768B" w:rsidRPr="00C65665" w14:paraId="3D682758" w14:textId="77777777" w:rsidTr="00CC2905">
        <w:trPr>
          <w:trHeight w:val="225"/>
        </w:trPr>
        <w:tc>
          <w:tcPr>
            <w:tcW w:w="3739" w:type="dxa"/>
            <w:tcBorders>
              <w:top w:val="single" w:sz="4" w:space="0" w:color="auto"/>
              <w:left w:val="single" w:sz="4" w:space="0" w:color="auto"/>
              <w:bottom w:val="nil"/>
              <w:right w:val="nil"/>
            </w:tcBorders>
            <w:shd w:val="clear" w:color="auto" w:fill="F2DBDB"/>
            <w:vAlign w:val="bottom"/>
          </w:tcPr>
          <w:p w14:paraId="1CA231FB"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Proteus mirabilis</w:t>
            </w:r>
          </w:p>
        </w:tc>
        <w:tc>
          <w:tcPr>
            <w:tcW w:w="3650" w:type="dxa"/>
            <w:tcBorders>
              <w:top w:val="single" w:sz="4" w:space="0" w:color="auto"/>
              <w:left w:val="single" w:sz="4" w:space="0" w:color="auto"/>
              <w:bottom w:val="nil"/>
              <w:right w:val="single" w:sz="4" w:space="0" w:color="auto"/>
            </w:tcBorders>
            <w:shd w:val="clear" w:color="auto" w:fill="F2DBDB"/>
            <w:vAlign w:val="bottom"/>
          </w:tcPr>
          <w:p w14:paraId="1564218F"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7</w:t>
            </w:r>
          </w:p>
        </w:tc>
      </w:tr>
      <w:tr w:rsidR="005F768B" w:rsidRPr="00C65665" w14:paraId="194B43DC" w14:textId="77777777" w:rsidTr="00CC2905">
        <w:trPr>
          <w:trHeight w:val="230"/>
        </w:trPr>
        <w:tc>
          <w:tcPr>
            <w:tcW w:w="3739" w:type="dxa"/>
            <w:tcBorders>
              <w:top w:val="single" w:sz="4" w:space="0" w:color="auto"/>
              <w:left w:val="single" w:sz="4" w:space="0" w:color="auto"/>
              <w:bottom w:val="nil"/>
              <w:right w:val="nil"/>
            </w:tcBorders>
            <w:shd w:val="clear" w:color="auto" w:fill="F2DBDB"/>
            <w:vAlign w:val="bottom"/>
          </w:tcPr>
          <w:p w14:paraId="5FBA1DE1"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Escherichia coli</w:t>
            </w:r>
          </w:p>
        </w:tc>
        <w:tc>
          <w:tcPr>
            <w:tcW w:w="3650" w:type="dxa"/>
            <w:tcBorders>
              <w:top w:val="single" w:sz="4" w:space="0" w:color="auto"/>
              <w:left w:val="single" w:sz="4" w:space="0" w:color="auto"/>
              <w:bottom w:val="nil"/>
              <w:right w:val="single" w:sz="4" w:space="0" w:color="auto"/>
            </w:tcBorders>
            <w:shd w:val="clear" w:color="auto" w:fill="F2DBDB"/>
            <w:vAlign w:val="bottom"/>
          </w:tcPr>
          <w:p w14:paraId="0219227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5</w:t>
            </w:r>
          </w:p>
        </w:tc>
      </w:tr>
      <w:tr w:rsidR="005F768B" w:rsidRPr="00C65665" w14:paraId="286F5B92" w14:textId="77777777" w:rsidTr="00CC2905">
        <w:trPr>
          <w:trHeight w:val="230"/>
        </w:trPr>
        <w:tc>
          <w:tcPr>
            <w:tcW w:w="3739" w:type="dxa"/>
            <w:tcBorders>
              <w:top w:val="single" w:sz="4" w:space="0" w:color="auto"/>
              <w:left w:val="single" w:sz="4" w:space="0" w:color="auto"/>
              <w:bottom w:val="nil"/>
              <w:right w:val="nil"/>
            </w:tcBorders>
            <w:shd w:val="clear" w:color="auto" w:fill="F2DBDB"/>
            <w:vAlign w:val="bottom"/>
          </w:tcPr>
          <w:p w14:paraId="77771D99"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Klebsiella spp.</w:t>
            </w:r>
          </w:p>
        </w:tc>
        <w:tc>
          <w:tcPr>
            <w:tcW w:w="3650" w:type="dxa"/>
            <w:tcBorders>
              <w:top w:val="single" w:sz="4" w:space="0" w:color="auto"/>
              <w:left w:val="single" w:sz="4" w:space="0" w:color="auto"/>
              <w:bottom w:val="nil"/>
              <w:right w:val="single" w:sz="4" w:space="0" w:color="auto"/>
            </w:tcBorders>
            <w:shd w:val="clear" w:color="auto" w:fill="F2DBDB"/>
            <w:vAlign w:val="bottom"/>
          </w:tcPr>
          <w:p w14:paraId="2FB75CC9"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4</w:t>
            </w:r>
          </w:p>
        </w:tc>
      </w:tr>
      <w:tr w:rsidR="005F768B" w:rsidRPr="00C65665" w14:paraId="7F833AC0" w14:textId="77777777" w:rsidTr="00CC2905">
        <w:trPr>
          <w:trHeight w:val="230"/>
        </w:trPr>
        <w:tc>
          <w:tcPr>
            <w:tcW w:w="3739" w:type="dxa"/>
            <w:tcBorders>
              <w:top w:val="single" w:sz="4" w:space="0" w:color="auto"/>
              <w:left w:val="single" w:sz="4" w:space="0" w:color="auto"/>
              <w:bottom w:val="nil"/>
              <w:right w:val="nil"/>
            </w:tcBorders>
            <w:shd w:val="clear" w:color="auto" w:fill="F2DBDB"/>
            <w:vAlign w:val="bottom"/>
          </w:tcPr>
          <w:p w14:paraId="5318ADA1"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Serrata</w:t>
            </w:r>
          </w:p>
        </w:tc>
        <w:tc>
          <w:tcPr>
            <w:tcW w:w="3650" w:type="dxa"/>
            <w:tcBorders>
              <w:top w:val="single" w:sz="4" w:space="0" w:color="auto"/>
              <w:left w:val="single" w:sz="4" w:space="0" w:color="auto"/>
              <w:bottom w:val="nil"/>
              <w:right w:val="single" w:sz="4" w:space="0" w:color="auto"/>
            </w:tcBorders>
            <w:shd w:val="clear" w:color="auto" w:fill="F2DBDB"/>
            <w:vAlign w:val="bottom"/>
          </w:tcPr>
          <w:p w14:paraId="74C9DF2A"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2</w:t>
            </w:r>
          </w:p>
        </w:tc>
      </w:tr>
      <w:tr w:rsidR="005F768B" w:rsidRPr="00C65665" w14:paraId="38E86E73" w14:textId="77777777" w:rsidTr="00CC2905">
        <w:trPr>
          <w:trHeight w:val="257"/>
        </w:trPr>
        <w:tc>
          <w:tcPr>
            <w:tcW w:w="3739" w:type="dxa"/>
            <w:tcBorders>
              <w:top w:val="single" w:sz="4" w:space="0" w:color="auto"/>
              <w:left w:val="single" w:sz="4" w:space="0" w:color="auto"/>
              <w:bottom w:val="single" w:sz="4" w:space="0" w:color="auto"/>
              <w:right w:val="nil"/>
            </w:tcBorders>
            <w:shd w:val="clear" w:color="auto" w:fill="F2DBDB"/>
            <w:vAlign w:val="center"/>
          </w:tcPr>
          <w:p w14:paraId="6871D88D"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Proteus vulgaris</w:t>
            </w:r>
          </w:p>
        </w:tc>
        <w:tc>
          <w:tcPr>
            <w:tcW w:w="3650" w:type="dxa"/>
            <w:tcBorders>
              <w:top w:val="single" w:sz="4" w:space="0" w:color="auto"/>
              <w:left w:val="single" w:sz="4" w:space="0" w:color="auto"/>
              <w:bottom w:val="single" w:sz="4" w:space="0" w:color="auto"/>
              <w:right w:val="single" w:sz="4" w:space="0" w:color="auto"/>
            </w:tcBorders>
            <w:shd w:val="clear" w:color="auto" w:fill="F2DBDB"/>
            <w:vAlign w:val="bottom"/>
          </w:tcPr>
          <w:p w14:paraId="728D7C5A"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1</w:t>
            </w:r>
          </w:p>
        </w:tc>
      </w:tr>
    </w:tbl>
    <w:p w14:paraId="47E1FF07" w14:textId="11C00901" w:rsidR="005F768B" w:rsidRPr="00C65665" w:rsidRDefault="005F768B" w:rsidP="005F768B">
      <w:pPr>
        <w:spacing w:after="0" w:line="360" w:lineRule="auto"/>
        <w:rPr>
          <w:rFonts w:asciiTheme="majorBidi" w:eastAsia="Times New Roman" w:hAnsiTheme="majorBidi" w:cstheme="majorBidi"/>
          <w:i/>
          <w:iCs/>
          <w:spacing w:val="4"/>
          <w:sz w:val="24"/>
          <w:szCs w:val="24"/>
          <w:lang w:val="sr-Latn-CS" w:eastAsia="sr-Latn-CS"/>
        </w:rPr>
      </w:pPr>
      <w:r>
        <w:rPr>
          <w:noProof/>
        </w:rPr>
        <w:drawing>
          <wp:anchor distT="0" distB="0" distL="114300" distR="114300" simplePos="0" relativeHeight="251658240" behindDoc="0" locked="0" layoutInCell="1" allowOverlap="1" wp14:anchorId="25187AF8" wp14:editId="09E79C9E">
            <wp:simplePos x="0" y="0"/>
            <wp:positionH relativeFrom="margin">
              <wp:align>left</wp:align>
            </wp:positionH>
            <wp:positionV relativeFrom="paragraph">
              <wp:posOffset>218440</wp:posOffset>
            </wp:positionV>
            <wp:extent cx="3063240" cy="2682875"/>
            <wp:effectExtent l="0" t="0" r="3810" b="3175"/>
            <wp:wrapSquare wrapText="bothSides"/>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4"/>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3240" cy="268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0193CC" w14:textId="77777777" w:rsidR="005F768B" w:rsidRPr="00C65665" w:rsidRDefault="005F768B" w:rsidP="005F768B">
      <w:pPr>
        <w:keepNext/>
        <w:spacing w:after="0" w:line="360" w:lineRule="auto"/>
        <w:rPr>
          <w:rFonts w:asciiTheme="majorBidi" w:hAnsiTheme="majorBidi" w:cstheme="majorBidi"/>
          <w:sz w:val="24"/>
          <w:szCs w:val="24"/>
        </w:rPr>
      </w:pPr>
    </w:p>
    <w:p w14:paraId="0B8FD44D" w14:textId="77777777" w:rsidR="005F768B" w:rsidRPr="00C65665" w:rsidRDefault="005F768B" w:rsidP="005F768B">
      <w:pPr>
        <w:spacing w:after="0" w:line="360" w:lineRule="auto"/>
        <w:rPr>
          <w:rFonts w:asciiTheme="majorBidi" w:eastAsia="Times New Roman" w:hAnsiTheme="majorBidi" w:cstheme="majorBidi"/>
          <w:i/>
          <w:spacing w:val="4"/>
          <w:sz w:val="24"/>
          <w:szCs w:val="24"/>
          <w:lang w:val="sr-Latn-CS" w:eastAsia="sr-Latn-CS"/>
        </w:rPr>
      </w:pPr>
      <w:bookmarkStart w:id="21" w:name="_Toc76321283"/>
      <w:r w:rsidRPr="00C65665">
        <w:rPr>
          <w:rFonts w:asciiTheme="majorBidi" w:hAnsiTheme="majorBidi" w:cstheme="majorBidi"/>
          <w:i/>
          <w:sz w:val="24"/>
          <w:szCs w:val="24"/>
        </w:rPr>
        <w:t>Slika 4</w:t>
      </w:r>
      <w:r w:rsidRPr="00C65665">
        <w:rPr>
          <w:rFonts w:asciiTheme="majorBidi" w:hAnsiTheme="majorBidi" w:cstheme="majorBidi"/>
          <w:i/>
          <w:sz w:val="24"/>
          <w:szCs w:val="24"/>
        </w:rPr>
        <w:fldChar w:fldCharType="begin"/>
      </w:r>
      <w:r w:rsidRPr="00C65665">
        <w:rPr>
          <w:rFonts w:asciiTheme="majorBidi" w:hAnsiTheme="majorBidi" w:cstheme="majorBidi"/>
          <w:i/>
          <w:sz w:val="24"/>
          <w:szCs w:val="24"/>
        </w:rPr>
        <w:instrText xml:space="preserve"> SEQ Slika \* ARABIC </w:instrText>
      </w:r>
      <w:r w:rsidRPr="00C65665">
        <w:rPr>
          <w:rFonts w:asciiTheme="majorBidi" w:hAnsiTheme="majorBidi" w:cstheme="majorBidi"/>
          <w:i/>
          <w:sz w:val="24"/>
          <w:szCs w:val="24"/>
        </w:rPr>
        <w:fldChar w:fldCharType="end"/>
      </w:r>
      <w:r w:rsidRPr="00C65665">
        <w:rPr>
          <w:rFonts w:asciiTheme="majorBidi" w:hAnsiTheme="majorBidi" w:cstheme="majorBidi"/>
          <w:i/>
          <w:sz w:val="24"/>
          <w:szCs w:val="24"/>
        </w:rPr>
        <w:t xml:space="preserve">. </w:t>
      </w:r>
      <w:r w:rsidRPr="00C65665">
        <w:rPr>
          <w:rFonts w:asciiTheme="majorBidi" w:eastAsia="Times New Roman" w:hAnsiTheme="majorBidi" w:cstheme="majorBidi"/>
          <w:i/>
          <w:spacing w:val="4"/>
          <w:sz w:val="24"/>
          <w:szCs w:val="24"/>
          <w:lang w:val="sr-Latn-CS" w:eastAsia="sr-Latn-CS"/>
        </w:rPr>
        <w:t>Gram – bakterije u hemokulturama</w:t>
      </w:r>
      <w:bookmarkEnd w:id="21"/>
    </w:p>
    <w:p w14:paraId="27D043A0" w14:textId="77777777" w:rsidR="005F768B" w:rsidRPr="00C65665" w:rsidRDefault="005F768B" w:rsidP="005F768B">
      <w:pPr>
        <w:pStyle w:val="Caption"/>
        <w:spacing w:after="0"/>
        <w:rPr>
          <w:rFonts w:asciiTheme="majorBidi" w:eastAsia="Times New Roman" w:hAnsiTheme="majorBidi" w:cstheme="majorBidi"/>
          <w:i w:val="0"/>
          <w:iCs w:val="0"/>
          <w:color w:val="auto"/>
          <w:spacing w:val="4"/>
          <w:sz w:val="24"/>
          <w:szCs w:val="24"/>
          <w:lang w:val="sr-Latn-CS" w:eastAsia="sr-Latn-CS"/>
        </w:rPr>
      </w:pPr>
    </w:p>
    <w:p w14:paraId="7BBF06B2" w14:textId="15701100" w:rsidR="005F768B" w:rsidRDefault="005F768B" w:rsidP="005F768B">
      <w:pPr>
        <w:spacing w:after="0" w:line="360" w:lineRule="auto"/>
        <w:ind w:firstLine="720"/>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Na </w:t>
      </w:r>
      <w:r w:rsidRPr="00C65665">
        <w:rPr>
          <w:rFonts w:asciiTheme="majorBidi" w:eastAsia="Times New Roman" w:hAnsiTheme="majorBidi" w:cstheme="majorBidi"/>
          <w:i/>
          <w:iCs/>
          <w:spacing w:val="4"/>
          <w:sz w:val="24"/>
          <w:szCs w:val="24"/>
          <w:lang w:val="sr-Latn-CS" w:eastAsia="sr-Latn-CS"/>
        </w:rPr>
        <w:t>Slici 4.</w:t>
      </w:r>
      <w:r w:rsidRPr="00C65665">
        <w:rPr>
          <w:rFonts w:asciiTheme="majorBidi" w:eastAsia="Times New Roman" w:hAnsiTheme="majorBidi" w:cstheme="majorBidi"/>
          <w:spacing w:val="4"/>
          <w:sz w:val="24"/>
          <w:szCs w:val="24"/>
          <w:lang w:val="sr-Latn-CS" w:eastAsia="sr-Latn-CS"/>
        </w:rPr>
        <w:t xml:space="preserve"> prikazan je odnos zastupljenosti pojedinačnih Gram negativnih bakterija, od 108 pozitivnih hemokultura, izražen u procentima gdje se vidi da je najčešće izolovana Gram negativna bakterija </w:t>
      </w:r>
      <w:r w:rsidRPr="00C65665">
        <w:rPr>
          <w:rFonts w:asciiTheme="majorBidi" w:eastAsia="Times New Roman" w:hAnsiTheme="majorBidi" w:cstheme="majorBidi"/>
          <w:i/>
          <w:iCs/>
          <w:spacing w:val="4"/>
          <w:sz w:val="24"/>
          <w:szCs w:val="24"/>
          <w:lang w:val="sr-Latn-CS" w:eastAsia="sr-Latn-CS"/>
        </w:rPr>
        <w:t>Pseudomonas aeruginosa</w:t>
      </w:r>
      <w:r w:rsidRPr="00C65665">
        <w:rPr>
          <w:rFonts w:asciiTheme="majorBidi" w:eastAsia="Times New Roman" w:hAnsiTheme="majorBidi" w:cstheme="majorBidi"/>
          <w:spacing w:val="4"/>
          <w:sz w:val="24"/>
          <w:szCs w:val="24"/>
          <w:lang w:val="sr-Latn-CS" w:eastAsia="sr-Latn-CS"/>
        </w:rPr>
        <w:t xml:space="preserve"> sa 8,33% tj. 9 izolata, zatim sljede </w:t>
      </w:r>
      <w:r w:rsidRPr="00C65665">
        <w:rPr>
          <w:rFonts w:asciiTheme="majorBidi" w:eastAsia="Times New Roman" w:hAnsiTheme="majorBidi" w:cstheme="majorBidi"/>
          <w:i/>
          <w:iCs/>
          <w:spacing w:val="4"/>
          <w:sz w:val="24"/>
          <w:szCs w:val="24"/>
          <w:lang w:val="sr-Latn-CS" w:eastAsia="sr-Latn-CS"/>
        </w:rPr>
        <w:t>Proteus mirabilis</w:t>
      </w:r>
      <w:r w:rsidRPr="00C65665">
        <w:rPr>
          <w:rFonts w:asciiTheme="majorBidi" w:eastAsia="Times New Roman" w:hAnsiTheme="majorBidi" w:cstheme="majorBidi"/>
          <w:spacing w:val="4"/>
          <w:sz w:val="24"/>
          <w:szCs w:val="24"/>
          <w:lang w:val="sr-Latn-CS" w:eastAsia="sr-Latn-CS"/>
        </w:rPr>
        <w:t xml:space="preserve"> i </w:t>
      </w:r>
      <w:r w:rsidRPr="00C65665">
        <w:rPr>
          <w:rFonts w:asciiTheme="majorBidi" w:eastAsia="Times New Roman" w:hAnsiTheme="majorBidi" w:cstheme="majorBidi"/>
          <w:i/>
          <w:iCs/>
          <w:spacing w:val="4"/>
          <w:sz w:val="24"/>
          <w:szCs w:val="24"/>
          <w:lang w:val="sr-Latn-CS" w:eastAsia="sr-Latn-CS"/>
        </w:rPr>
        <w:t>Acinetobacter spp.</w:t>
      </w:r>
      <w:r w:rsidRPr="00C65665">
        <w:rPr>
          <w:rFonts w:asciiTheme="majorBidi" w:eastAsia="Times New Roman" w:hAnsiTheme="majorBidi" w:cstheme="majorBidi"/>
          <w:spacing w:val="4"/>
          <w:sz w:val="24"/>
          <w:szCs w:val="24"/>
          <w:lang w:val="sr-Latn-CS" w:eastAsia="sr-Latn-CS"/>
        </w:rPr>
        <w:t xml:space="preserve"> sa po 6,48% tj. po 7 izolata, zatim </w:t>
      </w:r>
      <w:r w:rsidRPr="00C65665">
        <w:rPr>
          <w:rFonts w:asciiTheme="majorBidi" w:eastAsia="Times New Roman" w:hAnsiTheme="majorBidi" w:cstheme="majorBidi"/>
          <w:i/>
          <w:iCs/>
          <w:spacing w:val="4"/>
          <w:sz w:val="24"/>
          <w:szCs w:val="24"/>
          <w:lang w:val="sr-Latn-CS" w:eastAsia="sr-Latn-CS"/>
        </w:rPr>
        <w:t>Escherichia coli</w:t>
      </w:r>
      <w:r w:rsidRPr="00C65665">
        <w:rPr>
          <w:rFonts w:asciiTheme="majorBidi" w:eastAsia="Times New Roman" w:hAnsiTheme="majorBidi" w:cstheme="majorBidi"/>
          <w:spacing w:val="4"/>
          <w:sz w:val="24"/>
          <w:szCs w:val="24"/>
          <w:lang w:val="sr-Latn-CS" w:eastAsia="sr-Latn-CS"/>
        </w:rPr>
        <w:t xml:space="preserve"> sa 4,63% tj. 5 izolata, </w:t>
      </w:r>
      <w:r w:rsidRPr="00C65665">
        <w:rPr>
          <w:rFonts w:asciiTheme="majorBidi" w:eastAsia="Times New Roman" w:hAnsiTheme="majorBidi" w:cstheme="majorBidi"/>
          <w:i/>
          <w:iCs/>
          <w:spacing w:val="4"/>
          <w:sz w:val="24"/>
          <w:szCs w:val="24"/>
          <w:lang w:val="sr-Latn-CS" w:eastAsia="sr-Latn-CS"/>
        </w:rPr>
        <w:t>Klebsiella</w:t>
      </w:r>
      <w:r w:rsidRPr="00C65665">
        <w:rPr>
          <w:rFonts w:asciiTheme="majorBidi" w:eastAsia="Times New Roman" w:hAnsiTheme="majorBidi" w:cstheme="majorBidi"/>
          <w:spacing w:val="4"/>
          <w:sz w:val="24"/>
          <w:szCs w:val="24"/>
          <w:lang w:val="sr-Latn-CS" w:eastAsia="sr-Latn-CS"/>
        </w:rPr>
        <w:t xml:space="preserve"> sa 3,70% tj. 4 izolata, </w:t>
      </w:r>
      <w:r w:rsidRPr="00C65665">
        <w:rPr>
          <w:rFonts w:asciiTheme="majorBidi" w:eastAsia="Times New Roman" w:hAnsiTheme="majorBidi" w:cstheme="majorBidi"/>
          <w:i/>
          <w:iCs/>
          <w:spacing w:val="4"/>
          <w:sz w:val="24"/>
          <w:szCs w:val="24"/>
          <w:lang w:val="sr-Latn-CS" w:eastAsia="sr-Latn-CS"/>
        </w:rPr>
        <w:t>Serratia</w:t>
      </w:r>
      <w:r w:rsidRPr="00C65665">
        <w:rPr>
          <w:rFonts w:asciiTheme="majorBidi" w:eastAsia="Times New Roman" w:hAnsiTheme="majorBidi" w:cstheme="majorBidi"/>
          <w:spacing w:val="4"/>
          <w:sz w:val="24"/>
          <w:szCs w:val="24"/>
          <w:lang w:val="sr-Latn-CS" w:eastAsia="sr-Latn-CS"/>
        </w:rPr>
        <w:t xml:space="preserve"> sa 1,85% tj. 2 izolata i </w:t>
      </w:r>
      <w:r w:rsidRPr="00C65665">
        <w:rPr>
          <w:rFonts w:asciiTheme="majorBidi" w:eastAsia="Times New Roman" w:hAnsiTheme="majorBidi" w:cstheme="majorBidi"/>
          <w:i/>
          <w:iCs/>
          <w:spacing w:val="4"/>
          <w:sz w:val="24"/>
          <w:szCs w:val="24"/>
          <w:lang w:val="sr-Latn-CS" w:eastAsia="sr-Latn-CS"/>
        </w:rPr>
        <w:t>Proteus vulgaris</w:t>
      </w:r>
      <w:r w:rsidRPr="00C65665">
        <w:rPr>
          <w:rFonts w:asciiTheme="majorBidi" w:eastAsia="Times New Roman" w:hAnsiTheme="majorBidi" w:cstheme="majorBidi"/>
          <w:spacing w:val="4"/>
          <w:sz w:val="24"/>
          <w:szCs w:val="24"/>
          <w:lang w:val="sr-Latn-CS" w:eastAsia="sr-Latn-CS"/>
        </w:rPr>
        <w:t xml:space="preserve"> sa 0,93% tj. 1 izolat.</w:t>
      </w:r>
    </w:p>
    <w:p w14:paraId="0748D7F0" w14:textId="1090C8BD" w:rsidR="00902AB6" w:rsidRDefault="00902AB6" w:rsidP="005F768B">
      <w:pPr>
        <w:spacing w:after="0" w:line="360" w:lineRule="auto"/>
        <w:ind w:firstLine="720"/>
        <w:jc w:val="both"/>
        <w:rPr>
          <w:rFonts w:asciiTheme="majorBidi" w:eastAsia="Times New Roman" w:hAnsiTheme="majorBidi" w:cstheme="majorBidi"/>
          <w:spacing w:val="4"/>
          <w:sz w:val="24"/>
          <w:szCs w:val="24"/>
          <w:lang w:val="sr-Latn-CS" w:eastAsia="sr-Latn-CS"/>
        </w:rPr>
      </w:pPr>
    </w:p>
    <w:p w14:paraId="1D71B721" w14:textId="2E8B36DE" w:rsidR="00902AB6" w:rsidRDefault="00902AB6" w:rsidP="005F768B">
      <w:pPr>
        <w:spacing w:after="0" w:line="360" w:lineRule="auto"/>
        <w:ind w:firstLine="720"/>
        <w:jc w:val="both"/>
        <w:rPr>
          <w:rFonts w:asciiTheme="majorBidi" w:eastAsia="Times New Roman" w:hAnsiTheme="majorBidi" w:cstheme="majorBidi"/>
          <w:spacing w:val="4"/>
          <w:sz w:val="24"/>
          <w:szCs w:val="24"/>
          <w:lang w:val="sr-Latn-CS" w:eastAsia="sr-Latn-CS"/>
        </w:rPr>
      </w:pPr>
    </w:p>
    <w:p w14:paraId="2DC4C03C" w14:textId="700F929D" w:rsidR="00902AB6" w:rsidRDefault="00902AB6" w:rsidP="005F768B">
      <w:pPr>
        <w:spacing w:after="0" w:line="360" w:lineRule="auto"/>
        <w:ind w:firstLine="720"/>
        <w:jc w:val="both"/>
        <w:rPr>
          <w:rFonts w:asciiTheme="majorBidi" w:eastAsia="Times New Roman" w:hAnsiTheme="majorBidi" w:cstheme="majorBidi"/>
          <w:spacing w:val="4"/>
          <w:sz w:val="24"/>
          <w:szCs w:val="24"/>
          <w:lang w:val="sr-Latn-CS" w:eastAsia="sr-Latn-CS"/>
        </w:rPr>
      </w:pPr>
    </w:p>
    <w:p w14:paraId="2078828E" w14:textId="77777777" w:rsidR="00902AB6" w:rsidRDefault="00902AB6" w:rsidP="005F768B">
      <w:pPr>
        <w:spacing w:after="0" w:line="360" w:lineRule="auto"/>
        <w:ind w:firstLine="720"/>
        <w:jc w:val="both"/>
        <w:rPr>
          <w:rFonts w:asciiTheme="majorBidi" w:eastAsia="Times New Roman" w:hAnsiTheme="majorBidi" w:cstheme="majorBidi"/>
          <w:spacing w:val="4"/>
          <w:sz w:val="24"/>
          <w:szCs w:val="24"/>
          <w:lang w:val="sr-Latn-CS" w:eastAsia="sr-Latn-CS"/>
        </w:rPr>
      </w:pPr>
    </w:p>
    <w:p w14:paraId="18EE895B" w14:textId="74FF4138" w:rsidR="00E34F2B" w:rsidRDefault="00E34F2B" w:rsidP="005F768B">
      <w:pPr>
        <w:spacing w:after="0" w:line="360" w:lineRule="auto"/>
        <w:ind w:firstLine="720"/>
        <w:jc w:val="both"/>
        <w:rPr>
          <w:rFonts w:asciiTheme="majorBidi" w:eastAsia="Times New Roman" w:hAnsiTheme="majorBidi" w:cstheme="majorBidi"/>
          <w:spacing w:val="4"/>
          <w:sz w:val="24"/>
          <w:szCs w:val="24"/>
          <w:lang w:val="sr-Latn-CS" w:eastAsia="sr-Latn-CS"/>
        </w:rPr>
      </w:pPr>
    </w:p>
    <w:p w14:paraId="7F75E9B7" w14:textId="77777777" w:rsidR="00E34F2B" w:rsidRPr="00C65665" w:rsidRDefault="00E34F2B" w:rsidP="005F768B">
      <w:pPr>
        <w:spacing w:after="0" w:line="360" w:lineRule="auto"/>
        <w:ind w:firstLine="720"/>
        <w:jc w:val="both"/>
        <w:rPr>
          <w:rFonts w:asciiTheme="majorBidi" w:eastAsia="Times New Roman" w:hAnsiTheme="majorBidi" w:cstheme="majorBidi"/>
          <w:spacing w:val="4"/>
          <w:sz w:val="24"/>
          <w:szCs w:val="24"/>
          <w:lang w:val="sr-Latn-CS" w:eastAsia="sr-Latn-CS"/>
        </w:rPr>
      </w:pPr>
    </w:p>
    <w:p w14:paraId="6A70D5FE" w14:textId="77777777" w:rsidR="005F768B" w:rsidRPr="00C65665" w:rsidRDefault="005F768B" w:rsidP="005F768B">
      <w:pPr>
        <w:pStyle w:val="Caption"/>
        <w:keepNext/>
        <w:spacing w:after="0"/>
        <w:rPr>
          <w:rFonts w:asciiTheme="majorBidi" w:hAnsiTheme="majorBidi" w:cstheme="majorBidi"/>
          <w:color w:val="auto"/>
          <w:spacing w:val="4"/>
          <w:sz w:val="24"/>
          <w:szCs w:val="24"/>
        </w:rPr>
      </w:pPr>
      <w:bookmarkStart w:id="22" w:name="_Toc75694176"/>
      <w:bookmarkStart w:id="23" w:name="_Toc76321290"/>
      <w:r w:rsidRPr="00C65665">
        <w:rPr>
          <w:rFonts w:asciiTheme="majorBidi" w:hAnsiTheme="majorBidi" w:cstheme="majorBidi"/>
          <w:color w:val="auto"/>
          <w:spacing w:val="4"/>
          <w:sz w:val="24"/>
          <w:szCs w:val="24"/>
        </w:rPr>
        <w:lastRenderedPageBreak/>
        <w:t xml:space="preserve">Tabela 6. </w:t>
      </w:r>
      <w:r w:rsidRPr="00C65665">
        <w:rPr>
          <w:rFonts w:asciiTheme="majorBidi" w:eastAsia="Times New Roman" w:hAnsiTheme="majorBidi" w:cstheme="majorBidi"/>
          <w:color w:val="auto"/>
          <w:spacing w:val="4"/>
          <w:sz w:val="24"/>
          <w:szCs w:val="24"/>
          <w:lang w:val="sr-Latn-CS" w:eastAsia="sr-Latn-CS"/>
        </w:rPr>
        <w:t>Rezultati izolovanih bakterija i njihova senzitivnost i rezistencija na antibiotike</w:t>
      </w:r>
      <w:bookmarkEnd w:id="22"/>
      <w:bookmarkEnd w:id="23"/>
    </w:p>
    <w:tbl>
      <w:tblPr>
        <w:tblW w:w="85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1"/>
        <w:gridCol w:w="1200"/>
        <w:gridCol w:w="1294"/>
        <w:gridCol w:w="834"/>
        <w:gridCol w:w="986"/>
        <w:gridCol w:w="849"/>
        <w:gridCol w:w="849"/>
        <w:gridCol w:w="859"/>
      </w:tblGrid>
      <w:tr w:rsidR="005F768B" w:rsidRPr="00C65665" w14:paraId="5BCD2806" w14:textId="77777777" w:rsidTr="00CC2905">
        <w:trPr>
          <w:trHeight w:val="309"/>
        </w:trPr>
        <w:tc>
          <w:tcPr>
            <w:tcW w:w="8502" w:type="dxa"/>
            <w:gridSpan w:val="8"/>
            <w:shd w:val="clear" w:color="auto" w:fill="D99594"/>
          </w:tcPr>
          <w:p w14:paraId="05CE70E1" w14:textId="77777777" w:rsidR="005F768B" w:rsidRPr="00C65665" w:rsidRDefault="005F768B" w:rsidP="00CC2905">
            <w:pPr>
              <w:spacing w:after="0" w:line="360" w:lineRule="auto"/>
              <w:rPr>
                <w:rFonts w:asciiTheme="majorBidi" w:eastAsia="Times New Roman" w:hAnsiTheme="majorBidi" w:cstheme="majorBidi"/>
                <w:b/>
                <w:bCs/>
                <w:spacing w:val="4"/>
                <w:sz w:val="24"/>
                <w:szCs w:val="24"/>
                <w:lang w:val="sr-Latn-CS" w:eastAsia="sr-Latn-CS"/>
              </w:rPr>
            </w:pPr>
            <w:r w:rsidRPr="00C65665">
              <w:rPr>
                <w:rFonts w:asciiTheme="majorBidi" w:eastAsia="Times New Roman" w:hAnsiTheme="majorBidi" w:cstheme="majorBidi"/>
                <w:b/>
                <w:bCs/>
                <w:spacing w:val="4"/>
                <w:sz w:val="24"/>
                <w:szCs w:val="24"/>
                <w:lang w:val="sr-Latn-CS" w:eastAsia="sr-Latn-CS"/>
              </w:rPr>
              <w:t>Senzitivnost izolovanih Gram negativnih bakterija na antibiotike</w:t>
            </w:r>
          </w:p>
        </w:tc>
      </w:tr>
      <w:tr w:rsidR="005F768B" w:rsidRPr="00C65665" w14:paraId="14C04E5A" w14:textId="77777777" w:rsidTr="00CC29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34"/>
        </w:trPr>
        <w:tc>
          <w:tcPr>
            <w:tcW w:w="1631" w:type="dxa"/>
            <w:vMerge w:val="restart"/>
            <w:tcBorders>
              <w:top w:val="single" w:sz="4" w:space="0" w:color="auto"/>
              <w:left w:val="single" w:sz="4" w:space="0" w:color="auto"/>
              <w:bottom w:val="nil"/>
              <w:right w:val="nil"/>
            </w:tcBorders>
            <w:shd w:val="clear" w:color="auto" w:fill="F2DBDB"/>
          </w:tcPr>
          <w:p w14:paraId="68856889"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spacing w:val="4"/>
                <w:sz w:val="24"/>
                <w:szCs w:val="24"/>
                <w:lang w:val="sr-Latn-CS" w:eastAsia="sr-Latn-CS"/>
              </w:rPr>
              <w:t>Antibiotici</w:t>
            </w:r>
          </w:p>
        </w:tc>
        <w:tc>
          <w:tcPr>
            <w:tcW w:w="6871" w:type="dxa"/>
            <w:gridSpan w:val="7"/>
            <w:tcBorders>
              <w:top w:val="single" w:sz="4" w:space="0" w:color="auto"/>
              <w:left w:val="single" w:sz="4" w:space="0" w:color="auto"/>
              <w:bottom w:val="single" w:sz="4" w:space="0" w:color="auto"/>
              <w:right w:val="single" w:sz="4" w:space="0" w:color="auto"/>
            </w:tcBorders>
            <w:shd w:val="clear" w:color="auto" w:fill="E5B8B7"/>
            <w:vAlign w:val="bottom"/>
          </w:tcPr>
          <w:p w14:paraId="6108415C"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b/>
                <w:bCs/>
                <w:spacing w:val="4"/>
                <w:sz w:val="24"/>
                <w:szCs w:val="24"/>
                <w:lang w:val="sr-Latn-CS" w:eastAsia="sr-Latn-CS"/>
              </w:rPr>
              <w:t>Izolovane Gram negativne bakterije</w:t>
            </w:r>
          </w:p>
        </w:tc>
      </w:tr>
      <w:tr w:rsidR="005F768B" w:rsidRPr="00C65665" w14:paraId="2BAF76A4" w14:textId="77777777" w:rsidTr="00CC29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08"/>
        </w:trPr>
        <w:tc>
          <w:tcPr>
            <w:tcW w:w="1631" w:type="dxa"/>
            <w:vMerge/>
            <w:tcBorders>
              <w:top w:val="single" w:sz="4" w:space="0" w:color="auto"/>
              <w:left w:val="single" w:sz="4" w:space="0" w:color="auto"/>
              <w:bottom w:val="nil"/>
              <w:right w:val="nil"/>
            </w:tcBorders>
            <w:shd w:val="clear" w:color="auto" w:fill="F2DBDB"/>
          </w:tcPr>
          <w:p w14:paraId="308A83B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p>
        </w:tc>
        <w:tc>
          <w:tcPr>
            <w:tcW w:w="1200" w:type="dxa"/>
            <w:tcBorders>
              <w:top w:val="single" w:sz="4" w:space="0" w:color="auto"/>
              <w:left w:val="single" w:sz="4" w:space="0" w:color="auto"/>
              <w:bottom w:val="nil"/>
              <w:right w:val="nil"/>
            </w:tcBorders>
            <w:shd w:val="clear" w:color="auto" w:fill="F2DBDB"/>
            <w:vAlign w:val="bottom"/>
          </w:tcPr>
          <w:p w14:paraId="4CEB3BEC"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Pseudomonas</w:t>
            </w:r>
          </w:p>
          <w:p w14:paraId="7766BB07"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aeruginosa</w:t>
            </w:r>
          </w:p>
        </w:tc>
        <w:tc>
          <w:tcPr>
            <w:tcW w:w="1294" w:type="dxa"/>
            <w:tcBorders>
              <w:top w:val="single" w:sz="4" w:space="0" w:color="auto"/>
              <w:left w:val="single" w:sz="4" w:space="0" w:color="auto"/>
              <w:bottom w:val="nil"/>
              <w:right w:val="nil"/>
            </w:tcBorders>
            <w:shd w:val="clear" w:color="auto" w:fill="F2DBDB"/>
            <w:vAlign w:val="bottom"/>
          </w:tcPr>
          <w:p w14:paraId="3B21E3C5"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Acinetobacter</w:t>
            </w:r>
          </w:p>
          <w:p w14:paraId="1E2BC985"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spp.</w:t>
            </w:r>
          </w:p>
        </w:tc>
        <w:tc>
          <w:tcPr>
            <w:tcW w:w="834" w:type="dxa"/>
            <w:tcBorders>
              <w:top w:val="single" w:sz="4" w:space="0" w:color="auto"/>
              <w:left w:val="single" w:sz="4" w:space="0" w:color="auto"/>
              <w:bottom w:val="nil"/>
              <w:right w:val="nil"/>
            </w:tcBorders>
            <w:shd w:val="clear" w:color="auto" w:fill="F2DBDB"/>
            <w:vAlign w:val="bottom"/>
          </w:tcPr>
          <w:p w14:paraId="10DEBBB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Proteus</w:t>
            </w:r>
          </w:p>
          <w:p w14:paraId="4BD3875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mirabilis</w:t>
            </w:r>
          </w:p>
        </w:tc>
        <w:tc>
          <w:tcPr>
            <w:tcW w:w="986" w:type="dxa"/>
            <w:tcBorders>
              <w:top w:val="single" w:sz="4" w:space="0" w:color="auto"/>
              <w:left w:val="single" w:sz="4" w:space="0" w:color="auto"/>
              <w:bottom w:val="nil"/>
              <w:right w:val="nil"/>
            </w:tcBorders>
            <w:shd w:val="clear" w:color="auto" w:fill="F2DBDB"/>
            <w:vAlign w:val="bottom"/>
          </w:tcPr>
          <w:p w14:paraId="0CFBC8C2"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Escherichia</w:t>
            </w:r>
          </w:p>
          <w:p w14:paraId="32517E2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coli</w:t>
            </w:r>
          </w:p>
        </w:tc>
        <w:tc>
          <w:tcPr>
            <w:tcW w:w="849" w:type="dxa"/>
            <w:tcBorders>
              <w:top w:val="single" w:sz="4" w:space="0" w:color="auto"/>
              <w:left w:val="single" w:sz="4" w:space="0" w:color="auto"/>
              <w:bottom w:val="nil"/>
              <w:right w:val="nil"/>
            </w:tcBorders>
            <w:shd w:val="clear" w:color="auto" w:fill="F2DBDB"/>
            <w:vAlign w:val="bottom"/>
          </w:tcPr>
          <w:p w14:paraId="7B60DF60"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Klebsiella</w:t>
            </w:r>
          </w:p>
          <w:p w14:paraId="4E665DD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spp.</w:t>
            </w:r>
          </w:p>
        </w:tc>
        <w:tc>
          <w:tcPr>
            <w:tcW w:w="849" w:type="dxa"/>
            <w:tcBorders>
              <w:top w:val="single" w:sz="4" w:space="0" w:color="auto"/>
              <w:left w:val="single" w:sz="4" w:space="0" w:color="auto"/>
              <w:bottom w:val="nil"/>
              <w:right w:val="nil"/>
            </w:tcBorders>
            <w:shd w:val="clear" w:color="auto" w:fill="F2DBDB"/>
          </w:tcPr>
          <w:p w14:paraId="482AAD3D"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Serratia</w:t>
            </w:r>
          </w:p>
        </w:tc>
        <w:tc>
          <w:tcPr>
            <w:tcW w:w="855" w:type="dxa"/>
            <w:tcBorders>
              <w:top w:val="single" w:sz="4" w:space="0" w:color="auto"/>
              <w:left w:val="single" w:sz="4" w:space="0" w:color="auto"/>
              <w:bottom w:val="nil"/>
              <w:right w:val="single" w:sz="4" w:space="0" w:color="auto"/>
            </w:tcBorders>
            <w:shd w:val="clear" w:color="auto" w:fill="F2DBDB"/>
            <w:vAlign w:val="bottom"/>
          </w:tcPr>
          <w:p w14:paraId="2844D67A"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Proteus</w:t>
            </w:r>
          </w:p>
          <w:p w14:paraId="73E4CD9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i/>
                <w:iCs/>
                <w:spacing w:val="4"/>
                <w:sz w:val="24"/>
                <w:szCs w:val="24"/>
                <w:lang w:val="sr-Latn-CS" w:eastAsia="sr-Latn-CS"/>
              </w:rPr>
              <w:t>vulgaris</w:t>
            </w:r>
          </w:p>
        </w:tc>
      </w:tr>
      <w:tr w:rsidR="005F768B" w:rsidRPr="00C65665" w14:paraId="5055F028" w14:textId="77777777" w:rsidTr="00CC29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08"/>
        </w:trPr>
        <w:tc>
          <w:tcPr>
            <w:tcW w:w="1631" w:type="dxa"/>
            <w:vMerge/>
            <w:tcBorders>
              <w:top w:val="nil"/>
              <w:left w:val="single" w:sz="4" w:space="0" w:color="auto"/>
              <w:bottom w:val="nil"/>
              <w:right w:val="nil"/>
            </w:tcBorders>
            <w:shd w:val="clear" w:color="auto" w:fill="F2DBDB"/>
          </w:tcPr>
          <w:p w14:paraId="05673D5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p>
        </w:tc>
        <w:tc>
          <w:tcPr>
            <w:tcW w:w="1200" w:type="dxa"/>
            <w:tcBorders>
              <w:top w:val="single" w:sz="4" w:space="0" w:color="auto"/>
              <w:left w:val="single" w:sz="4" w:space="0" w:color="auto"/>
              <w:bottom w:val="nil"/>
              <w:right w:val="nil"/>
            </w:tcBorders>
            <w:shd w:val="clear" w:color="auto" w:fill="B8CCE4"/>
          </w:tcPr>
          <w:p w14:paraId="64A8B1DB"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broj izolata 9</w:t>
            </w:r>
          </w:p>
        </w:tc>
        <w:tc>
          <w:tcPr>
            <w:tcW w:w="1294" w:type="dxa"/>
            <w:tcBorders>
              <w:top w:val="single" w:sz="4" w:space="0" w:color="auto"/>
              <w:left w:val="single" w:sz="4" w:space="0" w:color="auto"/>
              <w:bottom w:val="nil"/>
              <w:right w:val="nil"/>
            </w:tcBorders>
            <w:shd w:val="clear" w:color="auto" w:fill="B8CCE4"/>
          </w:tcPr>
          <w:p w14:paraId="36BBFF71"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broj izolata 7</w:t>
            </w:r>
          </w:p>
        </w:tc>
        <w:tc>
          <w:tcPr>
            <w:tcW w:w="834" w:type="dxa"/>
            <w:tcBorders>
              <w:top w:val="single" w:sz="4" w:space="0" w:color="auto"/>
              <w:left w:val="single" w:sz="4" w:space="0" w:color="auto"/>
              <w:bottom w:val="nil"/>
              <w:right w:val="nil"/>
            </w:tcBorders>
            <w:shd w:val="clear" w:color="auto" w:fill="B8CCE4"/>
          </w:tcPr>
          <w:p w14:paraId="65436691"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broj</w:t>
            </w:r>
          </w:p>
          <w:p w14:paraId="65C2C4AE"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izolata 7</w:t>
            </w:r>
          </w:p>
        </w:tc>
        <w:tc>
          <w:tcPr>
            <w:tcW w:w="986" w:type="dxa"/>
            <w:tcBorders>
              <w:top w:val="single" w:sz="4" w:space="0" w:color="auto"/>
              <w:left w:val="single" w:sz="4" w:space="0" w:color="auto"/>
              <w:bottom w:val="nil"/>
              <w:right w:val="nil"/>
            </w:tcBorders>
            <w:shd w:val="clear" w:color="auto" w:fill="B8CCE4"/>
          </w:tcPr>
          <w:p w14:paraId="7C0038A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broj izolata 5</w:t>
            </w:r>
          </w:p>
        </w:tc>
        <w:tc>
          <w:tcPr>
            <w:tcW w:w="849" w:type="dxa"/>
            <w:tcBorders>
              <w:top w:val="single" w:sz="4" w:space="0" w:color="auto"/>
              <w:left w:val="single" w:sz="4" w:space="0" w:color="auto"/>
              <w:bottom w:val="nil"/>
              <w:right w:val="nil"/>
            </w:tcBorders>
            <w:shd w:val="clear" w:color="auto" w:fill="B8CCE4"/>
          </w:tcPr>
          <w:p w14:paraId="2F8A38A8"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broj</w:t>
            </w:r>
          </w:p>
          <w:p w14:paraId="64AC64B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izolata 4</w:t>
            </w:r>
          </w:p>
        </w:tc>
        <w:tc>
          <w:tcPr>
            <w:tcW w:w="849" w:type="dxa"/>
            <w:tcBorders>
              <w:top w:val="single" w:sz="4" w:space="0" w:color="auto"/>
              <w:left w:val="single" w:sz="4" w:space="0" w:color="auto"/>
              <w:bottom w:val="nil"/>
              <w:right w:val="nil"/>
            </w:tcBorders>
            <w:shd w:val="clear" w:color="auto" w:fill="B8CCE4"/>
          </w:tcPr>
          <w:p w14:paraId="44A09899"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broj</w:t>
            </w:r>
          </w:p>
          <w:p w14:paraId="600AF06F"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izolata 2</w:t>
            </w:r>
          </w:p>
        </w:tc>
        <w:tc>
          <w:tcPr>
            <w:tcW w:w="855" w:type="dxa"/>
            <w:tcBorders>
              <w:top w:val="single" w:sz="4" w:space="0" w:color="auto"/>
              <w:left w:val="single" w:sz="4" w:space="0" w:color="auto"/>
              <w:bottom w:val="nil"/>
              <w:right w:val="single" w:sz="4" w:space="0" w:color="auto"/>
            </w:tcBorders>
            <w:shd w:val="clear" w:color="auto" w:fill="B8CCE4"/>
          </w:tcPr>
          <w:p w14:paraId="1EB6BDC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broj</w:t>
            </w:r>
          </w:p>
          <w:p w14:paraId="639B1A89"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izolata 1</w:t>
            </w:r>
          </w:p>
        </w:tc>
      </w:tr>
      <w:tr w:rsidR="005F768B" w:rsidRPr="00C65665" w14:paraId="492A70D5" w14:textId="77777777" w:rsidTr="00CC29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12"/>
        </w:trPr>
        <w:tc>
          <w:tcPr>
            <w:tcW w:w="1631" w:type="dxa"/>
            <w:tcBorders>
              <w:top w:val="single" w:sz="4" w:space="0" w:color="auto"/>
              <w:left w:val="single" w:sz="4" w:space="0" w:color="auto"/>
              <w:bottom w:val="nil"/>
              <w:right w:val="nil"/>
            </w:tcBorders>
            <w:shd w:val="clear" w:color="auto" w:fill="DBE5F1"/>
            <w:vAlign w:val="bottom"/>
          </w:tcPr>
          <w:p w14:paraId="0BEB081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Amoksidilin</w:t>
            </w:r>
          </w:p>
          <w:p w14:paraId="52A176B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Klavulonska</w:t>
            </w:r>
          </w:p>
          <w:p w14:paraId="17539AE7"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kiselina</w:t>
            </w:r>
          </w:p>
        </w:tc>
        <w:tc>
          <w:tcPr>
            <w:tcW w:w="1200" w:type="dxa"/>
            <w:tcBorders>
              <w:top w:val="single" w:sz="4" w:space="0" w:color="auto"/>
              <w:left w:val="single" w:sz="4" w:space="0" w:color="auto"/>
              <w:bottom w:val="nil"/>
              <w:right w:val="nil"/>
            </w:tcBorders>
            <w:shd w:val="clear" w:color="auto" w:fill="DBE5F1"/>
          </w:tcPr>
          <w:p w14:paraId="7D6A5CA4"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S(0),R(2)</w:t>
            </w:r>
          </w:p>
        </w:tc>
        <w:tc>
          <w:tcPr>
            <w:tcW w:w="1294" w:type="dxa"/>
            <w:tcBorders>
              <w:top w:val="single" w:sz="4" w:space="0" w:color="auto"/>
              <w:left w:val="single" w:sz="4" w:space="0" w:color="auto"/>
              <w:bottom w:val="nil"/>
              <w:right w:val="nil"/>
            </w:tcBorders>
            <w:shd w:val="clear" w:color="auto" w:fill="DBE5F1"/>
          </w:tcPr>
          <w:p w14:paraId="7470FFC7"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S(0),R(7)</w:t>
            </w:r>
          </w:p>
        </w:tc>
        <w:tc>
          <w:tcPr>
            <w:tcW w:w="834" w:type="dxa"/>
            <w:tcBorders>
              <w:top w:val="single" w:sz="4" w:space="0" w:color="auto"/>
              <w:left w:val="single" w:sz="4" w:space="0" w:color="auto"/>
              <w:bottom w:val="nil"/>
              <w:right w:val="nil"/>
            </w:tcBorders>
            <w:shd w:val="clear" w:color="auto" w:fill="DBE5F1"/>
          </w:tcPr>
          <w:p w14:paraId="2E116D68"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S(2),R(4)</w:t>
            </w:r>
          </w:p>
        </w:tc>
        <w:tc>
          <w:tcPr>
            <w:tcW w:w="986" w:type="dxa"/>
            <w:tcBorders>
              <w:top w:val="single" w:sz="4" w:space="0" w:color="auto"/>
              <w:left w:val="single" w:sz="4" w:space="0" w:color="auto"/>
              <w:bottom w:val="nil"/>
              <w:right w:val="nil"/>
            </w:tcBorders>
            <w:shd w:val="clear" w:color="auto" w:fill="DBE5F1"/>
          </w:tcPr>
          <w:p w14:paraId="6D9EE8D9"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S(1),R(3)</w:t>
            </w:r>
          </w:p>
        </w:tc>
        <w:tc>
          <w:tcPr>
            <w:tcW w:w="849" w:type="dxa"/>
            <w:tcBorders>
              <w:top w:val="single" w:sz="4" w:space="0" w:color="auto"/>
              <w:left w:val="single" w:sz="4" w:space="0" w:color="auto"/>
              <w:bottom w:val="nil"/>
              <w:right w:val="nil"/>
            </w:tcBorders>
            <w:shd w:val="clear" w:color="auto" w:fill="DBE5F1"/>
          </w:tcPr>
          <w:p w14:paraId="0457C44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S(0),R(4)</w:t>
            </w:r>
          </w:p>
        </w:tc>
        <w:tc>
          <w:tcPr>
            <w:tcW w:w="849" w:type="dxa"/>
            <w:tcBorders>
              <w:top w:val="single" w:sz="4" w:space="0" w:color="auto"/>
              <w:left w:val="single" w:sz="4" w:space="0" w:color="auto"/>
              <w:bottom w:val="nil"/>
              <w:right w:val="nil"/>
            </w:tcBorders>
            <w:shd w:val="clear" w:color="auto" w:fill="DBE5F1"/>
          </w:tcPr>
          <w:p w14:paraId="36115339"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S(0),R(2)</w:t>
            </w:r>
          </w:p>
        </w:tc>
        <w:tc>
          <w:tcPr>
            <w:tcW w:w="855" w:type="dxa"/>
            <w:tcBorders>
              <w:top w:val="single" w:sz="4" w:space="0" w:color="auto"/>
              <w:left w:val="single" w:sz="4" w:space="0" w:color="auto"/>
              <w:bottom w:val="nil"/>
              <w:right w:val="single" w:sz="4" w:space="0" w:color="auto"/>
            </w:tcBorders>
            <w:shd w:val="clear" w:color="auto" w:fill="DBE5F1"/>
          </w:tcPr>
          <w:p w14:paraId="51B28879"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S(0),R(1)</w:t>
            </w:r>
          </w:p>
        </w:tc>
      </w:tr>
      <w:tr w:rsidR="005F768B" w:rsidRPr="00C65665" w14:paraId="3CE9BEAE" w14:textId="77777777" w:rsidTr="00CC29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06"/>
        </w:trPr>
        <w:tc>
          <w:tcPr>
            <w:tcW w:w="1631" w:type="dxa"/>
            <w:tcBorders>
              <w:top w:val="single" w:sz="4" w:space="0" w:color="auto"/>
              <w:left w:val="single" w:sz="4" w:space="0" w:color="auto"/>
              <w:bottom w:val="nil"/>
              <w:right w:val="nil"/>
            </w:tcBorders>
            <w:shd w:val="clear" w:color="auto" w:fill="DBE5F1"/>
            <w:vAlign w:val="bottom"/>
          </w:tcPr>
          <w:p w14:paraId="7C37844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Cefuroxim</w:t>
            </w:r>
          </w:p>
        </w:tc>
        <w:tc>
          <w:tcPr>
            <w:tcW w:w="1200" w:type="dxa"/>
            <w:tcBorders>
              <w:top w:val="single" w:sz="4" w:space="0" w:color="auto"/>
              <w:left w:val="single" w:sz="4" w:space="0" w:color="auto"/>
              <w:bottom w:val="nil"/>
              <w:right w:val="nil"/>
            </w:tcBorders>
            <w:shd w:val="clear" w:color="auto" w:fill="DBE5F1"/>
            <w:vAlign w:val="bottom"/>
          </w:tcPr>
          <w:p w14:paraId="78DA7D05"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S(0),R(3)</w:t>
            </w:r>
          </w:p>
        </w:tc>
        <w:tc>
          <w:tcPr>
            <w:tcW w:w="1294" w:type="dxa"/>
            <w:tcBorders>
              <w:top w:val="single" w:sz="4" w:space="0" w:color="auto"/>
              <w:left w:val="single" w:sz="4" w:space="0" w:color="auto"/>
              <w:bottom w:val="nil"/>
              <w:right w:val="nil"/>
            </w:tcBorders>
            <w:shd w:val="clear" w:color="auto" w:fill="DBE5F1"/>
            <w:vAlign w:val="bottom"/>
          </w:tcPr>
          <w:p w14:paraId="70FB11F0"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S(0),R(4)</w:t>
            </w:r>
          </w:p>
        </w:tc>
        <w:tc>
          <w:tcPr>
            <w:tcW w:w="834" w:type="dxa"/>
            <w:tcBorders>
              <w:top w:val="single" w:sz="4" w:space="0" w:color="auto"/>
              <w:left w:val="single" w:sz="4" w:space="0" w:color="auto"/>
              <w:bottom w:val="nil"/>
              <w:right w:val="nil"/>
            </w:tcBorders>
            <w:shd w:val="clear" w:color="auto" w:fill="DBE5F1"/>
            <w:vAlign w:val="bottom"/>
          </w:tcPr>
          <w:p w14:paraId="6AEC1E65"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S(1),R(5)</w:t>
            </w:r>
          </w:p>
        </w:tc>
        <w:tc>
          <w:tcPr>
            <w:tcW w:w="986" w:type="dxa"/>
            <w:tcBorders>
              <w:top w:val="single" w:sz="4" w:space="0" w:color="auto"/>
              <w:left w:val="single" w:sz="4" w:space="0" w:color="auto"/>
              <w:bottom w:val="nil"/>
              <w:right w:val="nil"/>
            </w:tcBorders>
            <w:shd w:val="clear" w:color="auto" w:fill="DBE5F1"/>
            <w:vAlign w:val="bottom"/>
          </w:tcPr>
          <w:p w14:paraId="7F56EC6B"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S(3),R(2)</w:t>
            </w:r>
          </w:p>
        </w:tc>
        <w:tc>
          <w:tcPr>
            <w:tcW w:w="849" w:type="dxa"/>
            <w:tcBorders>
              <w:top w:val="single" w:sz="4" w:space="0" w:color="auto"/>
              <w:left w:val="single" w:sz="4" w:space="0" w:color="auto"/>
              <w:bottom w:val="nil"/>
              <w:right w:val="nil"/>
            </w:tcBorders>
            <w:shd w:val="clear" w:color="auto" w:fill="DBE5F1"/>
            <w:vAlign w:val="bottom"/>
          </w:tcPr>
          <w:p w14:paraId="44B8BC15"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S(0),R(3)</w:t>
            </w:r>
          </w:p>
        </w:tc>
        <w:tc>
          <w:tcPr>
            <w:tcW w:w="849" w:type="dxa"/>
            <w:tcBorders>
              <w:top w:val="single" w:sz="4" w:space="0" w:color="auto"/>
              <w:left w:val="single" w:sz="4" w:space="0" w:color="auto"/>
              <w:bottom w:val="nil"/>
              <w:right w:val="nil"/>
            </w:tcBorders>
            <w:shd w:val="clear" w:color="auto" w:fill="DBE5F1"/>
            <w:vAlign w:val="bottom"/>
          </w:tcPr>
          <w:p w14:paraId="7E144B2A"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S(0),R(2)</w:t>
            </w:r>
          </w:p>
        </w:tc>
        <w:tc>
          <w:tcPr>
            <w:tcW w:w="855" w:type="dxa"/>
            <w:tcBorders>
              <w:top w:val="single" w:sz="4" w:space="0" w:color="auto"/>
              <w:left w:val="single" w:sz="4" w:space="0" w:color="auto"/>
              <w:bottom w:val="nil"/>
              <w:right w:val="single" w:sz="4" w:space="0" w:color="auto"/>
            </w:tcBorders>
            <w:shd w:val="clear" w:color="auto" w:fill="DBE5F1"/>
            <w:vAlign w:val="bottom"/>
          </w:tcPr>
          <w:p w14:paraId="6B948CC8"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S(0),R(1)</w:t>
            </w:r>
          </w:p>
        </w:tc>
      </w:tr>
      <w:tr w:rsidR="005F768B" w:rsidRPr="00C65665" w14:paraId="24D03927" w14:textId="77777777" w:rsidTr="00CC29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03"/>
        </w:trPr>
        <w:tc>
          <w:tcPr>
            <w:tcW w:w="1631" w:type="dxa"/>
            <w:tcBorders>
              <w:top w:val="single" w:sz="4" w:space="0" w:color="auto"/>
              <w:left w:val="single" w:sz="4" w:space="0" w:color="auto"/>
              <w:bottom w:val="nil"/>
              <w:right w:val="nil"/>
            </w:tcBorders>
            <w:shd w:val="clear" w:color="auto" w:fill="DBE5F1"/>
            <w:vAlign w:val="bottom"/>
          </w:tcPr>
          <w:p w14:paraId="6E44F3F2"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Cefataxim</w:t>
            </w:r>
          </w:p>
        </w:tc>
        <w:tc>
          <w:tcPr>
            <w:tcW w:w="1200" w:type="dxa"/>
            <w:tcBorders>
              <w:top w:val="single" w:sz="4" w:space="0" w:color="auto"/>
              <w:left w:val="single" w:sz="4" w:space="0" w:color="auto"/>
              <w:bottom w:val="nil"/>
              <w:right w:val="nil"/>
            </w:tcBorders>
            <w:shd w:val="clear" w:color="auto" w:fill="DBE5F1"/>
            <w:vAlign w:val="bottom"/>
          </w:tcPr>
          <w:p w14:paraId="664F89D7"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S(0),R(3)</w:t>
            </w:r>
          </w:p>
        </w:tc>
        <w:tc>
          <w:tcPr>
            <w:tcW w:w="1294" w:type="dxa"/>
            <w:tcBorders>
              <w:top w:val="single" w:sz="4" w:space="0" w:color="auto"/>
              <w:left w:val="single" w:sz="4" w:space="0" w:color="auto"/>
              <w:bottom w:val="nil"/>
              <w:right w:val="nil"/>
            </w:tcBorders>
            <w:shd w:val="clear" w:color="auto" w:fill="DBE5F1"/>
            <w:vAlign w:val="bottom"/>
          </w:tcPr>
          <w:p w14:paraId="1467F1EC"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S(0),R(6)</w:t>
            </w:r>
          </w:p>
        </w:tc>
        <w:tc>
          <w:tcPr>
            <w:tcW w:w="834" w:type="dxa"/>
            <w:tcBorders>
              <w:top w:val="single" w:sz="4" w:space="0" w:color="auto"/>
              <w:left w:val="single" w:sz="4" w:space="0" w:color="auto"/>
              <w:bottom w:val="nil"/>
              <w:right w:val="nil"/>
            </w:tcBorders>
            <w:shd w:val="clear" w:color="auto" w:fill="DBE5F1"/>
            <w:vAlign w:val="bottom"/>
          </w:tcPr>
          <w:p w14:paraId="72B8A507"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S(1),R(6)</w:t>
            </w:r>
          </w:p>
        </w:tc>
        <w:tc>
          <w:tcPr>
            <w:tcW w:w="986" w:type="dxa"/>
            <w:tcBorders>
              <w:top w:val="single" w:sz="4" w:space="0" w:color="auto"/>
              <w:left w:val="single" w:sz="4" w:space="0" w:color="auto"/>
              <w:bottom w:val="nil"/>
              <w:right w:val="nil"/>
            </w:tcBorders>
            <w:shd w:val="clear" w:color="auto" w:fill="DBE5F1"/>
            <w:vAlign w:val="bottom"/>
          </w:tcPr>
          <w:p w14:paraId="309FE38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S(3),R(2)</w:t>
            </w:r>
          </w:p>
        </w:tc>
        <w:tc>
          <w:tcPr>
            <w:tcW w:w="849" w:type="dxa"/>
            <w:tcBorders>
              <w:top w:val="single" w:sz="4" w:space="0" w:color="auto"/>
              <w:left w:val="single" w:sz="4" w:space="0" w:color="auto"/>
              <w:bottom w:val="nil"/>
              <w:right w:val="nil"/>
            </w:tcBorders>
            <w:shd w:val="clear" w:color="auto" w:fill="DBE5F1"/>
            <w:vAlign w:val="bottom"/>
          </w:tcPr>
          <w:p w14:paraId="00E84767"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S(0),R(4)</w:t>
            </w:r>
          </w:p>
        </w:tc>
        <w:tc>
          <w:tcPr>
            <w:tcW w:w="849" w:type="dxa"/>
            <w:tcBorders>
              <w:top w:val="single" w:sz="4" w:space="0" w:color="auto"/>
              <w:left w:val="single" w:sz="4" w:space="0" w:color="auto"/>
              <w:bottom w:val="nil"/>
              <w:right w:val="nil"/>
            </w:tcBorders>
            <w:shd w:val="clear" w:color="auto" w:fill="DBE5F1"/>
            <w:vAlign w:val="bottom"/>
          </w:tcPr>
          <w:p w14:paraId="6A07E4FA"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c>
          <w:tcPr>
            <w:tcW w:w="855" w:type="dxa"/>
            <w:tcBorders>
              <w:top w:val="single" w:sz="4" w:space="0" w:color="auto"/>
              <w:left w:val="single" w:sz="4" w:space="0" w:color="auto"/>
              <w:bottom w:val="nil"/>
              <w:right w:val="single" w:sz="4" w:space="0" w:color="auto"/>
            </w:tcBorders>
            <w:shd w:val="clear" w:color="auto" w:fill="DBE5F1"/>
            <w:vAlign w:val="bottom"/>
          </w:tcPr>
          <w:p w14:paraId="4BE82B41"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S(0),R(1)</w:t>
            </w:r>
          </w:p>
        </w:tc>
      </w:tr>
      <w:tr w:rsidR="005F768B" w:rsidRPr="00C65665" w14:paraId="2A2E2F2F" w14:textId="77777777" w:rsidTr="00CC29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09"/>
        </w:trPr>
        <w:tc>
          <w:tcPr>
            <w:tcW w:w="1631" w:type="dxa"/>
            <w:tcBorders>
              <w:top w:val="single" w:sz="4" w:space="0" w:color="auto"/>
              <w:left w:val="single" w:sz="4" w:space="0" w:color="auto"/>
              <w:bottom w:val="nil"/>
              <w:right w:val="nil"/>
            </w:tcBorders>
            <w:shd w:val="clear" w:color="auto" w:fill="DBE5F1"/>
            <w:vAlign w:val="bottom"/>
          </w:tcPr>
          <w:p w14:paraId="632D4D28"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Ceftiaxon</w:t>
            </w:r>
          </w:p>
        </w:tc>
        <w:tc>
          <w:tcPr>
            <w:tcW w:w="1200" w:type="dxa"/>
            <w:tcBorders>
              <w:top w:val="single" w:sz="4" w:space="0" w:color="auto"/>
              <w:left w:val="single" w:sz="4" w:space="0" w:color="auto"/>
              <w:bottom w:val="nil"/>
              <w:right w:val="nil"/>
            </w:tcBorders>
            <w:shd w:val="clear" w:color="auto" w:fill="DBE5F1"/>
            <w:vAlign w:val="bottom"/>
          </w:tcPr>
          <w:p w14:paraId="5BF5D604"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S(0),R(4)</w:t>
            </w:r>
          </w:p>
        </w:tc>
        <w:tc>
          <w:tcPr>
            <w:tcW w:w="1294" w:type="dxa"/>
            <w:tcBorders>
              <w:top w:val="single" w:sz="4" w:space="0" w:color="auto"/>
              <w:left w:val="single" w:sz="4" w:space="0" w:color="auto"/>
              <w:bottom w:val="nil"/>
              <w:right w:val="nil"/>
            </w:tcBorders>
            <w:shd w:val="clear" w:color="auto" w:fill="DBE5F1"/>
            <w:vAlign w:val="bottom"/>
          </w:tcPr>
          <w:p w14:paraId="0120332B"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S(0),R(7)</w:t>
            </w:r>
          </w:p>
        </w:tc>
        <w:tc>
          <w:tcPr>
            <w:tcW w:w="834" w:type="dxa"/>
            <w:tcBorders>
              <w:top w:val="single" w:sz="4" w:space="0" w:color="auto"/>
              <w:left w:val="single" w:sz="4" w:space="0" w:color="auto"/>
              <w:bottom w:val="nil"/>
              <w:right w:val="nil"/>
            </w:tcBorders>
            <w:shd w:val="clear" w:color="auto" w:fill="DBE5F1"/>
            <w:vAlign w:val="bottom"/>
          </w:tcPr>
          <w:p w14:paraId="4B57B8AF"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S(1),R(6)</w:t>
            </w:r>
          </w:p>
        </w:tc>
        <w:tc>
          <w:tcPr>
            <w:tcW w:w="986" w:type="dxa"/>
            <w:tcBorders>
              <w:top w:val="single" w:sz="4" w:space="0" w:color="auto"/>
              <w:left w:val="single" w:sz="4" w:space="0" w:color="auto"/>
              <w:bottom w:val="nil"/>
              <w:right w:val="nil"/>
            </w:tcBorders>
            <w:shd w:val="clear" w:color="auto" w:fill="DBE5F1"/>
            <w:vAlign w:val="bottom"/>
          </w:tcPr>
          <w:p w14:paraId="7F54F70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S(3),R(2)</w:t>
            </w:r>
          </w:p>
        </w:tc>
        <w:tc>
          <w:tcPr>
            <w:tcW w:w="849" w:type="dxa"/>
            <w:tcBorders>
              <w:top w:val="single" w:sz="4" w:space="0" w:color="auto"/>
              <w:left w:val="single" w:sz="4" w:space="0" w:color="auto"/>
              <w:bottom w:val="nil"/>
              <w:right w:val="nil"/>
            </w:tcBorders>
            <w:shd w:val="clear" w:color="auto" w:fill="DBE5F1"/>
            <w:vAlign w:val="bottom"/>
          </w:tcPr>
          <w:p w14:paraId="7995AA98"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S(1),R(3)</w:t>
            </w:r>
          </w:p>
        </w:tc>
        <w:tc>
          <w:tcPr>
            <w:tcW w:w="849" w:type="dxa"/>
            <w:tcBorders>
              <w:top w:val="single" w:sz="4" w:space="0" w:color="auto"/>
              <w:left w:val="single" w:sz="4" w:space="0" w:color="auto"/>
              <w:bottom w:val="nil"/>
              <w:right w:val="nil"/>
            </w:tcBorders>
            <w:shd w:val="clear" w:color="auto" w:fill="DBE5F1"/>
            <w:vAlign w:val="bottom"/>
          </w:tcPr>
          <w:p w14:paraId="7DBE8E8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c>
          <w:tcPr>
            <w:tcW w:w="855" w:type="dxa"/>
            <w:tcBorders>
              <w:top w:val="single" w:sz="4" w:space="0" w:color="auto"/>
              <w:left w:val="single" w:sz="4" w:space="0" w:color="auto"/>
              <w:bottom w:val="nil"/>
              <w:right w:val="single" w:sz="4" w:space="0" w:color="auto"/>
            </w:tcBorders>
            <w:shd w:val="clear" w:color="auto" w:fill="DBE5F1"/>
            <w:vAlign w:val="bottom"/>
          </w:tcPr>
          <w:p w14:paraId="126E3D31"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S(0),R(1)</w:t>
            </w:r>
          </w:p>
        </w:tc>
      </w:tr>
      <w:tr w:rsidR="005F768B" w:rsidRPr="00C65665" w14:paraId="72A2B303" w14:textId="77777777" w:rsidTr="00CC29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06"/>
        </w:trPr>
        <w:tc>
          <w:tcPr>
            <w:tcW w:w="1631" w:type="dxa"/>
            <w:tcBorders>
              <w:top w:val="single" w:sz="4" w:space="0" w:color="auto"/>
              <w:left w:val="single" w:sz="4" w:space="0" w:color="auto"/>
              <w:bottom w:val="nil"/>
              <w:right w:val="nil"/>
            </w:tcBorders>
            <w:shd w:val="clear" w:color="auto" w:fill="DBE5F1"/>
            <w:vAlign w:val="bottom"/>
          </w:tcPr>
          <w:p w14:paraId="48D4E242"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Ciprofloxadn</w:t>
            </w:r>
          </w:p>
        </w:tc>
        <w:tc>
          <w:tcPr>
            <w:tcW w:w="1200" w:type="dxa"/>
            <w:tcBorders>
              <w:top w:val="single" w:sz="4" w:space="0" w:color="auto"/>
              <w:left w:val="single" w:sz="4" w:space="0" w:color="auto"/>
              <w:bottom w:val="nil"/>
              <w:right w:val="nil"/>
            </w:tcBorders>
            <w:shd w:val="clear" w:color="auto" w:fill="DBE5F1"/>
            <w:vAlign w:val="bottom"/>
          </w:tcPr>
          <w:p w14:paraId="29F8E30E"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S(0),R(6),I(1)</w:t>
            </w:r>
          </w:p>
        </w:tc>
        <w:tc>
          <w:tcPr>
            <w:tcW w:w="1294" w:type="dxa"/>
            <w:tcBorders>
              <w:top w:val="single" w:sz="4" w:space="0" w:color="auto"/>
              <w:left w:val="single" w:sz="4" w:space="0" w:color="auto"/>
              <w:bottom w:val="nil"/>
              <w:right w:val="nil"/>
            </w:tcBorders>
            <w:shd w:val="clear" w:color="auto" w:fill="DBE5F1"/>
            <w:vAlign w:val="bottom"/>
          </w:tcPr>
          <w:p w14:paraId="4C2B6B3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S(0),R(6)</w:t>
            </w:r>
          </w:p>
        </w:tc>
        <w:tc>
          <w:tcPr>
            <w:tcW w:w="834" w:type="dxa"/>
            <w:tcBorders>
              <w:top w:val="single" w:sz="4" w:space="0" w:color="auto"/>
              <w:left w:val="single" w:sz="4" w:space="0" w:color="auto"/>
              <w:bottom w:val="nil"/>
              <w:right w:val="nil"/>
            </w:tcBorders>
            <w:shd w:val="clear" w:color="auto" w:fill="DBE5F1"/>
            <w:vAlign w:val="bottom"/>
          </w:tcPr>
          <w:p w14:paraId="38BC5892"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S(1),R(6)</w:t>
            </w:r>
          </w:p>
        </w:tc>
        <w:tc>
          <w:tcPr>
            <w:tcW w:w="986" w:type="dxa"/>
            <w:tcBorders>
              <w:top w:val="single" w:sz="4" w:space="0" w:color="auto"/>
              <w:left w:val="single" w:sz="4" w:space="0" w:color="auto"/>
              <w:bottom w:val="nil"/>
              <w:right w:val="nil"/>
            </w:tcBorders>
            <w:shd w:val="clear" w:color="auto" w:fill="DBE5F1"/>
            <w:vAlign w:val="bottom"/>
          </w:tcPr>
          <w:p w14:paraId="2C9EB919"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S(3),R(2)</w:t>
            </w:r>
          </w:p>
        </w:tc>
        <w:tc>
          <w:tcPr>
            <w:tcW w:w="849" w:type="dxa"/>
            <w:tcBorders>
              <w:top w:val="single" w:sz="4" w:space="0" w:color="auto"/>
              <w:left w:val="single" w:sz="4" w:space="0" w:color="auto"/>
              <w:bottom w:val="nil"/>
              <w:right w:val="nil"/>
            </w:tcBorders>
            <w:shd w:val="clear" w:color="auto" w:fill="DBE5F1"/>
            <w:vAlign w:val="bottom"/>
          </w:tcPr>
          <w:p w14:paraId="602FC8AD"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S(0),R(3)</w:t>
            </w:r>
          </w:p>
        </w:tc>
        <w:tc>
          <w:tcPr>
            <w:tcW w:w="849" w:type="dxa"/>
            <w:tcBorders>
              <w:top w:val="single" w:sz="4" w:space="0" w:color="auto"/>
              <w:left w:val="single" w:sz="4" w:space="0" w:color="auto"/>
              <w:bottom w:val="nil"/>
              <w:right w:val="nil"/>
            </w:tcBorders>
            <w:shd w:val="clear" w:color="auto" w:fill="DBE5F1"/>
            <w:vAlign w:val="bottom"/>
          </w:tcPr>
          <w:p w14:paraId="2432717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S(1),R(1)</w:t>
            </w:r>
          </w:p>
        </w:tc>
        <w:tc>
          <w:tcPr>
            <w:tcW w:w="855" w:type="dxa"/>
            <w:tcBorders>
              <w:top w:val="single" w:sz="4" w:space="0" w:color="auto"/>
              <w:left w:val="single" w:sz="4" w:space="0" w:color="auto"/>
              <w:bottom w:val="nil"/>
              <w:right w:val="single" w:sz="4" w:space="0" w:color="auto"/>
            </w:tcBorders>
            <w:shd w:val="clear" w:color="auto" w:fill="DBE5F1"/>
            <w:vAlign w:val="bottom"/>
          </w:tcPr>
          <w:p w14:paraId="3E3782D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r>
      <w:tr w:rsidR="005F768B" w:rsidRPr="00C65665" w14:paraId="08606F5C" w14:textId="77777777" w:rsidTr="00CC29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08"/>
        </w:trPr>
        <w:tc>
          <w:tcPr>
            <w:tcW w:w="1631" w:type="dxa"/>
            <w:tcBorders>
              <w:top w:val="single" w:sz="4" w:space="0" w:color="auto"/>
              <w:left w:val="single" w:sz="4" w:space="0" w:color="auto"/>
              <w:bottom w:val="nil"/>
              <w:right w:val="nil"/>
            </w:tcBorders>
            <w:shd w:val="clear" w:color="auto" w:fill="DBE5F1"/>
            <w:vAlign w:val="bottom"/>
          </w:tcPr>
          <w:p w14:paraId="66BA7C8A"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Trimethoprim/</w:t>
            </w:r>
          </w:p>
          <w:p w14:paraId="1B489D1E"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sulfamethoxazole</w:t>
            </w:r>
          </w:p>
        </w:tc>
        <w:tc>
          <w:tcPr>
            <w:tcW w:w="1200" w:type="dxa"/>
            <w:tcBorders>
              <w:top w:val="single" w:sz="4" w:space="0" w:color="auto"/>
              <w:left w:val="single" w:sz="4" w:space="0" w:color="auto"/>
              <w:bottom w:val="nil"/>
              <w:right w:val="nil"/>
            </w:tcBorders>
            <w:shd w:val="clear" w:color="auto" w:fill="DBE5F1"/>
          </w:tcPr>
          <w:p w14:paraId="4BC0395A"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S(0),R(8)</w:t>
            </w:r>
          </w:p>
        </w:tc>
        <w:tc>
          <w:tcPr>
            <w:tcW w:w="1294" w:type="dxa"/>
            <w:tcBorders>
              <w:top w:val="single" w:sz="4" w:space="0" w:color="auto"/>
              <w:left w:val="single" w:sz="4" w:space="0" w:color="auto"/>
              <w:bottom w:val="nil"/>
              <w:right w:val="nil"/>
            </w:tcBorders>
            <w:shd w:val="clear" w:color="auto" w:fill="DBE5F1"/>
          </w:tcPr>
          <w:p w14:paraId="2865070A"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S(0),R(6)</w:t>
            </w:r>
          </w:p>
        </w:tc>
        <w:tc>
          <w:tcPr>
            <w:tcW w:w="834" w:type="dxa"/>
            <w:tcBorders>
              <w:top w:val="single" w:sz="4" w:space="0" w:color="auto"/>
              <w:left w:val="single" w:sz="4" w:space="0" w:color="auto"/>
              <w:bottom w:val="nil"/>
              <w:right w:val="nil"/>
            </w:tcBorders>
            <w:shd w:val="clear" w:color="auto" w:fill="DBE5F1"/>
          </w:tcPr>
          <w:p w14:paraId="46CBE033"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S(1),R(6)</w:t>
            </w:r>
          </w:p>
        </w:tc>
        <w:tc>
          <w:tcPr>
            <w:tcW w:w="986" w:type="dxa"/>
            <w:tcBorders>
              <w:top w:val="single" w:sz="4" w:space="0" w:color="auto"/>
              <w:left w:val="single" w:sz="4" w:space="0" w:color="auto"/>
              <w:bottom w:val="nil"/>
              <w:right w:val="nil"/>
            </w:tcBorders>
            <w:shd w:val="clear" w:color="auto" w:fill="DBE5F1"/>
          </w:tcPr>
          <w:p w14:paraId="1664EF01"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S(1),R(4)</w:t>
            </w:r>
          </w:p>
        </w:tc>
        <w:tc>
          <w:tcPr>
            <w:tcW w:w="849" w:type="dxa"/>
            <w:tcBorders>
              <w:top w:val="single" w:sz="4" w:space="0" w:color="auto"/>
              <w:left w:val="single" w:sz="4" w:space="0" w:color="auto"/>
              <w:bottom w:val="nil"/>
              <w:right w:val="nil"/>
            </w:tcBorders>
            <w:shd w:val="clear" w:color="auto" w:fill="DBE5F1"/>
          </w:tcPr>
          <w:p w14:paraId="3931B11C"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S(0),R(2)</w:t>
            </w:r>
          </w:p>
        </w:tc>
        <w:tc>
          <w:tcPr>
            <w:tcW w:w="849" w:type="dxa"/>
            <w:tcBorders>
              <w:top w:val="single" w:sz="4" w:space="0" w:color="auto"/>
              <w:left w:val="single" w:sz="4" w:space="0" w:color="auto"/>
              <w:bottom w:val="nil"/>
              <w:right w:val="nil"/>
            </w:tcBorders>
            <w:shd w:val="clear" w:color="auto" w:fill="DBE5F1"/>
          </w:tcPr>
          <w:p w14:paraId="42645E68"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S(1),R(1)</w:t>
            </w:r>
          </w:p>
        </w:tc>
        <w:tc>
          <w:tcPr>
            <w:tcW w:w="855" w:type="dxa"/>
            <w:tcBorders>
              <w:top w:val="single" w:sz="4" w:space="0" w:color="auto"/>
              <w:left w:val="single" w:sz="4" w:space="0" w:color="auto"/>
              <w:bottom w:val="nil"/>
              <w:right w:val="single" w:sz="4" w:space="0" w:color="auto"/>
            </w:tcBorders>
            <w:shd w:val="clear" w:color="auto" w:fill="DBE5F1"/>
          </w:tcPr>
          <w:p w14:paraId="1F869074"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S(0),R(1)</w:t>
            </w:r>
          </w:p>
        </w:tc>
      </w:tr>
      <w:tr w:rsidR="005F768B" w:rsidRPr="00C65665" w14:paraId="4386FBD6" w14:textId="77777777" w:rsidTr="00CC29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06"/>
        </w:trPr>
        <w:tc>
          <w:tcPr>
            <w:tcW w:w="1631" w:type="dxa"/>
            <w:tcBorders>
              <w:top w:val="single" w:sz="4" w:space="0" w:color="auto"/>
              <w:left w:val="single" w:sz="4" w:space="0" w:color="auto"/>
              <w:bottom w:val="nil"/>
              <w:right w:val="nil"/>
            </w:tcBorders>
            <w:shd w:val="clear" w:color="auto" w:fill="DBE5F1"/>
            <w:vAlign w:val="bottom"/>
          </w:tcPr>
          <w:p w14:paraId="769CDF41"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Gen tamidn</w:t>
            </w:r>
          </w:p>
        </w:tc>
        <w:tc>
          <w:tcPr>
            <w:tcW w:w="1200" w:type="dxa"/>
            <w:tcBorders>
              <w:top w:val="single" w:sz="4" w:space="0" w:color="auto"/>
              <w:left w:val="single" w:sz="4" w:space="0" w:color="auto"/>
              <w:bottom w:val="nil"/>
              <w:right w:val="nil"/>
            </w:tcBorders>
            <w:shd w:val="clear" w:color="auto" w:fill="DBE5F1"/>
            <w:vAlign w:val="bottom"/>
          </w:tcPr>
          <w:p w14:paraId="7B2DC1B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S(0),R(4)</w:t>
            </w:r>
          </w:p>
        </w:tc>
        <w:tc>
          <w:tcPr>
            <w:tcW w:w="1294" w:type="dxa"/>
            <w:tcBorders>
              <w:top w:val="single" w:sz="4" w:space="0" w:color="auto"/>
              <w:left w:val="single" w:sz="4" w:space="0" w:color="auto"/>
              <w:bottom w:val="nil"/>
              <w:right w:val="nil"/>
            </w:tcBorders>
            <w:shd w:val="clear" w:color="auto" w:fill="DBE5F1"/>
            <w:vAlign w:val="bottom"/>
          </w:tcPr>
          <w:p w14:paraId="256D621F"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S(0),R(6)</w:t>
            </w:r>
          </w:p>
        </w:tc>
        <w:tc>
          <w:tcPr>
            <w:tcW w:w="834" w:type="dxa"/>
            <w:tcBorders>
              <w:top w:val="single" w:sz="4" w:space="0" w:color="auto"/>
              <w:left w:val="single" w:sz="4" w:space="0" w:color="auto"/>
              <w:bottom w:val="nil"/>
              <w:right w:val="nil"/>
            </w:tcBorders>
            <w:shd w:val="clear" w:color="auto" w:fill="DBE5F1"/>
            <w:vAlign w:val="bottom"/>
          </w:tcPr>
          <w:p w14:paraId="705A149A"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S(2),R(4)</w:t>
            </w:r>
          </w:p>
        </w:tc>
        <w:tc>
          <w:tcPr>
            <w:tcW w:w="986" w:type="dxa"/>
            <w:tcBorders>
              <w:top w:val="single" w:sz="4" w:space="0" w:color="auto"/>
              <w:left w:val="single" w:sz="4" w:space="0" w:color="auto"/>
              <w:bottom w:val="nil"/>
              <w:right w:val="nil"/>
            </w:tcBorders>
            <w:shd w:val="clear" w:color="auto" w:fill="DBE5F1"/>
            <w:vAlign w:val="bottom"/>
          </w:tcPr>
          <w:p w14:paraId="4AD553E0"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S(3),R(2)</w:t>
            </w:r>
          </w:p>
        </w:tc>
        <w:tc>
          <w:tcPr>
            <w:tcW w:w="849" w:type="dxa"/>
            <w:tcBorders>
              <w:top w:val="single" w:sz="4" w:space="0" w:color="auto"/>
              <w:left w:val="single" w:sz="4" w:space="0" w:color="auto"/>
              <w:bottom w:val="nil"/>
              <w:right w:val="nil"/>
            </w:tcBorders>
            <w:shd w:val="clear" w:color="auto" w:fill="DBE5F1"/>
            <w:vAlign w:val="bottom"/>
          </w:tcPr>
          <w:p w14:paraId="74FFA2FF"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S(1),R(2)</w:t>
            </w:r>
          </w:p>
        </w:tc>
        <w:tc>
          <w:tcPr>
            <w:tcW w:w="849" w:type="dxa"/>
            <w:tcBorders>
              <w:top w:val="single" w:sz="4" w:space="0" w:color="auto"/>
              <w:left w:val="single" w:sz="4" w:space="0" w:color="auto"/>
              <w:bottom w:val="nil"/>
              <w:right w:val="nil"/>
            </w:tcBorders>
            <w:shd w:val="clear" w:color="auto" w:fill="DBE5F1"/>
            <w:vAlign w:val="bottom"/>
          </w:tcPr>
          <w:p w14:paraId="0E1CFCB0"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S(1),R(1)</w:t>
            </w:r>
          </w:p>
        </w:tc>
        <w:tc>
          <w:tcPr>
            <w:tcW w:w="855" w:type="dxa"/>
            <w:tcBorders>
              <w:top w:val="single" w:sz="4" w:space="0" w:color="auto"/>
              <w:left w:val="single" w:sz="4" w:space="0" w:color="auto"/>
              <w:bottom w:val="nil"/>
              <w:right w:val="single" w:sz="4" w:space="0" w:color="auto"/>
            </w:tcBorders>
            <w:shd w:val="clear" w:color="auto" w:fill="DBE5F1"/>
            <w:vAlign w:val="bottom"/>
          </w:tcPr>
          <w:p w14:paraId="09169CB8"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S(0),R(1)</w:t>
            </w:r>
          </w:p>
        </w:tc>
      </w:tr>
      <w:tr w:rsidR="005F768B" w:rsidRPr="00C65665" w14:paraId="6B86812F" w14:textId="77777777" w:rsidTr="00CC29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106"/>
        </w:trPr>
        <w:tc>
          <w:tcPr>
            <w:tcW w:w="1631" w:type="dxa"/>
            <w:tcBorders>
              <w:top w:val="single" w:sz="4" w:space="0" w:color="auto"/>
              <w:left w:val="single" w:sz="4" w:space="0" w:color="auto"/>
              <w:bottom w:val="nil"/>
              <w:right w:val="nil"/>
            </w:tcBorders>
            <w:shd w:val="clear" w:color="auto" w:fill="DBE5F1"/>
            <w:vAlign w:val="bottom"/>
          </w:tcPr>
          <w:p w14:paraId="2C78150A"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Vancomydn</w:t>
            </w:r>
          </w:p>
        </w:tc>
        <w:tc>
          <w:tcPr>
            <w:tcW w:w="1200" w:type="dxa"/>
            <w:tcBorders>
              <w:top w:val="single" w:sz="4" w:space="0" w:color="auto"/>
              <w:left w:val="single" w:sz="4" w:space="0" w:color="auto"/>
              <w:bottom w:val="nil"/>
              <w:right w:val="nil"/>
            </w:tcBorders>
            <w:shd w:val="clear" w:color="auto" w:fill="DBE5F1"/>
            <w:vAlign w:val="bottom"/>
          </w:tcPr>
          <w:p w14:paraId="15CBE160"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c>
          <w:tcPr>
            <w:tcW w:w="1294" w:type="dxa"/>
            <w:tcBorders>
              <w:top w:val="single" w:sz="4" w:space="0" w:color="auto"/>
              <w:left w:val="single" w:sz="4" w:space="0" w:color="auto"/>
              <w:bottom w:val="nil"/>
              <w:right w:val="nil"/>
            </w:tcBorders>
            <w:shd w:val="clear" w:color="auto" w:fill="DBE5F1"/>
            <w:vAlign w:val="bottom"/>
          </w:tcPr>
          <w:p w14:paraId="4991D0F4"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c>
          <w:tcPr>
            <w:tcW w:w="834" w:type="dxa"/>
            <w:tcBorders>
              <w:top w:val="single" w:sz="4" w:space="0" w:color="auto"/>
              <w:left w:val="single" w:sz="4" w:space="0" w:color="auto"/>
              <w:bottom w:val="nil"/>
              <w:right w:val="nil"/>
            </w:tcBorders>
            <w:shd w:val="clear" w:color="auto" w:fill="DBE5F1"/>
            <w:vAlign w:val="bottom"/>
          </w:tcPr>
          <w:p w14:paraId="7A09F981"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c>
          <w:tcPr>
            <w:tcW w:w="986" w:type="dxa"/>
            <w:tcBorders>
              <w:top w:val="single" w:sz="4" w:space="0" w:color="auto"/>
              <w:left w:val="single" w:sz="4" w:space="0" w:color="auto"/>
              <w:bottom w:val="nil"/>
              <w:right w:val="nil"/>
            </w:tcBorders>
            <w:shd w:val="clear" w:color="auto" w:fill="DBE5F1"/>
            <w:vAlign w:val="bottom"/>
          </w:tcPr>
          <w:p w14:paraId="6BB5B409"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c>
          <w:tcPr>
            <w:tcW w:w="849" w:type="dxa"/>
            <w:tcBorders>
              <w:top w:val="single" w:sz="4" w:space="0" w:color="auto"/>
              <w:left w:val="single" w:sz="4" w:space="0" w:color="auto"/>
              <w:bottom w:val="nil"/>
              <w:right w:val="nil"/>
            </w:tcBorders>
            <w:shd w:val="clear" w:color="auto" w:fill="DBE5F1"/>
            <w:vAlign w:val="bottom"/>
          </w:tcPr>
          <w:p w14:paraId="34C8A5F2"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c>
          <w:tcPr>
            <w:tcW w:w="849" w:type="dxa"/>
            <w:tcBorders>
              <w:top w:val="single" w:sz="4" w:space="0" w:color="auto"/>
              <w:left w:val="single" w:sz="4" w:space="0" w:color="auto"/>
              <w:bottom w:val="nil"/>
              <w:right w:val="nil"/>
            </w:tcBorders>
            <w:shd w:val="clear" w:color="auto" w:fill="DBE5F1"/>
            <w:vAlign w:val="bottom"/>
          </w:tcPr>
          <w:p w14:paraId="10930551"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c>
          <w:tcPr>
            <w:tcW w:w="855" w:type="dxa"/>
            <w:tcBorders>
              <w:top w:val="single" w:sz="4" w:space="0" w:color="auto"/>
              <w:left w:val="single" w:sz="4" w:space="0" w:color="auto"/>
              <w:bottom w:val="nil"/>
              <w:right w:val="single" w:sz="4" w:space="0" w:color="auto"/>
            </w:tcBorders>
            <w:shd w:val="clear" w:color="auto" w:fill="DBE5F1"/>
            <w:vAlign w:val="bottom"/>
          </w:tcPr>
          <w:p w14:paraId="733FA414"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r>
      <w:tr w:rsidR="005F768B" w:rsidRPr="00C65665" w14:paraId="62BFAEE1" w14:textId="77777777" w:rsidTr="00CC29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62"/>
        </w:trPr>
        <w:tc>
          <w:tcPr>
            <w:tcW w:w="1631" w:type="dxa"/>
            <w:tcBorders>
              <w:top w:val="single" w:sz="4" w:space="0" w:color="auto"/>
              <w:left w:val="single" w:sz="4" w:space="0" w:color="auto"/>
              <w:bottom w:val="single" w:sz="4" w:space="0" w:color="auto"/>
              <w:right w:val="nil"/>
            </w:tcBorders>
            <w:shd w:val="clear" w:color="auto" w:fill="DBE5F1"/>
            <w:vAlign w:val="bottom"/>
          </w:tcPr>
          <w:p w14:paraId="2216D3E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Erythromycin</w:t>
            </w:r>
          </w:p>
        </w:tc>
        <w:tc>
          <w:tcPr>
            <w:tcW w:w="1200" w:type="dxa"/>
            <w:tcBorders>
              <w:top w:val="single" w:sz="4" w:space="0" w:color="auto"/>
              <w:left w:val="single" w:sz="4" w:space="0" w:color="auto"/>
              <w:bottom w:val="single" w:sz="4" w:space="0" w:color="auto"/>
              <w:right w:val="nil"/>
            </w:tcBorders>
            <w:shd w:val="clear" w:color="auto" w:fill="DBE5F1"/>
            <w:vAlign w:val="bottom"/>
          </w:tcPr>
          <w:p w14:paraId="60CBE0B7"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c>
          <w:tcPr>
            <w:tcW w:w="1294" w:type="dxa"/>
            <w:tcBorders>
              <w:top w:val="single" w:sz="4" w:space="0" w:color="auto"/>
              <w:left w:val="single" w:sz="4" w:space="0" w:color="auto"/>
              <w:bottom w:val="single" w:sz="4" w:space="0" w:color="auto"/>
              <w:right w:val="nil"/>
            </w:tcBorders>
            <w:shd w:val="clear" w:color="auto" w:fill="DBE5F1"/>
            <w:vAlign w:val="bottom"/>
          </w:tcPr>
          <w:p w14:paraId="0878B53C"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c>
          <w:tcPr>
            <w:tcW w:w="834" w:type="dxa"/>
            <w:tcBorders>
              <w:top w:val="single" w:sz="4" w:space="0" w:color="auto"/>
              <w:left w:val="single" w:sz="4" w:space="0" w:color="auto"/>
              <w:bottom w:val="single" w:sz="4" w:space="0" w:color="auto"/>
              <w:right w:val="nil"/>
            </w:tcBorders>
            <w:shd w:val="clear" w:color="auto" w:fill="DBE5F1"/>
            <w:vAlign w:val="bottom"/>
          </w:tcPr>
          <w:p w14:paraId="19CD6FBA"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c>
          <w:tcPr>
            <w:tcW w:w="986" w:type="dxa"/>
            <w:tcBorders>
              <w:top w:val="single" w:sz="4" w:space="0" w:color="auto"/>
              <w:left w:val="single" w:sz="4" w:space="0" w:color="auto"/>
              <w:bottom w:val="single" w:sz="4" w:space="0" w:color="auto"/>
              <w:right w:val="nil"/>
            </w:tcBorders>
            <w:shd w:val="clear" w:color="auto" w:fill="DBE5F1"/>
            <w:vAlign w:val="bottom"/>
          </w:tcPr>
          <w:p w14:paraId="7943FD7F"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c>
          <w:tcPr>
            <w:tcW w:w="849" w:type="dxa"/>
            <w:tcBorders>
              <w:top w:val="single" w:sz="4" w:space="0" w:color="auto"/>
              <w:left w:val="single" w:sz="4" w:space="0" w:color="auto"/>
              <w:bottom w:val="single" w:sz="4" w:space="0" w:color="auto"/>
              <w:right w:val="nil"/>
            </w:tcBorders>
            <w:shd w:val="clear" w:color="auto" w:fill="DBE5F1"/>
            <w:vAlign w:val="bottom"/>
          </w:tcPr>
          <w:p w14:paraId="4060E38D"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c>
          <w:tcPr>
            <w:tcW w:w="849" w:type="dxa"/>
            <w:tcBorders>
              <w:top w:val="single" w:sz="4" w:space="0" w:color="auto"/>
              <w:left w:val="single" w:sz="4" w:space="0" w:color="auto"/>
              <w:bottom w:val="single" w:sz="4" w:space="0" w:color="auto"/>
              <w:right w:val="nil"/>
            </w:tcBorders>
            <w:shd w:val="clear" w:color="auto" w:fill="DBE5F1"/>
            <w:vAlign w:val="bottom"/>
          </w:tcPr>
          <w:p w14:paraId="60068026"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c>
          <w:tcPr>
            <w:tcW w:w="855" w:type="dxa"/>
            <w:tcBorders>
              <w:top w:val="single" w:sz="4" w:space="0" w:color="auto"/>
              <w:left w:val="single" w:sz="4" w:space="0" w:color="auto"/>
              <w:bottom w:val="single" w:sz="4" w:space="0" w:color="auto"/>
              <w:right w:val="single" w:sz="4" w:space="0" w:color="auto"/>
            </w:tcBorders>
            <w:shd w:val="clear" w:color="auto" w:fill="DBE5F1"/>
            <w:vAlign w:val="bottom"/>
          </w:tcPr>
          <w:p w14:paraId="746F092B" w14:textId="77777777" w:rsidR="005F768B" w:rsidRPr="00C65665" w:rsidRDefault="005F768B" w:rsidP="00CC2905">
            <w:pPr>
              <w:spacing w:after="0" w:line="360" w:lineRule="auto"/>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S(0),R(0)</w:t>
            </w:r>
          </w:p>
        </w:tc>
      </w:tr>
    </w:tbl>
    <w:p w14:paraId="6EA4DC1B" w14:textId="77777777" w:rsidR="005F768B" w:rsidRPr="00C65665" w:rsidRDefault="005F768B" w:rsidP="005F768B">
      <w:pPr>
        <w:spacing w:after="0" w:line="360" w:lineRule="auto"/>
        <w:rPr>
          <w:rFonts w:asciiTheme="majorBidi" w:eastAsia="Times New Roman" w:hAnsiTheme="majorBidi" w:cstheme="majorBidi"/>
          <w:b/>
          <w:bCs/>
          <w:i/>
          <w:iCs/>
          <w:spacing w:val="4"/>
          <w:sz w:val="24"/>
          <w:szCs w:val="24"/>
          <w:lang w:val="sr-Latn-CS" w:eastAsia="sr-Latn-CS"/>
        </w:rPr>
      </w:pPr>
    </w:p>
    <w:p w14:paraId="459CE701" w14:textId="77777777" w:rsidR="005F768B" w:rsidRPr="00C65665" w:rsidRDefault="005F768B" w:rsidP="005F768B">
      <w:pPr>
        <w:spacing w:after="0" w:line="360" w:lineRule="auto"/>
        <w:jc w:val="both"/>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lastRenderedPageBreak/>
        <w:t xml:space="preserve">U </w:t>
      </w:r>
      <w:r w:rsidRPr="00C65665">
        <w:rPr>
          <w:rFonts w:asciiTheme="majorBidi" w:eastAsia="Times New Roman" w:hAnsiTheme="majorBidi" w:cstheme="majorBidi"/>
          <w:i/>
          <w:iCs/>
          <w:spacing w:val="4"/>
          <w:sz w:val="24"/>
          <w:szCs w:val="24"/>
          <w:lang w:val="sr-Latn-CS" w:eastAsia="sr-Latn-CS"/>
        </w:rPr>
        <w:t>Tabeli 7.</w:t>
      </w:r>
      <w:r w:rsidRPr="00C65665">
        <w:rPr>
          <w:rFonts w:asciiTheme="majorBidi" w:eastAsia="Times New Roman" w:hAnsiTheme="majorBidi" w:cstheme="majorBidi"/>
          <w:spacing w:val="4"/>
          <w:sz w:val="24"/>
          <w:szCs w:val="24"/>
          <w:lang w:val="sr-Latn-CS" w:eastAsia="sr-Latn-CS"/>
        </w:rPr>
        <w:t xml:space="preserve"> prikazan je ukupan broj izolovanih Gram negativnih bakterija i njihova senzitivnost na antibiotike. Na osnovu podataka dobijenih iz Excel tabele sa prikazom izolovanih uzročnika pozitivnih hemokultura, Gram negativne bakterije su pokazale veću rezistenciju nego senzitivnost na određene antibiotike.</w:t>
      </w:r>
    </w:p>
    <w:p w14:paraId="2F56DA1F" w14:textId="77777777" w:rsidR="005F768B" w:rsidRPr="00C65665" w:rsidRDefault="005F768B" w:rsidP="005F768B">
      <w:pPr>
        <w:spacing w:after="0" w:line="360" w:lineRule="auto"/>
        <w:rPr>
          <w:rFonts w:asciiTheme="majorBidi" w:eastAsia="Times New Roman" w:hAnsiTheme="majorBidi" w:cstheme="majorBidi"/>
          <w:b/>
          <w:bCs/>
          <w:i/>
          <w:iCs/>
          <w:spacing w:val="4"/>
          <w:sz w:val="24"/>
          <w:szCs w:val="24"/>
          <w:lang w:val="sr-Latn-CS" w:eastAsia="sr-Latn-CS"/>
        </w:rPr>
      </w:pPr>
    </w:p>
    <w:p w14:paraId="31FA990D" w14:textId="77777777" w:rsidR="005F768B" w:rsidRPr="00C65665" w:rsidRDefault="005F768B" w:rsidP="005F768B">
      <w:pPr>
        <w:pStyle w:val="Caption"/>
        <w:keepNext/>
        <w:spacing w:after="0"/>
        <w:rPr>
          <w:rFonts w:asciiTheme="majorBidi" w:hAnsiTheme="majorBidi" w:cstheme="majorBidi"/>
          <w:color w:val="auto"/>
          <w:spacing w:val="4"/>
          <w:sz w:val="24"/>
          <w:szCs w:val="24"/>
        </w:rPr>
      </w:pPr>
      <w:bookmarkStart w:id="24" w:name="_Toc75694177"/>
      <w:bookmarkStart w:id="25" w:name="_Toc76321291"/>
      <w:r w:rsidRPr="00C65665">
        <w:rPr>
          <w:rFonts w:asciiTheme="majorBidi" w:hAnsiTheme="majorBidi" w:cstheme="majorBidi"/>
          <w:color w:val="auto"/>
          <w:spacing w:val="4"/>
          <w:sz w:val="24"/>
          <w:szCs w:val="24"/>
        </w:rPr>
        <w:t xml:space="preserve">Tabela 7. </w:t>
      </w:r>
      <w:r w:rsidRPr="00C65665">
        <w:rPr>
          <w:rFonts w:asciiTheme="majorBidi" w:eastAsia="Times New Roman" w:hAnsiTheme="majorBidi" w:cstheme="majorBidi"/>
          <w:color w:val="auto"/>
          <w:spacing w:val="4"/>
          <w:sz w:val="24"/>
          <w:szCs w:val="24"/>
          <w:lang w:val="sr-Latn-CS" w:eastAsia="sr-Latn-CS"/>
        </w:rPr>
        <w:t>Rezultati izolovanih bakterija i njihova rezistencija na antibiotike u postotcima</w:t>
      </w:r>
      <w:bookmarkEnd w:id="24"/>
      <w:bookmarkEnd w:id="25"/>
    </w:p>
    <w:tbl>
      <w:tblPr>
        <w:tblW w:w="9781" w:type="dxa"/>
        <w:tblLayout w:type="fixed"/>
        <w:tblLook w:val="04A0" w:firstRow="1" w:lastRow="0" w:firstColumn="1" w:lastColumn="0" w:noHBand="0" w:noVBand="1"/>
      </w:tblPr>
      <w:tblGrid>
        <w:gridCol w:w="1701"/>
        <w:gridCol w:w="1276"/>
        <w:gridCol w:w="1450"/>
        <w:gridCol w:w="1011"/>
        <w:gridCol w:w="1267"/>
        <w:gridCol w:w="1109"/>
        <w:gridCol w:w="1005"/>
        <w:gridCol w:w="962"/>
      </w:tblGrid>
      <w:tr w:rsidR="005F768B" w:rsidRPr="00C65665" w14:paraId="382C7005" w14:textId="77777777" w:rsidTr="00CC2905">
        <w:trPr>
          <w:trHeight w:val="288"/>
        </w:trPr>
        <w:tc>
          <w:tcPr>
            <w:tcW w:w="1701" w:type="dxa"/>
            <w:tcBorders>
              <w:top w:val="nil"/>
              <w:left w:val="nil"/>
              <w:bottom w:val="nil"/>
              <w:right w:val="nil"/>
            </w:tcBorders>
            <w:shd w:val="clear" w:color="auto" w:fill="auto"/>
            <w:noWrap/>
            <w:vAlign w:val="bottom"/>
            <w:hideMark/>
          </w:tcPr>
          <w:p w14:paraId="75CE4DA1"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p>
        </w:tc>
        <w:tc>
          <w:tcPr>
            <w:tcW w:w="8080" w:type="dxa"/>
            <w:gridSpan w:val="7"/>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06850564" w14:textId="77777777" w:rsidR="005F768B" w:rsidRPr="00C65665" w:rsidRDefault="005F768B" w:rsidP="00CC2905">
            <w:pPr>
              <w:spacing w:after="0" w:line="360" w:lineRule="auto"/>
              <w:jc w:val="center"/>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 rezistencije</w:t>
            </w:r>
          </w:p>
        </w:tc>
      </w:tr>
      <w:tr w:rsidR="005F768B" w:rsidRPr="00C65665" w14:paraId="295A9EC6" w14:textId="77777777" w:rsidTr="00CC2905">
        <w:trPr>
          <w:trHeight w:val="552"/>
        </w:trPr>
        <w:tc>
          <w:tcPr>
            <w:tcW w:w="1701" w:type="dxa"/>
            <w:tcBorders>
              <w:top w:val="nil"/>
              <w:left w:val="nil"/>
              <w:bottom w:val="nil"/>
              <w:right w:val="nil"/>
            </w:tcBorders>
            <w:shd w:val="clear" w:color="auto" w:fill="auto"/>
            <w:noWrap/>
            <w:vAlign w:val="bottom"/>
            <w:hideMark/>
          </w:tcPr>
          <w:p w14:paraId="1BD24D7B" w14:textId="77777777" w:rsidR="005F768B" w:rsidRPr="00C65665" w:rsidRDefault="005F768B" w:rsidP="00CC2905">
            <w:pPr>
              <w:spacing w:after="0" w:line="360" w:lineRule="auto"/>
              <w:jc w:val="center"/>
              <w:rPr>
                <w:rFonts w:asciiTheme="majorBidi" w:eastAsia="Times New Roman" w:hAnsiTheme="majorBidi" w:cstheme="majorBidi"/>
                <w:spacing w:val="4"/>
                <w:sz w:val="24"/>
                <w:szCs w:val="24"/>
                <w:lang w:eastAsia="sr-Latn-BA"/>
              </w:rPr>
            </w:pPr>
          </w:p>
        </w:tc>
        <w:tc>
          <w:tcPr>
            <w:tcW w:w="1276" w:type="dxa"/>
            <w:tcBorders>
              <w:top w:val="nil"/>
              <w:left w:val="single" w:sz="4" w:space="0" w:color="auto"/>
              <w:bottom w:val="single" w:sz="4" w:space="0" w:color="auto"/>
              <w:right w:val="single" w:sz="4" w:space="0" w:color="auto"/>
            </w:tcBorders>
            <w:shd w:val="clear" w:color="000000" w:fill="FCE4D6"/>
            <w:vAlign w:val="center"/>
            <w:hideMark/>
          </w:tcPr>
          <w:p w14:paraId="6DF31D1B" w14:textId="77777777" w:rsidR="005F768B" w:rsidRPr="00C65665" w:rsidRDefault="005F768B" w:rsidP="00CC2905">
            <w:pPr>
              <w:spacing w:after="0" w:line="360" w:lineRule="auto"/>
              <w:rPr>
                <w:rFonts w:asciiTheme="majorBidi" w:eastAsia="Times New Roman" w:hAnsiTheme="majorBidi" w:cstheme="majorBidi"/>
                <w:i/>
                <w:iCs/>
                <w:spacing w:val="4"/>
                <w:sz w:val="24"/>
                <w:szCs w:val="24"/>
                <w:lang w:eastAsia="sr-Latn-BA"/>
              </w:rPr>
            </w:pPr>
            <w:r w:rsidRPr="00C65665">
              <w:rPr>
                <w:rFonts w:asciiTheme="majorBidi" w:eastAsia="Times New Roman" w:hAnsiTheme="majorBidi" w:cstheme="majorBidi"/>
                <w:i/>
                <w:iCs/>
                <w:spacing w:val="4"/>
                <w:sz w:val="24"/>
                <w:szCs w:val="24"/>
                <w:lang w:val="sr-Latn-RS" w:eastAsia="sr-Latn-BA"/>
              </w:rPr>
              <w:t>Pseudomonas aeruginosa</w:t>
            </w:r>
          </w:p>
        </w:tc>
        <w:tc>
          <w:tcPr>
            <w:tcW w:w="1450" w:type="dxa"/>
            <w:tcBorders>
              <w:top w:val="nil"/>
              <w:left w:val="nil"/>
              <w:bottom w:val="single" w:sz="4" w:space="0" w:color="auto"/>
              <w:right w:val="single" w:sz="4" w:space="0" w:color="auto"/>
            </w:tcBorders>
            <w:shd w:val="clear" w:color="000000" w:fill="FCE4D6"/>
            <w:vAlign w:val="center"/>
            <w:hideMark/>
          </w:tcPr>
          <w:p w14:paraId="22B08235" w14:textId="77777777" w:rsidR="005F768B" w:rsidRPr="00C65665" w:rsidRDefault="005F768B" w:rsidP="00CC2905">
            <w:pPr>
              <w:spacing w:after="0" w:line="360" w:lineRule="auto"/>
              <w:rPr>
                <w:rFonts w:asciiTheme="majorBidi" w:eastAsia="Times New Roman" w:hAnsiTheme="majorBidi" w:cstheme="majorBidi"/>
                <w:i/>
                <w:iCs/>
                <w:spacing w:val="4"/>
                <w:sz w:val="24"/>
                <w:szCs w:val="24"/>
                <w:lang w:eastAsia="sr-Latn-BA"/>
              </w:rPr>
            </w:pPr>
            <w:r w:rsidRPr="00C65665">
              <w:rPr>
                <w:rFonts w:asciiTheme="majorBidi" w:eastAsia="Times New Roman" w:hAnsiTheme="majorBidi" w:cstheme="majorBidi"/>
                <w:i/>
                <w:iCs/>
                <w:spacing w:val="4"/>
                <w:sz w:val="24"/>
                <w:szCs w:val="24"/>
                <w:lang w:val="sr-Latn-RS" w:eastAsia="sr-Latn-BA"/>
              </w:rPr>
              <w:t>Acinetobacter spp</w:t>
            </w:r>
          </w:p>
        </w:tc>
        <w:tc>
          <w:tcPr>
            <w:tcW w:w="1011" w:type="dxa"/>
            <w:tcBorders>
              <w:top w:val="nil"/>
              <w:left w:val="nil"/>
              <w:bottom w:val="single" w:sz="4" w:space="0" w:color="auto"/>
              <w:right w:val="single" w:sz="4" w:space="0" w:color="auto"/>
            </w:tcBorders>
            <w:shd w:val="clear" w:color="000000" w:fill="FCE4D6"/>
            <w:vAlign w:val="center"/>
            <w:hideMark/>
          </w:tcPr>
          <w:p w14:paraId="687FE638" w14:textId="77777777" w:rsidR="005F768B" w:rsidRPr="00C65665" w:rsidRDefault="005F768B" w:rsidP="00CC2905">
            <w:pPr>
              <w:spacing w:after="0" w:line="360" w:lineRule="auto"/>
              <w:rPr>
                <w:rFonts w:asciiTheme="majorBidi" w:eastAsia="Times New Roman" w:hAnsiTheme="majorBidi" w:cstheme="majorBidi"/>
                <w:i/>
                <w:iCs/>
                <w:spacing w:val="4"/>
                <w:sz w:val="24"/>
                <w:szCs w:val="24"/>
                <w:lang w:eastAsia="sr-Latn-BA"/>
              </w:rPr>
            </w:pPr>
            <w:r w:rsidRPr="00C65665">
              <w:rPr>
                <w:rFonts w:asciiTheme="majorBidi" w:eastAsia="Times New Roman" w:hAnsiTheme="majorBidi" w:cstheme="majorBidi"/>
                <w:i/>
                <w:iCs/>
                <w:spacing w:val="4"/>
                <w:sz w:val="24"/>
                <w:szCs w:val="24"/>
                <w:lang w:val="sr-Latn-RS" w:eastAsia="sr-Latn-BA"/>
              </w:rPr>
              <w:t>Proteus mirabilis</w:t>
            </w:r>
          </w:p>
        </w:tc>
        <w:tc>
          <w:tcPr>
            <w:tcW w:w="1267" w:type="dxa"/>
            <w:tcBorders>
              <w:top w:val="nil"/>
              <w:left w:val="nil"/>
              <w:bottom w:val="single" w:sz="4" w:space="0" w:color="auto"/>
              <w:right w:val="single" w:sz="4" w:space="0" w:color="auto"/>
            </w:tcBorders>
            <w:shd w:val="clear" w:color="000000" w:fill="FCE4D6"/>
            <w:vAlign w:val="center"/>
            <w:hideMark/>
          </w:tcPr>
          <w:p w14:paraId="0DAFF0AD" w14:textId="77777777" w:rsidR="005F768B" w:rsidRPr="00C65665" w:rsidRDefault="005F768B" w:rsidP="00CC2905">
            <w:pPr>
              <w:spacing w:after="0" w:line="360" w:lineRule="auto"/>
              <w:rPr>
                <w:rFonts w:asciiTheme="majorBidi" w:eastAsia="Times New Roman" w:hAnsiTheme="majorBidi" w:cstheme="majorBidi"/>
                <w:i/>
                <w:iCs/>
                <w:spacing w:val="4"/>
                <w:sz w:val="24"/>
                <w:szCs w:val="24"/>
                <w:lang w:eastAsia="sr-Latn-BA"/>
              </w:rPr>
            </w:pPr>
            <w:r w:rsidRPr="00C65665">
              <w:rPr>
                <w:rFonts w:asciiTheme="majorBidi" w:eastAsia="Times New Roman" w:hAnsiTheme="majorBidi" w:cstheme="majorBidi"/>
                <w:i/>
                <w:iCs/>
                <w:spacing w:val="4"/>
                <w:sz w:val="24"/>
                <w:szCs w:val="24"/>
                <w:lang w:val="sr-Latn-RS" w:eastAsia="sr-Latn-BA"/>
              </w:rPr>
              <w:t>Escherichia coli</w:t>
            </w:r>
          </w:p>
        </w:tc>
        <w:tc>
          <w:tcPr>
            <w:tcW w:w="1109" w:type="dxa"/>
            <w:tcBorders>
              <w:top w:val="nil"/>
              <w:left w:val="nil"/>
              <w:bottom w:val="single" w:sz="4" w:space="0" w:color="auto"/>
              <w:right w:val="single" w:sz="4" w:space="0" w:color="auto"/>
            </w:tcBorders>
            <w:shd w:val="clear" w:color="000000" w:fill="FCE4D6"/>
            <w:vAlign w:val="center"/>
            <w:hideMark/>
          </w:tcPr>
          <w:p w14:paraId="31B0D9C4" w14:textId="77777777" w:rsidR="005F768B" w:rsidRPr="00C65665" w:rsidRDefault="005F768B" w:rsidP="00CC2905">
            <w:pPr>
              <w:spacing w:after="0" w:line="360" w:lineRule="auto"/>
              <w:rPr>
                <w:rFonts w:asciiTheme="majorBidi" w:eastAsia="Times New Roman" w:hAnsiTheme="majorBidi" w:cstheme="majorBidi"/>
                <w:i/>
                <w:iCs/>
                <w:spacing w:val="4"/>
                <w:sz w:val="24"/>
                <w:szCs w:val="24"/>
                <w:lang w:eastAsia="sr-Latn-BA"/>
              </w:rPr>
            </w:pPr>
            <w:r w:rsidRPr="00C65665">
              <w:rPr>
                <w:rFonts w:asciiTheme="majorBidi" w:eastAsia="Times New Roman" w:hAnsiTheme="majorBidi" w:cstheme="majorBidi"/>
                <w:i/>
                <w:iCs/>
                <w:spacing w:val="4"/>
                <w:sz w:val="24"/>
                <w:szCs w:val="24"/>
                <w:lang w:val="sr-Latn-RS" w:eastAsia="sr-Latn-BA"/>
              </w:rPr>
              <w:t xml:space="preserve">Klebsiella spp </w:t>
            </w:r>
          </w:p>
        </w:tc>
        <w:tc>
          <w:tcPr>
            <w:tcW w:w="1005" w:type="dxa"/>
            <w:tcBorders>
              <w:top w:val="nil"/>
              <w:left w:val="nil"/>
              <w:bottom w:val="single" w:sz="4" w:space="0" w:color="auto"/>
              <w:right w:val="single" w:sz="4" w:space="0" w:color="auto"/>
            </w:tcBorders>
            <w:shd w:val="clear" w:color="000000" w:fill="FCE4D6"/>
            <w:vAlign w:val="center"/>
            <w:hideMark/>
          </w:tcPr>
          <w:p w14:paraId="689F0187" w14:textId="77777777" w:rsidR="005F768B" w:rsidRPr="00C65665" w:rsidRDefault="005F768B" w:rsidP="00CC2905">
            <w:pPr>
              <w:spacing w:after="0" w:line="360" w:lineRule="auto"/>
              <w:rPr>
                <w:rFonts w:asciiTheme="majorBidi" w:eastAsia="Times New Roman" w:hAnsiTheme="majorBidi" w:cstheme="majorBidi"/>
                <w:i/>
                <w:iCs/>
                <w:spacing w:val="4"/>
                <w:sz w:val="24"/>
                <w:szCs w:val="24"/>
                <w:lang w:eastAsia="sr-Latn-BA"/>
              </w:rPr>
            </w:pPr>
            <w:r w:rsidRPr="00C65665">
              <w:rPr>
                <w:rFonts w:asciiTheme="majorBidi" w:eastAsia="Times New Roman" w:hAnsiTheme="majorBidi" w:cstheme="majorBidi"/>
                <w:i/>
                <w:iCs/>
                <w:spacing w:val="4"/>
                <w:sz w:val="24"/>
                <w:szCs w:val="24"/>
                <w:lang w:val="sr-Latn-RS" w:eastAsia="sr-Latn-BA"/>
              </w:rPr>
              <w:t>Serratia</w:t>
            </w:r>
          </w:p>
        </w:tc>
        <w:tc>
          <w:tcPr>
            <w:tcW w:w="962" w:type="dxa"/>
            <w:tcBorders>
              <w:top w:val="nil"/>
              <w:left w:val="nil"/>
              <w:bottom w:val="single" w:sz="4" w:space="0" w:color="auto"/>
              <w:right w:val="single" w:sz="4" w:space="0" w:color="auto"/>
            </w:tcBorders>
            <w:shd w:val="clear" w:color="000000" w:fill="FCE4D6"/>
            <w:vAlign w:val="center"/>
            <w:hideMark/>
          </w:tcPr>
          <w:p w14:paraId="370A8344" w14:textId="77777777" w:rsidR="005F768B" w:rsidRPr="00C65665" w:rsidRDefault="005F768B" w:rsidP="00CC2905">
            <w:pPr>
              <w:spacing w:after="0" w:line="360" w:lineRule="auto"/>
              <w:rPr>
                <w:rFonts w:asciiTheme="majorBidi" w:eastAsia="Times New Roman" w:hAnsiTheme="majorBidi" w:cstheme="majorBidi"/>
                <w:i/>
                <w:iCs/>
                <w:spacing w:val="4"/>
                <w:sz w:val="24"/>
                <w:szCs w:val="24"/>
                <w:lang w:eastAsia="sr-Latn-BA"/>
              </w:rPr>
            </w:pPr>
            <w:r w:rsidRPr="00C65665">
              <w:rPr>
                <w:rFonts w:asciiTheme="majorBidi" w:eastAsia="Times New Roman" w:hAnsiTheme="majorBidi" w:cstheme="majorBidi"/>
                <w:i/>
                <w:iCs/>
                <w:spacing w:val="4"/>
                <w:sz w:val="24"/>
                <w:szCs w:val="24"/>
                <w:lang w:val="sr-Latn-RS" w:eastAsia="sr-Latn-BA"/>
              </w:rPr>
              <w:t>Proteus vulgaris</w:t>
            </w:r>
          </w:p>
        </w:tc>
      </w:tr>
      <w:tr w:rsidR="005F768B" w:rsidRPr="00C65665" w14:paraId="0CBE2FF6" w14:textId="77777777" w:rsidTr="00CC2905">
        <w:trPr>
          <w:trHeight w:val="312"/>
        </w:trPr>
        <w:tc>
          <w:tcPr>
            <w:tcW w:w="1701" w:type="dxa"/>
            <w:tcBorders>
              <w:top w:val="single" w:sz="4" w:space="0" w:color="auto"/>
              <w:left w:val="single" w:sz="4" w:space="0" w:color="auto"/>
              <w:bottom w:val="single" w:sz="4" w:space="0" w:color="auto"/>
              <w:right w:val="nil"/>
            </w:tcBorders>
            <w:shd w:val="clear" w:color="000000" w:fill="DBE5F1"/>
            <w:vAlign w:val="center"/>
            <w:hideMark/>
          </w:tcPr>
          <w:p w14:paraId="1489C7F5"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Klavulonska kiselina</w:t>
            </w:r>
          </w:p>
        </w:tc>
        <w:tc>
          <w:tcPr>
            <w:tcW w:w="1276" w:type="dxa"/>
            <w:tcBorders>
              <w:top w:val="nil"/>
              <w:left w:val="single" w:sz="4" w:space="0" w:color="auto"/>
              <w:bottom w:val="single" w:sz="4" w:space="0" w:color="auto"/>
              <w:right w:val="single" w:sz="4" w:space="0" w:color="auto"/>
            </w:tcBorders>
            <w:shd w:val="clear" w:color="000000" w:fill="FFF2CC"/>
            <w:noWrap/>
            <w:vAlign w:val="bottom"/>
            <w:hideMark/>
          </w:tcPr>
          <w:p w14:paraId="04C8B40F"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22.22%</w:t>
            </w:r>
          </w:p>
        </w:tc>
        <w:tc>
          <w:tcPr>
            <w:tcW w:w="1450" w:type="dxa"/>
            <w:tcBorders>
              <w:top w:val="nil"/>
              <w:left w:val="nil"/>
              <w:bottom w:val="single" w:sz="4" w:space="0" w:color="auto"/>
              <w:right w:val="single" w:sz="4" w:space="0" w:color="auto"/>
            </w:tcBorders>
            <w:shd w:val="clear" w:color="000000" w:fill="FFF2CC"/>
            <w:noWrap/>
            <w:vAlign w:val="bottom"/>
            <w:hideMark/>
          </w:tcPr>
          <w:p w14:paraId="22B063D1"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c>
          <w:tcPr>
            <w:tcW w:w="1011" w:type="dxa"/>
            <w:tcBorders>
              <w:top w:val="nil"/>
              <w:left w:val="nil"/>
              <w:bottom w:val="single" w:sz="4" w:space="0" w:color="auto"/>
              <w:right w:val="single" w:sz="4" w:space="0" w:color="auto"/>
            </w:tcBorders>
            <w:shd w:val="clear" w:color="000000" w:fill="FFF2CC"/>
            <w:noWrap/>
            <w:vAlign w:val="bottom"/>
            <w:hideMark/>
          </w:tcPr>
          <w:p w14:paraId="63F1FD86"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57.14%</w:t>
            </w:r>
          </w:p>
        </w:tc>
        <w:tc>
          <w:tcPr>
            <w:tcW w:w="1267" w:type="dxa"/>
            <w:tcBorders>
              <w:top w:val="nil"/>
              <w:left w:val="nil"/>
              <w:bottom w:val="single" w:sz="4" w:space="0" w:color="auto"/>
              <w:right w:val="single" w:sz="4" w:space="0" w:color="auto"/>
            </w:tcBorders>
            <w:shd w:val="clear" w:color="000000" w:fill="FFF2CC"/>
            <w:noWrap/>
            <w:vAlign w:val="bottom"/>
            <w:hideMark/>
          </w:tcPr>
          <w:p w14:paraId="5597EB26"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60.00%</w:t>
            </w:r>
          </w:p>
        </w:tc>
        <w:tc>
          <w:tcPr>
            <w:tcW w:w="1109" w:type="dxa"/>
            <w:tcBorders>
              <w:top w:val="nil"/>
              <w:left w:val="nil"/>
              <w:bottom w:val="single" w:sz="4" w:space="0" w:color="auto"/>
              <w:right w:val="single" w:sz="4" w:space="0" w:color="auto"/>
            </w:tcBorders>
            <w:shd w:val="clear" w:color="000000" w:fill="FFF2CC"/>
            <w:noWrap/>
            <w:vAlign w:val="bottom"/>
            <w:hideMark/>
          </w:tcPr>
          <w:p w14:paraId="4024F91B"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c>
          <w:tcPr>
            <w:tcW w:w="1005" w:type="dxa"/>
            <w:tcBorders>
              <w:top w:val="nil"/>
              <w:left w:val="nil"/>
              <w:bottom w:val="single" w:sz="4" w:space="0" w:color="auto"/>
              <w:right w:val="single" w:sz="4" w:space="0" w:color="auto"/>
            </w:tcBorders>
            <w:shd w:val="clear" w:color="000000" w:fill="FFF2CC"/>
            <w:noWrap/>
            <w:vAlign w:val="bottom"/>
            <w:hideMark/>
          </w:tcPr>
          <w:p w14:paraId="657554A7"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c>
          <w:tcPr>
            <w:tcW w:w="962" w:type="dxa"/>
            <w:tcBorders>
              <w:top w:val="nil"/>
              <w:left w:val="nil"/>
              <w:bottom w:val="single" w:sz="4" w:space="0" w:color="auto"/>
              <w:right w:val="single" w:sz="4" w:space="0" w:color="auto"/>
            </w:tcBorders>
            <w:shd w:val="clear" w:color="000000" w:fill="FFF2CC"/>
            <w:noWrap/>
            <w:vAlign w:val="bottom"/>
            <w:hideMark/>
          </w:tcPr>
          <w:p w14:paraId="613D6E52"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r>
      <w:tr w:rsidR="005F768B" w:rsidRPr="00C65665" w14:paraId="2AC4361E" w14:textId="77777777" w:rsidTr="00CC2905">
        <w:trPr>
          <w:trHeight w:val="312"/>
        </w:trPr>
        <w:tc>
          <w:tcPr>
            <w:tcW w:w="1701" w:type="dxa"/>
            <w:tcBorders>
              <w:top w:val="nil"/>
              <w:left w:val="single" w:sz="4" w:space="0" w:color="auto"/>
              <w:bottom w:val="single" w:sz="4" w:space="0" w:color="auto"/>
              <w:right w:val="nil"/>
            </w:tcBorders>
            <w:shd w:val="clear" w:color="000000" w:fill="DBE5F1"/>
            <w:vAlign w:val="center"/>
            <w:hideMark/>
          </w:tcPr>
          <w:p w14:paraId="7742A09E" w14:textId="77777777" w:rsidR="005F768B" w:rsidRPr="00C65665" w:rsidRDefault="005F768B" w:rsidP="00CC2905">
            <w:pPr>
              <w:spacing w:after="0" w:line="360" w:lineRule="auto"/>
              <w:ind w:right="-393"/>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Cefuroxim</w:t>
            </w:r>
          </w:p>
        </w:tc>
        <w:tc>
          <w:tcPr>
            <w:tcW w:w="1276" w:type="dxa"/>
            <w:tcBorders>
              <w:top w:val="nil"/>
              <w:left w:val="single" w:sz="4" w:space="0" w:color="auto"/>
              <w:bottom w:val="single" w:sz="4" w:space="0" w:color="auto"/>
              <w:right w:val="single" w:sz="4" w:space="0" w:color="auto"/>
            </w:tcBorders>
            <w:shd w:val="clear" w:color="000000" w:fill="FFF2CC"/>
            <w:noWrap/>
            <w:vAlign w:val="bottom"/>
            <w:hideMark/>
          </w:tcPr>
          <w:p w14:paraId="5218CCB3"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33.33%</w:t>
            </w:r>
          </w:p>
        </w:tc>
        <w:tc>
          <w:tcPr>
            <w:tcW w:w="1450" w:type="dxa"/>
            <w:tcBorders>
              <w:top w:val="nil"/>
              <w:left w:val="nil"/>
              <w:bottom w:val="single" w:sz="4" w:space="0" w:color="auto"/>
              <w:right w:val="single" w:sz="4" w:space="0" w:color="auto"/>
            </w:tcBorders>
            <w:shd w:val="clear" w:color="000000" w:fill="FFF2CC"/>
            <w:noWrap/>
            <w:vAlign w:val="bottom"/>
            <w:hideMark/>
          </w:tcPr>
          <w:p w14:paraId="1C71E03F"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57.14%</w:t>
            </w:r>
          </w:p>
        </w:tc>
        <w:tc>
          <w:tcPr>
            <w:tcW w:w="1011" w:type="dxa"/>
            <w:tcBorders>
              <w:top w:val="nil"/>
              <w:left w:val="nil"/>
              <w:bottom w:val="single" w:sz="4" w:space="0" w:color="auto"/>
              <w:right w:val="single" w:sz="4" w:space="0" w:color="auto"/>
            </w:tcBorders>
            <w:shd w:val="clear" w:color="000000" w:fill="FFF2CC"/>
            <w:noWrap/>
            <w:vAlign w:val="bottom"/>
            <w:hideMark/>
          </w:tcPr>
          <w:p w14:paraId="57B495F8"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71.43%</w:t>
            </w:r>
          </w:p>
        </w:tc>
        <w:tc>
          <w:tcPr>
            <w:tcW w:w="1267" w:type="dxa"/>
            <w:tcBorders>
              <w:top w:val="nil"/>
              <w:left w:val="nil"/>
              <w:bottom w:val="single" w:sz="4" w:space="0" w:color="auto"/>
              <w:right w:val="single" w:sz="4" w:space="0" w:color="auto"/>
            </w:tcBorders>
            <w:shd w:val="clear" w:color="000000" w:fill="FFF2CC"/>
            <w:noWrap/>
            <w:vAlign w:val="bottom"/>
            <w:hideMark/>
          </w:tcPr>
          <w:p w14:paraId="45EA3711"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40.00%</w:t>
            </w:r>
          </w:p>
        </w:tc>
        <w:tc>
          <w:tcPr>
            <w:tcW w:w="1109" w:type="dxa"/>
            <w:tcBorders>
              <w:top w:val="nil"/>
              <w:left w:val="nil"/>
              <w:bottom w:val="single" w:sz="4" w:space="0" w:color="auto"/>
              <w:right w:val="single" w:sz="4" w:space="0" w:color="auto"/>
            </w:tcBorders>
            <w:shd w:val="clear" w:color="000000" w:fill="FFF2CC"/>
            <w:noWrap/>
            <w:vAlign w:val="bottom"/>
            <w:hideMark/>
          </w:tcPr>
          <w:p w14:paraId="454F5733"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75.00%</w:t>
            </w:r>
          </w:p>
        </w:tc>
        <w:tc>
          <w:tcPr>
            <w:tcW w:w="1005" w:type="dxa"/>
            <w:tcBorders>
              <w:top w:val="nil"/>
              <w:left w:val="nil"/>
              <w:bottom w:val="single" w:sz="4" w:space="0" w:color="auto"/>
              <w:right w:val="single" w:sz="4" w:space="0" w:color="auto"/>
            </w:tcBorders>
            <w:shd w:val="clear" w:color="000000" w:fill="FFF2CC"/>
            <w:noWrap/>
            <w:vAlign w:val="bottom"/>
            <w:hideMark/>
          </w:tcPr>
          <w:p w14:paraId="0FD11912"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c>
          <w:tcPr>
            <w:tcW w:w="962" w:type="dxa"/>
            <w:tcBorders>
              <w:top w:val="nil"/>
              <w:left w:val="nil"/>
              <w:bottom w:val="single" w:sz="4" w:space="0" w:color="auto"/>
              <w:right w:val="single" w:sz="4" w:space="0" w:color="auto"/>
            </w:tcBorders>
            <w:shd w:val="clear" w:color="000000" w:fill="FFF2CC"/>
            <w:noWrap/>
            <w:vAlign w:val="bottom"/>
            <w:hideMark/>
          </w:tcPr>
          <w:p w14:paraId="63BB7D56"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r>
      <w:tr w:rsidR="005F768B" w:rsidRPr="00C65665" w14:paraId="5FE552AA" w14:textId="77777777" w:rsidTr="00CC2905">
        <w:trPr>
          <w:trHeight w:val="312"/>
        </w:trPr>
        <w:tc>
          <w:tcPr>
            <w:tcW w:w="1701" w:type="dxa"/>
            <w:tcBorders>
              <w:top w:val="nil"/>
              <w:left w:val="single" w:sz="4" w:space="0" w:color="auto"/>
              <w:bottom w:val="single" w:sz="4" w:space="0" w:color="auto"/>
              <w:right w:val="nil"/>
            </w:tcBorders>
            <w:shd w:val="clear" w:color="000000" w:fill="DBE5F1"/>
            <w:vAlign w:val="center"/>
            <w:hideMark/>
          </w:tcPr>
          <w:p w14:paraId="445CE9A0"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Cefataxim</w:t>
            </w:r>
          </w:p>
        </w:tc>
        <w:tc>
          <w:tcPr>
            <w:tcW w:w="1276" w:type="dxa"/>
            <w:tcBorders>
              <w:top w:val="nil"/>
              <w:left w:val="single" w:sz="4" w:space="0" w:color="auto"/>
              <w:bottom w:val="single" w:sz="4" w:space="0" w:color="auto"/>
              <w:right w:val="single" w:sz="4" w:space="0" w:color="auto"/>
            </w:tcBorders>
            <w:shd w:val="clear" w:color="000000" w:fill="FFF2CC"/>
            <w:noWrap/>
            <w:vAlign w:val="bottom"/>
            <w:hideMark/>
          </w:tcPr>
          <w:p w14:paraId="3B7B78F7"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33.33%</w:t>
            </w:r>
          </w:p>
        </w:tc>
        <w:tc>
          <w:tcPr>
            <w:tcW w:w="1450" w:type="dxa"/>
            <w:tcBorders>
              <w:top w:val="nil"/>
              <w:left w:val="nil"/>
              <w:bottom w:val="single" w:sz="4" w:space="0" w:color="auto"/>
              <w:right w:val="single" w:sz="4" w:space="0" w:color="auto"/>
            </w:tcBorders>
            <w:shd w:val="clear" w:color="000000" w:fill="FFF2CC"/>
            <w:noWrap/>
            <w:vAlign w:val="bottom"/>
            <w:hideMark/>
          </w:tcPr>
          <w:p w14:paraId="0ADC6D68"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85.71%</w:t>
            </w:r>
          </w:p>
        </w:tc>
        <w:tc>
          <w:tcPr>
            <w:tcW w:w="1011" w:type="dxa"/>
            <w:tcBorders>
              <w:top w:val="nil"/>
              <w:left w:val="nil"/>
              <w:bottom w:val="single" w:sz="4" w:space="0" w:color="auto"/>
              <w:right w:val="single" w:sz="4" w:space="0" w:color="auto"/>
            </w:tcBorders>
            <w:shd w:val="clear" w:color="000000" w:fill="FFF2CC"/>
            <w:noWrap/>
            <w:vAlign w:val="bottom"/>
            <w:hideMark/>
          </w:tcPr>
          <w:p w14:paraId="455DE1CF"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85.71%</w:t>
            </w:r>
          </w:p>
        </w:tc>
        <w:tc>
          <w:tcPr>
            <w:tcW w:w="1267" w:type="dxa"/>
            <w:tcBorders>
              <w:top w:val="nil"/>
              <w:left w:val="nil"/>
              <w:bottom w:val="single" w:sz="4" w:space="0" w:color="auto"/>
              <w:right w:val="single" w:sz="4" w:space="0" w:color="auto"/>
            </w:tcBorders>
            <w:shd w:val="clear" w:color="000000" w:fill="FFF2CC"/>
            <w:noWrap/>
            <w:vAlign w:val="bottom"/>
            <w:hideMark/>
          </w:tcPr>
          <w:p w14:paraId="3DAC906D"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40.00%</w:t>
            </w:r>
          </w:p>
        </w:tc>
        <w:tc>
          <w:tcPr>
            <w:tcW w:w="1109" w:type="dxa"/>
            <w:tcBorders>
              <w:top w:val="nil"/>
              <w:left w:val="nil"/>
              <w:bottom w:val="single" w:sz="4" w:space="0" w:color="auto"/>
              <w:right w:val="single" w:sz="4" w:space="0" w:color="auto"/>
            </w:tcBorders>
            <w:shd w:val="clear" w:color="000000" w:fill="FFF2CC"/>
            <w:noWrap/>
            <w:vAlign w:val="bottom"/>
            <w:hideMark/>
          </w:tcPr>
          <w:p w14:paraId="202D715A"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c>
          <w:tcPr>
            <w:tcW w:w="1005" w:type="dxa"/>
            <w:tcBorders>
              <w:top w:val="nil"/>
              <w:left w:val="nil"/>
              <w:bottom w:val="single" w:sz="4" w:space="0" w:color="auto"/>
              <w:right w:val="single" w:sz="4" w:space="0" w:color="auto"/>
            </w:tcBorders>
            <w:shd w:val="clear" w:color="000000" w:fill="FFF2CC"/>
            <w:noWrap/>
            <w:vAlign w:val="bottom"/>
            <w:hideMark/>
          </w:tcPr>
          <w:p w14:paraId="0A6255AD"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962" w:type="dxa"/>
            <w:tcBorders>
              <w:top w:val="nil"/>
              <w:left w:val="nil"/>
              <w:bottom w:val="single" w:sz="4" w:space="0" w:color="auto"/>
              <w:right w:val="single" w:sz="4" w:space="0" w:color="auto"/>
            </w:tcBorders>
            <w:shd w:val="clear" w:color="000000" w:fill="FFF2CC"/>
            <w:noWrap/>
            <w:vAlign w:val="bottom"/>
            <w:hideMark/>
          </w:tcPr>
          <w:p w14:paraId="797D885D"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r>
      <w:tr w:rsidR="005F768B" w:rsidRPr="00C65665" w14:paraId="149190AD" w14:textId="77777777" w:rsidTr="00CC2905">
        <w:trPr>
          <w:trHeight w:val="312"/>
        </w:trPr>
        <w:tc>
          <w:tcPr>
            <w:tcW w:w="1701" w:type="dxa"/>
            <w:tcBorders>
              <w:top w:val="nil"/>
              <w:left w:val="single" w:sz="4" w:space="0" w:color="auto"/>
              <w:bottom w:val="single" w:sz="4" w:space="0" w:color="auto"/>
              <w:right w:val="nil"/>
            </w:tcBorders>
            <w:shd w:val="clear" w:color="000000" w:fill="DBE5F1"/>
            <w:vAlign w:val="center"/>
            <w:hideMark/>
          </w:tcPr>
          <w:p w14:paraId="7BA13FC3"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Ceftiaxon</w:t>
            </w:r>
          </w:p>
        </w:tc>
        <w:tc>
          <w:tcPr>
            <w:tcW w:w="1276" w:type="dxa"/>
            <w:tcBorders>
              <w:top w:val="nil"/>
              <w:left w:val="single" w:sz="4" w:space="0" w:color="auto"/>
              <w:bottom w:val="single" w:sz="4" w:space="0" w:color="auto"/>
              <w:right w:val="single" w:sz="4" w:space="0" w:color="auto"/>
            </w:tcBorders>
            <w:shd w:val="clear" w:color="000000" w:fill="FFF2CC"/>
            <w:noWrap/>
            <w:vAlign w:val="bottom"/>
            <w:hideMark/>
          </w:tcPr>
          <w:p w14:paraId="74180D47"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44.44%</w:t>
            </w:r>
          </w:p>
        </w:tc>
        <w:tc>
          <w:tcPr>
            <w:tcW w:w="1450" w:type="dxa"/>
            <w:tcBorders>
              <w:top w:val="nil"/>
              <w:left w:val="nil"/>
              <w:bottom w:val="single" w:sz="4" w:space="0" w:color="auto"/>
              <w:right w:val="single" w:sz="4" w:space="0" w:color="auto"/>
            </w:tcBorders>
            <w:shd w:val="clear" w:color="000000" w:fill="FFF2CC"/>
            <w:noWrap/>
            <w:vAlign w:val="bottom"/>
            <w:hideMark/>
          </w:tcPr>
          <w:p w14:paraId="59C25D4B"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c>
          <w:tcPr>
            <w:tcW w:w="1011" w:type="dxa"/>
            <w:tcBorders>
              <w:top w:val="nil"/>
              <w:left w:val="nil"/>
              <w:bottom w:val="single" w:sz="4" w:space="0" w:color="auto"/>
              <w:right w:val="single" w:sz="4" w:space="0" w:color="auto"/>
            </w:tcBorders>
            <w:shd w:val="clear" w:color="000000" w:fill="FFF2CC"/>
            <w:noWrap/>
            <w:vAlign w:val="bottom"/>
            <w:hideMark/>
          </w:tcPr>
          <w:p w14:paraId="1081F3DF"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85.71%</w:t>
            </w:r>
          </w:p>
        </w:tc>
        <w:tc>
          <w:tcPr>
            <w:tcW w:w="1267" w:type="dxa"/>
            <w:tcBorders>
              <w:top w:val="nil"/>
              <w:left w:val="nil"/>
              <w:bottom w:val="single" w:sz="4" w:space="0" w:color="auto"/>
              <w:right w:val="single" w:sz="4" w:space="0" w:color="auto"/>
            </w:tcBorders>
            <w:shd w:val="clear" w:color="000000" w:fill="FFF2CC"/>
            <w:noWrap/>
            <w:vAlign w:val="bottom"/>
            <w:hideMark/>
          </w:tcPr>
          <w:p w14:paraId="64755B85"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40.00%</w:t>
            </w:r>
          </w:p>
        </w:tc>
        <w:tc>
          <w:tcPr>
            <w:tcW w:w="1109" w:type="dxa"/>
            <w:tcBorders>
              <w:top w:val="nil"/>
              <w:left w:val="nil"/>
              <w:bottom w:val="single" w:sz="4" w:space="0" w:color="auto"/>
              <w:right w:val="single" w:sz="4" w:space="0" w:color="auto"/>
            </w:tcBorders>
            <w:shd w:val="clear" w:color="000000" w:fill="FFF2CC"/>
            <w:noWrap/>
            <w:vAlign w:val="bottom"/>
            <w:hideMark/>
          </w:tcPr>
          <w:p w14:paraId="0544EF49"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75.00%</w:t>
            </w:r>
          </w:p>
        </w:tc>
        <w:tc>
          <w:tcPr>
            <w:tcW w:w="1005" w:type="dxa"/>
            <w:tcBorders>
              <w:top w:val="nil"/>
              <w:left w:val="nil"/>
              <w:bottom w:val="single" w:sz="4" w:space="0" w:color="auto"/>
              <w:right w:val="single" w:sz="4" w:space="0" w:color="auto"/>
            </w:tcBorders>
            <w:shd w:val="clear" w:color="000000" w:fill="FFF2CC"/>
            <w:noWrap/>
            <w:vAlign w:val="bottom"/>
            <w:hideMark/>
          </w:tcPr>
          <w:p w14:paraId="409C818F"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962" w:type="dxa"/>
            <w:tcBorders>
              <w:top w:val="nil"/>
              <w:left w:val="nil"/>
              <w:bottom w:val="single" w:sz="4" w:space="0" w:color="auto"/>
              <w:right w:val="single" w:sz="4" w:space="0" w:color="auto"/>
            </w:tcBorders>
            <w:shd w:val="clear" w:color="000000" w:fill="FFF2CC"/>
            <w:noWrap/>
            <w:vAlign w:val="bottom"/>
            <w:hideMark/>
          </w:tcPr>
          <w:p w14:paraId="4F233413"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r>
      <w:tr w:rsidR="005F768B" w:rsidRPr="00C65665" w14:paraId="2C205D25" w14:textId="77777777" w:rsidTr="00CC2905">
        <w:trPr>
          <w:trHeight w:val="312"/>
        </w:trPr>
        <w:tc>
          <w:tcPr>
            <w:tcW w:w="1701" w:type="dxa"/>
            <w:tcBorders>
              <w:top w:val="nil"/>
              <w:left w:val="single" w:sz="4" w:space="0" w:color="auto"/>
              <w:bottom w:val="single" w:sz="4" w:space="0" w:color="auto"/>
              <w:right w:val="nil"/>
            </w:tcBorders>
            <w:shd w:val="clear" w:color="000000" w:fill="DBE5F1"/>
            <w:vAlign w:val="center"/>
            <w:hideMark/>
          </w:tcPr>
          <w:p w14:paraId="2F67F32C"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Ciprofloxadn</w:t>
            </w:r>
          </w:p>
        </w:tc>
        <w:tc>
          <w:tcPr>
            <w:tcW w:w="1276" w:type="dxa"/>
            <w:tcBorders>
              <w:top w:val="nil"/>
              <w:left w:val="single" w:sz="4" w:space="0" w:color="auto"/>
              <w:bottom w:val="single" w:sz="4" w:space="0" w:color="auto"/>
              <w:right w:val="single" w:sz="4" w:space="0" w:color="auto"/>
            </w:tcBorders>
            <w:shd w:val="clear" w:color="000000" w:fill="FFF2CC"/>
            <w:noWrap/>
            <w:vAlign w:val="bottom"/>
            <w:hideMark/>
          </w:tcPr>
          <w:p w14:paraId="41E8ACE9"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66.67%</w:t>
            </w:r>
          </w:p>
        </w:tc>
        <w:tc>
          <w:tcPr>
            <w:tcW w:w="1450" w:type="dxa"/>
            <w:tcBorders>
              <w:top w:val="nil"/>
              <w:left w:val="nil"/>
              <w:bottom w:val="single" w:sz="4" w:space="0" w:color="auto"/>
              <w:right w:val="single" w:sz="4" w:space="0" w:color="auto"/>
            </w:tcBorders>
            <w:shd w:val="clear" w:color="000000" w:fill="FFF2CC"/>
            <w:noWrap/>
            <w:vAlign w:val="bottom"/>
            <w:hideMark/>
          </w:tcPr>
          <w:p w14:paraId="163E3CE4"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85.71%</w:t>
            </w:r>
          </w:p>
        </w:tc>
        <w:tc>
          <w:tcPr>
            <w:tcW w:w="1011" w:type="dxa"/>
            <w:tcBorders>
              <w:top w:val="nil"/>
              <w:left w:val="nil"/>
              <w:bottom w:val="single" w:sz="4" w:space="0" w:color="auto"/>
              <w:right w:val="single" w:sz="4" w:space="0" w:color="auto"/>
            </w:tcBorders>
            <w:shd w:val="clear" w:color="000000" w:fill="FFF2CC"/>
            <w:noWrap/>
            <w:vAlign w:val="bottom"/>
            <w:hideMark/>
          </w:tcPr>
          <w:p w14:paraId="6CB2ACED"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85.71%</w:t>
            </w:r>
          </w:p>
        </w:tc>
        <w:tc>
          <w:tcPr>
            <w:tcW w:w="1267" w:type="dxa"/>
            <w:tcBorders>
              <w:top w:val="nil"/>
              <w:left w:val="nil"/>
              <w:bottom w:val="single" w:sz="4" w:space="0" w:color="auto"/>
              <w:right w:val="single" w:sz="4" w:space="0" w:color="auto"/>
            </w:tcBorders>
            <w:shd w:val="clear" w:color="000000" w:fill="FFF2CC"/>
            <w:noWrap/>
            <w:vAlign w:val="bottom"/>
            <w:hideMark/>
          </w:tcPr>
          <w:p w14:paraId="1DA0DF7C"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40.00%</w:t>
            </w:r>
          </w:p>
        </w:tc>
        <w:tc>
          <w:tcPr>
            <w:tcW w:w="1109" w:type="dxa"/>
            <w:tcBorders>
              <w:top w:val="nil"/>
              <w:left w:val="nil"/>
              <w:bottom w:val="single" w:sz="4" w:space="0" w:color="auto"/>
              <w:right w:val="single" w:sz="4" w:space="0" w:color="auto"/>
            </w:tcBorders>
            <w:shd w:val="clear" w:color="000000" w:fill="FFF2CC"/>
            <w:noWrap/>
            <w:vAlign w:val="bottom"/>
            <w:hideMark/>
          </w:tcPr>
          <w:p w14:paraId="3FAA545D"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75.00%</w:t>
            </w:r>
          </w:p>
        </w:tc>
        <w:tc>
          <w:tcPr>
            <w:tcW w:w="1005" w:type="dxa"/>
            <w:tcBorders>
              <w:top w:val="nil"/>
              <w:left w:val="nil"/>
              <w:bottom w:val="single" w:sz="4" w:space="0" w:color="auto"/>
              <w:right w:val="single" w:sz="4" w:space="0" w:color="auto"/>
            </w:tcBorders>
            <w:shd w:val="clear" w:color="000000" w:fill="FFF2CC"/>
            <w:noWrap/>
            <w:vAlign w:val="bottom"/>
            <w:hideMark/>
          </w:tcPr>
          <w:p w14:paraId="04735618"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50.00%</w:t>
            </w:r>
          </w:p>
        </w:tc>
        <w:tc>
          <w:tcPr>
            <w:tcW w:w="962" w:type="dxa"/>
            <w:tcBorders>
              <w:top w:val="nil"/>
              <w:left w:val="nil"/>
              <w:bottom w:val="single" w:sz="4" w:space="0" w:color="auto"/>
              <w:right w:val="single" w:sz="4" w:space="0" w:color="auto"/>
            </w:tcBorders>
            <w:shd w:val="clear" w:color="000000" w:fill="FFF2CC"/>
            <w:noWrap/>
            <w:vAlign w:val="bottom"/>
            <w:hideMark/>
          </w:tcPr>
          <w:p w14:paraId="57BA962F"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r>
      <w:tr w:rsidR="005F768B" w:rsidRPr="00C65665" w14:paraId="344F9FC2" w14:textId="77777777" w:rsidTr="00CC2905">
        <w:trPr>
          <w:trHeight w:val="312"/>
        </w:trPr>
        <w:tc>
          <w:tcPr>
            <w:tcW w:w="1701" w:type="dxa"/>
            <w:tcBorders>
              <w:top w:val="nil"/>
              <w:left w:val="single" w:sz="4" w:space="0" w:color="auto"/>
              <w:bottom w:val="single" w:sz="4" w:space="0" w:color="auto"/>
              <w:right w:val="single" w:sz="4" w:space="0" w:color="auto"/>
            </w:tcBorders>
            <w:shd w:val="clear" w:color="000000" w:fill="DBE5F1"/>
            <w:vAlign w:val="center"/>
            <w:hideMark/>
          </w:tcPr>
          <w:p w14:paraId="70A226A3"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Trimethoprim/ sulfamethoxazole</w:t>
            </w:r>
          </w:p>
        </w:tc>
        <w:tc>
          <w:tcPr>
            <w:tcW w:w="1276" w:type="dxa"/>
            <w:tcBorders>
              <w:top w:val="nil"/>
              <w:left w:val="nil"/>
              <w:bottom w:val="single" w:sz="4" w:space="0" w:color="auto"/>
              <w:right w:val="single" w:sz="4" w:space="0" w:color="auto"/>
            </w:tcBorders>
            <w:shd w:val="clear" w:color="000000" w:fill="FFF2CC"/>
            <w:noWrap/>
            <w:vAlign w:val="bottom"/>
            <w:hideMark/>
          </w:tcPr>
          <w:p w14:paraId="17B11F06"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88.89%</w:t>
            </w:r>
          </w:p>
        </w:tc>
        <w:tc>
          <w:tcPr>
            <w:tcW w:w="1450" w:type="dxa"/>
            <w:tcBorders>
              <w:top w:val="nil"/>
              <w:left w:val="nil"/>
              <w:bottom w:val="single" w:sz="4" w:space="0" w:color="auto"/>
              <w:right w:val="single" w:sz="4" w:space="0" w:color="auto"/>
            </w:tcBorders>
            <w:shd w:val="clear" w:color="000000" w:fill="FFF2CC"/>
            <w:noWrap/>
            <w:vAlign w:val="bottom"/>
            <w:hideMark/>
          </w:tcPr>
          <w:p w14:paraId="00FFDA90"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85.71%</w:t>
            </w:r>
          </w:p>
        </w:tc>
        <w:tc>
          <w:tcPr>
            <w:tcW w:w="1011" w:type="dxa"/>
            <w:tcBorders>
              <w:top w:val="nil"/>
              <w:left w:val="nil"/>
              <w:bottom w:val="single" w:sz="4" w:space="0" w:color="auto"/>
              <w:right w:val="single" w:sz="4" w:space="0" w:color="auto"/>
            </w:tcBorders>
            <w:shd w:val="clear" w:color="000000" w:fill="FFF2CC"/>
            <w:noWrap/>
            <w:vAlign w:val="bottom"/>
            <w:hideMark/>
          </w:tcPr>
          <w:p w14:paraId="72706E52"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85.71%</w:t>
            </w:r>
          </w:p>
        </w:tc>
        <w:tc>
          <w:tcPr>
            <w:tcW w:w="1267" w:type="dxa"/>
            <w:tcBorders>
              <w:top w:val="nil"/>
              <w:left w:val="nil"/>
              <w:bottom w:val="single" w:sz="4" w:space="0" w:color="auto"/>
              <w:right w:val="single" w:sz="4" w:space="0" w:color="auto"/>
            </w:tcBorders>
            <w:shd w:val="clear" w:color="000000" w:fill="FFF2CC"/>
            <w:noWrap/>
            <w:vAlign w:val="bottom"/>
            <w:hideMark/>
          </w:tcPr>
          <w:p w14:paraId="5E453FD7"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80.00%</w:t>
            </w:r>
          </w:p>
        </w:tc>
        <w:tc>
          <w:tcPr>
            <w:tcW w:w="1109" w:type="dxa"/>
            <w:tcBorders>
              <w:top w:val="nil"/>
              <w:left w:val="nil"/>
              <w:bottom w:val="single" w:sz="4" w:space="0" w:color="auto"/>
              <w:right w:val="single" w:sz="4" w:space="0" w:color="auto"/>
            </w:tcBorders>
            <w:shd w:val="clear" w:color="000000" w:fill="FFF2CC"/>
            <w:noWrap/>
            <w:vAlign w:val="bottom"/>
            <w:hideMark/>
          </w:tcPr>
          <w:p w14:paraId="21AF10D2"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50.00%</w:t>
            </w:r>
          </w:p>
        </w:tc>
        <w:tc>
          <w:tcPr>
            <w:tcW w:w="1005" w:type="dxa"/>
            <w:tcBorders>
              <w:top w:val="nil"/>
              <w:left w:val="nil"/>
              <w:bottom w:val="single" w:sz="4" w:space="0" w:color="auto"/>
              <w:right w:val="single" w:sz="4" w:space="0" w:color="auto"/>
            </w:tcBorders>
            <w:shd w:val="clear" w:color="000000" w:fill="FFF2CC"/>
            <w:noWrap/>
            <w:vAlign w:val="bottom"/>
            <w:hideMark/>
          </w:tcPr>
          <w:p w14:paraId="5425097A"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50.00%</w:t>
            </w:r>
          </w:p>
        </w:tc>
        <w:tc>
          <w:tcPr>
            <w:tcW w:w="962" w:type="dxa"/>
            <w:tcBorders>
              <w:top w:val="nil"/>
              <w:left w:val="nil"/>
              <w:bottom w:val="single" w:sz="4" w:space="0" w:color="auto"/>
              <w:right w:val="single" w:sz="4" w:space="0" w:color="auto"/>
            </w:tcBorders>
            <w:shd w:val="clear" w:color="000000" w:fill="FFF2CC"/>
            <w:noWrap/>
            <w:vAlign w:val="bottom"/>
            <w:hideMark/>
          </w:tcPr>
          <w:p w14:paraId="2BE96836"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r>
      <w:tr w:rsidR="005F768B" w:rsidRPr="00C65665" w14:paraId="169AE40D" w14:textId="77777777" w:rsidTr="00CC2905">
        <w:trPr>
          <w:trHeight w:val="312"/>
        </w:trPr>
        <w:tc>
          <w:tcPr>
            <w:tcW w:w="1701" w:type="dxa"/>
            <w:tcBorders>
              <w:top w:val="nil"/>
              <w:left w:val="single" w:sz="4" w:space="0" w:color="auto"/>
              <w:bottom w:val="single" w:sz="4" w:space="0" w:color="auto"/>
              <w:right w:val="single" w:sz="4" w:space="0" w:color="auto"/>
            </w:tcBorders>
            <w:shd w:val="clear" w:color="000000" w:fill="DBE5F1"/>
            <w:vAlign w:val="center"/>
            <w:hideMark/>
          </w:tcPr>
          <w:p w14:paraId="6DB09B88"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Gentamicynn</w:t>
            </w:r>
          </w:p>
        </w:tc>
        <w:tc>
          <w:tcPr>
            <w:tcW w:w="1276" w:type="dxa"/>
            <w:tcBorders>
              <w:top w:val="nil"/>
              <w:left w:val="nil"/>
              <w:bottom w:val="single" w:sz="4" w:space="0" w:color="auto"/>
              <w:right w:val="single" w:sz="4" w:space="0" w:color="auto"/>
            </w:tcBorders>
            <w:shd w:val="clear" w:color="000000" w:fill="FFF2CC"/>
            <w:noWrap/>
            <w:vAlign w:val="bottom"/>
            <w:hideMark/>
          </w:tcPr>
          <w:p w14:paraId="2B4BAA3E"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44.44%</w:t>
            </w:r>
          </w:p>
        </w:tc>
        <w:tc>
          <w:tcPr>
            <w:tcW w:w="1450" w:type="dxa"/>
            <w:tcBorders>
              <w:top w:val="nil"/>
              <w:left w:val="nil"/>
              <w:bottom w:val="single" w:sz="4" w:space="0" w:color="auto"/>
              <w:right w:val="single" w:sz="4" w:space="0" w:color="auto"/>
            </w:tcBorders>
            <w:shd w:val="clear" w:color="000000" w:fill="FFF2CC"/>
            <w:noWrap/>
            <w:vAlign w:val="bottom"/>
            <w:hideMark/>
          </w:tcPr>
          <w:p w14:paraId="10CECD7D"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85.71%</w:t>
            </w:r>
          </w:p>
        </w:tc>
        <w:tc>
          <w:tcPr>
            <w:tcW w:w="1011" w:type="dxa"/>
            <w:tcBorders>
              <w:top w:val="nil"/>
              <w:left w:val="nil"/>
              <w:bottom w:val="single" w:sz="4" w:space="0" w:color="auto"/>
              <w:right w:val="single" w:sz="4" w:space="0" w:color="auto"/>
            </w:tcBorders>
            <w:shd w:val="clear" w:color="000000" w:fill="FFF2CC"/>
            <w:noWrap/>
            <w:vAlign w:val="bottom"/>
            <w:hideMark/>
          </w:tcPr>
          <w:p w14:paraId="68ADFA64"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57.14%</w:t>
            </w:r>
          </w:p>
        </w:tc>
        <w:tc>
          <w:tcPr>
            <w:tcW w:w="1267" w:type="dxa"/>
            <w:tcBorders>
              <w:top w:val="nil"/>
              <w:left w:val="nil"/>
              <w:bottom w:val="single" w:sz="4" w:space="0" w:color="auto"/>
              <w:right w:val="single" w:sz="4" w:space="0" w:color="auto"/>
            </w:tcBorders>
            <w:shd w:val="clear" w:color="000000" w:fill="FFF2CC"/>
            <w:noWrap/>
            <w:vAlign w:val="bottom"/>
            <w:hideMark/>
          </w:tcPr>
          <w:p w14:paraId="756BC131"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40.00%</w:t>
            </w:r>
          </w:p>
        </w:tc>
        <w:tc>
          <w:tcPr>
            <w:tcW w:w="1109" w:type="dxa"/>
            <w:tcBorders>
              <w:top w:val="nil"/>
              <w:left w:val="nil"/>
              <w:bottom w:val="single" w:sz="4" w:space="0" w:color="auto"/>
              <w:right w:val="single" w:sz="4" w:space="0" w:color="auto"/>
            </w:tcBorders>
            <w:shd w:val="clear" w:color="000000" w:fill="FFF2CC"/>
            <w:noWrap/>
            <w:vAlign w:val="bottom"/>
            <w:hideMark/>
          </w:tcPr>
          <w:p w14:paraId="41DF6019"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50.00%</w:t>
            </w:r>
          </w:p>
        </w:tc>
        <w:tc>
          <w:tcPr>
            <w:tcW w:w="1005" w:type="dxa"/>
            <w:tcBorders>
              <w:top w:val="nil"/>
              <w:left w:val="nil"/>
              <w:bottom w:val="single" w:sz="4" w:space="0" w:color="auto"/>
              <w:right w:val="single" w:sz="4" w:space="0" w:color="auto"/>
            </w:tcBorders>
            <w:shd w:val="clear" w:color="000000" w:fill="FFF2CC"/>
            <w:noWrap/>
            <w:vAlign w:val="bottom"/>
            <w:hideMark/>
          </w:tcPr>
          <w:p w14:paraId="31767D1E"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50.00%</w:t>
            </w:r>
          </w:p>
        </w:tc>
        <w:tc>
          <w:tcPr>
            <w:tcW w:w="962" w:type="dxa"/>
            <w:tcBorders>
              <w:top w:val="nil"/>
              <w:left w:val="nil"/>
              <w:bottom w:val="single" w:sz="4" w:space="0" w:color="auto"/>
              <w:right w:val="single" w:sz="4" w:space="0" w:color="auto"/>
            </w:tcBorders>
            <w:shd w:val="clear" w:color="000000" w:fill="FFF2CC"/>
            <w:noWrap/>
            <w:vAlign w:val="bottom"/>
            <w:hideMark/>
          </w:tcPr>
          <w:p w14:paraId="29AAC02A"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100.00%</w:t>
            </w:r>
          </w:p>
        </w:tc>
      </w:tr>
      <w:tr w:rsidR="005F768B" w:rsidRPr="00C65665" w14:paraId="759A9B0A" w14:textId="77777777" w:rsidTr="00CC2905">
        <w:trPr>
          <w:trHeight w:val="312"/>
        </w:trPr>
        <w:tc>
          <w:tcPr>
            <w:tcW w:w="1701" w:type="dxa"/>
            <w:tcBorders>
              <w:top w:val="nil"/>
              <w:left w:val="single" w:sz="4" w:space="0" w:color="auto"/>
              <w:bottom w:val="single" w:sz="4" w:space="0" w:color="auto"/>
              <w:right w:val="single" w:sz="4" w:space="0" w:color="auto"/>
            </w:tcBorders>
            <w:shd w:val="clear" w:color="000000" w:fill="DBE5F1"/>
            <w:vAlign w:val="center"/>
            <w:hideMark/>
          </w:tcPr>
          <w:p w14:paraId="4F2B8390"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Vancomycin</w:t>
            </w:r>
          </w:p>
        </w:tc>
        <w:tc>
          <w:tcPr>
            <w:tcW w:w="1276" w:type="dxa"/>
            <w:tcBorders>
              <w:top w:val="nil"/>
              <w:left w:val="nil"/>
              <w:bottom w:val="single" w:sz="4" w:space="0" w:color="auto"/>
              <w:right w:val="single" w:sz="4" w:space="0" w:color="auto"/>
            </w:tcBorders>
            <w:shd w:val="clear" w:color="000000" w:fill="FFF2CC"/>
            <w:noWrap/>
            <w:vAlign w:val="bottom"/>
            <w:hideMark/>
          </w:tcPr>
          <w:p w14:paraId="53631808"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1450" w:type="dxa"/>
            <w:tcBorders>
              <w:top w:val="nil"/>
              <w:left w:val="nil"/>
              <w:bottom w:val="single" w:sz="4" w:space="0" w:color="auto"/>
              <w:right w:val="single" w:sz="4" w:space="0" w:color="auto"/>
            </w:tcBorders>
            <w:shd w:val="clear" w:color="000000" w:fill="FFF2CC"/>
            <w:noWrap/>
            <w:vAlign w:val="bottom"/>
            <w:hideMark/>
          </w:tcPr>
          <w:p w14:paraId="1B9DDA41"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1011" w:type="dxa"/>
            <w:tcBorders>
              <w:top w:val="nil"/>
              <w:left w:val="nil"/>
              <w:bottom w:val="single" w:sz="4" w:space="0" w:color="auto"/>
              <w:right w:val="single" w:sz="4" w:space="0" w:color="auto"/>
            </w:tcBorders>
            <w:shd w:val="clear" w:color="000000" w:fill="FFF2CC"/>
            <w:noWrap/>
            <w:vAlign w:val="bottom"/>
            <w:hideMark/>
          </w:tcPr>
          <w:p w14:paraId="11CA9FF2"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1267" w:type="dxa"/>
            <w:tcBorders>
              <w:top w:val="nil"/>
              <w:left w:val="nil"/>
              <w:bottom w:val="single" w:sz="4" w:space="0" w:color="auto"/>
              <w:right w:val="single" w:sz="4" w:space="0" w:color="auto"/>
            </w:tcBorders>
            <w:shd w:val="clear" w:color="000000" w:fill="FFF2CC"/>
            <w:noWrap/>
            <w:vAlign w:val="bottom"/>
            <w:hideMark/>
          </w:tcPr>
          <w:p w14:paraId="2566C076"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1109" w:type="dxa"/>
            <w:tcBorders>
              <w:top w:val="nil"/>
              <w:left w:val="nil"/>
              <w:bottom w:val="single" w:sz="4" w:space="0" w:color="auto"/>
              <w:right w:val="single" w:sz="4" w:space="0" w:color="auto"/>
            </w:tcBorders>
            <w:shd w:val="clear" w:color="000000" w:fill="FFF2CC"/>
            <w:noWrap/>
            <w:vAlign w:val="bottom"/>
            <w:hideMark/>
          </w:tcPr>
          <w:p w14:paraId="71F23586"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1005" w:type="dxa"/>
            <w:tcBorders>
              <w:top w:val="nil"/>
              <w:left w:val="nil"/>
              <w:bottom w:val="single" w:sz="4" w:space="0" w:color="auto"/>
              <w:right w:val="single" w:sz="4" w:space="0" w:color="auto"/>
            </w:tcBorders>
            <w:shd w:val="clear" w:color="000000" w:fill="FFF2CC"/>
            <w:noWrap/>
            <w:vAlign w:val="bottom"/>
            <w:hideMark/>
          </w:tcPr>
          <w:p w14:paraId="73FC3A88"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962" w:type="dxa"/>
            <w:tcBorders>
              <w:top w:val="nil"/>
              <w:left w:val="nil"/>
              <w:bottom w:val="single" w:sz="4" w:space="0" w:color="auto"/>
              <w:right w:val="single" w:sz="4" w:space="0" w:color="auto"/>
            </w:tcBorders>
            <w:shd w:val="clear" w:color="000000" w:fill="FFF2CC"/>
            <w:noWrap/>
            <w:vAlign w:val="bottom"/>
            <w:hideMark/>
          </w:tcPr>
          <w:p w14:paraId="2E5E6021"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r>
      <w:tr w:rsidR="005F768B" w:rsidRPr="00C65665" w14:paraId="1B928AA0" w14:textId="77777777" w:rsidTr="00CC2905">
        <w:trPr>
          <w:trHeight w:val="312"/>
        </w:trPr>
        <w:tc>
          <w:tcPr>
            <w:tcW w:w="1701" w:type="dxa"/>
            <w:tcBorders>
              <w:top w:val="nil"/>
              <w:left w:val="single" w:sz="4" w:space="0" w:color="auto"/>
              <w:bottom w:val="single" w:sz="4" w:space="0" w:color="auto"/>
              <w:right w:val="single" w:sz="4" w:space="0" w:color="auto"/>
            </w:tcBorders>
            <w:shd w:val="clear" w:color="000000" w:fill="DBE5F1"/>
            <w:vAlign w:val="center"/>
            <w:hideMark/>
          </w:tcPr>
          <w:p w14:paraId="473AD2A8" w14:textId="77777777" w:rsidR="005F768B" w:rsidRPr="00C65665" w:rsidRDefault="005F768B" w:rsidP="00CC2905">
            <w:pPr>
              <w:spacing w:after="0" w:line="360" w:lineRule="auto"/>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val="sr-Latn-RS" w:eastAsia="sr-Latn-BA"/>
              </w:rPr>
              <w:t>Erythromycin</w:t>
            </w:r>
          </w:p>
        </w:tc>
        <w:tc>
          <w:tcPr>
            <w:tcW w:w="1276" w:type="dxa"/>
            <w:tcBorders>
              <w:top w:val="nil"/>
              <w:left w:val="nil"/>
              <w:bottom w:val="single" w:sz="4" w:space="0" w:color="auto"/>
              <w:right w:val="single" w:sz="4" w:space="0" w:color="auto"/>
            </w:tcBorders>
            <w:shd w:val="clear" w:color="000000" w:fill="FFF2CC"/>
            <w:noWrap/>
            <w:vAlign w:val="bottom"/>
            <w:hideMark/>
          </w:tcPr>
          <w:p w14:paraId="36B052F8"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1450" w:type="dxa"/>
            <w:tcBorders>
              <w:top w:val="nil"/>
              <w:left w:val="nil"/>
              <w:bottom w:val="single" w:sz="4" w:space="0" w:color="auto"/>
              <w:right w:val="single" w:sz="4" w:space="0" w:color="auto"/>
            </w:tcBorders>
            <w:shd w:val="clear" w:color="000000" w:fill="FFF2CC"/>
            <w:noWrap/>
            <w:vAlign w:val="bottom"/>
            <w:hideMark/>
          </w:tcPr>
          <w:p w14:paraId="256BC910"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1011" w:type="dxa"/>
            <w:tcBorders>
              <w:top w:val="nil"/>
              <w:left w:val="nil"/>
              <w:bottom w:val="single" w:sz="4" w:space="0" w:color="auto"/>
              <w:right w:val="single" w:sz="4" w:space="0" w:color="auto"/>
            </w:tcBorders>
            <w:shd w:val="clear" w:color="000000" w:fill="FFF2CC"/>
            <w:noWrap/>
            <w:vAlign w:val="bottom"/>
            <w:hideMark/>
          </w:tcPr>
          <w:p w14:paraId="330D43E7"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1267" w:type="dxa"/>
            <w:tcBorders>
              <w:top w:val="nil"/>
              <w:left w:val="nil"/>
              <w:bottom w:val="single" w:sz="4" w:space="0" w:color="auto"/>
              <w:right w:val="single" w:sz="4" w:space="0" w:color="auto"/>
            </w:tcBorders>
            <w:shd w:val="clear" w:color="000000" w:fill="FFF2CC"/>
            <w:noWrap/>
            <w:vAlign w:val="bottom"/>
            <w:hideMark/>
          </w:tcPr>
          <w:p w14:paraId="1EF2CDA3"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1109" w:type="dxa"/>
            <w:tcBorders>
              <w:top w:val="nil"/>
              <w:left w:val="nil"/>
              <w:bottom w:val="single" w:sz="4" w:space="0" w:color="auto"/>
              <w:right w:val="single" w:sz="4" w:space="0" w:color="auto"/>
            </w:tcBorders>
            <w:shd w:val="clear" w:color="000000" w:fill="FFF2CC"/>
            <w:noWrap/>
            <w:vAlign w:val="bottom"/>
            <w:hideMark/>
          </w:tcPr>
          <w:p w14:paraId="63C79C16"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1005" w:type="dxa"/>
            <w:tcBorders>
              <w:top w:val="nil"/>
              <w:left w:val="nil"/>
              <w:bottom w:val="single" w:sz="4" w:space="0" w:color="auto"/>
              <w:right w:val="single" w:sz="4" w:space="0" w:color="auto"/>
            </w:tcBorders>
            <w:shd w:val="clear" w:color="000000" w:fill="FFF2CC"/>
            <w:noWrap/>
            <w:vAlign w:val="bottom"/>
            <w:hideMark/>
          </w:tcPr>
          <w:p w14:paraId="7BBBE8D5"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c>
          <w:tcPr>
            <w:tcW w:w="962" w:type="dxa"/>
            <w:tcBorders>
              <w:top w:val="nil"/>
              <w:left w:val="nil"/>
              <w:bottom w:val="single" w:sz="4" w:space="0" w:color="auto"/>
              <w:right w:val="single" w:sz="4" w:space="0" w:color="auto"/>
            </w:tcBorders>
            <w:shd w:val="clear" w:color="000000" w:fill="FFF2CC"/>
            <w:noWrap/>
            <w:vAlign w:val="bottom"/>
            <w:hideMark/>
          </w:tcPr>
          <w:p w14:paraId="72E02258" w14:textId="77777777" w:rsidR="005F768B" w:rsidRPr="00C65665" w:rsidRDefault="005F768B" w:rsidP="00CC2905">
            <w:pPr>
              <w:spacing w:after="0" w:line="360" w:lineRule="auto"/>
              <w:jc w:val="right"/>
              <w:rPr>
                <w:rFonts w:asciiTheme="majorBidi" w:eastAsia="Times New Roman" w:hAnsiTheme="majorBidi" w:cstheme="majorBidi"/>
                <w:spacing w:val="4"/>
                <w:sz w:val="24"/>
                <w:szCs w:val="24"/>
                <w:lang w:eastAsia="sr-Latn-BA"/>
              </w:rPr>
            </w:pPr>
            <w:r w:rsidRPr="00C65665">
              <w:rPr>
                <w:rFonts w:asciiTheme="majorBidi" w:eastAsia="Times New Roman" w:hAnsiTheme="majorBidi" w:cstheme="majorBidi"/>
                <w:spacing w:val="4"/>
                <w:sz w:val="24"/>
                <w:szCs w:val="24"/>
                <w:lang w:eastAsia="sr-Latn-BA"/>
              </w:rPr>
              <w:t>0.00%</w:t>
            </w:r>
          </w:p>
        </w:tc>
      </w:tr>
    </w:tbl>
    <w:p w14:paraId="5FDCCAF4" w14:textId="77777777" w:rsidR="005F768B" w:rsidRPr="00C65665" w:rsidRDefault="005F768B" w:rsidP="005F768B">
      <w:pPr>
        <w:spacing w:after="0" w:line="360" w:lineRule="auto"/>
        <w:rPr>
          <w:rFonts w:asciiTheme="majorBidi" w:eastAsia="Times New Roman" w:hAnsiTheme="majorBidi" w:cstheme="majorBidi"/>
          <w:b/>
          <w:bCs/>
          <w:i/>
          <w:iCs/>
          <w:spacing w:val="4"/>
          <w:sz w:val="24"/>
          <w:szCs w:val="24"/>
          <w:lang w:val="sr-Latn-CS" w:eastAsia="sr-Latn-CS"/>
        </w:rPr>
      </w:pPr>
    </w:p>
    <w:p w14:paraId="3462E0A3" w14:textId="77777777" w:rsidR="005F768B" w:rsidRPr="00C65665" w:rsidRDefault="005F768B" w:rsidP="005F768B">
      <w:pPr>
        <w:spacing w:after="0" w:line="360" w:lineRule="auto"/>
        <w:rPr>
          <w:rFonts w:asciiTheme="majorBidi" w:eastAsia="Times New Roman" w:hAnsiTheme="majorBidi" w:cstheme="majorBidi"/>
          <w:b/>
          <w:bCs/>
          <w:i/>
          <w:iCs/>
          <w:spacing w:val="4"/>
          <w:sz w:val="24"/>
          <w:szCs w:val="24"/>
          <w:lang w:val="sr-Latn-CS" w:eastAsia="sr-Latn-CS"/>
        </w:rPr>
      </w:pPr>
    </w:p>
    <w:p w14:paraId="50509991" w14:textId="77777777" w:rsidR="005F768B" w:rsidRPr="00C65665" w:rsidRDefault="005F768B" w:rsidP="005F768B">
      <w:pPr>
        <w:pStyle w:val="Heading1"/>
        <w:numPr>
          <w:ilvl w:val="0"/>
          <w:numId w:val="29"/>
        </w:numPr>
        <w:spacing w:before="0" w:after="0"/>
        <w:rPr>
          <w:rFonts w:asciiTheme="majorBidi" w:hAnsiTheme="majorBidi" w:cstheme="majorBidi"/>
          <w:spacing w:val="4"/>
          <w:sz w:val="24"/>
          <w:szCs w:val="24"/>
        </w:rPr>
      </w:pPr>
      <w:bookmarkStart w:id="26" w:name="_Toc76462913"/>
      <w:r w:rsidRPr="00C65665">
        <w:rPr>
          <w:rFonts w:asciiTheme="majorBidi" w:hAnsiTheme="majorBidi" w:cstheme="majorBidi"/>
          <w:spacing w:val="4"/>
          <w:sz w:val="24"/>
          <w:szCs w:val="24"/>
        </w:rPr>
        <w:lastRenderedPageBreak/>
        <w:t>DISKUSIJA</w:t>
      </w:r>
      <w:bookmarkEnd w:id="26"/>
    </w:p>
    <w:p w14:paraId="3F202D09" w14:textId="77777777" w:rsidR="005F768B" w:rsidRPr="00C65665"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Od 250 uzoraka krvi uzetih, u vremenskom periodu između 01.01.2016. i 31.12.2018., od pacijenata hospitalizovanih na Klinici za Anesteziju i intenzivno liječenje i obrađenih na Zavodu za mikrobiologiju UKC Banja Luka, pozitivnih hemokultura je bilo 108 odnosno 43,2%. Do sličnih rezultata su  došli Rashi S i saradnici u  PHANTASI studiji (2019), koja je obuhvatila 2659 pacijenata, a pozitivna hemokultura je potvrđena kod 1133 pacijenta ( 42,6%). (1) U odnosu na pol, kod 64 muškarca odnosno 44 žene su hemokulture bile pozitivne.</w:t>
      </w:r>
    </w:p>
    <w:p w14:paraId="506C988C" w14:textId="77777777" w:rsidR="005F768B" w:rsidRPr="00C65665"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Gram pozitivne bakterije činile su 67,6% (73 pozitivna izolata), a gram negativne bakterije 32,4% (35 pozitivna izolata). Statistički je značajno veća učestalost gram-pozitivnih mikroorganizama izolovanih iz krvi.</w:t>
      </w:r>
    </w:p>
    <w:p w14:paraId="71250A5F" w14:textId="77777777" w:rsidR="005F768B" w:rsidRPr="00C65665"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Najčešće izolovana gram pozitivna bakterija je </w:t>
      </w:r>
      <w:r w:rsidRPr="00C65665">
        <w:rPr>
          <w:rFonts w:asciiTheme="majorBidi" w:eastAsia="Times New Roman" w:hAnsiTheme="majorBidi" w:cstheme="majorBidi"/>
          <w:i/>
          <w:iCs/>
          <w:spacing w:val="4"/>
          <w:sz w:val="24"/>
          <w:szCs w:val="24"/>
          <w:lang w:val="sr-Latn-CS" w:eastAsia="sr-Latn-CS"/>
        </w:rPr>
        <w:t>Staphylococcus epidermidis</w:t>
      </w:r>
      <w:r w:rsidRPr="00C65665">
        <w:rPr>
          <w:rFonts w:asciiTheme="majorBidi" w:eastAsia="Times New Roman" w:hAnsiTheme="majorBidi" w:cstheme="majorBidi"/>
          <w:spacing w:val="4"/>
          <w:sz w:val="24"/>
          <w:szCs w:val="24"/>
          <w:lang w:val="sr-Latn-CS" w:eastAsia="sr-Latn-CS"/>
        </w:rPr>
        <w:t xml:space="preserve"> koja je procentualno bila zastupljena 50,93% odnosno u 55 pozitivnih hemokultura. Kleinsmidt Sharon je u radu Staphylooccus epidermalis kao uzročnik bakterijemije navela da je ovaj Stafilokok sve češći uzročnik sepsi, pored S.Aureusa. (2)  </w:t>
      </w:r>
      <w:r w:rsidRPr="00C65665">
        <w:rPr>
          <w:rFonts w:asciiTheme="majorBidi" w:eastAsia="Times New Roman" w:hAnsiTheme="majorBidi" w:cstheme="majorBidi"/>
          <w:i/>
          <w:iCs/>
          <w:spacing w:val="4"/>
          <w:sz w:val="24"/>
          <w:szCs w:val="24"/>
          <w:lang w:val="sr-Latn-CS" w:eastAsia="sr-Latn-CS"/>
        </w:rPr>
        <w:t>Staphylococcus epidermidis</w:t>
      </w:r>
      <w:r w:rsidRPr="00C65665">
        <w:rPr>
          <w:rFonts w:asciiTheme="majorBidi" w:eastAsia="Times New Roman" w:hAnsiTheme="majorBidi" w:cstheme="majorBidi"/>
          <w:spacing w:val="4"/>
          <w:sz w:val="24"/>
          <w:szCs w:val="24"/>
          <w:lang w:val="sr-Latn-CS" w:eastAsia="sr-Latn-CS"/>
        </w:rPr>
        <w:t xml:space="preserve"> je najveću osjetljivost pokazao prema vankomicinu (S-52,R-0), a najmanju prema cefalosporinima 2 i 3 generacije (cefuroksim i ceftriakson S-ll,R-44), ciprofloksacinu ( S-9,R-31,I- 1) i eritromicinu (S-7, R-48). U studiji Chabi Roya Faktori virulencije i rezistencije Staph. epiderm., koja je obuhvatila 100 pacijenata, Staph. epiderm. je bio u 95,65% rezistentan na penicilin, 91,3% na tetracikline, cefalosporine 78,6%. (3)</w:t>
      </w:r>
    </w:p>
    <w:p w14:paraId="350BE4B6" w14:textId="77777777" w:rsidR="005F768B" w:rsidRPr="00C65665"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Od ostalih gram pozitivnih bakterija koje su izolovane iz hemokultura su </w:t>
      </w:r>
      <w:r w:rsidRPr="00C65665">
        <w:rPr>
          <w:rFonts w:asciiTheme="majorBidi" w:eastAsia="Times New Roman" w:hAnsiTheme="majorBidi" w:cstheme="majorBidi"/>
          <w:i/>
          <w:iCs/>
          <w:spacing w:val="4"/>
          <w:sz w:val="24"/>
          <w:szCs w:val="24"/>
          <w:lang w:val="sr-Latn-CS" w:eastAsia="sr-Latn-CS"/>
        </w:rPr>
        <w:t>Enterococcus spp.-Enterococcus faecalis</w:t>
      </w:r>
      <w:r w:rsidRPr="00C65665">
        <w:rPr>
          <w:rFonts w:asciiTheme="majorBidi" w:eastAsia="Times New Roman" w:hAnsiTheme="majorBidi" w:cstheme="majorBidi"/>
          <w:spacing w:val="4"/>
          <w:sz w:val="24"/>
          <w:szCs w:val="24"/>
          <w:lang w:val="sr-Latn-CS" w:eastAsia="sr-Latn-CS"/>
        </w:rPr>
        <w:t xml:space="preserve"> 7,41% odnosno 8 izolata, zatim </w:t>
      </w:r>
      <w:r w:rsidRPr="00C65665">
        <w:rPr>
          <w:rFonts w:asciiTheme="majorBidi" w:eastAsia="Times New Roman" w:hAnsiTheme="majorBidi" w:cstheme="majorBidi"/>
          <w:i/>
          <w:iCs/>
          <w:spacing w:val="4"/>
          <w:sz w:val="24"/>
          <w:szCs w:val="24"/>
          <w:lang w:val="sr-Latn-CS" w:eastAsia="sr-Latn-CS"/>
        </w:rPr>
        <w:t>Staphylococcus aureus</w:t>
      </w:r>
      <w:r w:rsidRPr="00C65665">
        <w:rPr>
          <w:rFonts w:asciiTheme="majorBidi" w:eastAsia="Times New Roman" w:hAnsiTheme="majorBidi" w:cstheme="majorBidi"/>
          <w:spacing w:val="4"/>
          <w:sz w:val="24"/>
          <w:szCs w:val="24"/>
          <w:lang w:val="sr-Latn-CS" w:eastAsia="sr-Latn-CS"/>
        </w:rPr>
        <w:t xml:space="preserve"> 6,48% tj. 7 izolata i </w:t>
      </w:r>
      <w:r w:rsidRPr="00C65665">
        <w:rPr>
          <w:rFonts w:asciiTheme="majorBidi" w:eastAsia="Times New Roman" w:hAnsiTheme="majorBidi" w:cstheme="majorBidi"/>
          <w:i/>
          <w:iCs/>
          <w:spacing w:val="4"/>
          <w:sz w:val="24"/>
          <w:szCs w:val="24"/>
          <w:lang w:val="sr-Latn-CS" w:eastAsia="sr-Latn-CS"/>
        </w:rPr>
        <w:t>Koagulaza negativan stafilokok</w:t>
      </w:r>
      <w:r w:rsidRPr="00C65665">
        <w:rPr>
          <w:rFonts w:asciiTheme="majorBidi" w:eastAsia="Times New Roman" w:hAnsiTheme="majorBidi" w:cstheme="majorBidi"/>
          <w:spacing w:val="4"/>
          <w:sz w:val="24"/>
          <w:szCs w:val="24"/>
          <w:lang w:val="sr-Latn-CS" w:eastAsia="sr-Latn-CS"/>
        </w:rPr>
        <w:t xml:space="preserve"> 2,78% odnosno 3 izolata. Enterococcus spp. je u Sjevernoj Americi u periodu 2000-2008. godine bio uzrok 6,95 % pozitivnih hemokultura. (4)</w:t>
      </w:r>
    </w:p>
    <w:p w14:paraId="2451D9E2" w14:textId="77777777" w:rsidR="005F768B" w:rsidRPr="00C65665"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BA"/>
        </w:rPr>
      </w:pPr>
      <w:r w:rsidRPr="00C65665">
        <w:rPr>
          <w:rFonts w:asciiTheme="majorBidi" w:eastAsia="Times New Roman" w:hAnsiTheme="majorBidi" w:cstheme="majorBidi"/>
          <w:spacing w:val="4"/>
          <w:sz w:val="24"/>
          <w:szCs w:val="24"/>
          <w:lang w:val="sr-Latn-CS" w:eastAsia="sr-Latn-CS"/>
        </w:rPr>
        <w:t xml:space="preserve">Ostale navedene gram pozitivne bakterije takođe su kao i </w:t>
      </w:r>
      <w:r w:rsidRPr="00C65665">
        <w:rPr>
          <w:rFonts w:asciiTheme="majorBidi" w:eastAsia="Times New Roman" w:hAnsiTheme="majorBidi" w:cstheme="majorBidi"/>
          <w:i/>
          <w:iCs/>
          <w:spacing w:val="4"/>
          <w:sz w:val="24"/>
          <w:szCs w:val="24"/>
          <w:lang w:val="sr-Latn-CS" w:eastAsia="sr-Latn-CS"/>
        </w:rPr>
        <w:t xml:space="preserve">Staphylococcuc epidermidis </w:t>
      </w:r>
      <w:r w:rsidRPr="00C65665">
        <w:rPr>
          <w:rFonts w:asciiTheme="majorBidi" w:eastAsia="Times New Roman" w:hAnsiTheme="majorBidi" w:cstheme="majorBidi"/>
          <w:spacing w:val="4"/>
          <w:sz w:val="24"/>
          <w:szCs w:val="24"/>
          <w:lang w:val="sr-Latn-CS" w:eastAsia="sr-Latn-CS"/>
        </w:rPr>
        <w:t>pokazale apsolutnu osjetljivost prema vankomicinu i djelimičnu rezistenciju prema cefalosporinima 2 i 3 generacije, ciprofloksacinu i eritromicinu. Nažalost u svjetskim razmjerama Staph. epidermidis postaje rezistena i na vankomycin. U studiji Flayyih May 40% izolata Staph.epid. bilo je rezistento na vancomycin, a 13,6% intermdijalno. (5)</w:t>
      </w:r>
    </w:p>
    <w:p w14:paraId="73207CAE" w14:textId="77777777" w:rsidR="005F768B" w:rsidRPr="00C65665"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Najčešće izolovana gram negativna bakterija je </w:t>
      </w:r>
      <w:r w:rsidRPr="00C65665">
        <w:rPr>
          <w:rFonts w:asciiTheme="majorBidi" w:eastAsia="Times New Roman" w:hAnsiTheme="majorBidi" w:cstheme="majorBidi"/>
          <w:i/>
          <w:iCs/>
          <w:spacing w:val="4"/>
          <w:sz w:val="24"/>
          <w:szCs w:val="24"/>
          <w:lang w:val="sr-Latn-CS" w:eastAsia="sr-Latn-CS"/>
        </w:rPr>
        <w:t>Pseudomonas aeruginosa</w:t>
      </w:r>
      <w:r w:rsidRPr="00C65665">
        <w:rPr>
          <w:rFonts w:asciiTheme="majorBidi" w:eastAsia="Times New Roman" w:hAnsiTheme="majorBidi" w:cstheme="majorBidi"/>
          <w:spacing w:val="4"/>
          <w:sz w:val="24"/>
          <w:szCs w:val="24"/>
          <w:lang w:val="sr-Latn-CS" w:eastAsia="sr-Latn-CS"/>
        </w:rPr>
        <w:t xml:space="preserve"> sa procentualnom zastupljenošću 8,33%, odnosno 9 izolata koja na osnovu obrađenih podataka antibiograma pokazuje značajnu rezistenciju prema cefalosporinima 2 i 3 generacije, </w:t>
      </w:r>
      <w:r w:rsidRPr="00C65665">
        <w:rPr>
          <w:rFonts w:asciiTheme="majorBidi" w:eastAsia="Times New Roman" w:hAnsiTheme="majorBidi" w:cstheme="majorBidi"/>
          <w:spacing w:val="4"/>
          <w:sz w:val="24"/>
          <w:szCs w:val="24"/>
          <w:lang w:val="sr-Latn-CS" w:eastAsia="sr-Latn-CS"/>
        </w:rPr>
        <w:lastRenderedPageBreak/>
        <w:t>ciprofloksacinu, gentamicinu, trimetoprim-sulfametoksazolu. Incidenca nozokomijalnih infekcija izazvanih Pseudomonas aeruginosa u svjetskim razmjerama iznosi 11-13,8%, a u Jedinicama Intenzivne terapije 13,2-22,6%. (6) Pseudomonas aeroginoza za kliničare postaje nerazjašnjena enigma, s obzirom na visok stepen rezistencije. On je visoko rezistentan na imipenem (95,3%), trimetoprim-sulfometoksazol (69,8%), chloramphenicol (43,6%) i meropenem (27,9%). (7)</w:t>
      </w:r>
    </w:p>
    <w:p w14:paraId="405C0749" w14:textId="77777777" w:rsidR="005F768B" w:rsidRPr="00C65665"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 xml:space="preserve">Od ostalih gram negativnih bakterija izolovanih u manjem broju su </w:t>
      </w:r>
      <w:r w:rsidRPr="00C65665">
        <w:rPr>
          <w:rFonts w:asciiTheme="majorBidi" w:eastAsia="Times New Roman" w:hAnsiTheme="majorBidi" w:cstheme="majorBidi"/>
          <w:i/>
          <w:iCs/>
          <w:spacing w:val="4"/>
          <w:sz w:val="24"/>
          <w:szCs w:val="24"/>
          <w:lang w:val="sr-Latn-CS" w:eastAsia="sr-Latn-CS"/>
        </w:rPr>
        <w:t>Proteus mirabilis</w:t>
      </w:r>
      <w:r w:rsidRPr="00C65665">
        <w:rPr>
          <w:rFonts w:asciiTheme="majorBidi" w:eastAsia="Times New Roman" w:hAnsiTheme="majorBidi" w:cstheme="majorBidi"/>
          <w:spacing w:val="4"/>
          <w:sz w:val="24"/>
          <w:szCs w:val="24"/>
          <w:lang w:val="sr-Latn-CS" w:eastAsia="sr-Latn-CS"/>
        </w:rPr>
        <w:t xml:space="preserve"> i </w:t>
      </w:r>
      <w:r w:rsidRPr="00C65665">
        <w:rPr>
          <w:rFonts w:asciiTheme="majorBidi" w:eastAsia="Times New Roman" w:hAnsiTheme="majorBidi" w:cstheme="majorBidi"/>
          <w:i/>
          <w:iCs/>
          <w:spacing w:val="4"/>
          <w:sz w:val="24"/>
          <w:szCs w:val="24"/>
          <w:lang w:val="sr-Latn-CS" w:eastAsia="sr-Latn-CS"/>
        </w:rPr>
        <w:t>Acinetobacter spp.</w:t>
      </w:r>
      <w:r w:rsidRPr="00C65665">
        <w:rPr>
          <w:rFonts w:asciiTheme="majorBidi" w:eastAsia="Times New Roman" w:hAnsiTheme="majorBidi" w:cstheme="majorBidi"/>
          <w:spacing w:val="4"/>
          <w:sz w:val="24"/>
          <w:szCs w:val="24"/>
          <w:lang w:val="sr-Latn-CS" w:eastAsia="sr-Latn-CS"/>
        </w:rPr>
        <w:t xml:space="preserve"> koje su zastupljene u procentima od po 6,48% tj. po 7 izolata, </w:t>
      </w:r>
      <w:r w:rsidRPr="00C65665">
        <w:rPr>
          <w:rFonts w:asciiTheme="majorBidi" w:eastAsia="Times New Roman" w:hAnsiTheme="majorBidi" w:cstheme="majorBidi"/>
          <w:i/>
          <w:iCs/>
          <w:spacing w:val="4"/>
          <w:sz w:val="24"/>
          <w:szCs w:val="24"/>
          <w:lang w:val="sr-Latn-CS" w:eastAsia="sr-Latn-CS"/>
        </w:rPr>
        <w:t>Escherichia coli</w:t>
      </w:r>
      <w:r w:rsidRPr="00C65665">
        <w:rPr>
          <w:rFonts w:asciiTheme="majorBidi" w:eastAsia="Times New Roman" w:hAnsiTheme="majorBidi" w:cstheme="majorBidi"/>
          <w:spacing w:val="4"/>
          <w:sz w:val="24"/>
          <w:szCs w:val="24"/>
          <w:lang w:val="sr-Latn-CS" w:eastAsia="sr-Latn-CS"/>
        </w:rPr>
        <w:t xml:space="preserve"> 4,63% tj. 5 izolata, </w:t>
      </w:r>
      <w:r w:rsidRPr="00C65665">
        <w:rPr>
          <w:rFonts w:asciiTheme="majorBidi" w:eastAsia="Times New Roman" w:hAnsiTheme="majorBidi" w:cstheme="majorBidi"/>
          <w:i/>
          <w:iCs/>
          <w:spacing w:val="4"/>
          <w:sz w:val="24"/>
          <w:szCs w:val="24"/>
          <w:lang w:val="sr-Latn-CS" w:eastAsia="sr-Latn-CS"/>
        </w:rPr>
        <w:t xml:space="preserve">Klebsiella spp. </w:t>
      </w:r>
      <w:r w:rsidRPr="00C65665">
        <w:rPr>
          <w:rFonts w:asciiTheme="majorBidi" w:eastAsia="Times New Roman" w:hAnsiTheme="majorBidi" w:cstheme="majorBidi"/>
          <w:spacing w:val="4"/>
          <w:sz w:val="24"/>
          <w:szCs w:val="24"/>
          <w:lang w:val="sr-Latn-CS" w:eastAsia="sr-Latn-CS"/>
        </w:rPr>
        <w:t xml:space="preserve">3,70% odnosno 4 izolata, </w:t>
      </w:r>
      <w:r w:rsidRPr="00C65665">
        <w:rPr>
          <w:rFonts w:asciiTheme="majorBidi" w:eastAsia="Times New Roman" w:hAnsiTheme="majorBidi" w:cstheme="majorBidi"/>
          <w:i/>
          <w:iCs/>
          <w:spacing w:val="4"/>
          <w:sz w:val="24"/>
          <w:szCs w:val="24"/>
          <w:lang w:val="sr-Latn-CS" w:eastAsia="sr-Latn-CS"/>
        </w:rPr>
        <w:t>Serratia</w:t>
      </w:r>
      <w:r w:rsidRPr="00C65665">
        <w:rPr>
          <w:rFonts w:asciiTheme="majorBidi" w:eastAsia="Times New Roman" w:hAnsiTheme="majorBidi" w:cstheme="majorBidi"/>
          <w:spacing w:val="4"/>
          <w:sz w:val="24"/>
          <w:szCs w:val="24"/>
          <w:lang w:val="sr-Latn-CS" w:eastAsia="sr-Latn-CS"/>
        </w:rPr>
        <w:t xml:space="preserve"> 1,85% tj. 2 izolata i </w:t>
      </w:r>
      <w:r w:rsidRPr="00C65665">
        <w:rPr>
          <w:rFonts w:asciiTheme="majorBidi" w:eastAsia="Times New Roman" w:hAnsiTheme="majorBidi" w:cstheme="majorBidi"/>
          <w:i/>
          <w:iCs/>
          <w:spacing w:val="4"/>
          <w:sz w:val="24"/>
          <w:szCs w:val="24"/>
          <w:lang w:val="sr-Latn-CS" w:eastAsia="sr-Latn-CS"/>
        </w:rPr>
        <w:t>Proteus Vulgaris</w:t>
      </w:r>
      <w:r w:rsidRPr="00C65665">
        <w:rPr>
          <w:rFonts w:asciiTheme="majorBidi" w:eastAsia="Times New Roman" w:hAnsiTheme="majorBidi" w:cstheme="majorBidi"/>
          <w:spacing w:val="4"/>
          <w:sz w:val="24"/>
          <w:szCs w:val="24"/>
          <w:lang w:val="sr-Latn-CS" w:eastAsia="sr-Latn-CS"/>
        </w:rPr>
        <w:t xml:space="preserve"> 0,93% tj. 1 izolat. Acinetobacter spp. postaje vodeći uzročnik bakterijemija u cijelom svijetu. Chopra Tena i saradnici su u studiji koja je obuhvatila 274 pacijenta, kod 68 pacijenata (25%) je dokazana sepsa izazvana ovom bakterijom. Svi uzorci su bili rezistentni na karbapeneme i Ampicilin- Sulbactam. (8)</w:t>
      </w:r>
    </w:p>
    <w:p w14:paraId="259060E6" w14:textId="77777777" w:rsidR="005F768B" w:rsidRPr="00C65665" w:rsidRDefault="005F768B" w:rsidP="005F768B">
      <w:pPr>
        <w:spacing w:after="0"/>
        <w:rPr>
          <w:rFonts w:asciiTheme="majorBidi" w:hAnsiTheme="majorBidi" w:cstheme="majorBidi"/>
          <w:spacing w:val="4"/>
          <w:sz w:val="24"/>
          <w:szCs w:val="24"/>
        </w:rPr>
      </w:pPr>
    </w:p>
    <w:p w14:paraId="2EE2282E" w14:textId="77777777" w:rsidR="005F768B" w:rsidRPr="00C65665" w:rsidRDefault="005F768B" w:rsidP="005F768B">
      <w:pPr>
        <w:pStyle w:val="Heading1"/>
        <w:numPr>
          <w:ilvl w:val="0"/>
          <w:numId w:val="29"/>
        </w:numPr>
        <w:spacing w:before="0" w:after="0"/>
        <w:rPr>
          <w:rFonts w:asciiTheme="majorBidi" w:hAnsiTheme="majorBidi" w:cstheme="majorBidi"/>
          <w:spacing w:val="4"/>
          <w:sz w:val="24"/>
          <w:szCs w:val="24"/>
        </w:rPr>
      </w:pPr>
      <w:bookmarkStart w:id="27" w:name="_Toc76462914"/>
      <w:r w:rsidRPr="00C65665">
        <w:rPr>
          <w:rFonts w:asciiTheme="majorBidi" w:hAnsiTheme="majorBidi" w:cstheme="majorBidi"/>
          <w:spacing w:val="4"/>
          <w:sz w:val="24"/>
          <w:szCs w:val="24"/>
        </w:rPr>
        <w:lastRenderedPageBreak/>
        <w:t>ZAKLJUČAK</w:t>
      </w:r>
      <w:bookmarkEnd w:id="27"/>
    </w:p>
    <w:p w14:paraId="352C3145" w14:textId="77777777" w:rsidR="005F768B" w:rsidRPr="00C65665"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Kao krajnji zaključak nameće se ideja da moramo da „čuvamo" antibiotike sa kojima raspolažemo kao i one koje razvijamo u budućnosti - implementacijom efektivnih strategija za poboljšanje propisivanja antibiotika.</w:t>
      </w:r>
    </w:p>
    <w:p w14:paraId="7B6B059F" w14:textId="77777777" w:rsidR="005F768B" w:rsidRPr="00C65665"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Racionalna upotreba postojećih antimikrobnih lijekova, postizanje odgovarajuće kontrole infektivnog procesa, kao i promovisanje otkrivanja, razvoja i širenja novih antimikrobnih lijekova - samo su neke od mogućih mjera za usporavanje rastućeg trenda antibiotske rezistencije. Neophodna je striktna kontrola upotrebe antibiotika, a poseban oprez je potreban pri propisivanju široko-spektralnih antibiotika.</w:t>
      </w:r>
    </w:p>
    <w:p w14:paraId="53C391A2" w14:textId="77777777" w:rsidR="005F768B" w:rsidRPr="00C65665"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CS"/>
        </w:rPr>
      </w:pPr>
      <w:r w:rsidRPr="00C65665">
        <w:rPr>
          <w:rFonts w:asciiTheme="majorBidi" w:eastAsia="Times New Roman" w:hAnsiTheme="majorBidi" w:cstheme="majorBidi"/>
          <w:spacing w:val="4"/>
          <w:sz w:val="24"/>
          <w:szCs w:val="24"/>
          <w:lang w:val="sr-Latn-CS" w:eastAsia="sr-Latn-CS"/>
        </w:rPr>
        <w:t>Praćenje antibiotske rezistencije pruža bitne informacije, neophodne za razumijevanje kontrole rezistencije i širenja rezistencije u lokalnom okruženju.</w:t>
      </w:r>
    </w:p>
    <w:p w14:paraId="10B6CAD9" w14:textId="77777777" w:rsidR="005F768B" w:rsidRPr="005F768B" w:rsidRDefault="005F768B" w:rsidP="005F768B">
      <w:pPr>
        <w:spacing w:after="0" w:line="360" w:lineRule="auto"/>
        <w:jc w:val="both"/>
        <w:rPr>
          <w:rFonts w:asciiTheme="majorBidi" w:hAnsiTheme="majorBidi" w:cstheme="majorBidi"/>
          <w:spacing w:val="4"/>
          <w:sz w:val="24"/>
          <w:szCs w:val="24"/>
          <w:lang w:val="sr-Latn-CS"/>
        </w:rPr>
      </w:pPr>
      <w:r w:rsidRPr="00C65665">
        <w:rPr>
          <w:rFonts w:asciiTheme="majorBidi" w:eastAsia="Times New Roman" w:hAnsiTheme="majorBidi" w:cstheme="majorBidi"/>
          <w:spacing w:val="4"/>
          <w:sz w:val="24"/>
          <w:szCs w:val="24"/>
          <w:lang w:val="sr-Latn-CS" w:eastAsia="sr-Latn-CS"/>
        </w:rPr>
        <w:t>Stalno praćenje obrazaca antibiotske rezistencije u vanbolničkom i bolničkom okruženju je neophodan element za efikasnu empirijsku terapiju. Samo na taj način možemo zaštititi pacijente i „sačuvati" antibiotike za budućnost, a posebno one koji se primjenjuju kod vitalno ugroženih pacijenata.</w:t>
      </w:r>
      <w:r w:rsidRPr="005F768B">
        <w:rPr>
          <w:rFonts w:asciiTheme="majorBidi" w:hAnsiTheme="majorBidi" w:cstheme="majorBidi"/>
          <w:spacing w:val="4"/>
          <w:sz w:val="24"/>
          <w:szCs w:val="24"/>
          <w:lang w:val="sr-Latn-CS"/>
        </w:rPr>
        <w:t xml:space="preserve"> </w:t>
      </w:r>
    </w:p>
    <w:p w14:paraId="4F9095E3" w14:textId="77777777" w:rsidR="005F768B" w:rsidRPr="005F768B" w:rsidRDefault="005F768B" w:rsidP="005F768B">
      <w:pPr>
        <w:spacing w:after="0" w:line="360" w:lineRule="auto"/>
        <w:jc w:val="both"/>
        <w:rPr>
          <w:rFonts w:asciiTheme="majorBidi" w:hAnsiTheme="majorBidi" w:cstheme="majorBidi"/>
          <w:spacing w:val="4"/>
          <w:sz w:val="24"/>
          <w:szCs w:val="24"/>
          <w:lang w:val="sr-Latn-CS"/>
        </w:rPr>
      </w:pPr>
      <w:r w:rsidRPr="00C65665">
        <w:rPr>
          <w:rFonts w:asciiTheme="majorBidi" w:hAnsiTheme="majorBidi" w:cstheme="majorBidi"/>
          <w:spacing w:val="4"/>
          <w:sz w:val="24"/>
          <w:szCs w:val="24"/>
        </w:rPr>
        <w:t>Koagulaza</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negativni</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stafilokok</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i</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proteus</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vulgaris</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pokazuju</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najve</w:t>
      </w:r>
      <w:r w:rsidRPr="005F768B">
        <w:rPr>
          <w:rFonts w:asciiTheme="majorBidi" w:hAnsiTheme="majorBidi" w:cstheme="majorBidi"/>
          <w:spacing w:val="4"/>
          <w:sz w:val="24"/>
          <w:szCs w:val="24"/>
          <w:lang w:val="sr-Latn-CS"/>
        </w:rPr>
        <w:t>ć</w:t>
      </w:r>
      <w:r w:rsidRPr="00C65665">
        <w:rPr>
          <w:rFonts w:asciiTheme="majorBidi" w:hAnsiTheme="majorBidi" w:cstheme="majorBidi"/>
          <w:spacing w:val="4"/>
          <w:sz w:val="24"/>
          <w:szCs w:val="24"/>
        </w:rPr>
        <w:t>i</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stepen</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rezistencije</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u</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odnosu</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na</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posmatrane</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antibiotike</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i</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na</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taj</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na</w:t>
      </w:r>
      <w:r w:rsidRPr="005F768B">
        <w:rPr>
          <w:rFonts w:asciiTheme="majorBidi" w:hAnsiTheme="majorBidi" w:cstheme="majorBidi"/>
          <w:spacing w:val="4"/>
          <w:sz w:val="24"/>
          <w:szCs w:val="24"/>
          <w:lang w:val="sr-Latn-CS"/>
        </w:rPr>
        <w:t>č</w:t>
      </w:r>
      <w:r w:rsidRPr="00C65665">
        <w:rPr>
          <w:rFonts w:asciiTheme="majorBidi" w:hAnsiTheme="majorBidi" w:cstheme="majorBidi"/>
          <w:spacing w:val="4"/>
          <w:sz w:val="24"/>
          <w:szCs w:val="24"/>
        </w:rPr>
        <w:t>in</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je</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dokazana</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nulta</w:t>
      </w:r>
      <w:r w:rsidRPr="005F768B">
        <w:rPr>
          <w:rFonts w:asciiTheme="majorBidi" w:hAnsiTheme="majorBidi" w:cstheme="majorBidi"/>
          <w:spacing w:val="4"/>
          <w:sz w:val="24"/>
          <w:szCs w:val="24"/>
          <w:lang w:val="sr-Latn-CS"/>
        </w:rPr>
        <w:t xml:space="preserve"> </w:t>
      </w:r>
      <w:r w:rsidRPr="00C65665">
        <w:rPr>
          <w:rFonts w:asciiTheme="majorBidi" w:hAnsiTheme="majorBidi" w:cstheme="majorBidi"/>
          <w:spacing w:val="4"/>
          <w:sz w:val="24"/>
          <w:szCs w:val="24"/>
        </w:rPr>
        <w:t>hipoteza</w:t>
      </w:r>
      <w:r w:rsidRPr="005F768B">
        <w:rPr>
          <w:rFonts w:asciiTheme="majorBidi" w:hAnsiTheme="majorBidi" w:cstheme="majorBidi"/>
          <w:spacing w:val="4"/>
          <w:sz w:val="24"/>
          <w:szCs w:val="24"/>
          <w:lang w:val="sr-Latn-CS"/>
        </w:rPr>
        <w:t>.</w:t>
      </w:r>
    </w:p>
    <w:p w14:paraId="78D30200" w14:textId="77777777" w:rsidR="005F768B" w:rsidRPr="00C65665" w:rsidRDefault="005F768B" w:rsidP="005F768B">
      <w:pPr>
        <w:spacing w:after="0" w:line="360" w:lineRule="auto"/>
        <w:jc w:val="both"/>
        <w:rPr>
          <w:rFonts w:asciiTheme="majorBidi" w:eastAsia="Times New Roman" w:hAnsiTheme="majorBidi" w:cstheme="majorBidi"/>
          <w:spacing w:val="4"/>
          <w:sz w:val="24"/>
          <w:szCs w:val="24"/>
          <w:lang w:val="sr-Latn-RS" w:eastAsia="sr-Latn-BA"/>
        </w:rPr>
      </w:pPr>
      <w:r w:rsidRPr="00C65665">
        <w:rPr>
          <w:rFonts w:asciiTheme="majorBidi" w:hAnsiTheme="majorBidi" w:cstheme="majorBidi"/>
          <w:spacing w:val="4"/>
          <w:sz w:val="24"/>
          <w:szCs w:val="24"/>
        </w:rPr>
        <w:t xml:space="preserve">Rezistencija na vancomycin je i dalje relativno niska, a na erythromycin je u porastu, pa je druga hipoteza dijelom opovrgnuta. </w:t>
      </w:r>
      <w:r w:rsidRPr="00C65665">
        <w:rPr>
          <w:rFonts w:asciiTheme="majorBidi" w:eastAsia="Times New Roman" w:hAnsiTheme="majorBidi" w:cstheme="majorBidi"/>
          <w:spacing w:val="4"/>
          <w:sz w:val="24"/>
          <w:szCs w:val="24"/>
          <w:lang w:val="sr-Latn-RS" w:eastAsia="sr-Latn-BA"/>
        </w:rPr>
        <w:t xml:space="preserve"> </w:t>
      </w:r>
    </w:p>
    <w:p w14:paraId="5200A05A" w14:textId="77777777" w:rsidR="005F768B" w:rsidRPr="00C65665"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CS"/>
        </w:rPr>
      </w:pPr>
    </w:p>
    <w:p w14:paraId="7D147B54" w14:textId="77777777" w:rsidR="005F768B" w:rsidRPr="00C65665"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CS"/>
        </w:rPr>
      </w:pPr>
    </w:p>
    <w:p w14:paraId="15CC2F2B" w14:textId="77777777" w:rsidR="005F768B" w:rsidRPr="00C65665"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CS"/>
        </w:rPr>
      </w:pPr>
    </w:p>
    <w:p w14:paraId="553A3C97" w14:textId="77777777" w:rsidR="005F768B" w:rsidRPr="00C65665" w:rsidRDefault="005F768B" w:rsidP="005F768B">
      <w:pPr>
        <w:spacing w:after="0" w:line="360" w:lineRule="auto"/>
        <w:ind w:firstLine="567"/>
        <w:jc w:val="both"/>
        <w:rPr>
          <w:rFonts w:asciiTheme="majorBidi" w:eastAsia="Times New Roman" w:hAnsiTheme="majorBidi" w:cstheme="majorBidi"/>
          <w:spacing w:val="4"/>
          <w:sz w:val="24"/>
          <w:szCs w:val="24"/>
          <w:lang w:val="sr-Latn-CS" w:eastAsia="sr-Latn-CS"/>
        </w:rPr>
      </w:pPr>
    </w:p>
    <w:p w14:paraId="363360FF" w14:textId="77777777" w:rsidR="005F768B" w:rsidRPr="00C65665" w:rsidRDefault="005F768B" w:rsidP="005F768B">
      <w:pPr>
        <w:pStyle w:val="Heading1"/>
        <w:spacing w:before="0" w:after="0"/>
        <w:ind w:left="567"/>
        <w:rPr>
          <w:rFonts w:asciiTheme="majorBidi" w:hAnsiTheme="majorBidi" w:cstheme="majorBidi"/>
          <w:spacing w:val="4"/>
          <w:sz w:val="24"/>
          <w:szCs w:val="24"/>
        </w:rPr>
      </w:pPr>
      <w:bookmarkStart w:id="28" w:name="_Toc76462915"/>
      <w:r w:rsidRPr="00C65665">
        <w:rPr>
          <w:rFonts w:asciiTheme="majorBidi" w:hAnsiTheme="majorBidi" w:cstheme="majorBidi"/>
          <w:spacing w:val="4"/>
          <w:sz w:val="24"/>
          <w:szCs w:val="24"/>
        </w:rPr>
        <w:lastRenderedPageBreak/>
        <w:t>LITERATURA</w:t>
      </w:r>
      <w:bookmarkEnd w:id="28"/>
    </w:p>
    <w:tbl>
      <w:tblPr>
        <w:tblW w:w="4830" w:type="pct"/>
        <w:tblCellSpacing w:w="15" w:type="dxa"/>
        <w:tblCellMar>
          <w:top w:w="15" w:type="dxa"/>
          <w:left w:w="15" w:type="dxa"/>
          <w:bottom w:w="15" w:type="dxa"/>
          <w:right w:w="15" w:type="dxa"/>
        </w:tblCellMar>
        <w:tblLook w:val="04A0" w:firstRow="1" w:lastRow="0" w:firstColumn="1" w:lastColumn="0" w:noHBand="0" w:noVBand="1"/>
      </w:tblPr>
      <w:tblGrid>
        <w:gridCol w:w="8344"/>
        <w:gridCol w:w="698"/>
      </w:tblGrid>
      <w:tr w:rsidR="005F768B" w:rsidRPr="00C65665" w14:paraId="2AA1A842" w14:textId="77777777" w:rsidTr="00CC2905">
        <w:trPr>
          <w:gridAfter w:val="1"/>
          <w:wAfter w:w="343" w:type="pct"/>
          <w:tblCellSpacing w:w="15" w:type="dxa"/>
        </w:trPr>
        <w:tc>
          <w:tcPr>
            <w:tcW w:w="4601" w:type="pct"/>
            <w:hideMark/>
          </w:tcPr>
          <w:p w14:paraId="6C1CDEF1" w14:textId="77777777" w:rsidR="005F768B" w:rsidRPr="00C65665" w:rsidRDefault="005F768B" w:rsidP="00CC2905">
            <w:pPr>
              <w:pStyle w:val="Bibliography"/>
              <w:spacing w:after="0"/>
              <w:ind w:left="432"/>
              <w:jc w:val="both"/>
              <w:rPr>
                <w:rFonts w:asciiTheme="majorBidi" w:hAnsiTheme="majorBidi" w:cstheme="majorBidi"/>
                <w:noProof/>
                <w:spacing w:val="4"/>
                <w:sz w:val="24"/>
                <w:szCs w:val="24"/>
              </w:rPr>
            </w:pPr>
          </w:p>
        </w:tc>
      </w:tr>
      <w:tr w:rsidR="005F768B" w:rsidRPr="00C65665" w14:paraId="7769EE88" w14:textId="77777777" w:rsidTr="00CC2905">
        <w:trPr>
          <w:gridAfter w:val="1"/>
          <w:wAfter w:w="343" w:type="pct"/>
          <w:tblCellSpacing w:w="15" w:type="dxa"/>
        </w:trPr>
        <w:tc>
          <w:tcPr>
            <w:tcW w:w="4601" w:type="pct"/>
            <w:hideMark/>
          </w:tcPr>
          <w:p w14:paraId="16C0A440" w14:textId="77777777" w:rsidR="005F768B" w:rsidRPr="00C65665" w:rsidRDefault="005F768B" w:rsidP="00CC2905">
            <w:pPr>
              <w:pStyle w:val="Bibliography"/>
              <w:spacing w:after="0"/>
              <w:ind w:left="432"/>
              <w:jc w:val="both"/>
              <w:rPr>
                <w:rFonts w:asciiTheme="majorBidi" w:hAnsiTheme="majorBidi" w:cstheme="majorBidi"/>
                <w:noProof/>
                <w:spacing w:val="4"/>
                <w:sz w:val="24"/>
                <w:szCs w:val="24"/>
              </w:rPr>
            </w:pPr>
          </w:p>
        </w:tc>
      </w:tr>
      <w:tr w:rsidR="005F768B" w:rsidRPr="00C65665" w14:paraId="743305EA" w14:textId="77777777" w:rsidTr="00CC2905">
        <w:trPr>
          <w:gridAfter w:val="1"/>
          <w:wAfter w:w="343" w:type="pct"/>
          <w:tblCellSpacing w:w="15" w:type="dxa"/>
        </w:trPr>
        <w:tc>
          <w:tcPr>
            <w:tcW w:w="4601" w:type="pct"/>
            <w:hideMark/>
          </w:tcPr>
          <w:p w14:paraId="35F0DBF5" w14:textId="77777777" w:rsidR="005F768B" w:rsidRPr="00C65665" w:rsidRDefault="005F768B" w:rsidP="00CC2905">
            <w:pPr>
              <w:pStyle w:val="Bibliography"/>
              <w:spacing w:after="0"/>
              <w:ind w:left="432"/>
              <w:jc w:val="both"/>
              <w:rPr>
                <w:rFonts w:asciiTheme="majorBidi" w:hAnsiTheme="majorBidi" w:cstheme="majorBidi"/>
                <w:noProof/>
                <w:spacing w:val="4"/>
                <w:sz w:val="24"/>
                <w:szCs w:val="24"/>
              </w:rPr>
            </w:pPr>
          </w:p>
        </w:tc>
      </w:tr>
      <w:tr w:rsidR="005F768B" w:rsidRPr="00C65665" w14:paraId="3F77E74C" w14:textId="77777777" w:rsidTr="00CC2905">
        <w:trPr>
          <w:gridAfter w:val="1"/>
          <w:wAfter w:w="343" w:type="pct"/>
          <w:tblCellSpacing w:w="15" w:type="dxa"/>
        </w:trPr>
        <w:tc>
          <w:tcPr>
            <w:tcW w:w="4601" w:type="pct"/>
            <w:hideMark/>
          </w:tcPr>
          <w:p w14:paraId="6476DFE3" w14:textId="77777777" w:rsidR="005F768B" w:rsidRPr="00C65665" w:rsidRDefault="005F768B" w:rsidP="00CC2905">
            <w:pPr>
              <w:pStyle w:val="Bibliography"/>
              <w:spacing w:after="0"/>
              <w:ind w:left="432"/>
              <w:jc w:val="both"/>
              <w:rPr>
                <w:rFonts w:asciiTheme="majorBidi" w:hAnsiTheme="majorBidi" w:cstheme="majorBidi"/>
                <w:noProof/>
                <w:spacing w:val="4"/>
                <w:sz w:val="24"/>
                <w:szCs w:val="24"/>
              </w:rPr>
            </w:pPr>
          </w:p>
        </w:tc>
      </w:tr>
      <w:tr w:rsidR="005F768B" w:rsidRPr="00C65665" w14:paraId="417E205F" w14:textId="77777777" w:rsidTr="00CC2905">
        <w:trPr>
          <w:gridAfter w:val="1"/>
          <w:wAfter w:w="343" w:type="pct"/>
          <w:tblCellSpacing w:w="15" w:type="dxa"/>
        </w:trPr>
        <w:tc>
          <w:tcPr>
            <w:tcW w:w="4601" w:type="pct"/>
            <w:hideMark/>
          </w:tcPr>
          <w:p w14:paraId="75F134A9" w14:textId="77777777" w:rsidR="005F768B" w:rsidRPr="00C65665" w:rsidRDefault="005F768B" w:rsidP="00CC2905">
            <w:pPr>
              <w:shd w:val="clear" w:color="auto" w:fill="FFFFFF"/>
              <w:spacing w:after="0"/>
              <w:ind w:left="432"/>
              <w:jc w:val="both"/>
              <w:rPr>
                <w:rFonts w:asciiTheme="majorBidi" w:hAnsiTheme="majorBidi" w:cstheme="majorBidi"/>
                <w:noProof/>
                <w:spacing w:val="4"/>
                <w:sz w:val="24"/>
                <w:szCs w:val="24"/>
              </w:rPr>
            </w:pPr>
          </w:p>
        </w:tc>
      </w:tr>
      <w:tr w:rsidR="005F768B" w:rsidRPr="00C65665" w14:paraId="5FDFCEC4" w14:textId="77777777" w:rsidTr="00CC2905">
        <w:trPr>
          <w:tblCellSpacing w:w="15" w:type="dxa"/>
        </w:trPr>
        <w:tc>
          <w:tcPr>
            <w:tcW w:w="4963" w:type="pct"/>
            <w:gridSpan w:val="2"/>
            <w:hideMark/>
          </w:tcPr>
          <w:p w14:paraId="1EACA26C" w14:textId="77777777" w:rsidR="005F768B" w:rsidRPr="00C65665" w:rsidRDefault="005F768B" w:rsidP="00CC2905">
            <w:pPr>
              <w:pStyle w:val="Bibliography"/>
              <w:numPr>
                <w:ilvl w:val="0"/>
                <w:numId w:val="28"/>
              </w:numPr>
              <w:spacing w:after="0"/>
              <w:jc w:val="both"/>
              <w:rPr>
                <w:rFonts w:asciiTheme="majorBidi" w:hAnsiTheme="majorBidi" w:cstheme="majorBidi"/>
                <w:noProof/>
                <w:spacing w:val="4"/>
                <w:sz w:val="24"/>
                <w:szCs w:val="24"/>
              </w:rPr>
            </w:pPr>
            <w:r w:rsidRPr="00C65665">
              <w:rPr>
                <w:rFonts w:asciiTheme="majorBidi" w:hAnsiTheme="majorBidi" w:cstheme="majorBidi"/>
                <w:noProof/>
                <w:spacing w:val="4"/>
                <w:sz w:val="24"/>
                <w:szCs w:val="24"/>
              </w:rPr>
              <w:t>Felmingham D, White AR. The Alexander Project: the benefits from a decade of. J Antimicrob Chemother. 2005; 56: 3-21.</w:t>
            </w:r>
          </w:p>
        </w:tc>
      </w:tr>
      <w:tr w:rsidR="005F768B" w:rsidRPr="00C65665" w14:paraId="74E5C56B" w14:textId="77777777" w:rsidTr="00CC2905">
        <w:trPr>
          <w:tblCellSpacing w:w="15" w:type="dxa"/>
        </w:trPr>
        <w:tc>
          <w:tcPr>
            <w:tcW w:w="4963" w:type="pct"/>
            <w:gridSpan w:val="2"/>
            <w:hideMark/>
          </w:tcPr>
          <w:p w14:paraId="280C24A0" w14:textId="77777777" w:rsidR="005F768B" w:rsidRPr="00C65665" w:rsidRDefault="005F768B" w:rsidP="00CC2905">
            <w:pPr>
              <w:pStyle w:val="Bibliography"/>
              <w:numPr>
                <w:ilvl w:val="0"/>
                <w:numId w:val="28"/>
              </w:numPr>
              <w:spacing w:after="0"/>
              <w:jc w:val="both"/>
              <w:rPr>
                <w:rFonts w:asciiTheme="majorBidi" w:hAnsiTheme="majorBidi" w:cstheme="majorBidi"/>
                <w:noProof/>
                <w:spacing w:val="4"/>
                <w:sz w:val="24"/>
                <w:szCs w:val="24"/>
              </w:rPr>
            </w:pPr>
            <w:r w:rsidRPr="00C65665">
              <w:rPr>
                <w:rFonts w:asciiTheme="majorBidi" w:hAnsiTheme="majorBidi" w:cstheme="majorBidi"/>
                <w:noProof/>
                <w:spacing w:val="4"/>
                <w:sz w:val="24"/>
                <w:szCs w:val="24"/>
              </w:rPr>
              <w:t>Hawser S. Surveillance programmes and antibiotic resistance: Worldwide and regional monitoring of antibiotic resistance trends. Antibiotic Resist. 2012; 211: 31-43.</w:t>
            </w:r>
          </w:p>
        </w:tc>
      </w:tr>
      <w:tr w:rsidR="005F768B" w:rsidRPr="00C65665" w14:paraId="2A15594A" w14:textId="77777777" w:rsidTr="00CC2905">
        <w:trPr>
          <w:tblCellSpacing w:w="15" w:type="dxa"/>
        </w:trPr>
        <w:tc>
          <w:tcPr>
            <w:tcW w:w="4963" w:type="pct"/>
            <w:gridSpan w:val="2"/>
            <w:hideMark/>
          </w:tcPr>
          <w:p w14:paraId="2DD39C06" w14:textId="77777777" w:rsidR="005F768B" w:rsidRPr="00C65665" w:rsidRDefault="005F768B" w:rsidP="00CC2905">
            <w:pPr>
              <w:pStyle w:val="Bibliography"/>
              <w:numPr>
                <w:ilvl w:val="0"/>
                <w:numId w:val="28"/>
              </w:numPr>
              <w:spacing w:after="0"/>
              <w:jc w:val="both"/>
              <w:rPr>
                <w:rFonts w:asciiTheme="majorBidi" w:hAnsiTheme="majorBidi" w:cstheme="majorBidi"/>
                <w:noProof/>
                <w:spacing w:val="4"/>
                <w:sz w:val="24"/>
                <w:szCs w:val="24"/>
              </w:rPr>
            </w:pPr>
            <w:r w:rsidRPr="00C65665">
              <w:rPr>
                <w:rFonts w:asciiTheme="majorBidi" w:hAnsiTheme="majorBidi" w:cstheme="majorBidi"/>
                <w:noProof/>
                <w:spacing w:val="4"/>
                <w:sz w:val="24"/>
                <w:szCs w:val="24"/>
              </w:rPr>
              <w:t>Johnson JR, Tchesnokova V. Abrupt emergence of a single dominant multidrugresistant. J Infect Dis. 2013; 207: 919-28.</w:t>
            </w:r>
          </w:p>
        </w:tc>
      </w:tr>
      <w:tr w:rsidR="005F768B" w:rsidRPr="00C65665" w14:paraId="315DA523" w14:textId="77777777" w:rsidTr="00CC2905">
        <w:trPr>
          <w:tblCellSpacing w:w="15" w:type="dxa"/>
        </w:trPr>
        <w:tc>
          <w:tcPr>
            <w:tcW w:w="4963" w:type="pct"/>
            <w:gridSpan w:val="2"/>
            <w:hideMark/>
          </w:tcPr>
          <w:p w14:paraId="100F2DD3" w14:textId="77777777" w:rsidR="005F768B" w:rsidRPr="00C65665" w:rsidRDefault="005F768B" w:rsidP="00CC2905">
            <w:pPr>
              <w:pStyle w:val="Bibliography"/>
              <w:numPr>
                <w:ilvl w:val="0"/>
                <w:numId w:val="28"/>
              </w:numPr>
              <w:spacing w:after="0"/>
              <w:jc w:val="both"/>
              <w:rPr>
                <w:rFonts w:asciiTheme="majorBidi" w:hAnsiTheme="majorBidi" w:cstheme="majorBidi"/>
                <w:noProof/>
                <w:spacing w:val="4"/>
                <w:sz w:val="24"/>
                <w:szCs w:val="24"/>
              </w:rPr>
            </w:pPr>
            <w:r w:rsidRPr="00C65665">
              <w:rPr>
                <w:rFonts w:asciiTheme="majorBidi" w:hAnsiTheme="majorBidi" w:cstheme="majorBidi"/>
                <w:noProof/>
                <w:spacing w:val="4"/>
                <w:sz w:val="24"/>
                <w:szCs w:val="24"/>
              </w:rPr>
              <w:t>Navon-Venezia S, Chmelnitsky I. Plasmid‐mediated imipenem‐hydrolyzing enzyme KPC‐2 among multiple carbapenem‐resistant Escherichia coli clones in Israel. Antimicrob Agents Chemother. 2006; 50: 3098-101.</w:t>
            </w:r>
          </w:p>
        </w:tc>
      </w:tr>
      <w:tr w:rsidR="005F768B" w:rsidRPr="00C65665" w14:paraId="1C552F89" w14:textId="77777777" w:rsidTr="00CC2905">
        <w:trPr>
          <w:tblCellSpacing w:w="15" w:type="dxa"/>
        </w:trPr>
        <w:tc>
          <w:tcPr>
            <w:tcW w:w="4963" w:type="pct"/>
            <w:gridSpan w:val="2"/>
            <w:hideMark/>
          </w:tcPr>
          <w:p w14:paraId="7094ED01" w14:textId="77777777" w:rsidR="005F768B" w:rsidRPr="00C65665" w:rsidRDefault="005F768B" w:rsidP="00CC2905">
            <w:pPr>
              <w:pStyle w:val="Bibliography"/>
              <w:numPr>
                <w:ilvl w:val="0"/>
                <w:numId w:val="28"/>
              </w:numPr>
              <w:spacing w:after="0"/>
              <w:jc w:val="both"/>
              <w:rPr>
                <w:rFonts w:asciiTheme="majorBidi" w:hAnsiTheme="majorBidi" w:cstheme="majorBidi"/>
                <w:noProof/>
                <w:spacing w:val="4"/>
                <w:sz w:val="24"/>
                <w:szCs w:val="24"/>
              </w:rPr>
            </w:pPr>
            <w:r w:rsidRPr="00C65665">
              <w:rPr>
                <w:rFonts w:asciiTheme="majorBidi" w:hAnsiTheme="majorBidi" w:cstheme="majorBidi"/>
                <w:noProof/>
                <w:spacing w:val="4"/>
                <w:sz w:val="24"/>
                <w:szCs w:val="24"/>
              </w:rPr>
              <w:t>Piddock L. Mechanisms of fluoroquinolone resistance: an update 1994‐1998. Drugs. 1999; 58(2): 11-8.</w:t>
            </w:r>
          </w:p>
        </w:tc>
      </w:tr>
      <w:tr w:rsidR="005F768B" w:rsidRPr="00C65665" w14:paraId="1806DDFE" w14:textId="77777777" w:rsidTr="00CC2905">
        <w:trPr>
          <w:tblCellSpacing w:w="15" w:type="dxa"/>
        </w:trPr>
        <w:tc>
          <w:tcPr>
            <w:tcW w:w="4963" w:type="pct"/>
            <w:gridSpan w:val="2"/>
            <w:hideMark/>
          </w:tcPr>
          <w:p w14:paraId="0B0D4B1A" w14:textId="77777777" w:rsidR="005F768B" w:rsidRPr="00C65665" w:rsidRDefault="005F768B" w:rsidP="00CC2905">
            <w:pPr>
              <w:pStyle w:val="Bibliography"/>
              <w:numPr>
                <w:ilvl w:val="0"/>
                <w:numId w:val="28"/>
              </w:numPr>
              <w:spacing w:after="0"/>
              <w:jc w:val="both"/>
              <w:rPr>
                <w:rFonts w:asciiTheme="majorBidi" w:hAnsiTheme="majorBidi" w:cstheme="majorBidi"/>
                <w:noProof/>
                <w:spacing w:val="4"/>
                <w:sz w:val="24"/>
                <w:szCs w:val="24"/>
              </w:rPr>
            </w:pPr>
            <w:r w:rsidRPr="00C65665">
              <w:rPr>
                <w:rFonts w:asciiTheme="majorBidi" w:hAnsiTheme="majorBidi" w:cstheme="majorBidi"/>
                <w:noProof/>
                <w:spacing w:val="4"/>
                <w:sz w:val="24"/>
                <w:szCs w:val="24"/>
              </w:rPr>
              <w:t>Livermore DM. Fourteen years in resistance. Int J Antimicrob Agents. ; 39: 283-94.</w:t>
            </w:r>
          </w:p>
        </w:tc>
      </w:tr>
      <w:tr w:rsidR="005F768B" w:rsidRPr="00C65665" w14:paraId="431AAACE" w14:textId="77777777" w:rsidTr="00CC2905">
        <w:trPr>
          <w:tblCellSpacing w:w="15" w:type="dxa"/>
        </w:trPr>
        <w:tc>
          <w:tcPr>
            <w:tcW w:w="4963" w:type="pct"/>
            <w:gridSpan w:val="2"/>
            <w:hideMark/>
          </w:tcPr>
          <w:p w14:paraId="5A7F1FEE" w14:textId="77777777" w:rsidR="005F768B" w:rsidRPr="00C65665" w:rsidRDefault="005F768B" w:rsidP="00CC2905">
            <w:pPr>
              <w:pStyle w:val="Bibliography"/>
              <w:numPr>
                <w:ilvl w:val="0"/>
                <w:numId w:val="28"/>
              </w:numPr>
              <w:spacing w:after="0"/>
              <w:jc w:val="both"/>
              <w:rPr>
                <w:rFonts w:asciiTheme="majorBidi" w:hAnsiTheme="majorBidi" w:cstheme="majorBidi"/>
                <w:noProof/>
                <w:spacing w:val="4"/>
                <w:sz w:val="24"/>
                <w:szCs w:val="24"/>
              </w:rPr>
            </w:pPr>
            <w:r w:rsidRPr="00C65665">
              <w:rPr>
                <w:rFonts w:asciiTheme="majorBidi" w:hAnsiTheme="majorBidi" w:cstheme="majorBidi"/>
                <w:noProof/>
                <w:spacing w:val="4"/>
                <w:sz w:val="24"/>
                <w:szCs w:val="24"/>
              </w:rPr>
              <w:t>Lee CR, Cho IH, Jeong BC. Strategies to Minimize Antibiotic Resistance. Int J Envir. 2013; 10: 4247-4305.</w:t>
            </w:r>
          </w:p>
          <w:tbl>
            <w:tblPr>
              <w:tblW w:w="7938" w:type="dxa"/>
              <w:tblCellSpacing w:w="15" w:type="dxa"/>
              <w:tblCellMar>
                <w:top w:w="15" w:type="dxa"/>
                <w:left w:w="15" w:type="dxa"/>
                <w:bottom w:w="15" w:type="dxa"/>
                <w:right w:w="15" w:type="dxa"/>
              </w:tblCellMar>
              <w:tblLook w:val="04A0" w:firstRow="1" w:lastRow="0" w:firstColumn="1" w:lastColumn="0" w:noHBand="0" w:noVBand="1"/>
            </w:tblPr>
            <w:tblGrid>
              <w:gridCol w:w="7938"/>
            </w:tblGrid>
            <w:tr w:rsidR="005F768B" w:rsidRPr="00C65665" w14:paraId="39A933A2" w14:textId="77777777" w:rsidTr="00CC2905">
              <w:trPr>
                <w:tblCellSpacing w:w="15" w:type="dxa"/>
              </w:trPr>
              <w:tc>
                <w:tcPr>
                  <w:tcW w:w="4962" w:type="pct"/>
                  <w:hideMark/>
                </w:tcPr>
                <w:p w14:paraId="59F8D250" w14:textId="77777777" w:rsidR="005F768B" w:rsidRPr="00C65665" w:rsidRDefault="005F768B" w:rsidP="005F768B">
                  <w:pPr>
                    <w:numPr>
                      <w:ilvl w:val="0"/>
                      <w:numId w:val="28"/>
                    </w:numPr>
                    <w:spacing w:after="0" w:line="276" w:lineRule="auto"/>
                    <w:jc w:val="both"/>
                    <w:rPr>
                      <w:rFonts w:asciiTheme="majorBidi" w:hAnsiTheme="majorBidi" w:cstheme="majorBidi"/>
                      <w:sz w:val="24"/>
                      <w:szCs w:val="24"/>
                    </w:rPr>
                  </w:pPr>
                  <w:r w:rsidRPr="00C65665">
                    <w:rPr>
                      <w:rFonts w:asciiTheme="majorBidi" w:hAnsiTheme="majorBidi" w:cstheme="majorBidi"/>
                      <w:sz w:val="24"/>
                      <w:szCs w:val="24"/>
                    </w:rPr>
                    <w:t xml:space="preserve">Rischi P. Eline L. Et al. An overview of possitive cultures and clinical outcomes in septic patients: a sub-analysis of the Prehospital Antibiotics Against Sepsis (PHANTASi) trial  </w:t>
                  </w:r>
                  <w:hyperlink r:id="rId9" w:history="1">
                    <w:r w:rsidRPr="00C65665">
                      <w:rPr>
                        <w:rStyle w:val="Hyperlink"/>
                        <w:rFonts w:asciiTheme="majorBidi" w:hAnsiTheme="majorBidi" w:cstheme="majorBidi"/>
                        <w:sz w:val="24"/>
                        <w:szCs w:val="24"/>
                      </w:rPr>
                      <w:t>Critical Care</w:t>
                    </w:r>
                  </w:hyperlink>
                  <w:r w:rsidRPr="00C65665">
                    <w:rPr>
                      <w:rFonts w:asciiTheme="majorBidi" w:hAnsiTheme="majorBidi" w:cstheme="majorBidi"/>
                      <w:sz w:val="24"/>
                      <w:szCs w:val="24"/>
                    </w:rPr>
                    <w:t xml:space="preserve">  volume 23, Article number: 182 (2019) </w:t>
                  </w:r>
                </w:p>
              </w:tc>
            </w:tr>
          </w:tbl>
          <w:p w14:paraId="2B2EAF43" w14:textId="77777777" w:rsidR="005F768B" w:rsidRPr="00C65665" w:rsidRDefault="005F768B" w:rsidP="00CC2905">
            <w:pPr>
              <w:spacing w:after="0"/>
              <w:ind w:left="432"/>
              <w:jc w:val="both"/>
              <w:rPr>
                <w:rFonts w:asciiTheme="majorBidi" w:eastAsia="Times New Roman" w:hAnsiTheme="majorBidi" w:cstheme="majorBidi"/>
                <w:noProof/>
                <w:spacing w:val="4"/>
                <w:sz w:val="24"/>
                <w:szCs w:val="24"/>
              </w:rPr>
            </w:pPr>
          </w:p>
          <w:p w14:paraId="390655E9" w14:textId="77777777" w:rsidR="005F768B" w:rsidRPr="00C65665" w:rsidRDefault="005F768B" w:rsidP="00CC2905">
            <w:pPr>
              <w:spacing w:after="0"/>
              <w:ind w:left="432"/>
              <w:jc w:val="both"/>
              <w:rPr>
                <w:rFonts w:asciiTheme="majorBidi" w:hAnsiTheme="majorBidi" w:cstheme="majorBidi"/>
                <w:sz w:val="24"/>
                <w:szCs w:val="24"/>
              </w:rPr>
            </w:pPr>
          </w:p>
        </w:tc>
      </w:tr>
    </w:tbl>
    <w:p w14:paraId="71176E89" w14:textId="77777777" w:rsidR="005F768B" w:rsidRPr="00C65665" w:rsidRDefault="005F768B" w:rsidP="005F768B">
      <w:pPr>
        <w:spacing w:after="0" w:line="360" w:lineRule="auto"/>
        <w:jc w:val="both"/>
        <w:rPr>
          <w:rFonts w:asciiTheme="majorBidi" w:hAnsiTheme="majorBidi" w:cstheme="majorBidi"/>
          <w:spacing w:val="4"/>
          <w:sz w:val="24"/>
          <w:szCs w:val="24"/>
        </w:rPr>
      </w:pPr>
    </w:p>
    <w:p w14:paraId="3EA6B85E" w14:textId="77777777" w:rsidR="005F768B" w:rsidRPr="005F768B" w:rsidRDefault="005F768B" w:rsidP="005F768B">
      <w:pPr>
        <w:rPr>
          <w:rFonts w:asciiTheme="majorBidi" w:hAnsiTheme="majorBidi" w:cstheme="majorBidi"/>
          <w:b/>
          <w:bCs/>
          <w:sz w:val="36"/>
          <w:szCs w:val="36"/>
        </w:rPr>
      </w:pPr>
    </w:p>
    <w:sectPr w:rsidR="005F768B" w:rsidRPr="005F76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0"/>
    <w:lvl w:ilvl="0">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1">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2">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3">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4">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5">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6">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7">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8">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abstractNum>
  <w:abstractNum w:abstractNumId="1" w15:restartNumberingAfterBreak="0">
    <w:nsid w:val="00000003"/>
    <w:multiLevelType w:val="multilevel"/>
    <w:tmpl w:val="A99C5962"/>
    <w:lvl w:ilvl="0">
      <w:start w:val="1"/>
      <w:numFmt w:val="lowerLetter"/>
      <w:lvlText w:val="%1)"/>
      <w:lvlJc w:val="left"/>
      <w:rPr>
        <w:rFonts w:ascii="Times New Roman" w:hAnsi="Times New Roman" w:cs="Times New Roman" w:hint="default"/>
        <w:b w:val="0"/>
        <w:bCs w:val="0"/>
        <w:i w:val="0"/>
        <w:iCs w:val="0"/>
        <w:smallCaps w:val="0"/>
        <w:strike w:val="0"/>
        <w:color w:val="000000"/>
        <w:spacing w:val="0"/>
        <w:w w:val="100"/>
        <w:position w:val="0"/>
        <w:sz w:val="24"/>
        <w:szCs w:val="24"/>
        <w:u w:val="none"/>
      </w:rPr>
    </w:lvl>
    <w:lvl w:ilvl="1">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2">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3">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4">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5">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6">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7">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8">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abstractNum>
  <w:abstractNum w:abstractNumId="2" w15:restartNumberingAfterBreak="0">
    <w:nsid w:val="00000005"/>
    <w:multiLevelType w:val="multilevel"/>
    <w:tmpl w:val="61E06CBC"/>
    <w:lvl w:ilvl="0">
      <w:start w:val="1"/>
      <w:numFmt w:val="lowerLetter"/>
      <w:lvlText w:val="%1)"/>
      <w:lvlJc w:val="left"/>
      <w:rPr>
        <w:rFonts w:ascii="Times New Roman" w:hAnsi="Times New Roman" w:cs="Times New Roman" w:hint="default"/>
        <w:b w:val="0"/>
        <w:bCs w:val="0"/>
        <w:i w:val="0"/>
        <w:iCs w:val="0"/>
        <w:smallCaps w:val="0"/>
        <w:strike w:val="0"/>
        <w:color w:val="000000"/>
        <w:spacing w:val="0"/>
        <w:w w:val="100"/>
        <w:position w:val="0"/>
        <w:sz w:val="24"/>
        <w:szCs w:val="24"/>
        <w:u w:val="none"/>
      </w:rPr>
    </w:lvl>
    <w:lvl w:ilvl="1">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2">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3">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4">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5">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6">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7">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8">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abstractNum>
  <w:abstractNum w:abstractNumId="3" w15:restartNumberingAfterBreak="0">
    <w:nsid w:val="00000007"/>
    <w:multiLevelType w:val="multilevel"/>
    <w:tmpl w:val="00000006"/>
    <w:lvl w:ilvl="0">
      <w:start w:val="1"/>
      <w:numFmt w:val="decimal"/>
      <w:lvlText w:val="%1."/>
      <w:lvlJc w:val="left"/>
      <w:rPr>
        <w:rFonts w:ascii="Calibri" w:hAnsi="Calibri" w:cs="Calibri"/>
        <w:b/>
        <w:bCs/>
        <w:i w:val="0"/>
        <w:iCs w:val="0"/>
        <w:smallCaps w:val="0"/>
        <w:strike w:val="0"/>
        <w:color w:val="000000"/>
        <w:spacing w:val="0"/>
        <w:w w:val="100"/>
        <w:position w:val="0"/>
        <w:sz w:val="22"/>
        <w:szCs w:val="22"/>
        <w:u w:val="none"/>
      </w:rPr>
    </w:lvl>
    <w:lvl w:ilvl="1">
      <w:start w:val="1"/>
      <w:numFmt w:val="decimal"/>
      <w:lvlText w:val="%1."/>
      <w:lvlJc w:val="left"/>
      <w:rPr>
        <w:rFonts w:ascii="Calibri" w:hAnsi="Calibri" w:cs="Calibri"/>
        <w:b/>
        <w:bCs/>
        <w:i w:val="0"/>
        <w:iCs w:val="0"/>
        <w:smallCaps w:val="0"/>
        <w:strike w:val="0"/>
        <w:color w:val="000000"/>
        <w:spacing w:val="0"/>
        <w:w w:val="100"/>
        <w:position w:val="0"/>
        <w:sz w:val="22"/>
        <w:szCs w:val="22"/>
        <w:u w:val="none"/>
      </w:rPr>
    </w:lvl>
    <w:lvl w:ilvl="2">
      <w:start w:val="1"/>
      <w:numFmt w:val="decimal"/>
      <w:lvlText w:val="%1."/>
      <w:lvlJc w:val="left"/>
      <w:rPr>
        <w:rFonts w:ascii="Calibri" w:hAnsi="Calibri" w:cs="Calibri"/>
        <w:b/>
        <w:bCs/>
        <w:i w:val="0"/>
        <w:iCs w:val="0"/>
        <w:smallCaps w:val="0"/>
        <w:strike w:val="0"/>
        <w:color w:val="000000"/>
        <w:spacing w:val="0"/>
        <w:w w:val="100"/>
        <w:position w:val="0"/>
        <w:sz w:val="22"/>
        <w:szCs w:val="22"/>
        <w:u w:val="none"/>
      </w:rPr>
    </w:lvl>
    <w:lvl w:ilvl="3">
      <w:start w:val="1"/>
      <w:numFmt w:val="decimal"/>
      <w:lvlText w:val="%1."/>
      <w:lvlJc w:val="left"/>
      <w:rPr>
        <w:rFonts w:ascii="Calibri" w:hAnsi="Calibri" w:cs="Calibri"/>
        <w:b/>
        <w:bCs/>
        <w:i w:val="0"/>
        <w:iCs w:val="0"/>
        <w:smallCaps w:val="0"/>
        <w:strike w:val="0"/>
        <w:color w:val="000000"/>
        <w:spacing w:val="0"/>
        <w:w w:val="100"/>
        <w:position w:val="0"/>
        <w:sz w:val="22"/>
        <w:szCs w:val="22"/>
        <w:u w:val="none"/>
      </w:rPr>
    </w:lvl>
    <w:lvl w:ilvl="4">
      <w:start w:val="1"/>
      <w:numFmt w:val="decimal"/>
      <w:lvlText w:val="%1."/>
      <w:lvlJc w:val="left"/>
      <w:rPr>
        <w:rFonts w:ascii="Calibri" w:hAnsi="Calibri" w:cs="Calibri"/>
        <w:b/>
        <w:bCs/>
        <w:i w:val="0"/>
        <w:iCs w:val="0"/>
        <w:smallCaps w:val="0"/>
        <w:strike w:val="0"/>
        <w:color w:val="000000"/>
        <w:spacing w:val="0"/>
        <w:w w:val="100"/>
        <w:position w:val="0"/>
        <w:sz w:val="22"/>
        <w:szCs w:val="22"/>
        <w:u w:val="none"/>
      </w:rPr>
    </w:lvl>
    <w:lvl w:ilvl="5">
      <w:start w:val="1"/>
      <w:numFmt w:val="decimal"/>
      <w:lvlText w:val="%1."/>
      <w:lvlJc w:val="left"/>
      <w:rPr>
        <w:rFonts w:ascii="Calibri" w:hAnsi="Calibri" w:cs="Calibri"/>
        <w:b/>
        <w:bCs/>
        <w:i w:val="0"/>
        <w:iCs w:val="0"/>
        <w:smallCaps w:val="0"/>
        <w:strike w:val="0"/>
        <w:color w:val="000000"/>
        <w:spacing w:val="0"/>
        <w:w w:val="100"/>
        <w:position w:val="0"/>
        <w:sz w:val="22"/>
        <w:szCs w:val="22"/>
        <w:u w:val="none"/>
      </w:rPr>
    </w:lvl>
    <w:lvl w:ilvl="6">
      <w:start w:val="1"/>
      <w:numFmt w:val="decimal"/>
      <w:lvlText w:val="%1."/>
      <w:lvlJc w:val="left"/>
      <w:rPr>
        <w:rFonts w:ascii="Calibri" w:hAnsi="Calibri" w:cs="Calibri"/>
        <w:b/>
        <w:bCs/>
        <w:i w:val="0"/>
        <w:iCs w:val="0"/>
        <w:smallCaps w:val="0"/>
        <w:strike w:val="0"/>
        <w:color w:val="000000"/>
        <w:spacing w:val="0"/>
        <w:w w:val="100"/>
        <w:position w:val="0"/>
        <w:sz w:val="22"/>
        <w:szCs w:val="22"/>
        <w:u w:val="none"/>
      </w:rPr>
    </w:lvl>
    <w:lvl w:ilvl="7">
      <w:start w:val="1"/>
      <w:numFmt w:val="decimal"/>
      <w:lvlText w:val="%1."/>
      <w:lvlJc w:val="left"/>
      <w:rPr>
        <w:rFonts w:ascii="Calibri" w:hAnsi="Calibri" w:cs="Calibri"/>
        <w:b/>
        <w:bCs/>
        <w:i w:val="0"/>
        <w:iCs w:val="0"/>
        <w:smallCaps w:val="0"/>
        <w:strike w:val="0"/>
        <w:color w:val="000000"/>
        <w:spacing w:val="0"/>
        <w:w w:val="100"/>
        <w:position w:val="0"/>
        <w:sz w:val="22"/>
        <w:szCs w:val="22"/>
        <w:u w:val="none"/>
      </w:rPr>
    </w:lvl>
    <w:lvl w:ilvl="8">
      <w:start w:val="1"/>
      <w:numFmt w:val="decimal"/>
      <w:lvlText w:val="%1."/>
      <w:lvlJc w:val="left"/>
      <w:rPr>
        <w:rFonts w:ascii="Calibri" w:hAnsi="Calibri" w:cs="Calibri"/>
        <w:b/>
        <w:bCs/>
        <w:i w:val="0"/>
        <w:iCs w:val="0"/>
        <w:smallCaps w:val="0"/>
        <w:strike w:val="0"/>
        <w:color w:val="000000"/>
        <w:spacing w:val="0"/>
        <w:w w:val="100"/>
        <w:position w:val="0"/>
        <w:sz w:val="22"/>
        <w:szCs w:val="22"/>
        <w:u w:val="none"/>
      </w:rPr>
    </w:lvl>
  </w:abstractNum>
  <w:abstractNum w:abstractNumId="4" w15:restartNumberingAfterBreak="0">
    <w:nsid w:val="06650977"/>
    <w:multiLevelType w:val="multilevel"/>
    <w:tmpl w:val="FE522AD0"/>
    <w:lvl w:ilvl="0">
      <w:start w:val="1"/>
      <w:numFmt w:val="bullet"/>
      <w:lvlText w:val="-"/>
      <w:lvlJc w:val="left"/>
      <w:rPr>
        <w:rFonts w:ascii="Times New Roman" w:hAnsi="Times New Roman" w:cs="Times New Roman" w:hint="default"/>
        <w:b w:val="0"/>
        <w:bCs w:val="0"/>
        <w:i w:val="0"/>
        <w:iCs w:val="0"/>
        <w:smallCaps w:val="0"/>
        <w:strike w:val="0"/>
        <w:color w:val="000000"/>
        <w:spacing w:val="0"/>
        <w:w w:val="100"/>
        <w:position w:val="0"/>
        <w:sz w:val="16"/>
        <w:szCs w:val="16"/>
        <w:u w:val="none"/>
      </w:rPr>
    </w:lvl>
    <w:lvl w:ilvl="1">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2">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3">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4">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5">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6">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7">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8">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abstractNum>
  <w:abstractNum w:abstractNumId="5" w15:restartNumberingAfterBreak="0">
    <w:nsid w:val="06BD257E"/>
    <w:multiLevelType w:val="multilevel"/>
    <w:tmpl w:val="FE522AD0"/>
    <w:lvl w:ilvl="0">
      <w:start w:val="1"/>
      <w:numFmt w:val="bullet"/>
      <w:lvlText w:val="-"/>
      <w:lvlJc w:val="left"/>
      <w:rPr>
        <w:rFonts w:ascii="Times New Roman" w:hAnsi="Times New Roman" w:cs="Times New Roman" w:hint="default"/>
        <w:b w:val="0"/>
        <w:bCs w:val="0"/>
        <w:i w:val="0"/>
        <w:iCs w:val="0"/>
        <w:smallCaps w:val="0"/>
        <w:strike w:val="0"/>
        <w:color w:val="000000"/>
        <w:spacing w:val="0"/>
        <w:w w:val="100"/>
        <w:position w:val="0"/>
        <w:sz w:val="16"/>
        <w:szCs w:val="16"/>
        <w:u w:val="none"/>
      </w:rPr>
    </w:lvl>
    <w:lvl w:ilvl="1">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2">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3">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4">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5">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6">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7">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8">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abstractNum>
  <w:abstractNum w:abstractNumId="6" w15:restartNumberingAfterBreak="0">
    <w:nsid w:val="14000870"/>
    <w:multiLevelType w:val="multilevel"/>
    <w:tmpl w:val="DD3839A4"/>
    <w:lvl w:ilvl="0">
      <w:start w:val="2"/>
      <w:numFmt w:val="bullet"/>
      <w:lvlText w:val="-"/>
      <w:lvlJc w:val="left"/>
      <w:rPr>
        <w:rFonts w:ascii="Book Antiqua" w:eastAsia="Calibri" w:hAnsi="Book Antiqua" w:cs="Times New Roman" w:hint="default"/>
        <w:b w:val="0"/>
        <w:bCs w:val="0"/>
        <w:i w:val="0"/>
        <w:iCs w:val="0"/>
        <w:smallCaps w:val="0"/>
        <w:strike w:val="0"/>
        <w:color w:val="000000"/>
        <w:spacing w:val="0"/>
        <w:w w:val="100"/>
        <w:position w:val="0"/>
        <w:sz w:val="16"/>
        <w:szCs w:val="16"/>
        <w:u w:val="none"/>
      </w:rPr>
    </w:lvl>
    <w:lvl w:ilvl="1">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2">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3">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4">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5">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6">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7">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8">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abstractNum>
  <w:abstractNum w:abstractNumId="7" w15:restartNumberingAfterBreak="0">
    <w:nsid w:val="141F1D19"/>
    <w:multiLevelType w:val="hybridMultilevel"/>
    <w:tmpl w:val="232CD820"/>
    <w:lvl w:ilvl="0" w:tplc="7E3C6114">
      <w:start w:val="1"/>
      <w:numFmt w:val="decimal"/>
      <w:lvlText w:val="%1."/>
      <w:lvlJc w:val="left"/>
      <w:pPr>
        <w:ind w:left="720" w:hanging="360"/>
      </w:pPr>
      <w:rPr>
        <w:rFonts w:hint="default"/>
      </w:rPr>
    </w:lvl>
    <w:lvl w:ilvl="1" w:tplc="181A0019">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8" w15:restartNumberingAfterBreak="0">
    <w:nsid w:val="150D584B"/>
    <w:multiLevelType w:val="hybridMultilevel"/>
    <w:tmpl w:val="4CDC07A8"/>
    <w:lvl w:ilvl="0" w:tplc="F0A6B40A">
      <w:start w:val="1"/>
      <w:numFmt w:val="lowerLetter"/>
      <w:lvlText w:val="%1)"/>
      <w:lvlJc w:val="left"/>
      <w:pPr>
        <w:ind w:left="720" w:hanging="360"/>
      </w:pPr>
      <w:rPr>
        <w:rFonts w:ascii="Times New Roman" w:hAnsi="Times New Roman" w:cs="Times New Roman" w:hint="default"/>
        <w:color w:val="000000"/>
        <w:sz w:val="24"/>
        <w:szCs w:val="24"/>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9" w15:restartNumberingAfterBreak="0">
    <w:nsid w:val="19C70BEE"/>
    <w:multiLevelType w:val="multilevel"/>
    <w:tmpl w:val="CD7825DE"/>
    <w:lvl w:ilvl="0">
      <w:start w:val="1"/>
      <w:numFmt w:val="decimal"/>
      <w:lvlText w:val="%1."/>
      <w:lvlJc w:val="left"/>
      <w:rPr>
        <w:rFonts w:hint="default"/>
        <w:b w:val="0"/>
        <w:bCs w:val="0"/>
        <w:i w:val="0"/>
        <w:iCs w:val="0"/>
        <w:smallCaps w:val="0"/>
        <w:strike w:val="0"/>
        <w:color w:val="000000"/>
        <w:spacing w:val="0"/>
        <w:w w:val="100"/>
        <w:position w:val="0"/>
        <w:sz w:val="24"/>
        <w:szCs w:val="24"/>
        <w:u w:val="none"/>
      </w:rPr>
    </w:lvl>
    <w:lvl w:ilvl="1">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2">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3">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4">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5">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6">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7">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8">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abstractNum>
  <w:abstractNum w:abstractNumId="10" w15:restartNumberingAfterBreak="0">
    <w:nsid w:val="20E078D8"/>
    <w:multiLevelType w:val="hybridMultilevel"/>
    <w:tmpl w:val="CD20F824"/>
    <w:lvl w:ilvl="0" w:tplc="041873E6">
      <w:start w:val="1"/>
      <w:numFmt w:val="lowerLetter"/>
      <w:lvlText w:val="%1)"/>
      <w:lvlJc w:val="left"/>
      <w:pPr>
        <w:ind w:left="720" w:hanging="360"/>
      </w:pPr>
      <w:rPr>
        <w:rFonts w:ascii="Times New Roman" w:hAnsi="Times New Roman" w:cs="Times New Roman" w:hint="default"/>
        <w:color w:val="000000"/>
        <w:sz w:val="24"/>
        <w:szCs w:val="24"/>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1" w15:restartNumberingAfterBreak="0">
    <w:nsid w:val="23217236"/>
    <w:multiLevelType w:val="hybridMultilevel"/>
    <w:tmpl w:val="D4289BA2"/>
    <w:lvl w:ilvl="0" w:tplc="7E3C6114">
      <w:start w:val="1"/>
      <w:numFmt w:val="decimal"/>
      <w:lvlText w:val="%1."/>
      <w:lvlJc w:val="left"/>
      <w:pPr>
        <w:ind w:left="927" w:hanging="360"/>
      </w:pPr>
      <w:rPr>
        <w:rFonts w:hint="default"/>
      </w:rPr>
    </w:lvl>
    <w:lvl w:ilvl="1" w:tplc="181A0019">
      <w:start w:val="1"/>
      <w:numFmt w:val="lowerLetter"/>
      <w:lvlText w:val="%2."/>
      <w:lvlJc w:val="left"/>
      <w:pPr>
        <w:ind w:left="1647" w:hanging="360"/>
      </w:pPr>
    </w:lvl>
    <w:lvl w:ilvl="2" w:tplc="181A001B" w:tentative="1">
      <w:start w:val="1"/>
      <w:numFmt w:val="lowerRoman"/>
      <w:lvlText w:val="%3."/>
      <w:lvlJc w:val="right"/>
      <w:pPr>
        <w:ind w:left="2367" w:hanging="180"/>
      </w:pPr>
    </w:lvl>
    <w:lvl w:ilvl="3" w:tplc="181A000F" w:tentative="1">
      <w:start w:val="1"/>
      <w:numFmt w:val="decimal"/>
      <w:lvlText w:val="%4."/>
      <w:lvlJc w:val="left"/>
      <w:pPr>
        <w:ind w:left="3087" w:hanging="360"/>
      </w:pPr>
    </w:lvl>
    <w:lvl w:ilvl="4" w:tplc="181A0019" w:tentative="1">
      <w:start w:val="1"/>
      <w:numFmt w:val="lowerLetter"/>
      <w:lvlText w:val="%5."/>
      <w:lvlJc w:val="left"/>
      <w:pPr>
        <w:ind w:left="3807" w:hanging="360"/>
      </w:pPr>
    </w:lvl>
    <w:lvl w:ilvl="5" w:tplc="181A001B" w:tentative="1">
      <w:start w:val="1"/>
      <w:numFmt w:val="lowerRoman"/>
      <w:lvlText w:val="%6."/>
      <w:lvlJc w:val="right"/>
      <w:pPr>
        <w:ind w:left="4527" w:hanging="180"/>
      </w:pPr>
    </w:lvl>
    <w:lvl w:ilvl="6" w:tplc="181A000F" w:tentative="1">
      <w:start w:val="1"/>
      <w:numFmt w:val="decimal"/>
      <w:lvlText w:val="%7."/>
      <w:lvlJc w:val="left"/>
      <w:pPr>
        <w:ind w:left="5247" w:hanging="360"/>
      </w:pPr>
    </w:lvl>
    <w:lvl w:ilvl="7" w:tplc="181A0019" w:tentative="1">
      <w:start w:val="1"/>
      <w:numFmt w:val="lowerLetter"/>
      <w:lvlText w:val="%8."/>
      <w:lvlJc w:val="left"/>
      <w:pPr>
        <w:ind w:left="5967" w:hanging="360"/>
      </w:pPr>
    </w:lvl>
    <w:lvl w:ilvl="8" w:tplc="181A001B" w:tentative="1">
      <w:start w:val="1"/>
      <w:numFmt w:val="lowerRoman"/>
      <w:lvlText w:val="%9."/>
      <w:lvlJc w:val="right"/>
      <w:pPr>
        <w:ind w:left="6687" w:hanging="180"/>
      </w:pPr>
    </w:lvl>
  </w:abstractNum>
  <w:abstractNum w:abstractNumId="12" w15:restartNumberingAfterBreak="0">
    <w:nsid w:val="24F80040"/>
    <w:multiLevelType w:val="hybridMultilevel"/>
    <w:tmpl w:val="78305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7651BB"/>
    <w:multiLevelType w:val="hybridMultilevel"/>
    <w:tmpl w:val="927E6484"/>
    <w:lvl w:ilvl="0" w:tplc="71706C2C">
      <w:start w:val="2"/>
      <w:numFmt w:val="bullet"/>
      <w:lvlText w:val="-"/>
      <w:lvlJc w:val="left"/>
      <w:pPr>
        <w:ind w:left="1287" w:hanging="360"/>
      </w:pPr>
      <w:rPr>
        <w:rFonts w:ascii="Book Antiqua" w:eastAsia="Calibri" w:hAnsi="Book Antiqua" w:cs="Times New Roman" w:hint="default"/>
      </w:rPr>
    </w:lvl>
    <w:lvl w:ilvl="1" w:tplc="141A0003" w:tentative="1">
      <w:start w:val="1"/>
      <w:numFmt w:val="bullet"/>
      <w:lvlText w:val="o"/>
      <w:lvlJc w:val="left"/>
      <w:pPr>
        <w:ind w:left="2007" w:hanging="360"/>
      </w:pPr>
      <w:rPr>
        <w:rFonts w:ascii="Courier New" w:hAnsi="Courier New" w:cs="Courier New" w:hint="default"/>
      </w:rPr>
    </w:lvl>
    <w:lvl w:ilvl="2" w:tplc="141A0005" w:tentative="1">
      <w:start w:val="1"/>
      <w:numFmt w:val="bullet"/>
      <w:lvlText w:val=""/>
      <w:lvlJc w:val="left"/>
      <w:pPr>
        <w:ind w:left="2727" w:hanging="360"/>
      </w:pPr>
      <w:rPr>
        <w:rFonts w:ascii="Wingdings" w:hAnsi="Wingdings" w:hint="default"/>
      </w:rPr>
    </w:lvl>
    <w:lvl w:ilvl="3" w:tplc="141A0001" w:tentative="1">
      <w:start w:val="1"/>
      <w:numFmt w:val="bullet"/>
      <w:lvlText w:val=""/>
      <w:lvlJc w:val="left"/>
      <w:pPr>
        <w:ind w:left="3447" w:hanging="360"/>
      </w:pPr>
      <w:rPr>
        <w:rFonts w:ascii="Symbol" w:hAnsi="Symbol" w:hint="default"/>
      </w:rPr>
    </w:lvl>
    <w:lvl w:ilvl="4" w:tplc="141A0003" w:tentative="1">
      <w:start w:val="1"/>
      <w:numFmt w:val="bullet"/>
      <w:lvlText w:val="o"/>
      <w:lvlJc w:val="left"/>
      <w:pPr>
        <w:ind w:left="4167" w:hanging="360"/>
      </w:pPr>
      <w:rPr>
        <w:rFonts w:ascii="Courier New" w:hAnsi="Courier New" w:cs="Courier New" w:hint="default"/>
      </w:rPr>
    </w:lvl>
    <w:lvl w:ilvl="5" w:tplc="141A0005" w:tentative="1">
      <w:start w:val="1"/>
      <w:numFmt w:val="bullet"/>
      <w:lvlText w:val=""/>
      <w:lvlJc w:val="left"/>
      <w:pPr>
        <w:ind w:left="4887" w:hanging="360"/>
      </w:pPr>
      <w:rPr>
        <w:rFonts w:ascii="Wingdings" w:hAnsi="Wingdings" w:hint="default"/>
      </w:rPr>
    </w:lvl>
    <w:lvl w:ilvl="6" w:tplc="141A0001" w:tentative="1">
      <w:start w:val="1"/>
      <w:numFmt w:val="bullet"/>
      <w:lvlText w:val=""/>
      <w:lvlJc w:val="left"/>
      <w:pPr>
        <w:ind w:left="5607" w:hanging="360"/>
      </w:pPr>
      <w:rPr>
        <w:rFonts w:ascii="Symbol" w:hAnsi="Symbol" w:hint="default"/>
      </w:rPr>
    </w:lvl>
    <w:lvl w:ilvl="7" w:tplc="141A0003" w:tentative="1">
      <w:start w:val="1"/>
      <w:numFmt w:val="bullet"/>
      <w:lvlText w:val="o"/>
      <w:lvlJc w:val="left"/>
      <w:pPr>
        <w:ind w:left="6327" w:hanging="360"/>
      </w:pPr>
      <w:rPr>
        <w:rFonts w:ascii="Courier New" w:hAnsi="Courier New" w:cs="Courier New" w:hint="default"/>
      </w:rPr>
    </w:lvl>
    <w:lvl w:ilvl="8" w:tplc="141A0005" w:tentative="1">
      <w:start w:val="1"/>
      <w:numFmt w:val="bullet"/>
      <w:lvlText w:val=""/>
      <w:lvlJc w:val="left"/>
      <w:pPr>
        <w:ind w:left="7047" w:hanging="360"/>
      </w:pPr>
      <w:rPr>
        <w:rFonts w:ascii="Wingdings" w:hAnsi="Wingdings" w:hint="default"/>
      </w:rPr>
    </w:lvl>
  </w:abstractNum>
  <w:abstractNum w:abstractNumId="14" w15:restartNumberingAfterBreak="0">
    <w:nsid w:val="33F57D4B"/>
    <w:multiLevelType w:val="hybridMultilevel"/>
    <w:tmpl w:val="866A29C8"/>
    <w:lvl w:ilvl="0" w:tplc="7E3C6114">
      <w:start w:val="1"/>
      <w:numFmt w:val="decimal"/>
      <w:lvlText w:val="%1."/>
      <w:lvlJc w:val="left"/>
      <w:pPr>
        <w:ind w:left="927" w:hanging="360"/>
      </w:pPr>
      <w:rPr>
        <w:rFonts w:hint="default"/>
      </w:rPr>
    </w:lvl>
    <w:lvl w:ilvl="1" w:tplc="181A0019">
      <w:start w:val="1"/>
      <w:numFmt w:val="lowerLetter"/>
      <w:lvlText w:val="%2."/>
      <w:lvlJc w:val="left"/>
      <w:pPr>
        <w:ind w:left="1647" w:hanging="360"/>
      </w:pPr>
    </w:lvl>
    <w:lvl w:ilvl="2" w:tplc="181A001B" w:tentative="1">
      <w:start w:val="1"/>
      <w:numFmt w:val="lowerRoman"/>
      <w:lvlText w:val="%3."/>
      <w:lvlJc w:val="right"/>
      <w:pPr>
        <w:ind w:left="2367" w:hanging="180"/>
      </w:pPr>
    </w:lvl>
    <w:lvl w:ilvl="3" w:tplc="181A000F" w:tentative="1">
      <w:start w:val="1"/>
      <w:numFmt w:val="decimal"/>
      <w:lvlText w:val="%4."/>
      <w:lvlJc w:val="left"/>
      <w:pPr>
        <w:ind w:left="3087" w:hanging="360"/>
      </w:pPr>
    </w:lvl>
    <w:lvl w:ilvl="4" w:tplc="181A0019" w:tentative="1">
      <w:start w:val="1"/>
      <w:numFmt w:val="lowerLetter"/>
      <w:lvlText w:val="%5."/>
      <w:lvlJc w:val="left"/>
      <w:pPr>
        <w:ind w:left="3807" w:hanging="360"/>
      </w:pPr>
    </w:lvl>
    <w:lvl w:ilvl="5" w:tplc="181A001B" w:tentative="1">
      <w:start w:val="1"/>
      <w:numFmt w:val="lowerRoman"/>
      <w:lvlText w:val="%6."/>
      <w:lvlJc w:val="right"/>
      <w:pPr>
        <w:ind w:left="4527" w:hanging="180"/>
      </w:pPr>
    </w:lvl>
    <w:lvl w:ilvl="6" w:tplc="181A000F" w:tentative="1">
      <w:start w:val="1"/>
      <w:numFmt w:val="decimal"/>
      <w:lvlText w:val="%7."/>
      <w:lvlJc w:val="left"/>
      <w:pPr>
        <w:ind w:left="5247" w:hanging="360"/>
      </w:pPr>
    </w:lvl>
    <w:lvl w:ilvl="7" w:tplc="181A0019" w:tentative="1">
      <w:start w:val="1"/>
      <w:numFmt w:val="lowerLetter"/>
      <w:lvlText w:val="%8."/>
      <w:lvlJc w:val="left"/>
      <w:pPr>
        <w:ind w:left="5967" w:hanging="360"/>
      </w:pPr>
    </w:lvl>
    <w:lvl w:ilvl="8" w:tplc="181A001B" w:tentative="1">
      <w:start w:val="1"/>
      <w:numFmt w:val="lowerRoman"/>
      <w:lvlText w:val="%9."/>
      <w:lvlJc w:val="right"/>
      <w:pPr>
        <w:ind w:left="6687" w:hanging="180"/>
      </w:pPr>
    </w:lvl>
  </w:abstractNum>
  <w:abstractNum w:abstractNumId="15" w15:restartNumberingAfterBreak="0">
    <w:nsid w:val="353603E0"/>
    <w:multiLevelType w:val="multilevel"/>
    <w:tmpl w:val="ADF62C06"/>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5FC48DA"/>
    <w:multiLevelType w:val="hybridMultilevel"/>
    <w:tmpl w:val="20ACF064"/>
    <w:lvl w:ilvl="0" w:tplc="7E3C6114">
      <w:start w:val="1"/>
      <w:numFmt w:val="decimal"/>
      <w:lvlText w:val="%1."/>
      <w:lvlJc w:val="left"/>
      <w:pPr>
        <w:ind w:left="927" w:hanging="360"/>
      </w:pPr>
      <w:rPr>
        <w:rFonts w:hint="default"/>
      </w:rPr>
    </w:lvl>
    <w:lvl w:ilvl="1" w:tplc="181A0019">
      <w:start w:val="1"/>
      <w:numFmt w:val="lowerLetter"/>
      <w:lvlText w:val="%2."/>
      <w:lvlJc w:val="left"/>
      <w:pPr>
        <w:ind w:left="1647" w:hanging="360"/>
      </w:pPr>
    </w:lvl>
    <w:lvl w:ilvl="2" w:tplc="181A001B" w:tentative="1">
      <w:start w:val="1"/>
      <w:numFmt w:val="lowerRoman"/>
      <w:lvlText w:val="%3."/>
      <w:lvlJc w:val="right"/>
      <w:pPr>
        <w:ind w:left="2367" w:hanging="180"/>
      </w:pPr>
    </w:lvl>
    <w:lvl w:ilvl="3" w:tplc="181A000F" w:tentative="1">
      <w:start w:val="1"/>
      <w:numFmt w:val="decimal"/>
      <w:lvlText w:val="%4."/>
      <w:lvlJc w:val="left"/>
      <w:pPr>
        <w:ind w:left="3087" w:hanging="360"/>
      </w:pPr>
    </w:lvl>
    <w:lvl w:ilvl="4" w:tplc="181A0019" w:tentative="1">
      <w:start w:val="1"/>
      <w:numFmt w:val="lowerLetter"/>
      <w:lvlText w:val="%5."/>
      <w:lvlJc w:val="left"/>
      <w:pPr>
        <w:ind w:left="3807" w:hanging="360"/>
      </w:pPr>
    </w:lvl>
    <w:lvl w:ilvl="5" w:tplc="181A001B" w:tentative="1">
      <w:start w:val="1"/>
      <w:numFmt w:val="lowerRoman"/>
      <w:lvlText w:val="%6."/>
      <w:lvlJc w:val="right"/>
      <w:pPr>
        <w:ind w:left="4527" w:hanging="180"/>
      </w:pPr>
    </w:lvl>
    <w:lvl w:ilvl="6" w:tplc="181A000F" w:tentative="1">
      <w:start w:val="1"/>
      <w:numFmt w:val="decimal"/>
      <w:lvlText w:val="%7."/>
      <w:lvlJc w:val="left"/>
      <w:pPr>
        <w:ind w:left="5247" w:hanging="360"/>
      </w:pPr>
    </w:lvl>
    <w:lvl w:ilvl="7" w:tplc="181A0019" w:tentative="1">
      <w:start w:val="1"/>
      <w:numFmt w:val="lowerLetter"/>
      <w:lvlText w:val="%8."/>
      <w:lvlJc w:val="left"/>
      <w:pPr>
        <w:ind w:left="5967" w:hanging="360"/>
      </w:pPr>
    </w:lvl>
    <w:lvl w:ilvl="8" w:tplc="181A001B" w:tentative="1">
      <w:start w:val="1"/>
      <w:numFmt w:val="lowerRoman"/>
      <w:lvlText w:val="%9."/>
      <w:lvlJc w:val="right"/>
      <w:pPr>
        <w:ind w:left="6687" w:hanging="180"/>
      </w:pPr>
    </w:lvl>
  </w:abstractNum>
  <w:abstractNum w:abstractNumId="17" w15:restartNumberingAfterBreak="0">
    <w:nsid w:val="3F1C58D6"/>
    <w:multiLevelType w:val="multilevel"/>
    <w:tmpl w:val="C98822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2087F40"/>
    <w:multiLevelType w:val="multilevel"/>
    <w:tmpl w:val="3326C18E"/>
    <w:lvl w:ilvl="0">
      <w:start w:val="5"/>
      <w:numFmt w:val="decimal"/>
      <w:lvlText w:val="%1."/>
      <w:lvlJc w:val="left"/>
      <w:pPr>
        <w:ind w:left="432" w:hanging="432"/>
      </w:pPr>
      <w:rPr>
        <w:rFonts w:cs="Times New Roman" w:hint="default"/>
        <w:sz w:val="28"/>
      </w:rPr>
    </w:lvl>
    <w:lvl w:ilvl="1">
      <w:start w:val="1"/>
      <w:numFmt w:val="decimal"/>
      <w:lvlText w:val="%1.%2."/>
      <w:lvlJc w:val="left"/>
      <w:pPr>
        <w:ind w:left="1359" w:hanging="432"/>
      </w:pPr>
      <w:rPr>
        <w:rFonts w:cs="Times New Roman" w:hint="default"/>
        <w:sz w:val="28"/>
      </w:rPr>
    </w:lvl>
    <w:lvl w:ilvl="2">
      <w:start w:val="1"/>
      <w:numFmt w:val="decimal"/>
      <w:lvlText w:val="%1.%2.%3."/>
      <w:lvlJc w:val="left"/>
      <w:pPr>
        <w:ind w:left="2574" w:hanging="720"/>
      </w:pPr>
      <w:rPr>
        <w:rFonts w:cs="Times New Roman" w:hint="default"/>
        <w:sz w:val="28"/>
      </w:rPr>
    </w:lvl>
    <w:lvl w:ilvl="3">
      <w:start w:val="1"/>
      <w:numFmt w:val="decimal"/>
      <w:lvlText w:val="%1.%2.%3.%4."/>
      <w:lvlJc w:val="left"/>
      <w:pPr>
        <w:ind w:left="3501" w:hanging="720"/>
      </w:pPr>
      <w:rPr>
        <w:rFonts w:cs="Times New Roman" w:hint="default"/>
        <w:sz w:val="28"/>
      </w:rPr>
    </w:lvl>
    <w:lvl w:ilvl="4">
      <w:start w:val="1"/>
      <w:numFmt w:val="decimal"/>
      <w:lvlText w:val="%1.%2.%3.%4.%5."/>
      <w:lvlJc w:val="left"/>
      <w:pPr>
        <w:ind w:left="4788" w:hanging="1080"/>
      </w:pPr>
      <w:rPr>
        <w:rFonts w:cs="Times New Roman" w:hint="default"/>
        <w:sz w:val="28"/>
      </w:rPr>
    </w:lvl>
    <w:lvl w:ilvl="5">
      <w:start w:val="1"/>
      <w:numFmt w:val="decimal"/>
      <w:lvlText w:val="%1.%2.%3.%4.%5.%6."/>
      <w:lvlJc w:val="left"/>
      <w:pPr>
        <w:ind w:left="5715" w:hanging="1080"/>
      </w:pPr>
      <w:rPr>
        <w:rFonts w:cs="Times New Roman" w:hint="default"/>
        <w:sz w:val="28"/>
      </w:rPr>
    </w:lvl>
    <w:lvl w:ilvl="6">
      <w:start w:val="1"/>
      <w:numFmt w:val="decimal"/>
      <w:lvlText w:val="%1.%2.%3.%4.%5.%6.%7."/>
      <w:lvlJc w:val="left"/>
      <w:pPr>
        <w:ind w:left="7002" w:hanging="1440"/>
      </w:pPr>
      <w:rPr>
        <w:rFonts w:cs="Times New Roman" w:hint="default"/>
        <w:sz w:val="28"/>
      </w:rPr>
    </w:lvl>
    <w:lvl w:ilvl="7">
      <w:start w:val="1"/>
      <w:numFmt w:val="decimal"/>
      <w:lvlText w:val="%1.%2.%3.%4.%5.%6.%7.%8."/>
      <w:lvlJc w:val="left"/>
      <w:pPr>
        <w:ind w:left="7929" w:hanging="1440"/>
      </w:pPr>
      <w:rPr>
        <w:rFonts w:cs="Times New Roman" w:hint="default"/>
        <w:sz w:val="28"/>
      </w:rPr>
    </w:lvl>
    <w:lvl w:ilvl="8">
      <w:start w:val="1"/>
      <w:numFmt w:val="decimal"/>
      <w:lvlText w:val="%1.%2.%3.%4.%5.%6.%7.%8.%9."/>
      <w:lvlJc w:val="left"/>
      <w:pPr>
        <w:ind w:left="9216" w:hanging="1800"/>
      </w:pPr>
      <w:rPr>
        <w:rFonts w:cs="Times New Roman" w:hint="default"/>
        <w:sz w:val="28"/>
      </w:rPr>
    </w:lvl>
  </w:abstractNum>
  <w:abstractNum w:abstractNumId="19" w15:restartNumberingAfterBreak="0">
    <w:nsid w:val="4CE241BD"/>
    <w:multiLevelType w:val="multilevel"/>
    <w:tmpl w:val="4C2CACE0"/>
    <w:lvl w:ilvl="0">
      <w:start w:val="4"/>
      <w:numFmt w:val="decimal"/>
      <w:lvlText w:val="%1."/>
      <w:lvlJc w:val="left"/>
      <w:pPr>
        <w:ind w:left="432" w:hanging="432"/>
      </w:pPr>
      <w:rPr>
        <w:rFonts w:hint="default"/>
      </w:rPr>
    </w:lvl>
    <w:lvl w:ilvl="1">
      <w:start w:val="1"/>
      <w:numFmt w:val="decimal"/>
      <w:lvlText w:val="%1.%2."/>
      <w:lvlJc w:val="left"/>
      <w:pPr>
        <w:ind w:left="1647" w:hanging="7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362" w:hanging="180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20" w15:restartNumberingAfterBreak="0">
    <w:nsid w:val="532D2AF7"/>
    <w:multiLevelType w:val="multilevel"/>
    <w:tmpl w:val="F60024E2"/>
    <w:lvl w:ilvl="0">
      <w:start w:val="1"/>
      <w:numFmt w:val="bullet"/>
      <w:lvlText w:val="-"/>
      <w:lvlJc w:val="left"/>
      <w:rPr>
        <w:rFonts w:ascii="Times New Roman" w:hAnsi="Times New Roman" w:cs="Times New Roman" w:hint="default"/>
        <w:b w:val="0"/>
        <w:bCs w:val="0"/>
        <w:i w:val="0"/>
        <w:iCs w:val="0"/>
        <w:smallCaps w:val="0"/>
        <w:strike w:val="0"/>
        <w:color w:val="000000"/>
        <w:spacing w:val="0"/>
        <w:w w:val="100"/>
        <w:position w:val="0"/>
        <w:sz w:val="16"/>
        <w:szCs w:val="16"/>
        <w:u w:val="none"/>
      </w:rPr>
    </w:lvl>
    <w:lvl w:ilvl="1">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2">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3">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4">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5">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6">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7">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lvl w:ilvl="8">
      <w:start w:val="1"/>
      <w:numFmt w:val="bullet"/>
      <w:lvlText w:val="&gt;"/>
      <w:lvlJc w:val="left"/>
      <w:rPr>
        <w:rFonts w:ascii="Tahoma" w:hAnsi="Tahoma" w:cs="Tahoma"/>
        <w:b w:val="0"/>
        <w:bCs w:val="0"/>
        <w:i w:val="0"/>
        <w:iCs w:val="0"/>
        <w:smallCaps w:val="0"/>
        <w:strike w:val="0"/>
        <w:color w:val="000000"/>
        <w:spacing w:val="0"/>
        <w:w w:val="100"/>
        <w:position w:val="0"/>
        <w:sz w:val="16"/>
        <w:szCs w:val="16"/>
        <w:u w:val="none"/>
      </w:rPr>
    </w:lvl>
  </w:abstractNum>
  <w:abstractNum w:abstractNumId="21" w15:restartNumberingAfterBreak="0">
    <w:nsid w:val="5C0E4842"/>
    <w:multiLevelType w:val="hybridMultilevel"/>
    <w:tmpl w:val="471EE14C"/>
    <w:lvl w:ilvl="0" w:tplc="DA407AB6">
      <w:start w:val="1"/>
      <w:numFmt w:val="lowerLetter"/>
      <w:lvlText w:val="%1)"/>
      <w:lvlJc w:val="left"/>
      <w:pPr>
        <w:ind w:left="720" w:hanging="360"/>
      </w:pPr>
      <w:rPr>
        <w:rFonts w:ascii="Times New Roman" w:hAnsi="Times New Roman" w:cs="Times New Roman" w:hint="default"/>
        <w:color w:val="000000"/>
        <w:sz w:val="24"/>
        <w:szCs w:val="24"/>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2" w15:restartNumberingAfterBreak="0">
    <w:nsid w:val="603B759A"/>
    <w:multiLevelType w:val="multilevel"/>
    <w:tmpl w:val="324E2008"/>
    <w:lvl w:ilvl="0">
      <w:start w:val="1"/>
      <w:numFmt w:val="decimal"/>
      <w:lvlText w:val="%1."/>
      <w:lvlJc w:val="left"/>
      <w:pPr>
        <w:ind w:left="1287" w:hanging="360"/>
      </w:pPr>
    </w:lvl>
    <w:lvl w:ilvl="1">
      <w:start w:val="1"/>
      <w:numFmt w:val="decimal"/>
      <w:isLgl/>
      <w:lvlText w:val="%1.%2."/>
      <w:lvlJc w:val="left"/>
      <w:pPr>
        <w:ind w:left="1347"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3" w15:restartNumberingAfterBreak="0">
    <w:nsid w:val="638D5CD7"/>
    <w:multiLevelType w:val="multilevel"/>
    <w:tmpl w:val="2D2A0952"/>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628" w:hanging="14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4" w15:restartNumberingAfterBreak="0">
    <w:nsid w:val="66296DE0"/>
    <w:multiLevelType w:val="multilevel"/>
    <w:tmpl w:val="D506FC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67FB5155"/>
    <w:multiLevelType w:val="multilevel"/>
    <w:tmpl w:val="ADF62C06"/>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8123E7B"/>
    <w:multiLevelType w:val="hybridMultilevel"/>
    <w:tmpl w:val="866A29C8"/>
    <w:lvl w:ilvl="0" w:tplc="7E3C6114">
      <w:start w:val="1"/>
      <w:numFmt w:val="decimal"/>
      <w:lvlText w:val="%1."/>
      <w:lvlJc w:val="left"/>
      <w:pPr>
        <w:ind w:left="900" w:hanging="360"/>
      </w:pPr>
      <w:rPr>
        <w:rFonts w:hint="default"/>
      </w:rPr>
    </w:lvl>
    <w:lvl w:ilvl="1" w:tplc="181A0019">
      <w:start w:val="1"/>
      <w:numFmt w:val="lowerLetter"/>
      <w:lvlText w:val="%2."/>
      <w:lvlJc w:val="left"/>
      <w:pPr>
        <w:ind w:left="1647" w:hanging="360"/>
      </w:pPr>
    </w:lvl>
    <w:lvl w:ilvl="2" w:tplc="181A001B" w:tentative="1">
      <w:start w:val="1"/>
      <w:numFmt w:val="lowerRoman"/>
      <w:lvlText w:val="%3."/>
      <w:lvlJc w:val="right"/>
      <w:pPr>
        <w:ind w:left="2367" w:hanging="180"/>
      </w:pPr>
    </w:lvl>
    <w:lvl w:ilvl="3" w:tplc="181A000F" w:tentative="1">
      <w:start w:val="1"/>
      <w:numFmt w:val="decimal"/>
      <w:lvlText w:val="%4."/>
      <w:lvlJc w:val="left"/>
      <w:pPr>
        <w:ind w:left="3087" w:hanging="360"/>
      </w:pPr>
    </w:lvl>
    <w:lvl w:ilvl="4" w:tplc="181A0019" w:tentative="1">
      <w:start w:val="1"/>
      <w:numFmt w:val="lowerLetter"/>
      <w:lvlText w:val="%5."/>
      <w:lvlJc w:val="left"/>
      <w:pPr>
        <w:ind w:left="3807" w:hanging="360"/>
      </w:pPr>
    </w:lvl>
    <w:lvl w:ilvl="5" w:tplc="181A001B" w:tentative="1">
      <w:start w:val="1"/>
      <w:numFmt w:val="lowerRoman"/>
      <w:lvlText w:val="%6."/>
      <w:lvlJc w:val="right"/>
      <w:pPr>
        <w:ind w:left="4527" w:hanging="180"/>
      </w:pPr>
    </w:lvl>
    <w:lvl w:ilvl="6" w:tplc="181A000F" w:tentative="1">
      <w:start w:val="1"/>
      <w:numFmt w:val="decimal"/>
      <w:lvlText w:val="%7."/>
      <w:lvlJc w:val="left"/>
      <w:pPr>
        <w:ind w:left="5247" w:hanging="360"/>
      </w:pPr>
    </w:lvl>
    <w:lvl w:ilvl="7" w:tplc="181A0019" w:tentative="1">
      <w:start w:val="1"/>
      <w:numFmt w:val="lowerLetter"/>
      <w:lvlText w:val="%8."/>
      <w:lvlJc w:val="left"/>
      <w:pPr>
        <w:ind w:left="5967" w:hanging="360"/>
      </w:pPr>
    </w:lvl>
    <w:lvl w:ilvl="8" w:tplc="181A001B" w:tentative="1">
      <w:start w:val="1"/>
      <w:numFmt w:val="lowerRoman"/>
      <w:lvlText w:val="%9."/>
      <w:lvlJc w:val="right"/>
      <w:pPr>
        <w:ind w:left="6687" w:hanging="180"/>
      </w:pPr>
    </w:lvl>
  </w:abstractNum>
  <w:abstractNum w:abstractNumId="27" w15:restartNumberingAfterBreak="0">
    <w:nsid w:val="72CE083B"/>
    <w:multiLevelType w:val="hybridMultilevel"/>
    <w:tmpl w:val="F010520E"/>
    <w:lvl w:ilvl="0" w:tplc="3F0C0AF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79F75051"/>
    <w:multiLevelType w:val="multilevel"/>
    <w:tmpl w:val="EE7CB67C"/>
    <w:lvl w:ilvl="0">
      <w:start w:val="1"/>
      <w:numFmt w:val="decimal"/>
      <w:lvlText w:val="%1."/>
      <w:lvlJc w:val="left"/>
      <w:rPr>
        <w:rFonts w:hint="default"/>
        <w:b w:val="0"/>
        <w:bCs w:val="0"/>
        <w:i w:val="0"/>
        <w:iCs w:val="0"/>
        <w:smallCaps w:val="0"/>
        <w:strike w:val="0"/>
        <w:color w:val="000000"/>
        <w:spacing w:val="0"/>
        <w:w w:val="100"/>
        <w:position w:val="0"/>
        <w:sz w:val="24"/>
        <w:szCs w:val="24"/>
        <w:u w:val="none"/>
      </w:rPr>
    </w:lvl>
    <w:lvl w:ilvl="1">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2">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3">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4">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5">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6">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7">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lvl w:ilvl="8">
      <w:start w:val="1"/>
      <w:numFmt w:val="lowerLetter"/>
      <w:lvlText w:val="%1)"/>
      <w:lvlJc w:val="left"/>
      <w:rPr>
        <w:rFonts w:ascii="Calibri" w:hAnsi="Calibri" w:cs="Calibri"/>
        <w:b w:val="0"/>
        <w:bCs w:val="0"/>
        <w:i w:val="0"/>
        <w:iCs w:val="0"/>
        <w:smallCaps w:val="0"/>
        <w:strike w:val="0"/>
        <w:color w:val="000000"/>
        <w:spacing w:val="0"/>
        <w:w w:val="100"/>
        <w:position w:val="0"/>
        <w:sz w:val="22"/>
        <w:szCs w:val="22"/>
        <w:u w:val="none"/>
      </w:rPr>
    </w:lvl>
  </w:abstractNum>
  <w:abstractNum w:abstractNumId="29" w15:restartNumberingAfterBreak="0">
    <w:nsid w:val="7B4A20D7"/>
    <w:multiLevelType w:val="hybridMultilevel"/>
    <w:tmpl w:val="1CE03E6E"/>
    <w:lvl w:ilvl="0" w:tplc="181A000F">
      <w:start w:val="1"/>
      <w:numFmt w:val="decimal"/>
      <w:lvlText w:val="%1."/>
      <w:lvlJc w:val="left"/>
      <w:pPr>
        <w:ind w:left="720" w:hanging="360"/>
      </w:p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num w:numId="1">
    <w:abstractNumId w:val="14"/>
  </w:num>
  <w:num w:numId="2">
    <w:abstractNumId w:val="0"/>
  </w:num>
  <w:num w:numId="3">
    <w:abstractNumId w:val="20"/>
  </w:num>
  <w:num w:numId="4">
    <w:abstractNumId w:val="19"/>
  </w:num>
  <w:num w:numId="5">
    <w:abstractNumId w:val="18"/>
  </w:num>
  <w:num w:numId="6">
    <w:abstractNumId w:val="1"/>
  </w:num>
  <w:num w:numId="7">
    <w:abstractNumId w:val="2"/>
  </w:num>
  <w:num w:numId="8">
    <w:abstractNumId w:val="8"/>
  </w:num>
  <w:num w:numId="9">
    <w:abstractNumId w:val="21"/>
  </w:num>
  <w:num w:numId="10">
    <w:abstractNumId w:val="10"/>
  </w:num>
  <w:num w:numId="11">
    <w:abstractNumId w:val="3"/>
  </w:num>
  <w:num w:numId="12">
    <w:abstractNumId w:val="15"/>
  </w:num>
  <w:num w:numId="13">
    <w:abstractNumId w:val="23"/>
  </w:num>
  <w:num w:numId="14">
    <w:abstractNumId w:val="9"/>
  </w:num>
  <w:num w:numId="15">
    <w:abstractNumId w:val="28"/>
  </w:num>
  <w:num w:numId="16">
    <w:abstractNumId w:val="5"/>
  </w:num>
  <w:num w:numId="17">
    <w:abstractNumId w:val="4"/>
  </w:num>
  <w:num w:numId="18">
    <w:abstractNumId w:val="7"/>
  </w:num>
  <w:num w:numId="19">
    <w:abstractNumId w:val="16"/>
  </w:num>
  <w:num w:numId="20">
    <w:abstractNumId w:val="11"/>
  </w:num>
  <w:num w:numId="21">
    <w:abstractNumId w:val="27"/>
  </w:num>
  <w:num w:numId="22">
    <w:abstractNumId w:val="22"/>
  </w:num>
  <w:num w:numId="23">
    <w:abstractNumId w:val="13"/>
  </w:num>
  <w:num w:numId="24">
    <w:abstractNumId w:val="29"/>
  </w:num>
  <w:num w:numId="25">
    <w:abstractNumId w:val="17"/>
  </w:num>
  <w:num w:numId="26">
    <w:abstractNumId w:val="6"/>
  </w:num>
  <w:num w:numId="27">
    <w:abstractNumId w:val="24"/>
  </w:num>
  <w:num w:numId="28">
    <w:abstractNumId w:val="25"/>
  </w:num>
  <w:num w:numId="29">
    <w:abstractNumId w:val="26"/>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68B"/>
    <w:rsid w:val="00184062"/>
    <w:rsid w:val="001F1379"/>
    <w:rsid w:val="003D0C16"/>
    <w:rsid w:val="00456524"/>
    <w:rsid w:val="005F768B"/>
    <w:rsid w:val="006E3B88"/>
    <w:rsid w:val="00715914"/>
    <w:rsid w:val="008A63FF"/>
    <w:rsid w:val="00902AB6"/>
    <w:rsid w:val="00A07D19"/>
    <w:rsid w:val="00DA6FF6"/>
    <w:rsid w:val="00E34F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4D698"/>
  <w15:chartTrackingRefBased/>
  <w15:docId w15:val="{EFB99FF2-BF30-46A6-A59D-24DF05038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768B"/>
    <w:pPr>
      <w:keepNext/>
      <w:keepLines/>
      <w:pageBreakBefore/>
      <w:spacing w:before="480" w:after="480" w:line="360" w:lineRule="auto"/>
      <w:outlineLvl w:val="0"/>
    </w:pPr>
    <w:rPr>
      <w:rFonts w:ascii="Times New Roman" w:eastAsia="Times New Roman" w:hAnsi="Times New Roman" w:cs="Times New Roman"/>
      <w:b/>
      <w:sz w:val="32"/>
      <w:szCs w:val="32"/>
      <w:lang w:val="sr-Latn-BA"/>
    </w:rPr>
  </w:style>
  <w:style w:type="paragraph" w:styleId="Heading2">
    <w:name w:val="heading 2"/>
    <w:basedOn w:val="Normal"/>
    <w:next w:val="Normal"/>
    <w:link w:val="Heading2Char"/>
    <w:uiPriority w:val="9"/>
    <w:unhideWhenUsed/>
    <w:qFormat/>
    <w:rsid w:val="005F768B"/>
    <w:pPr>
      <w:keepNext/>
      <w:keepLines/>
      <w:spacing w:before="240" w:after="240" w:line="360" w:lineRule="auto"/>
      <w:outlineLvl w:val="1"/>
    </w:pPr>
    <w:rPr>
      <w:rFonts w:ascii="Times New Roman" w:eastAsia="Times New Roman" w:hAnsi="Times New Roman" w:cs="Times New Roman"/>
      <w:b/>
      <w:sz w:val="28"/>
      <w:szCs w:val="26"/>
      <w:lang w:val="sr-Latn-BA"/>
    </w:rPr>
  </w:style>
  <w:style w:type="paragraph" w:styleId="Heading3">
    <w:name w:val="heading 3"/>
    <w:basedOn w:val="Normal"/>
    <w:next w:val="Normal"/>
    <w:link w:val="Heading3Char"/>
    <w:uiPriority w:val="9"/>
    <w:unhideWhenUsed/>
    <w:qFormat/>
    <w:rsid w:val="005F768B"/>
    <w:pPr>
      <w:keepNext/>
      <w:keepLines/>
      <w:spacing w:before="240" w:after="240" w:line="360" w:lineRule="auto"/>
      <w:outlineLvl w:val="2"/>
    </w:pPr>
    <w:rPr>
      <w:rFonts w:ascii="Times New Roman" w:eastAsia="Times New Roman" w:hAnsi="Times New Roman" w:cs="Times New Roman"/>
      <w:b/>
      <w:i/>
      <w:sz w:val="24"/>
      <w:szCs w:val="24"/>
      <w:lang w:val="sr-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68B"/>
    <w:rPr>
      <w:rFonts w:ascii="Times New Roman" w:eastAsia="Times New Roman" w:hAnsi="Times New Roman" w:cs="Times New Roman"/>
      <w:b/>
      <w:sz w:val="32"/>
      <w:szCs w:val="32"/>
      <w:lang w:val="sr-Latn-BA"/>
    </w:rPr>
  </w:style>
  <w:style w:type="character" w:customStyle="1" w:styleId="Heading2Char">
    <w:name w:val="Heading 2 Char"/>
    <w:basedOn w:val="DefaultParagraphFont"/>
    <w:link w:val="Heading2"/>
    <w:uiPriority w:val="9"/>
    <w:rsid w:val="005F768B"/>
    <w:rPr>
      <w:rFonts w:ascii="Times New Roman" w:eastAsia="Times New Roman" w:hAnsi="Times New Roman" w:cs="Times New Roman"/>
      <w:b/>
      <w:sz w:val="28"/>
      <w:szCs w:val="26"/>
      <w:lang w:val="sr-Latn-BA"/>
    </w:rPr>
  </w:style>
  <w:style w:type="character" w:customStyle="1" w:styleId="Heading3Char">
    <w:name w:val="Heading 3 Char"/>
    <w:basedOn w:val="DefaultParagraphFont"/>
    <w:link w:val="Heading3"/>
    <w:uiPriority w:val="9"/>
    <w:rsid w:val="005F768B"/>
    <w:rPr>
      <w:rFonts w:ascii="Times New Roman" w:eastAsia="Times New Roman" w:hAnsi="Times New Roman" w:cs="Times New Roman"/>
      <w:b/>
      <w:i/>
      <w:sz w:val="24"/>
      <w:szCs w:val="24"/>
      <w:lang w:val="sr-Latn-BA"/>
    </w:rPr>
  </w:style>
  <w:style w:type="paragraph" w:styleId="ListParagraph">
    <w:name w:val="List Paragraph"/>
    <w:basedOn w:val="Normal"/>
    <w:uiPriority w:val="34"/>
    <w:qFormat/>
    <w:rsid w:val="005F768B"/>
    <w:pPr>
      <w:spacing w:after="200" w:line="276" w:lineRule="auto"/>
      <w:ind w:left="720"/>
      <w:contextualSpacing/>
    </w:pPr>
    <w:rPr>
      <w:rFonts w:ascii="Calibri" w:eastAsia="Calibri" w:hAnsi="Calibri" w:cs="Times New Roman"/>
      <w:lang w:val="sr-Latn-BA"/>
    </w:rPr>
  </w:style>
  <w:style w:type="paragraph" w:styleId="Caption">
    <w:name w:val="caption"/>
    <w:basedOn w:val="Normal"/>
    <w:next w:val="Normal"/>
    <w:uiPriority w:val="35"/>
    <w:unhideWhenUsed/>
    <w:qFormat/>
    <w:rsid w:val="005F768B"/>
    <w:pPr>
      <w:spacing w:after="200" w:line="240" w:lineRule="auto"/>
    </w:pPr>
    <w:rPr>
      <w:rFonts w:ascii="Calibri" w:eastAsia="Calibri" w:hAnsi="Calibri" w:cs="Times New Roman"/>
      <w:i/>
      <w:iCs/>
      <w:color w:val="1F497D"/>
      <w:sz w:val="18"/>
      <w:szCs w:val="18"/>
      <w:lang w:val="sr-Latn-BA"/>
    </w:rPr>
  </w:style>
  <w:style w:type="paragraph" w:styleId="FootnoteText">
    <w:name w:val="footnote text"/>
    <w:basedOn w:val="Normal"/>
    <w:link w:val="FootnoteTextChar"/>
    <w:uiPriority w:val="99"/>
    <w:semiHidden/>
    <w:unhideWhenUsed/>
    <w:rsid w:val="005F768B"/>
    <w:pPr>
      <w:spacing w:after="0" w:line="240" w:lineRule="auto"/>
    </w:pPr>
    <w:rPr>
      <w:rFonts w:ascii="Calibri" w:eastAsia="Calibri" w:hAnsi="Calibri" w:cs="Times New Roman"/>
      <w:sz w:val="20"/>
      <w:szCs w:val="20"/>
      <w:lang w:val="sr-Latn-BA"/>
    </w:rPr>
  </w:style>
  <w:style w:type="character" w:customStyle="1" w:styleId="FootnoteTextChar">
    <w:name w:val="Footnote Text Char"/>
    <w:basedOn w:val="DefaultParagraphFont"/>
    <w:link w:val="FootnoteText"/>
    <w:uiPriority w:val="99"/>
    <w:semiHidden/>
    <w:rsid w:val="005F768B"/>
    <w:rPr>
      <w:rFonts w:ascii="Calibri" w:eastAsia="Calibri" w:hAnsi="Calibri" w:cs="Times New Roman"/>
      <w:sz w:val="20"/>
      <w:szCs w:val="20"/>
      <w:lang w:val="sr-Latn-BA"/>
    </w:rPr>
  </w:style>
  <w:style w:type="character" w:styleId="FootnoteReference">
    <w:name w:val="footnote reference"/>
    <w:uiPriority w:val="99"/>
    <w:semiHidden/>
    <w:unhideWhenUsed/>
    <w:rsid w:val="005F768B"/>
    <w:rPr>
      <w:vertAlign w:val="superscript"/>
    </w:rPr>
  </w:style>
  <w:style w:type="paragraph" w:styleId="Bibliography">
    <w:name w:val="Bibliography"/>
    <w:basedOn w:val="Normal"/>
    <w:next w:val="Normal"/>
    <w:uiPriority w:val="37"/>
    <w:unhideWhenUsed/>
    <w:rsid w:val="005F768B"/>
    <w:pPr>
      <w:spacing w:after="200" w:line="276" w:lineRule="auto"/>
    </w:pPr>
    <w:rPr>
      <w:rFonts w:ascii="Calibri" w:eastAsia="Calibri" w:hAnsi="Calibri" w:cs="Times New Roman"/>
      <w:lang w:val="sr-Latn-BA"/>
    </w:rPr>
  </w:style>
  <w:style w:type="character" w:customStyle="1" w:styleId="apple-converted-space">
    <w:name w:val="apple-converted-space"/>
    <w:rsid w:val="005F768B"/>
  </w:style>
  <w:style w:type="character" w:styleId="Emphasis">
    <w:name w:val="Emphasis"/>
    <w:qFormat/>
    <w:rsid w:val="005F768B"/>
    <w:rPr>
      <w:i/>
      <w:iCs/>
    </w:rPr>
  </w:style>
  <w:style w:type="paragraph" w:styleId="TOC1">
    <w:name w:val="toc 1"/>
    <w:basedOn w:val="Normal"/>
    <w:next w:val="Normal"/>
    <w:autoRedefine/>
    <w:uiPriority w:val="39"/>
    <w:unhideWhenUsed/>
    <w:rsid w:val="005F768B"/>
    <w:pPr>
      <w:spacing w:after="100" w:line="276" w:lineRule="auto"/>
    </w:pPr>
    <w:rPr>
      <w:rFonts w:ascii="Calibri" w:eastAsia="Calibri" w:hAnsi="Calibri" w:cs="Times New Roman"/>
      <w:lang w:val="sr-Latn-BA"/>
    </w:rPr>
  </w:style>
  <w:style w:type="paragraph" w:styleId="TOC2">
    <w:name w:val="toc 2"/>
    <w:basedOn w:val="Normal"/>
    <w:next w:val="Normal"/>
    <w:autoRedefine/>
    <w:uiPriority w:val="39"/>
    <w:unhideWhenUsed/>
    <w:rsid w:val="005F768B"/>
    <w:pPr>
      <w:spacing w:after="100" w:line="276" w:lineRule="auto"/>
      <w:ind w:left="220"/>
    </w:pPr>
    <w:rPr>
      <w:rFonts w:ascii="Calibri" w:eastAsia="Calibri" w:hAnsi="Calibri" w:cs="Times New Roman"/>
      <w:lang w:val="sr-Latn-BA"/>
    </w:rPr>
  </w:style>
  <w:style w:type="paragraph" w:styleId="TOC3">
    <w:name w:val="toc 3"/>
    <w:basedOn w:val="Normal"/>
    <w:next w:val="Normal"/>
    <w:autoRedefine/>
    <w:uiPriority w:val="39"/>
    <w:unhideWhenUsed/>
    <w:rsid w:val="005F768B"/>
    <w:pPr>
      <w:spacing w:after="100" w:line="276" w:lineRule="auto"/>
      <w:ind w:left="440"/>
    </w:pPr>
    <w:rPr>
      <w:rFonts w:ascii="Calibri" w:eastAsia="Calibri" w:hAnsi="Calibri" w:cs="Times New Roman"/>
      <w:lang w:val="sr-Latn-BA"/>
    </w:rPr>
  </w:style>
  <w:style w:type="character" w:styleId="Hyperlink">
    <w:name w:val="Hyperlink"/>
    <w:uiPriority w:val="99"/>
    <w:unhideWhenUsed/>
    <w:rsid w:val="005F768B"/>
    <w:rPr>
      <w:color w:val="0000FF"/>
      <w:u w:val="single"/>
    </w:rPr>
  </w:style>
  <w:style w:type="paragraph" w:styleId="Header">
    <w:name w:val="header"/>
    <w:basedOn w:val="Normal"/>
    <w:link w:val="HeaderChar"/>
    <w:uiPriority w:val="99"/>
    <w:unhideWhenUsed/>
    <w:rsid w:val="005F768B"/>
    <w:pPr>
      <w:tabs>
        <w:tab w:val="center" w:pos="4513"/>
        <w:tab w:val="right" w:pos="9026"/>
      </w:tabs>
      <w:spacing w:after="0" w:line="240" w:lineRule="auto"/>
    </w:pPr>
    <w:rPr>
      <w:rFonts w:ascii="Calibri" w:eastAsia="Calibri" w:hAnsi="Calibri" w:cs="Times New Roman"/>
      <w:lang w:val="sr-Latn-BA"/>
    </w:rPr>
  </w:style>
  <w:style w:type="character" w:customStyle="1" w:styleId="HeaderChar">
    <w:name w:val="Header Char"/>
    <w:basedOn w:val="DefaultParagraphFont"/>
    <w:link w:val="Header"/>
    <w:uiPriority w:val="99"/>
    <w:rsid w:val="005F768B"/>
    <w:rPr>
      <w:rFonts w:ascii="Calibri" w:eastAsia="Calibri" w:hAnsi="Calibri" w:cs="Times New Roman"/>
      <w:lang w:val="sr-Latn-BA"/>
    </w:rPr>
  </w:style>
  <w:style w:type="paragraph" w:styleId="Footer">
    <w:name w:val="footer"/>
    <w:basedOn w:val="Normal"/>
    <w:link w:val="FooterChar"/>
    <w:uiPriority w:val="99"/>
    <w:unhideWhenUsed/>
    <w:rsid w:val="005F768B"/>
    <w:pPr>
      <w:tabs>
        <w:tab w:val="center" w:pos="4513"/>
        <w:tab w:val="right" w:pos="9026"/>
      </w:tabs>
      <w:spacing w:after="0" w:line="240" w:lineRule="auto"/>
    </w:pPr>
    <w:rPr>
      <w:rFonts w:ascii="Calibri" w:eastAsia="Calibri" w:hAnsi="Calibri" w:cs="Times New Roman"/>
      <w:lang w:val="sr-Latn-BA"/>
    </w:rPr>
  </w:style>
  <w:style w:type="character" w:customStyle="1" w:styleId="FooterChar">
    <w:name w:val="Footer Char"/>
    <w:basedOn w:val="DefaultParagraphFont"/>
    <w:link w:val="Footer"/>
    <w:uiPriority w:val="99"/>
    <w:rsid w:val="005F768B"/>
    <w:rPr>
      <w:rFonts w:ascii="Calibri" w:eastAsia="Calibri" w:hAnsi="Calibri" w:cs="Times New Roman"/>
      <w:lang w:val="sr-Latn-BA"/>
    </w:rPr>
  </w:style>
  <w:style w:type="paragraph" w:styleId="HTMLPreformatted">
    <w:name w:val="HTML Preformatted"/>
    <w:basedOn w:val="Normal"/>
    <w:link w:val="HTMLPreformattedChar"/>
    <w:uiPriority w:val="99"/>
    <w:semiHidden/>
    <w:unhideWhenUsed/>
    <w:rsid w:val="005F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sr-Latn-BA" w:eastAsia="sr-Latn-BA"/>
    </w:rPr>
  </w:style>
  <w:style w:type="character" w:customStyle="1" w:styleId="HTMLPreformattedChar">
    <w:name w:val="HTML Preformatted Char"/>
    <w:basedOn w:val="DefaultParagraphFont"/>
    <w:link w:val="HTMLPreformatted"/>
    <w:uiPriority w:val="99"/>
    <w:semiHidden/>
    <w:rsid w:val="005F768B"/>
    <w:rPr>
      <w:rFonts w:ascii="Courier New" w:eastAsia="Times New Roman" w:hAnsi="Courier New" w:cs="Courier New"/>
      <w:sz w:val="20"/>
      <w:szCs w:val="20"/>
      <w:lang w:val="sr-Latn-BA" w:eastAsia="sr-Latn-BA"/>
    </w:rPr>
  </w:style>
  <w:style w:type="character" w:customStyle="1" w:styleId="y2iqfc">
    <w:name w:val="y2iqfc"/>
    <w:basedOn w:val="DefaultParagraphFont"/>
    <w:rsid w:val="005F768B"/>
  </w:style>
  <w:style w:type="table" w:customStyle="1" w:styleId="Reetkatablice2">
    <w:name w:val="Rešetka tablice2"/>
    <w:basedOn w:val="TableNormal"/>
    <w:next w:val="TableGrid"/>
    <w:uiPriority w:val="39"/>
    <w:rsid w:val="005F768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
    <w:name w:val="Rešetka tablice4"/>
    <w:basedOn w:val="TableNormal"/>
    <w:next w:val="TableGrid"/>
    <w:uiPriority w:val="39"/>
    <w:rsid w:val="005F768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F768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F768B"/>
    <w:pPr>
      <w:spacing w:after="0" w:line="276" w:lineRule="auto"/>
    </w:pPr>
    <w:rPr>
      <w:rFonts w:ascii="Calibri" w:eastAsia="Calibri" w:hAnsi="Calibri" w:cs="Times New Roman"/>
      <w:lang w:val="sr-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cforum.biomedcentral.co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DEC2-4C8C-8FB3-B7E0F4293AAE}"/>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DEC2-4C8C-8FB3-B7E0F4293AA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DEC2-4C8C-8FB3-B7E0F4293AA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DEC2-4C8C-8FB3-B7E0F4293AAE}"/>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Sheet1!$D$20:$E$20</c:f>
              <c:strCache>
                <c:ptCount val="2"/>
                <c:pt idx="0">
                  <c:v>Gram pozitivne bakterije</c:v>
                </c:pt>
                <c:pt idx="1">
                  <c:v>Gram negativne bakterije</c:v>
                </c:pt>
              </c:strCache>
            </c:strRef>
          </c:cat>
          <c:val>
            <c:numRef>
              <c:f>Sheet1!$D$21:$E$21</c:f>
              <c:numCache>
                <c:formatCode>General</c:formatCode>
                <c:ptCount val="2"/>
                <c:pt idx="0">
                  <c:v>73</c:v>
                </c:pt>
                <c:pt idx="1">
                  <c:v>35</c:v>
                </c:pt>
              </c:numCache>
            </c:numRef>
          </c:val>
          <c:extLst>
            <c:ext xmlns:c16="http://schemas.microsoft.com/office/drawing/2014/chart" uri="{C3380CC4-5D6E-409C-BE32-E72D297353CC}">
              <c16:uniqueId val="{00000004-DEC2-4C8C-8FB3-B7E0F4293AAE}"/>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8</TotalTime>
  <Pages>16</Pages>
  <Words>3366</Words>
  <Characters>19190</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 Hajder</dc:creator>
  <cp:keywords/>
  <dc:description/>
  <cp:lastModifiedBy>Lenovo</cp:lastModifiedBy>
  <cp:revision>6</cp:revision>
  <dcterms:created xsi:type="dcterms:W3CDTF">2021-12-31T14:49:00Z</dcterms:created>
  <dcterms:modified xsi:type="dcterms:W3CDTF">2021-12-31T15:03:00Z</dcterms:modified>
</cp:coreProperties>
</file>