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72D68" w14:textId="77777777" w:rsidR="008E00E9" w:rsidRDefault="008E00E9">
      <w:pPr>
        <w:spacing w:line="480" w:lineRule="auto"/>
        <w:jc w:val="center"/>
        <w:rPr>
          <w:rFonts w:ascii="Times New Roman" w:hAnsi="Times New Roman"/>
        </w:rPr>
      </w:pPr>
    </w:p>
    <w:p w14:paraId="1F35B4C4" w14:textId="77777777" w:rsidR="008E00E9" w:rsidRDefault="008E00E9">
      <w:pPr>
        <w:spacing w:line="480" w:lineRule="auto"/>
        <w:jc w:val="center"/>
        <w:rPr>
          <w:rFonts w:ascii="Times New Roman" w:hAnsi="Times New Roman"/>
        </w:rPr>
      </w:pPr>
    </w:p>
    <w:p w14:paraId="6A648FB4" w14:textId="77777777" w:rsidR="008E00E9" w:rsidRDefault="008E00E9">
      <w:pPr>
        <w:spacing w:line="480" w:lineRule="auto"/>
        <w:jc w:val="center"/>
        <w:rPr>
          <w:rFonts w:ascii="Times New Roman" w:hAnsi="Times New Roman"/>
        </w:rPr>
      </w:pPr>
    </w:p>
    <w:p w14:paraId="2EE9D7B0" w14:textId="77777777" w:rsidR="008E00E9" w:rsidRDefault="008E00E9">
      <w:pPr>
        <w:spacing w:line="480" w:lineRule="auto"/>
        <w:jc w:val="center"/>
        <w:rPr>
          <w:rFonts w:ascii="Times New Roman" w:hAnsi="Times New Roman"/>
        </w:rPr>
      </w:pPr>
    </w:p>
    <w:p w14:paraId="5C0458F9" w14:textId="77777777" w:rsidR="008E00E9" w:rsidRDefault="00D06132">
      <w:pPr>
        <w:spacing w:line="480" w:lineRule="auto"/>
        <w:jc w:val="center"/>
        <w:rPr>
          <w:rFonts w:ascii="Times New Roman" w:hAnsi="Times New Roman" w:cs="Times New Roman"/>
          <w:b/>
          <w:sz w:val="28"/>
          <w:szCs w:val="28"/>
        </w:rPr>
      </w:pPr>
      <w:r>
        <w:rPr>
          <w:rFonts w:ascii="Times New Roman" w:hAnsi="Times New Roman" w:cs="Times New Roman"/>
          <w:b/>
          <w:sz w:val="28"/>
          <w:szCs w:val="28"/>
        </w:rPr>
        <w:t>Analiza racionalne i bezbedne upotrebe antibiotika u bolničkoj praksi –Studija slučaja Kantonalna bolnica „Dr. Irfan Ljubijankić“ Bihać</w:t>
      </w:r>
    </w:p>
    <w:p w14:paraId="2DD620B9" w14:textId="4C5053AC" w:rsidR="008E00E9" w:rsidRDefault="00D06132">
      <w:pPr>
        <w:spacing w:line="480" w:lineRule="auto"/>
        <w:jc w:val="center"/>
        <w:rPr>
          <w:rFonts w:ascii="Times New Roman" w:hAnsi="Times New Roman" w:cs="Times New Roman"/>
          <w:b/>
          <w:sz w:val="28"/>
          <w:szCs w:val="28"/>
        </w:rPr>
      </w:pPr>
      <w:r>
        <w:rPr>
          <w:rFonts w:ascii="Times New Roman" w:hAnsi="Times New Roman" w:cs="Times New Roman"/>
          <w:b/>
          <w:sz w:val="28"/>
          <w:szCs w:val="28"/>
        </w:rPr>
        <w:t>Edhem</w:t>
      </w:r>
      <w:r w:rsidR="005F02D3">
        <w:rPr>
          <w:rFonts w:ascii="Times New Roman" w:hAnsi="Times New Roman" w:cs="Times New Roman"/>
          <w:b/>
          <w:sz w:val="28"/>
          <w:szCs w:val="28"/>
        </w:rPr>
        <w:t xml:space="preserve"> </w:t>
      </w:r>
      <w:r>
        <w:rPr>
          <w:rFonts w:ascii="Times New Roman" w:hAnsi="Times New Roman" w:cs="Times New Roman"/>
          <w:b/>
          <w:sz w:val="28"/>
          <w:szCs w:val="28"/>
        </w:rPr>
        <w:t>Midžić</w:t>
      </w:r>
    </w:p>
    <w:p w14:paraId="0AB23200" w14:textId="77777777" w:rsidR="008E00E9" w:rsidRDefault="00D0613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Napomena : Rad predstavlja dio specijalističkog rada pod nazivom “Analiza racionalne I bezbedne upotrebe antibiotika u bolničkoj praksi – studija slučaja Kantonalna bolnica “Dr. Irfan Ljubijankić” Bihać odbranjenog na katedri za socijalnu farmaciju I farmaceutsko zakonodavstvo Univerziteta u Beogradu – Farmaceutskog fakulteta 2019.godine</w:t>
      </w:r>
    </w:p>
    <w:p w14:paraId="7134E6D7" w14:textId="77777777" w:rsidR="008E00E9" w:rsidRDefault="008E00E9">
      <w:pPr>
        <w:spacing w:line="480" w:lineRule="auto"/>
        <w:rPr>
          <w:rFonts w:ascii="Times New Roman" w:hAnsi="Times New Roman" w:cs="Times New Roman"/>
          <w:b/>
          <w:sz w:val="24"/>
          <w:szCs w:val="24"/>
        </w:rPr>
      </w:pPr>
    </w:p>
    <w:p w14:paraId="1588B2D4" w14:textId="77777777" w:rsidR="008E00E9" w:rsidRDefault="008E00E9">
      <w:pPr>
        <w:spacing w:line="480" w:lineRule="auto"/>
        <w:rPr>
          <w:rFonts w:ascii="Times New Roman" w:hAnsi="Times New Roman" w:cs="Times New Roman"/>
          <w:b/>
          <w:sz w:val="24"/>
          <w:szCs w:val="24"/>
        </w:rPr>
      </w:pPr>
    </w:p>
    <w:p w14:paraId="38413812" w14:textId="77777777" w:rsidR="008E00E9" w:rsidRDefault="008E00E9">
      <w:pPr>
        <w:spacing w:line="480" w:lineRule="auto"/>
        <w:rPr>
          <w:rFonts w:ascii="Times New Roman" w:hAnsi="Times New Roman" w:cs="Times New Roman"/>
          <w:b/>
          <w:sz w:val="24"/>
          <w:szCs w:val="24"/>
        </w:rPr>
      </w:pPr>
    </w:p>
    <w:p w14:paraId="3910E833" w14:textId="3D6C5028" w:rsidR="008E00E9" w:rsidRDefault="00D06132">
      <w:pPr>
        <w:spacing w:after="0" w:line="480" w:lineRule="auto"/>
        <w:jc w:val="right"/>
        <w:rPr>
          <w:rFonts w:ascii="Times New Roman" w:hAnsi="Times New Roman" w:cs="Times New Roman"/>
          <w:b/>
          <w:sz w:val="24"/>
          <w:szCs w:val="24"/>
        </w:rPr>
      </w:pPr>
      <w:r>
        <w:rPr>
          <w:rFonts w:ascii="Times New Roman" w:hAnsi="Times New Roman" w:cs="Times New Roman"/>
          <w:b/>
          <w:sz w:val="24"/>
          <w:szCs w:val="24"/>
        </w:rPr>
        <w:t>Edhem Midžić</w:t>
      </w:r>
      <w:r>
        <w:rPr>
          <w:rFonts w:ascii="Times New Roman" w:hAnsi="Times New Roman" w:cs="Times New Roman"/>
          <w:b/>
          <w:sz w:val="24"/>
          <w:szCs w:val="24"/>
        </w:rPr>
        <w:br/>
        <w:t>Ozimice 2 B6</w:t>
      </w:r>
      <w:r w:rsidR="00021A22">
        <w:rPr>
          <w:rFonts w:ascii="Times New Roman" w:hAnsi="Times New Roman" w:cs="Times New Roman"/>
          <w:b/>
          <w:sz w:val="24"/>
          <w:szCs w:val="24"/>
        </w:rPr>
        <w:t>,</w:t>
      </w:r>
      <w:r>
        <w:rPr>
          <w:rFonts w:ascii="Times New Roman" w:hAnsi="Times New Roman" w:cs="Times New Roman"/>
          <w:b/>
          <w:sz w:val="24"/>
          <w:szCs w:val="24"/>
        </w:rPr>
        <w:t>D2, 77000 Bihać</w:t>
      </w:r>
    </w:p>
    <w:p w14:paraId="58A8C850" w14:textId="77777777" w:rsidR="008E00E9" w:rsidRDefault="00D06132">
      <w:pPr>
        <w:spacing w:after="0" w:line="480" w:lineRule="auto"/>
        <w:jc w:val="right"/>
      </w:pPr>
      <w:r>
        <w:rPr>
          <w:rFonts w:ascii="Times New Roman" w:hAnsi="Times New Roman" w:cs="Times New Roman"/>
          <w:b/>
          <w:sz w:val="24"/>
          <w:szCs w:val="24"/>
        </w:rPr>
        <w:t xml:space="preserve">mail: </w:t>
      </w:r>
      <w:hyperlink r:id="rId8">
        <w:r>
          <w:rPr>
            <w:rStyle w:val="Internetskapoveznica"/>
            <w:rFonts w:ascii="Times New Roman" w:hAnsi="Times New Roman" w:cs="Times New Roman"/>
            <w:b/>
            <w:sz w:val="24"/>
            <w:szCs w:val="24"/>
          </w:rPr>
          <w:t>edhem.midzic11@gmail.com</w:t>
        </w:r>
      </w:hyperlink>
    </w:p>
    <w:p w14:paraId="5E199275" w14:textId="77777777" w:rsidR="008E00E9" w:rsidRDefault="008E00E9">
      <w:pPr>
        <w:spacing w:after="0" w:line="480" w:lineRule="auto"/>
        <w:jc w:val="right"/>
        <w:rPr>
          <w:rFonts w:ascii="Times New Roman" w:hAnsi="Times New Roman" w:cs="Times New Roman"/>
          <w:b/>
          <w:sz w:val="24"/>
          <w:szCs w:val="24"/>
        </w:rPr>
      </w:pPr>
    </w:p>
    <w:p w14:paraId="161473D7" w14:textId="7F4BE6A5" w:rsidR="008E00E9" w:rsidRDefault="00D06132">
      <w:pPr>
        <w:spacing w:line="480" w:lineRule="auto"/>
        <w:jc w:val="center"/>
        <w:sectPr w:rsidR="008E00E9" w:rsidSect="00DE0CE8">
          <w:footerReference w:type="default" r:id="rId9"/>
          <w:pgSz w:w="12240" w:h="15840"/>
          <w:pgMar w:top="1440" w:right="1134" w:bottom="1440" w:left="2268" w:header="0" w:footer="720" w:gutter="0"/>
          <w:cols w:space="720"/>
          <w:formProt w:val="0"/>
          <w:docGrid w:linePitch="360" w:charSpace="-2049"/>
        </w:sectPr>
      </w:pPr>
      <w:r>
        <w:rPr>
          <w:rFonts w:ascii="Times New Roman" w:hAnsi="Times New Roman" w:cs="Times New Roman"/>
          <w:b/>
          <w:sz w:val="28"/>
          <w:szCs w:val="28"/>
        </w:rPr>
        <w:t>Banja Luka, februar 2022.</w:t>
      </w:r>
      <w:r w:rsidR="00021A22">
        <w:rPr>
          <w:rFonts w:ascii="Times New Roman" w:hAnsi="Times New Roman" w:cs="Times New Roman"/>
          <w:b/>
          <w:sz w:val="28"/>
          <w:szCs w:val="28"/>
        </w:rPr>
        <w:t xml:space="preserve"> </w:t>
      </w:r>
      <w:r>
        <w:rPr>
          <w:rFonts w:ascii="Times New Roman" w:hAnsi="Times New Roman" w:cs="Times New Roman"/>
          <w:b/>
          <w:sz w:val="28"/>
          <w:szCs w:val="28"/>
        </w:rPr>
        <w:t>godine</w:t>
      </w:r>
    </w:p>
    <w:p w14:paraId="29ACB0B6" w14:textId="77777777" w:rsidR="008E00E9" w:rsidRDefault="00D06132">
      <w:pPr>
        <w:spacing w:line="480" w:lineRule="auto"/>
        <w:jc w:val="both"/>
        <w:rPr>
          <w:rFonts w:ascii="Times New Roman" w:hAnsi="Times New Roman"/>
        </w:rPr>
      </w:pPr>
      <w:r>
        <w:rPr>
          <w:rFonts w:ascii="Times New Roman" w:hAnsi="Times New Roman" w:cs="Times New Roman"/>
          <w:b/>
          <w:sz w:val="28"/>
          <w:szCs w:val="28"/>
        </w:rPr>
        <w:lastRenderedPageBreak/>
        <w:t>SAŽETAK</w:t>
      </w:r>
    </w:p>
    <w:p w14:paraId="6103F308" w14:textId="557D29F2" w:rsidR="008E00E9" w:rsidRDefault="00D06132">
      <w:pPr>
        <w:spacing w:line="480" w:lineRule="auto"/>
        <w:jc w:val="both"/>
        <w:rPr>
          <w:rFonts w:ascii="Times New Roman" w:hAnsi="Times New Roman"/>
        </w:rPr>
      </w:pPr>
      <w:r>
        <w:rPr>
          <w:rFonts w:ascii="Times New Roman" w:hAnsi="Times New Roman" w:cs="Times New Roman"/>
          <w:b/>
          <w:sz w:val="24"/>
          <w:szCs w:val="24"/>
        </w:rPr>
        <w:t>Uvod / cilj</w:t>
      </w:r>
      <w:r w:rsidR="00021A22">
        <w:rPr>
          <w:rFonts w:ascii="Times New Roman" w:hAnsi="Times New Roman" w:cs="Times New Roman"/>
          <w:b/>
          <w:sz w:val="24"/>
          <w:szCs w:val="24"/>
        </w:rPr>
        <w:t xml:space="preserve"> </w:t>
      </w:r>
      <w:r>
        <w:rPr>
          <w:rFonts w:ascii="Times New Roman" w:hAnsi="Times New Roman" w:cs="Times New Roman"/>
        </w:rPr>
        <w:t xml:space="preserve">: </w:t>
      </w:r>
      <w:r>
        <w:rPr>
          <w:rFonts w:ascii="Times New Roman" w:hAnsi="Times New Roman" w:cs="Times New Roman"/>
          <w:sz w:val="24"/>
          <w:szCs w:val="24"/>
        </w:rPr>
        <w:t xml:space="preserve">Bakterijska rezistencija je indikativan problem globalnog zdravstva. </w:t>
      </w:r>
      <w:r>
        <w:rPr>
          <w:rFonts w:ascii="Times New Roman" w:hAnsi="Times New Roman" w:cs="Times New Roman"/>
          <w:bCs/>
          <w:sz w:val="24"/>
          <w:szCs w:val="24"/>
        </w:rPr>
        <w:t xml:space="preserve">Cilj ovog rada </w:t>
      </w:r>
      <w:r>
        <w:rPr>
          <w:rFonts w:ascii="Times New Roman" w:hAnsi="Times New Roman" w:cs="Times New Roman"/>
          <w:sz w:val="24"/>
          <w:szCs w:val="24"/>
        </w:rPr>
        <w:t>je analizirati potrošnju rezervnih antibiotika (uz dodatak cefazolina) sa liste rezervnih antibiotika Kantonalne bolnice „Dr. Irfan Ljubijankić“ Bihać, u samoj ustanovi. Zatim analizirati mikrobiološki i higijenskoepidemiološki profil</w:t>
      </w:r>
      <w:r w:rsidR="00DE0CE8">
        <w:rPr>
          <w:rFonts w:ascii="Times New Roman" w:hAnsi="Times New Roman" w:cs="Times New Roman"/>
          <w:sz w:val="24"/>
          <w:szCs w:val="24"/>
        </w:rPr>
        <w:t>. N</w:t>
      </w:r>
      <w:r>
        <w:rPr>
          <w:rFonts w:ascii="Times New Roman" w:hAnsi="Times New Roman" w:cs="Times New Roman"/>
          <w:sz w:val="24"/>
          <w:szCs w:val="24"/>
        </w:rPr>
        <w:t>a kraju analizirati indikatore bezbjednosti pacijenata u kontekstu upravljanja antibiotskom rezistencijom.</w:t>
      </w:r>
    </w:p>
    <w:p w14:paraId="6F8F6D98" w14:textId="24899F0E" w:rsidR="008E00E9" w:rsidRDefault="00D06132">
      <w:pPr>
        <w:spacing w:line="480" w:lineRule="auto"/>
        <w:jc w:val="both"/>
        <w:rPr>
          <w:rFonts w:ascii="Times New Roman" w:hAnsi="Times New Roman"/>
        </w:rPr>
      </w:pPr>
      <w:r>
        <w:rPr>
          <w:rFonts w:ascii="Times New Roman" w:hAnsi="Times New Roman" w:cs="Times New Roman"/>
          <w:b/>
          <w:sz w:val="24"/>
          <w:szCs w:val="24"/>
        </w:rPr>
        <w:t>Metodologija</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Pr>
          <w:rFonts w:ascii="Times New Roman" w:hAnsi="Times New Roman" w:cs="Times New Roman"/>
          <w:sz w:val="24"/>
          <w:szCs w:val="24"/>
        </w:rPr>
        <w:t xml:space="preserve"> U periodu od 01.01.2015. do 31.12.2017. godine sprovedena je retrospektivna studija. Podaci o potrošnji antibiotika obrađeni su prema ATC/DDD metodologiji I prikazani su kao DDD/100 postelja/dan. Analiza potrošnje najčešće korištenih rezervnih antibiotika (uz dodatak cefazolina) rađena je na 5. nivou ATC klasifikacije. Korištena je verzija ATC/DDD index 2018. Analiza  podataka obavljena je uz pomoć AMC Tool verzija 1.5.0. objavljene 20. aprila 2015.godine. U analizi podataka korištene su metode deskriptivne statistike. Deskriptivna statistika je urađena u Microsoft Excel-u.</w:t>
      </w:r>
    </w:p>
    <w:p w14:paraId="6C6C4B70" w14:textId="2C287D57" w:rsidR="008E00E9" w:rsidRDefault="00D06132">
      <w:pPr>
        <w:spacing w:line="480" w:lineRule="auto"/>
        <w:jc w:val="both"/>
      </w:pPr>
      <w:r>
        <w:rPr>
          <w:rFonts w:ascii="Times New Roman" w:hAnsi="Times New Roman" w:cs="Times New Roman"/>
          <w:b/>
          <w:sz w:val="24"/>
          <w:szCs w:val="24"/>
        </w:rPr>
        <w:t>Rezultati</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sidR="00021A22">
        <w:rPr>
          <w:rFonts w:ascii="Times New Roman" w:hAnsi="Times New Roman" w:cs="Times New Roman"/>
          <w:b/>
          <w:sz w:val="24"/>
          <w:szCs w:val="24"/>
        </w:rPr>
        <w:t xml:space="preserve"> </w:t>
      </w:r>
      <w:r>
        <w:rPr>
          <w:rFonts w:ascii="Times New Roman" w:hAnsi="Times New Roman" w:cs="Times New Roman"/>
          <w:sz w:val="24"/>
          <w:szCs w:val="24"/>
        </w:rPr>
        <w:t>Trogodišnjim praćenjem potrošnje posmatranih antibiotika, primjećujemo povećanu potrošnju cefalosporinskih antibiotika. Prema broju uzoraka uzorkovanih u ustanovi i na odjeljenjima kirurških grana medicine, primjećen je izuzetno visok postotak izolata. Nakon niza poduzetih mjera unutar same ustanove taj je broj značajno smanjen</w:t>
      </w:r>
      <w:r>
        <w:rPr>
          <w:rFonts w:ascii="Times New Roman" w:hAnsi="Times New Roman" w:cs="Times New Roman"/>
          <w:i/>
          <w:sz w:val="24"/>
          <w:szCs w:val="24"/>
        </w:rPr>
        <w:t xml:space="preserve">. </w:t>
      </w:r>
      <w:r>
        <w:rPr>
          <w:rFonts w:ascii="Times New Roman" w:hAnsi="Times New Roman" w:cs="Times New Roman"/>
          <w:sz w:val="24"/>
          <w:szCs w:val="24"/>
        </w:rPr>
        <w:t>Stopa intrahospitalnih infekcija po odjeljenjima kirurških grana medicine je izuzetno niska i varira od 0,27 - 1,1.</w:t>
      </w:r>
    </w:p>
    <w:p w14:paraId="11970532" w14:textId="6211B53B" w:rsidR="008E00E9" w:rsidRDefault="00D06132">
      <w:pPr>
        <w:spacing w:line="480" w:lineRule="auto"/>
        <w:jc w:val="both"/>
        <w:rPr>
          <w:rFonts w:ascii="Times New Roman" w:hAnsi="Times New Roman"/>
        </w:rPr>
      </w:pPr>
      <w:r>
        <w:rPr>
          <w:rFonts w:ascii="Times New Roman" w:hAnsi="Times New Roman" w:cs="Times New Roman"/>
          <w:b/>
          <w:sz w:val="24"/>
          <w:szCs w:val="24"/>
        </w:rPr>
        <w:t>Zaključak</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sidR="00021A22">
        <w:rPr>
          <w:rFonts w:ascii="Times New Roman" w:hAnsi="Times New Roman" w:cs="Times New Roman"/>
          <w:b/>
          <w:sz w:val="24"/>
          <w:szCs w:val="24"/>
        </w:rPr>
        <w:t xml:space="preserve"> </w:t>
      </w:r>
      <w:r>
        <w:rPr>
          <w:rFonts w:ascii="Times New Roman" w:hAnsi="Times New Roman" w:cs="Times New Roman"/>
          <w:sz w:val="24"/>
          <w:szCs w:val="24"/>
        </w:rPr>
        <w:t xml:space="preserve">Posmatrajući potrošnju antibiotika u odnosu na druge centre u  regionu, bilježimo značajno manju potrošnju u odnosu na njih. Analiza higijenskoepidemiološkog i </w:t>
      </w:r>
      <w:r>
        <w:rPr>
          <w:rFonts w:ascii="Times New Roman" w:hAnsi="Times New Roman" w:cs="Times New Roman"/>
          <w:sz w:val="24"/>
          <w:szCs w:val="24"/>
        </w:rPr>
        <w:lastRenderedPageBreak/>
        <w:t>mikrobiološkog profila je također pokazala zadovoljavajuće rezultate. U konačnici veoma mala stopa bolničkih infekcija je potvrda da su sve poduzete mjere imale svoj puni efekat.</w:t>
      </w:r>
    </w:p>
    <w:p w14:paraId="69AF0C3A" w14:textId="77777777" w:rsidR="008E00E9" w:rsidRDefault="00D06132">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Ključne riječi: </w:t>
      </w:r>
      <w:r>
        <w:rPr>
          <w:rFonts w:ascii="Times New Roman" w:hAnsi="Times New Roman" w:cs="Times New Roman"/>
          <w:sz w:val="24"/>
          <w:szCs w:val="24"/>
        </w:rPr>
        <w:t>antibiotik, bolnica, bezbjednost pacijenata, bolničke infekcije, antibiotska rezistencija</w:t>
      </w:r>
    </w:p>
    <w:p w14:paraId="7B750EB1" w14:textId="77777777" w:rsidR="008E00E9" w:rsidRDefault="00D06132">
      <w:pPr>
        <w:pStyle w:val="Stilnaslova1"/>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rPr>
        <w:t>UVOD</w:t>
      </w:r>
    </w:p>
    <w:p w14:paraId="54C1A5A5" w14:textId="77777777" w:rsidR="008E00E9" w:rsidRDefault="00D06132">
      <w:pPr>
        <w:spacing w:line="480" w:lineRule="auto"/>
        <w:jc w:val="both"/>
      </w:pPr>
      <w:r>
        <w:rPr>
          <w:rFonts w:ascii="Times New Roman" w:hAnsi="Times New Roman"/>
          <w:sz w:val="24"/>
          <w:szCs w:val="24"/>
        </w:rPr>
        <w:t xml:space="preserve">Bakterijska rezistencija na antimikrobne lijekove je indikativan problem globalnog zdravstva. </w:t>
      </w:r>
      <w:r>
        <w:rPr>
          <w:rFonts w:ascii="Times New Roman" w:hAnsi="Times New Roman" w:cs="Times New Roman"/>
          <w:sz w:val="24"/>
          <w:szCs w:val="24"/>
          <w:lang w:val="hr-HR"/>
        </w:rPr>
        <w:t xml:space="preserve">Bakterije  su od početka svog postojanja razvijale rezistenciju na antibiotike. Što je primjena antibakterijskih lijekova obimnija, stvaranje rezistentnih sojeva mikroorganizama sve je brže (1). </w:t>
      </w:r>
    </w:p>
    <w:p w14:paraId="23FC82D6" w14:textId="285D47E0" w:rsidR="008E00E9" w:rsidRDefault="00D06132">
      <w:pPr>
        <w:pStyle w:val="ListParagraph"/>
        <w:spacing w:line="480" w:lineRule="auto"/>
        <w:ind w:left="0"/>
        <w:jc w:val="both"/>
        <w:rPr>
          <w:rFonts w:ascii="Times New Roman" w:hAnsi="Times New Roman" w:cs="Times New Roman"/>
          <w:sz w:val="24"/>
          <w:szCs w:val="24"/>
          <w:lang w:val="hr-HR"/>
        </w:rPr>
      </w:pPr>
      <w:r>
        <w:rPr>
          <w:rFonts w:ascii="Times New Roman" w:hAnsi="Times New Roman" w:cs="Times New Roman"/>
          <w:sz w:val="24"/>
          <w:szCs w:val="24"/>
          <w:lang w:val="hr-HR"/>
        </w:rPr>
        <w:t>Kontrolisana, racionalna primjena antibakterijskog lijeka za sada je najuspješniji način borbe protiv razvoja rezistencije uz istovremeno optimalno liječenje pacijenta (1).</w:t>
      </w:r>
      <w:r w:rsidR="005F02D3">
        <w:rPr>
          <w:rFonts w:ascii="Times New Roman" w:hAnsi="Times New Roman" w:cs="Times New Roman"/>
          <w:sz w:val="24"/>
          <w:szCs w:val="24"/>
          <w:lang w:val="hr-HR"/>
        </w:rPr>
        <w:t xml:space="preserve"> Dobra efikasnost, veća aktivnost od postojećih antibiotika i optimalan bezbjedonosni profil su kriterij za novi antibiotik</w:t>
      </w:r>
      <w:r w:rsidR="00021A22">
        <w:rPr>
          <w:rFonts w:ascii="Times New Roman" w:hAnsi="Times New Roman" w:cs="Times New Roman"/>
          <w:sz w:val="24"/>
          <w:szCs w:val="24"/>
          <w:lang w:val="hr-HR"/>
        </w:rPr>
        <w:t xml:space="preserve"> </w:t>
      </w:r>
      <w:r w:rsidR="002D5E2C">
        <w:rPr>
          <w:rFonts w:ascii="Times New Roman" w:hAnsi="Times New Roman" w:cs="Times New Roman"/>
          <w:sz w:val="24"/>
          <w:szCs w:val="24"/>
          <w:lang w:val="hr-HR"/>
        </w:rPr>
        <w:t>(2)</w:t>
      </w:r>
      <w:r w:rsidR="005F02D3">
        <w:rPr>
          <w:rFonts w:ascii="Times New Roman" w:hAnsi="Times New Roman" w:cs="Times New Roman"/>
          <w:sz w:val="24"/>
          <w:szCs w:val="24"/>
          <w:lang w:val="hr-HR"/>
        </w:rPr>
        <w:t>.</w:t>
      </w:r>
    </w:p>
    <w:p w14:paraId="293401B1" w14:textId="1EEDCA99" w:rsidR="008E00E9" w:rsidRDefault="00D06132">
      <w:pPr>
        <w:spacing w:line="480" w:lineRule="auto"/>
        <w:jc w:val="both"/>
      </w:pPr>
      <w:r>
        <w:rPr>
          <w:rFonts w:ascii="Times New Roman" w:hAnsi="Times New Roman" w:cs="Times New Roman"/>
          <w:b/>
          <w:sz w:val="24"/>
          <w:szCs w:val="24"/>
          <w:lang w:val="hr-HR"/>
        </w:rPr>
        <w:t xml:space="preserve">Bezbjedna upotreba lijekova </w:t>
      </w:r>
      <w:r>
        <w:rPr>
          <w:rFonts w:ascii="Times New Roman" w:hAnsi="Times New Roman" w:cs="Times New Roman"/>
          <w:sz w:val="24"/>
          <w:szCs w:val="24"/>
          <w:lang w:val="hr-HR"/>
        </w:rPr>
        <w:t>se definiše kao pravo pacijenta da bude nepovrijeđen za vrijeme terapije određenim lijekom, kao i aktivnosti kojima se izbjegavaju, preveniraju ili koriguju neželjeni događaji nastali usljed upotrebe lijekova (</w:t>
      </w:r>
      <w:r w:rsidR="00425507">
        <w:rPr>
          <w:rFonts w:ascii="Times New Roman" w:hAnsi="Times New Roman" w:cs="Times New Roman"/>
          <w:sz w:val="24"/>
          <w:szCs w:val="24"/>
          <w:lang w:val="hr-HR"/>
        </w:rPr>
        <w:t>3</w:t>
      </w:r>
      <w:r>
        <w:rPr>
          <w:rFonts w:ascii="Times New Roman" w:hAnsi="Times New Roman" w:cs="Times New Roman"/>
          <w:sz w:val="24"/>
          <w:szCs w:val="24"/>
          <w:lang w:val="hr-HR"/>
        </w:rPr>
        <w:t>).</w:t>
      </w:r>
    </w:p>
    <w:p w14:paraId="4B31B4BF" w14:textId="2A2ABB51"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Prijetnja širenja organizama otpornih na antibiotike još jednom nam govori da su zdravlje ljudi i zdravlje Zemlje usko povezani (</w:t>
      </w:r>
      <w:r w:rsidR="00953447">
        <w:rPr>
          <w:rFonts w:ascii="Times New Roman" w:hAnsi="Times New Roman" w:cs="Times New Roman"/>
          <w:sz w:val="24"/>
          <w:szCs w:val="24"/>
          <w:lang w:val="hr-HR"/>
        </w:rPr>
        <w:t>4</w:t>
      </w:r>
      <w:r>
        <w:rPr>
          <w:rFonts w:ascii="Times New Roman" w:hAnsi="Times New Roman" w:cs="Times New Roman"/>
          <w:sz w:val="24"/>
          <w:szCs w:val="24"/>
          <w:lang w:val="hr-HR"/>
        </w:rPr>
        <w:t>).</w:t>
      </w:r>
    </w:p>
    <w:p w14:paraId="4460C9CC" w14:textId="502A79DD" w:rsidR="001770F1" w:rsidRDefault="001770F1">
      <w:pPr>
        <w:spacing w:line="480" w:lineRule="auto"/>
        <w:jc w:val="both"/>
        <w:rPr>
          <w:rFonts w:ascii="Times New Roman" w:hAnsi="Times New Roman" w:cs="Times New Roman"/>
          <w:sz w:val="24"/>
          <w:szCs w:val="24"/>
          <w:lang w:val="hr-HR"/>
        </w:rPr>
      </w:pPr>
    </w:p>
    <w:p w14:paraId="0891FC90" w14:textId="77777777" w:rsidR="001770F1" w:rsidRDefault="001770F1">
      <w:pPr>
        <w:spacing w:line="480" w:lineRule="auto"/>
        <w:jc w:val="both"/>
      </w:pPr>
    </w:p>
    <w:p w14:paraId="4CEFEE3C" w14:textId="77777777" w:rsidR="008E00E9" w:rsidRDefault="00D06132">
      <w:pPr>
        <w:spacing w:line="480" w:lineRule="auto"/>
        <w:jc w:val="both"/>
        <w:rPr>
          <w:rFonts w:ascii="Times New Roman" w:hAnsi="Times New Roman"/>
        </w:rPr>
      </w:pPr>
      <w:r>
        <w:rPr>
          <w:rFonts w:ascii="Times New Roman" w:hAnsi="Times New Roman" w:cs="Times New Roman"/>
          <w:sz w:val="24"/>
          <w:szCs w:val="24"/>
          <w:lang w:val="hr-HR"/>
        </w:rPr>
        <w:lastRenderedPageBreak/>
        <w:t>Ciljevi ovog rada su:</w:t>
      </w:r>
    </w:p>
    <w:p w14:paraId="4D32F698" w14:textId="7527DF1A" w:rsidR="008E00E9" w:rsidRPr="00425507" w:rsidRDefault="00D06132" w:rsidP="00425507">
      <w:pPr>
        <w:pStyle w:val="ListParagraph"/>
        <w:numPr>
          <w:ilvl w:val="0"/>
          <w:numId w:val="3"/>
        </w:numPr>
        <w:spacing w:line="480" w:lineRule="auto"/>
        <w:jc w:val="both"/>
        <w:rPr>
          <w:rFonts w:ascii="Times New Roman" w:hAnsi="Times New Roman" w:cs="Times New Roman"/>
          <w:sz w:val="24"/>
          <w:szCs w:val="24"/>
          <w:lang w:val="hr-HR"/>
        </w:rPr>
      </w:pPr>
      <w:r w:rsidRPr="00425507">
        <w:rPr>
          <w:rFonts w:ascii="Times New Roman" w:hAnsi="Times New Roman" w:cs="Times New Roman"/>
          <w:sz w:val="24"/>
          <w:szCs w:val="24"/>
          <w:lang w:val="hr-HR"/>
        </w:rPr>
        <w:t>analiza potrošnje rezervnih antibiotika (uz dodatak cefazolina) sa liste rezervnih antibiotika Kantonalne Bolnice „Dr. Irfan Ljubijankić“ Bihać u ustanovi i na kirurškim odjelima.</w:t>
      </w:r>
    </w:p>
    <w:p w14:paraId="372AFBC3" w14:textId="77777777" w:rsidR="008E00E9" w:rsidRDefault="00D06132">
      <w:pPr>
        <w:pStyle w:val="ListParagraph"/>
        <w:numPr>
          <w:ilvl w:val="0"/>
          <w:numId w:val="3"/>
        </w:numPr>
        <w:spacing w:line="480" w:lineRule="auto"/>
        <w:jc w:val="both"/>
      </w:pPr>
      <w:r>
        <w:rPr>
          <w:rFonts w:ascii="Times New Roman" w:hAnsi="Times New Roman" w:cs="Times New Roman"/>
          <w:sz w:val="24"/>
          <w:szCs w:val="24"/>
          <w:lang w:val="hr-HR"/>
        </w:rPr>
        <w:t>analiza mikrobiološkog i higijenskoepidemiološkog profila odjela i pacijenata na kirurškim odjelima KB.„Dr. Irfan Ljubijankić“ Bihać;</w:t>
      </w:r>
    </w:p>
    <w:p w14:paraId="070939D1" w14:textId="09C77A18" w:rsidR="008E00E9" w:rsidRDefault="00D06132">
      <w:pPr>
        <w:pStyle w:val="ListParagraph"/>
        <w:numPr>
          <w:ilvl w:val="0"/>
          <w:numId w:val="3"/>
        </w:numPr>
        <w:spacing w:line="480" w:lineRule="auto"/>
        <w:jc w:val="both"/>
      </w:pPr>
      <w:r>
        <w:rPr>
          <w:rFonts w:ascii="Times New Roman" w:hAnsi="Times New Roman" w:cs="Times New Roman"/>
          <w:sz w:val="24"/>
          <w:szCs w:val="24"/>
          <w:lang w:val="hr-HR"/>
        </w:rPr>
        <w:t>analiza indikatora kvaliteta i bezbjednosti pacijenata u kontekstu upravljanja antibiotskom rezistencijom.</w:t>
      </w:r>
    </w:p>
    <w:p w14:paraId="07FBAF77" w14:textId="77777777" w:rsidR="008E00E9" w:rsidRDefault="00D06132">
      <w:pPr>
        <w:pStyle w:val="Stilnaslova1"/>
        <w:spacing w:line="480" w:lineRule="auto"/>
        <w:rPr>
          <w:rFonts w:ascii="Times New Roman" w:hAnsi="Times New Roman"/>
        </w:rPr>
      </w:pPr>
      <w:bookmarkStart w:id="0" w:name="__RefHeading___Toc787_2411089429"/>
      <w:bookmarkStart w:id="1" w:name="_Toc6250715"/>
      <w:bookmarkStart w:id="2" w:name="_Toc2379019"/>
      <w:bookmarkEnd w:id="0"/>
      <w:bookmarkEnd w:id="1"/>
      <w:bookmarkEnd w:id="2"/>
      <w:r>
        <w:rPr>
          <w:rFonts w:ascii="Times New Roman" w:hAnsi="Times New Roman" w:cs="Times New Roman"/>
          <w:color w:val="00000A"/>
          <w:lang w:val="hr-HR"/>
        </w:rPr>
        <w:t>METODOLOGIJA</w:t>
      </w:r>
    </w:p>
    <w:p w14:paraId="5D8725F8" w14:textId="64CC810D" w:rsidR="008E00E9" w:rsidRDefault="00D06132">
      <w:pPr>
        <w:spacing w:line="480" w:lineRule="auto"/>
        <w:jc w:val="both"/>
      </w:pPr>
      <w:r>
        <w:rPr>
          <w:rFonts w:ascii="Times New Roman" w:hAnsi="Times New Roman" w:cs="Times New Roman"/>
          <w:sz w:val="24"/>
          <w:szCs w:val="24"/>
          <w:lang w:val="hr-HR"/>
        </w:rPr>
        <w:t>Sprovedena je retrospektivna studija koja je obuhvatila vremenski period od  početka 2015. godine pa sve do kraja 2017. godine. U obzir su uzeti antibiotici sa liste rezervnih antibiotika (uz dodatak cefazolina) Kantonalne Bolnice</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koji su upotrebljavani u ustanovi i na kirurškim odjelima. Podaci korišteni za potrebe ovog rada su dobijeni iz informacionog sistema KB.</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„Dr.Irfan Ljubijankić“ Bihać. Podaci o potrošnji antibiotika obrađeni su prema ATC / DDD metodologiji i prikazani su kao DDD / 100 postelja / dan. Analiza potrošnje rezervnih antibiotika (uz dodatak cefazolina) sa liste rezervnih antibiotika rađena je na 5. nivou Anatomsko-terapijsko-hemijske (ATC) klasifikacije. </w:t>
      </w:r>
    </w:p>
    <w:p w14:paraId="24C88EB6" w14:textId="66832249" w:rsidR="008E00E9" w:rsidRDefault="00D06132">
      <w:pPr>
        <w:spacing w:line="480" w:lineRule="auto"/>
        <w:jc w:val="both"/>
      </w:pPr>
      <w:r>
        <w:rPr>
          <w:rFonts w:ascii="Times New Roman" w:hAnsi="Times New Roman" w:cs="Times New Roman"/>
          <w:sz w:val="24"/>
          <w:szCs w:val="24"/>
          <w:lang w:val="hr-HR"/>
        </w:rPr>
        <w:t xml:space="preserve">Korištena je verzija ATC / DDD </w:t>
      </w:r>
      <w:r>
        <w:rPr>
          <w:rFonts w:ascii="Times New Roman" w:hAnsi="Times New Roman" w:cs="Times New Roman"/>
          <w:i/>
          <w:sz w:val="24"/>
          <w:szCs w:val="24"/>
          <w:lang w:val="hr-HR"/>
        </w:rPr>
        <w:t xml:space="preserve">Index </w:t>
      </w:r>
      <w:r w:rsidRPr="002D5E2C">
        <w:rPr>
          <w:rFonts w:ascii="Times New Roman" w:hAnsi="Times New Roman" w:cs="Times New Roman"/>
          <w:i/>
          <w:sz w:val="24"/>
          <w:szCs w:val="24"/>
          <w:lang w:val="hr-HR"/>
        </w:rPr>
        <w:t>2018</w:t>
      </w:r>
      <w:r w:rsidR="002D5E2C">
        <w:rPr>
          <w:rFonts w:ascii="Times New Roman" w:hAnsi="Times New Roman" w:cs="Times New Roman"/>
          <w:i/>
          <w:sz w:val="24"/>
          <w:szCs w:val="24"/>
          <w:lang w:val="hr-HR"/>
        </w:rPr>
        <w:t>.</w:t>
      </w:r>
      <w:r w:rsidR="002D5E2C">
        <w:rPr>
          <w:rFonts w:ascii="Times New Roman" w:hAnsi="Times New Roman" w:cs="Times New Roman"/>
          <w:iCs/>
          <w:sz w:val="24"/>
          <w:szCs w:val="24"/>
          <w:lang w:val="hr-HR"/>
        </w:rPr>
        <w:t xml:space="preserve"> (</w:t>
      </w:r>
      <w:r w:rsidR="002D5E2C" w:rsidRPr="002D5E2C">
        <w:rPr>
          <w:rFonts w:ascii="Times New Roman" w:hAnsi="Times New Roman" w:cs="Times New Roman"/>
          <w:iCs/>
          <w:sz w:val="24"/>
          <w:szCs w:val="24"/>
          <w:lang w:val="hr-HR"/>
        </w:rPr>
        <w:t>5</w:t>
      </w:r>
      <w:r w:rsidR="002D5E2C">
        <w:rPr>
          <w:rFonts w:ascii="Times New Roman" w:hAnsi="Times New Roman" w:cs="Times New Roman"/>
          <w:iCs/>
          <w:sz w:val="24"/>
          <w:szCs w:val="24"/>
          <w:lang w:val="hr-HR"/>
        </w:rPr>
        <w:t>).</w:t>
      </w:r>
      <w:r w:rsidR="009E2C9F">
        <w:rPr>
          <w:rFonts w:ascii="Times New Roman" w:hAnsi="Times New Roman" w:cs="Times New Roman"/>
          <w:iCs/>
          <w:sz w:val="24"/>
          <w:szCs w:val="24"/>
          <w:lang w:val="hr-HR"/>
        </w:rPr>
        <w:t xml:space="preserve"> </w:t>
      </w:r>
      <w:r>
        <w:rPr>
          <w:rFonts w:ascii="Times New Roman" w:hAnsi="Times New Roman" w:cs="Times New Roman"/>
          <w:sz w:val="24"/>
          <w:szCs w:val="24"/>
          <w:lang w:val="hr-HR"/>
        </w:rPr>
        <w:t>Analiza podataka je obavljena  uz pomoć AMC Tool verzija 1.5.0. objavljene 20. Aprila 2015. godine</w:t>
      </w:r>
      <w:r w:rsidR="002D5E2C">
        <w:rPr>
          <w:rFonts w:ascii="Times New Roman" w:hAnsi="Times New Roman" w:cs="Times New Roman"/>
          <w:sz w:val="24"/>
          <w:szCs w:val="24"/>
          <w:lang w:val="hr-HR"/>
        </w:rPr>
        <w:t xml:space="preserve"> (6)</w:t>
      </w:r>
      <w:r>
        <w:rPr>
          <w:rFonts w:ascii="Times New Roman" w:hAnsi="Times New Roman" w:cs="Times New Roman"/>
          <w:sz w:val="24"/>
          <w:szCs w:val="24"/>
          <w:lang w:val="hr-HR"/>
        </w:rPr>
        <w:t xml:space="preserve">. Kako ova vrsta alata koristi verziju indeksa WHO ATC / DDD za 2015. godinu, izvršena je provjera da li je u međuvremenu došlo do promjene definisanih dnevnih doza (DDD) u indeksu i utvrđeno je </w:t>
      </w:r>
      <w:r>
        <w:rPr>
          <w:rFonts w:ascii="Times New Roman" w:hAnsi="Times New Roman" w:cs="Times New Roman"/>
          <w:sz w:val="24"/>
          <w:szCs w:val="24"/>
          <w:lang w:val="hr-HR"/>
        </w:rPr>
        <w:lastRenderedPageBreak/>
        <w:t xml:space="preserve">da u pomenutom indeksu nije bilo nikakvih promjena. Broj bolesničkih dana je prilagođen prema prosječnoj dnevnoj zauzetosti bolničkih postelja u ustanovi. Rezultati su prikazani grafički i tabelarno. </w:t>
      </w:r>
    </w:p>
    <w:p w14:paraId="3D179A02" w14:textId="77777777" w:rsidR="008E00E9" w:rsidRDefault="00D06132">
      <w:pPr>
        <w:spacing w:line="480" w:lineRule="auto"/>
        <w:jc w:val="both"/>
        <w:rPr>
          <w:rFonts w:ascii="Times New Roman" w:hAnsi="Times New Roman"/>
        </w:rPr>
      </w:pPr>
      <w:r>
        <w:rPr>
          <w:rFonts w:ascii="Times New Roman" w:hAnsi="Times New Roman" w:cs="Times New Roman"/>
          <w:sz w:val="24"/>
          <w:szCs w:val="24"/>
          <w:lang w:val="hr-HR"/>
        </w:rPr>
        <w:t>U analizi podataka korišćene su metode deskriptivne statistike. Deskriptivna statistika je urađena u Microsoft Excel-u.</w:t>
      </w:r>
    </w:p>
    <w:p w14:paraId="4D7C19EA" w14:textId="77777777" w:rsidR="008E00E9" w:rsidRDefault="00D06132">
      <w:pPr>
        <w:pStyle w:val="Stilnaslova1"/>
        <w:numPr>
          <w:ilvl w:val="0"/>
          <w:numId w:val="1"/>
        </w:numPr>
        <w:spacing w:line="480" w:lineRule="auto"/>
        <w:rPr>
          <w:rFonts w:ascii="Times New Roman" w:hAnsi="Times New Roman"/>
        </w:rPr>
      </w:pPr>
      <w:r>
        <w:rPr>
          <w:rFonts w:ascii="Times New Roman" w:hAnsi="Times New Roman" w:cs="Times New Roman"/>
          <w:color w:val="00000A"/>
          <w:lang w:val="hr-HR"/>
        </w:rPr>
        <w:t>REZULTATI</w:t>
      </w:r>
    </w:p>
    <w:p w14:paraId="2CFB0205" w14:textId="77777777" w:rsidR="008E00E9" w:rsidRDefault="00D06132">
      <w:pPr>
        <w:pStyle w:val="Stilnaslova2"/>
        <w:numPr>
          <w:ilvl w:val="1"/>
          <w:numId w:val="1"/>
        </w:numPr>
        <w:spacing w:line="480" w:lineRule="auto"/>
        <w:rPr>
          <w:rFonts w:ascii="Times New Roman" w:hAnsi="Times New Roman"/>
        </w:rPr>
      </w:pPr>
      <w:bookmarkStart w:id="3" w:name="__RefHeading___Toc791_2411089429"/>
      <w:bookmarkStart w:id="4" w:name="_Toc6250719"/>
      <w:bookmarkStart w:id="5" w:name="_Toc2379023"/>
      <w:bookmarkEnd w:id="3"/>
      <w:bookmarkEnd w:id="4"/>
      <w:bookmarkEnd w:id="5"/>
      <w:r>
        <w:rPr>
          <w:rFonts w:ascii="Times New Roman" w:hAnsi="Times New Roman" w:cs="Times New Roman"/>
          <w:color w:val="00000A"/>
          <w:sz w:val="24"/>
          <w:szCs w:val="24"/>
          <w:lang w:val="hr-HR"/>
        </w:rPr>
        <w:t>Potrošnja antibiotika</w:t>
      </w:r>
    </w:p>
    <w:p w14:paraId="348955C1" w14:textId="77777777" w:rsidR="008E00E9" w:rsidRDefault="00D06132">
      <w:pPr>
        <w:spacing w:line="480" w:lineRule="auto"/>
        <w:jc w:val="both"/>
      </w:pPr>
      <w:r>
        <w:rPr>
          <w:rFonts w:ascii="Times New Roman" w:hAnsi="Times New Roman" w:cs="Times New Roman"/>
          <w:sz w:val="24"/>
          <w:szCs w:val="24"/>
          <w:lang w:val="hr-HR"/>
        </w:rPr>
        <w:t>U tabeli broj 1 predstavljena je potrošnja rezervnih antibiotika (uz dodatak cefazolina) u Kantonalnoj Bolnici „Dr. Irfan Ljubijankić“ Bihać tokom perioda 2015 – 2017 na petom nivou ATC klasifikacije te promjene i odnos između godina izražen kao DDD / 100 postelja / dan.</w:t>
      </w:r>
    </w:p>
    <w:p w14:paraId="620F67B7" w14:textId="77777777" w:rsidR="00406B03" w:rsidRPr="006E3E69" w:rsidRDefault="00406B03" w:rsidP="00406B03">
      <w:pPr>
        <w:spacing w:line="480" w:lineRule="auto"/>
        <w:jc w:val="both"/>
        <w:rPr>
          <w:lang w:val="hr-HR"/>
        </w:rPr>
      </w:pPr>
      <w:r>
        <w:rPr>
          <w:rFonts w:ascii="Times New Roman" w:hAnsi="Times New Roman" w:cs="Times New Roman"/>
          <w:b/>
          <w:bCs/>
          <w:sz w:val="24"/>
          <w:szCs w:val="24"/>
          <w:lang w:val="hr-HR"/>
        </w:rPr>
        <w:t xml:space="preserve">Tabela br. 1 </w:t>
      </w:r>
      <w:r>
        <w:rPr>
          <w:rFonts w:ascii="Times New Roman" w:hAnsi="Times New Roman" w:cs="Times New Roman"/>
          <w:i/>
          <w:iCs/>
          <w:sz w:val="24"/>
          <w:szCs w:val="24"/>
          <w:lang w:val="hr-HR"/>
        </w:rPr>
        <w:t>Potrošnja rezervnih antibiotika (uz dodatak cefazolina) u KB." Dr. Irfan Ljubijankić"   Bihać u periodu 2015-2017 na petom nivou ATC klasifikacije izražen kao DDD / postelja / dan.</w:t>
      </w:r>
    </w:p>
    <w:tbl>
      <w:tblPr>
        <w:tblW w:w="8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7"/>
        <w:gridCol w:w="3288"/>
        <w:gridCol w:w="1082"/>
        <w:gridCol w:w="806"/>
        <w:gridCol w:w="806"/>
        <w:gridCol w:w="806"/>
      </w:tblGrid>
      <w:tr w:rsidR="00406B03" w14:paraId="2D4AE5C0" w14:textId="77777777" w:rsidTr="003B3F42">
        <w:trPr>
          <w:cantSplit/>
          <w:trHeight w:hRule="exact" w:val="425"/>
        </w:trPr>
        <w:tc>
          <w:tcPr>
            <w:tcW w:w="1327" w:type="dxa"/>
            <w:vMerge w:val="restart"/>
            <w:shd w:val="clear" w:color="auto" w:fill="auto"/>
            <w:tcMar>
              <w:left w:w="-15" w:type="dxa"/>
            </w:tcMar>
            <w:vAlign w:val="center"/>
          </w:tcPr>
          <w:p w14:paraId="040AD3DE"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ATC kod</w:t>
            </w:r>
          </w:p>
        </w:tc>
        <w:tc>
          <w:tcPr>
            <w:tcW w:w="3288" w:type="dxa"/>
            <w:vMerge w:val="restart"/>
            <w:shd w:val="clear" w:color="auto" w:fill="auto"/>
            <w:tcMar>
              <w:left w:w="-15" w:type="dxa"/>
            </w:tcMar>
            <w:vAlign w:val="center"/>
          </w:tcPr>
          <w:p w14:paraId="2E6E8CD8"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Naziv</w:t>
            </w:r>
          </w:p>
        </w:tc>
        <w:tc>
          <w:tcPr>
            <w:tcW w:w="1082" w:type="dxa"/>
            <w:vMerge w:val="restart"/>
            <w:shd w:val="clear" w:color="auto" w:fill="auto"/>
            <w:tcMar>
              <w:left w:w="-15" w:type="dxa"/>
            </w:tcMar>
            <w:vAlign w:val="center"/>
          </w:tcPr>
          <w:p w14:paraId="621DFFDA" w14:textId="77777777" w:rsidR="00406B03" w:rsidRDefault="00406B03" w:rsidP="00C45EAA">
            <w:pPr>
              <w:widowControl w:val="0"/>
              <w:spacing w:after="0" w:line="24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Put primjene</w:t>
            </w:r>
          </w:p>
        </w:tc>
        <w:tc>
          <w:tcPr>
            <w:tcW w:w="2418" w:type="dxa"/>
            <w:gridSpan w:val="3"/>
            <w:shd w:val="clear" w:color="auto" w:fill="auto"/>
            <w:tcMar>
              <w:left w:w="-15" w:type="dxa"/>
            </w:tcMar>
            <w:vAlign w:val="center"/>
          </w:tcPr>
          <w:p w14:paraId="33ED2FAE"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DDD/100postelja/dan</w:t>
            </w:r>
          </w:p>
        </w:tc>
      </w:tr>
      <w:tr w:rsidR="00406B03" w14:paraId="671FF968" w14:textId="77777777" w:rsidTr="003B3F42">
        <w:trPr>
          <w:cantSplit/>
          <w:trHeight w:hRule="exact" w:val="425"/>
        </w:trPr>
        <w:tc>
          <w:tcPr>
            <w:tcW w:w="1327" w:type="dxa"/>
            <w:vMerge/>
            <w:shd w:val="clear" w:color="auto" w:fill="auto"/>
            <w:tcMar>
              <w:left w:w="-15" w:type="dxa"/>
            </w:tcMar>
            <w:vAlign w:val="center"/>
          </w:tcPr>
          <w:p w14:paraId="2D5CD1CA"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p>
        </w:tc>
        <w:tc>
          <w:tcPr>
            <w:tcW w:w="3288" w:type="dxa"/>
            <w:vMerge/>
            <w:shd w:val="clear" w:color="auto" w:fill="auto"/>
            <w:tcMar>
              <w:left w:w="-15" w:type="dxa"/>
            </w:tcMar>
            <w:vAlign w:val="center"/>
          </w:tcPr>
          <w:p w14:paraId="5CE90075"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p>
        </w:tc>
        <w:tc>
          <w:tcPr>
            <w:tcW w:w="1082" w:type="dxa"/>
            <w:vMerge/>
            <w:shd w:val="clear" w:color="auto" w:fill="auto"/>
            <w:tcMar>
              <w:left w:w="-15" w:type="dxa"/>
            </w:tcMar>
            <w:vAlign w:val="center"/>
          </w:tcPr>
          <w:p w14:paraId="71C36CAE"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p>
        </w:tc>
        <w:tc>
          <w:tcPr>
            <w:tcW w:w="806" w:type="dxa"/>
            <w:shd w:val="clear" w:color="auto" w:fill="auto"/>
            <w:tcMar>
              <w:left w:w="-15" w:type="dxa"/>
            </w:tcMar>
            <w:vAlign w:val="center"/>
          </w:tcPr>
          <w:p w14:paraId="712D49CA"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2015.</w:t>
            </w:r>
          </w:p>
        </w:tc>
        <w:tc>
          <w:tcPr>
            <w:tcW w:w="806" w:type="dxa"/>
            <w:shd w:val="clear" w:color="auto" w:fill="auto"/>
            <w:tcMar>
              <w:left w:w="-15" w:type="dxa"/>
            </w:tcMar>
            <w:vAlign w:val="center"/>
          </w:tcPr>
          <w:p w14:paraId="7174D0E0"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2016.</w:t>
            </w:r>
          </w:p>
        </w:tc>
        <w:tc>
          <w:tcPr>
            <w:tcW w:w="806" w:type="dxa"/>
            <w:shd w:val="clear" w:color="auto" w:fill="auto"/>
            <w:tcMar>
              <w:left w:w="-15" w:type="dxa"/>
            </w:tcMar>
            <w:vAlign w:val="center"/>
          </w:tcPr>
          <w:p w14:paraId="297E2361" w14:textId="77777777" w:rsidR="00406B03" w:rsidRDefault="00406B03" w:rsidP="00C45EAA">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2017.</w:t>
            </w:r>
          </w:p>
        </w:tc>
      </w:tr>
      <w:tr w:rsidR="00406B03" w14:paraId="1EEBFA93" w14:textId="77777777" w:rsidTr="003B3F42">
        <w:trPr>
          <w:cantSplit/>
          <w:trHeight w:hRule="exact" w:val="425"/>
        </w:trPr>
        <w:tc>
          <w:tcPr>
            <w:tcW w:w="1327" w:type="dxa"/>
            <w:shd w:val="clear" w:color="auto" w:fill="auto"/>
            <w:tcMar>
              <w:left w:w="-15" w:type="dxa"/>
            </w:tcMar>
            <w:vAlign w:val="center"/>
          </w:tcPr>
          <w:p w14:paraId="50AFFB53"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J01CR02</w:t>
            </w:r>
          </w:p>
        </w:tc>
        <w:tc>
          <w:tcPr>
            <w:tcW w:w="3288" w:type="dxa"/>
            <w:shd w:val="clear" w:color="auto" w:fill="auto"/>
            <w:tcMar>
              <w:left w:w="-15" w:type="dxa"/>
            </w:tcMar>
            <w:vAlign w:val="center"/>
          </w:tcPr>
          <w:p w14:paraId="0A497240"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Amoksicilini inhibitor enzima</w:t>
            </w:r>
          </w:p>
        </w:tc>
        <w:tc>
          <w:tcPr>
            <w:tcW w:w="1082" w:type="dxa"/>
            <w:shd w:val="clear" w:color="auto" w:fill="auto"/>
            <w:tcMar>
              <w:left w:w="-15" w:type="dxa"/>
            </w:tcMar>
            <w:vAlign w:val="center"/>
          </w:tcPr>
          <w:p w14:paraId="3EB0C596"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shd w:val="clear" w:color="auto" w:fill="auto"/>
            <w:tcMar>
              <w:left w:w="-15" w:type="dxa"/>
            </w:tcMar>
            <w:vAlign w:val="center"/>
          </w:tcPr>
          <w:p w14:paraId="1E98D825" w14:textId="77777777" w:rsidR="00406B03" w:rsidRDefault="00406B03" w:rsidP="00C45EAA">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0,011</w:t>
            </w:r>
          </w:p>
        </w:tc>
        <w:tc>
          <w:tcPr>
            <w:tcW w:w="806" w:type="dxa"/>
            <w:shd w:val="clear" w:color="auto" w:fill="auto"/>
            <w:tcMar>
              <w:left w:w="-15" w:type="dxa"/>
            </w:tcMar>
            <w:vAlign w:val="center"/>
          </w:tcPr>
          <w:p w14:paraId="68A8D64F"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0,019</w:t>
            </w:r>
          </w:p>
        </w:tc>
        <w:tc>
          <w:tcPr>
            <w:tcW w:w="806" w:type="dxa"/>
            <w:shd w:val="clear" w:color="auto" w:fill="auto"/>
            <w:tcMar>
              <w:left w:w="-15" w:type="dxa"/>
            </w:tcMar>
            <w:vAlign w:val="center"/>
          </w:tcPr>
          <w:p w14:paraId="303290DB"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0,016</w:t>
            </w:r>
          </w:p>
        </w:tc>
      </w:tr>
      <w:tr w:rsidR="00406B03" w14:paraId="0533D8C6" w14:textId="77777777" w:rsidTr="003B3F42">
        <w:trPr>
          <w:cantSplit/>
          <w:trHeight w:hRule="exact" w:val="425"/>
        </w:trPr>
        <w:tc>
          <w:tcPr>
            <w:tcW w:w="1327" w:type="dxa"/>
            <w:shd w:val="clear" w:color="auto" w:fill="auto"/>
            <w:tcMar>
              <w:left w:w="-15" w:type="dxa"/>
            </w:tcMar>
            <w:vAlign w:val="center"/>
          </w:tcPr>
          <w:p w14:paraId="5DF8AB26"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J01DB04</w:t>
            </w:r>
          </w:p>
        </w:tc>
        <w:tc>
          <w:tcPr>
            <w:tcW w:w="3288" w:type="dxa"/>
            <w:shd w:val="clear" w:color="auto" w:fill="auto"/>
            <w:tcMar>
              <w:left w:w="-15" w:type="dxa"/>
            </w:tcMar>
            <w:vAlign w:val="center"/>
          </w:tcPr>
          <w:p w14:paraId="27CAB12A"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Cefazolin</w:t>
            </w:r>
          </w:p>
        </w:tc>
        <w:tc>
          <w:tcPr>
            <w:tcW w:w="1082" w:type="dxa"/>
            <w:shd w:val="clear" w:color="auto" w:fill="auto"/>
            <w:tcMar>
              <w:left w:w="-15" w:type="dxa"/>
            </w:tcMar>
            <w:vAlign w:val="center"/>
          </w:tcPr>
          <w:p w14:paraId="25FB625D"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shd w:val="clear" w:color="auto" w:fill="auto"/>
            <w:tcMar>
              <w:left w:w="-15" w:type="dxa"/>
            </w:tcMar>
            <w:vAlign w:val="center"/>
          </w:tcPr>
          <w:p w14:paraId="37F955EA" w14:textId="77777777" w:rsidR="00406B03" w:rsidRDefault="00406B03" w:rsidP="00C45EAA">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0,037</w:t>
            </w:r>
          </w:p>
        </w:tc>
        <w:tc>
          <w:tcPr>
            <w:tcW w:w="806" w:type="dxa"/>
            <w:shd w:val="clear" w:color="auto" w:fill="auto"/>
            <w:tcMar>
              <w:left w:w="-15" w:type="dxa"/>
            </w:tcMar>
            <w:vAlign w:val="center"/>
          </w:tcPr>
          <w:p w14:paraId="7361BA76"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0,044</w:t>
            </w:r>
          </w:p>
        </w:tc>
        <w:tc>
          <w:tcPr>
            <w:tcW w:w="806" w:type="dxa"/>
            <w:shd w:val="clear" w:color="auto" w:fill="auto"/>
            <w:tcMar>
              <w:left w:w="-15" w:type="dxa"/>
            </w:tcMar>
            <w:vAlign w:val="center"/>
          </w:tcPr>
          <w:p w14:paraId="073B3383" w14:textId="77777777" w:rsidR="00406B03" w:rsidRDefault="00406B03" w:rsidP="00C45EAA">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0,048</w:t>
            </w:r>
          </w:p>
        </w:tc>
      </w:tr>
      <w:tr w:rsidR="00406B03" w14:paraId="22E8C130" w14:textId="77777777" w:rsidTr="003B3F42">
        <w:trPr>
          <w:cantSplit/>
          <w:trHeight w:hRule="exact" w:val="425"/>
        </w:trPr>
        <w:tc>
          <w:tcPr>
            <w:tcW w:w="1327" w:type="dxa"/>
            <w:shd w:val="clear" w:color="auto" w:fill="auto"/>
            <w:tcMar>
              <w:left w:w="-15" w:type="dxa"/>
            </w:tcMar>
            <w:vAlign w:val="center"/>
          </w:tcPr>
          <w:p w14:paraId="310FCF8A"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J01DD04</w:t>
            </w:r>
          </w:p>
        </w:tc>
        <w:tc>
          <w:tcPr>
            <w:tcW w:w="3288" w:type="dxa"/>
            <w:shd w:val="clear" w:color="auto" w:fill="auto"/>
            <w:tcMar>
              <w:left w:w="-15" w:type="dxa"/>
            </w:tcMar>
            <w:vAlign w:val="center"/>
          </w:tcPr>
          <w:p w14:paraId="4699B008"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Ceftriakson</w:t>
            </w:r>
          </w:p>
        </w:tc>
        <w:tc>
          <w:tcPr>
            <w:tcW w:w="1082" w:type="dxa"/>
            <w:shd w:val="clear" w:color="auto" w:fill="auto"/>
            <w:tcMar>
              <w:left w:w="-15" w:type="dxa"/>
            </w:tcMar>
            <w:vAlign w:val="center"/>
          </w:tcPr>
          <w:p w14:paraId="11030703"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shd w:val="clear" w:color="auto" w:fill="auto"/>
            <w:tcMar>
              <w:left w:w="-15" w:type="dxa"/>
            </w:tcMar>
            <w:vAlign w:val="center"/>
          </w:tcPr>
          <w:p w14:paraId="3C30CB57"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0,046</w:t>
            </w:r>
          </w:p>
        </w:tc>
        <w:tc>
          <w:tcPr>
            <w:tcW w:w="806" w:type="dxa"/>
            <w:shd w:val="clear" w:color="auto" w:fill="auto"/>
            <w:tcMar>
              <w:left w:w="-15" w:type="dxa"/>
            </w:tcMar>
            <w:vAlign w:val="center"/>
          </w:tcPr>
          <w:p w14:paraId="36F5ACDC"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0,058</w:t>
            </w:r>
          </w:p>
        </w:tc>
        <w:tc>
          <w:tcPr>
            <w:tcW w:w="806" w:type="dxa"/>
            <w:shd w:val="clear" w:color="auto" w:fill="auto"/>
            <w:tcMar>
              <w:left w:w="-15" w:type="dxa"/>
            </w:tcMar>
            <w:vAlign w:val="center"/>
          </w:tcPr>
          <w:p w14:paraId="09F54F1D"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0,066</w:t>
            </w:r>
          </w:p>
        </w:tc>
      </w:tr>
      <w:tr w:rsidR="00406B03" w14:paraId="07405C6D" w14:textId="77777777" w:rsidTr="003B3F42">
        <w:trPr>
          <w:cantSplit/>
          <w:trHeight w:hRule="exact" w:val="425"/>
        </w:trPr>
        <w:tc>
          <w:tcPr>
            <w:tcW w:w="1327" w:type="dxa"/>
            <w:shd w:val="clear" w:color="auto" w:fill="auto"/>
            <w:tcMar>
              <w:left w:w="-15" w:type="dxa"/>
            </w:tcMar>
            <w:vAlign w:val="center"/>
          </w:tcPr>
          <w:p w14:paraId="56480403"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J01DH51</w:t>
            </w:r>
          </w:p>
        </w:tc>
        <w:tc>
          <w:tcPr>
            <w:tcW w:w="3288" w:type="dxa"/>
            <w:shd w:val="clear" w:color="auto" w:fill="auto"/>
            <w:tcMar>
              <w:left w:w="-15" w:type="dxa"/>
            </w:tcMar>
            <w:vAlign w:val="center"/>
          </w:tcPr>
          <w:p w14:paraId="23CEBC10"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Imipenem i inhibitor enzima</w:t>
            </w:r>
          </w:p>
        </w:tc>
        <w:tc>
          <w:tcPr>
            <w:tcW w:w="1082" w:type="dxa"/>
            <w:shd w:val="clear" w:color="auto" w:fill="auto"/>
            <w:tcMar>
              <w:left w:w="-15" w:type="dxa"/>
            </w:tcMar>
            <w:vAlign w:val="center"/>
          </w:tcPr>
          <w:p w14:paraId="4D11648A"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shd w:val="clear" w:color="auto" w:fill="auto"/>
            <w:tcMar>
              <w:left w:w="-15" w:type="dxa"/>
            </w:tcMar>
            <w:vAlign w:val="center"/>
          </w:tcPr>
          <w:p w14:paraId="2F4ADAD9"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0,007</w:t>
            </w:r>
          </w:p>
        </w:tc>
        <w:tc>
          <w:tcPr>
            <w:tcW w:w="806" w:type="dxa"/>
            <w:shd w:val="clear" w:color="auto" w:fill="auto"/>
            <w:tcMar>
              <w:left w:w="-15" w:type="dxa"/>
            </w:tcMar>
            <w:vAlign w:val="center"/>
          </w:tcPr>
          <w:p w14:paraId="65BA9311"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0,002</w:t>
            </w:r>
          </w:p>
        </w:tc>
        <w:tc>
          <w:tcPr>
            <w:tcW w:w="806" w:type="dxa"/>
            <w:shd w:val="clear" w:color="auto" w:fill="auto"/>
            <w:tcMar>
              <w:left w:w="-15" w:type="dxa"/>
            </w:tcMar>
            <w:vAlign w:val="center"/>
          </w:tcPr>
          <w:p w14:paraId="41A8E405" w14:textId="77777777" w:rsidR="00406B03" w:rsidRDefault="00406B03" w:rsidP="00C45EAA">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0,002</w:t>
            </w:r>
          </w:p>
        </w:tc>
      </w:tr>
    </w:tbl>
    <w:p w14:paraId="4C8AEDFC" w14:textId="77777777" w:rsidR="00406B03" w:rsidRDefault="00406B03">
      <w:pPr>
        <w:spacing w:line="480" w:lineRule="auto"/>
        <w:jc w:val="both"/>
        <w:rPr>
          <w:rFonts w:ascii="Times New Roman" w:hAnsi="Times New Roman" w:cs="Times New Roman"/>
          <w:sz w:val="24"/>
          <w:szCs w:val="24"/>
          <w:lang w:val="hr-HR"/>
        </w:rPr>
      </w:pPr>
    </w:p>
    <w:p w14:paraId="59695D62" w14:textId="1B1066FF" w:rsidR="00406B03"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lastRenderedPageBreak/>
        <w:t xml:space="preserve">U tabeli broj 2 predstavljena je potrošnja rezervnih antibiotika (uz dodatak cefazolina) na kirurškim odjelima KB."Dr. Irfan Ljubijankić" Bihać tokom perioda 2015 – 2017 na petom nivou ATC klasifikacije te promjene i odnos između godina izražen kao DDD / 100 postelja / dan. </w:t>
      </w:r>
    </w:p>
    <w:p w14:paraId="7CA1C809" w14:textId="0E6CC8D2" w:rsidR="008E00E9" w:rsidRDefault="00D06132">
      <w:pPr>
        <w:spacing w:line="480" w:lineRule="auto"/>
        <w:jc w:val="both"/>
        <w:rPr>
          <w:b/>
          <w:bCs/>
        </w:rPr>
      </w:pPr>
      <w:r>
        <w:rPr>
          <w:rFonts w:ascii="Times New Roman" w:hAnsi="Times New Roman" w:cs="Times New Roman"/>
          <w:b/>
          <w:bCs/>
          <w:sz w:val="24"/>
          <w:szCs w:val="24"/>
          <w:lang w:val="hr-HR"/>
        </w:rPr>
        <w:t>Tabela br. 2</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Potrošnja rezervnih antibiotika (uz dodatak cefazolina) na kirurškim odjelima KB." Dr. Irfan Ljubijankić "Bihać u periodu 2015 – 2017 na petom nivou ATC klasifikacije izražen kao DDD / postelja / dan.</w:t>
      </w:r>
    </w:p>
    <w:p w14:paraId="6583F27C" w14:textId="5F4C13D6" w:rsidR="008E00E9" w:rsidRDefault="00406B03" w:rsidP="00406B03">
      <w:pPr>
        <w:spacing w:line="480" w:lineRule="auto"/>
        <w:rPr>
          <w:rFonts w:ascii="Times New Roman" w:hAnsi="Times New Roman"/>
        </w:rPr>
      </w:pPr>
      <w:r>
        <w:rPr>
          <w:rFonts w:ascii="Times New Roman" w:hAnsi="Times New Roman"/>
          <w:noProof/>
        </w:rPr>
        <w:drawing>
          <wp:inline distT="0" distB="0" distL="0" distR="0" wp14:anchorId="1E73AA1B" wp14:editId="631ADE28">
            <wp:extent cx="5600700" cy="26935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2693510"/>
                    </a:xfrm>
                    <a:prstGeom prst="rect">
                      <a:avLst/>
                    </a:prstGeom>
                    <a:noFill/>
                    <a:ln>
                      <a:noFill/>
                    </a:ln>
                  </pic:spPr>
                </pic:pic>
              </a:graphicData>
            </a:graphic>
          </wp:inline>
        </w:drawing>
      </w:r>
      <w:bookmarkStart w:id="6" w:name="__RefHeading___Toc793_2411089429"/>
      <w:bookmarkStart w:id="7" w:name="_Toc6250720"/>
      <w:bookmarkEnd w:id="6"/>
      <w:bookmarkEnd w:id="7"/>
    </w:p>
    <w:p w14:paraId="04A1D25C" w14:textId="48C7EF05" w:rsidR="001770F1" w:rsidRDefault="001770F1" w:rsidP="00406B03">
      <w:pPr>
        <w:spacing w:line="480" w:lineRule="auto"/>
        <w:rPr>
          <w:rFonts w:ascii="Times New Roman" w:hAnsi="Times New Roman"/>
        </w:rPr>
      </w:pPr>
    </w:p>
    <w:p w14:paraId="2CB2A731" w14:textId="362872C6" w:rsidR="001770F1" w:rsidRDefault="001770F1" w:rsidP="00406B03">
      <w:pPr>
        <w:spacing w:line="480" w:lineRule="auto"/>
        <w:rPr>
          <w:rFonts w:ascii="Times New Roman" w:hAnsi="Times New Roman"/>
        </w:rPr>
      </w:pPr>
    </w:p>
    <w:p w14:paraId="0568A73D" w14:textId="6E7103B5" w:rsidR="001770F1" w:rsidRDefault="001770F1" w:rsidP="00406B03">
      <w:pPr>
        <w:spacing w:line="480" w:lineRule="auto"/>
        <w:rPr>
          <w:rFonts w:ascii="Times New Roman" w:hAnsi="Times New Roman"/>
        </w:rPr>
      </w:pPr>
    </w:p>
    <w:p w14:paraId="11FA6A92" w14:textId="2D1FEF65" w:rsidR="008E00E9" w:rsidRDefault="00D06132">
      <w:pPr>
        <w:pStyle w:val="Stilnaslova2"/>
        <w:spacing w:after="240" w:line="480" w:lineRule="auto"/>
        <w:rPr>
          <w:rFonts w:ascii="Times New Roman" w:hAnsi="Times New Roman"/>
        </w:rPr>
      </w:pPr>
      <w:r>
        <w:rPr>
          <w:rFonts w:ascii="Times New Roman" w:hAnsi="Times New Roman" w:cs="Times New Roman"/>
          <w:color w:val="00000A"/>
          <w:sz w:val="24"/>
          <w:szCs w:val="24"/>
          <w:lang w:val="hr-HR"/>
        </w:rPr>
        <w:lastRenderedPageBreak/>
        <w:t xml:space="preserve">Analiza mikrobioloških uzoraka i izolovanih bakterija na kirurškim odjelima </w:t>
      </w:r>
    </w:p>
    <w:p w14:paraId="24286D71" w14:textId="59343ABD" w:rsidR="00406B03"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t>Na slici broj 1 prikazan je broj uzetih mikrobioloških uzoraka na kirurškim odjelima Kantonalne Bolnice.</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tokom periodu 2015 – 2017. te promjene i odnos između godina.</w:t>
      </w:r>
    </w:p>
    <w:p w14:paraId="36F53FE3" w14:textId="77777777" w:rsidR="008E00E9" w:rsidRDefault="00D06132">
      <w:pPr>
        <w:spacing w:line="480" w:lineRule="auto"/>
        <w:jc w:val="center"/>
        <w:rPr>
          <w:rFonts w:ascii="Times New Roman" w:hAnsi="Times New Roman"/>
        </w:rPr>
      </w:pPr>
      <w:r>
        <w:rPr>
          <w:noProof/>
        </w:rPr>
        <w:drawing>
          <wp:inline distT="0" distB="0" distL="0" distR="0" wp14:anchorId="5D42563D" wp14:editId="314DE0BB">
            <wp:extent cx="2761200" cy="1620000"/>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761200" cy="1620000"/>
                    </a:xfrm>
                    <a:prstGeom prst="rect">
                      <a:avLst/>
                    </a:prstGeom>
                  </pic:spPr>
                </pic:pic>
              </a:graphicData>
            </a:graphic>
          </wp:inline>
        </w:drawing>
      </w:r>
    </w:p>
    <w:p w14:paraId="5532E90A" w14:textId="7C9010FA" w:rsidR="001770F1" w:rsidRDefault="001770F1">
      <w:pPr>
        <w:spacing w:line="480" w:lineRule="auto"/>
        <w:jc w:val="both"/>
        <w:rPr>
          <w:rFonts w:ascii="Times New Roman" w:hAnsi="Times New Roman" w:cs="Times New Roman"/>
          <w:sz w:val="24"/>
          <w:szCs w:val="24"/>
          <w:lang w:val="hr-HR"/>
        </w:rPr>
      </w:pPr>
      <w:r>
        <w:rPr>
          <w:rFonts w:ascii="Times New Roman" w:hAnsi="Times New Roman" w:cs="Times New Roman"/>
          <w:b/>
          <w:bCs/>
          <w:sz w:val="24"/>
          <w:szCs w:val="24"/>
          <w:lang w:val="hr-HR"/>
        </w:rPr>
        <w:t>Slika br. 1</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Broj uzetih mikrobioloških uzoraka na kirurškim odjelima KB. "Dr. Irfan Ljubijankić" Bihać u periodu 2015-2017.</w:t>
      </w:r>
    </w:p>
    <w:p w14:paraId="26F6A114" w14:textId="5D7D2DCB" w:rsidR="008E00E9" w:rsidRDefault="00D06132">
      <w:pPr>
        <w:spacing w:line="480" w:lineRule="auto"/>
        <w:jc w:val="both"/>
      </w:pPr>
      <w:r>
        <w:rPr>
          <w:rFonts w:ascii="Times New Roman" w:hAnsi="Times New Roman" w:cs="Times New Roman"/>
          <w:sz w:val="24"/>
          <w:szCs w:val="24"/>
          <w:lang w:val="hr-HR"/>
        </w:rPr>
        <w:t>Na slici broj 2 prikazan je procenat izolovanih mikrobioloških uzoraka na kirurškim odjelima KB.“ Dr.Irfan Ljubijankić“</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Bihać tokom perioda 2015 – 2017. te promjene i odnos između godina.</w:t>
      </w:r>
    </w:p>
    <w:p w14:paraId="5E8E4B04" w14:textId="77777777" w:rsidR="008E00E9" w:rsidRDefault="00D06132">
      <w:pPr>
        <w:spacing w:line="480" w:lineRule="auto"/>
        <w:jc w:val="center"/>
        <w:rPr>
          <w:rFonts w:ascii="Times New Roman" w:hAnsi="Times New Roman"/>
        </w:rPr>
      </w:pPr>
      <w:r>
        <w:rPr>
          <w:noProof/>
        </w:rPr>
        <w:drawing>
          <wp:inline distT="0" distB="0" distL="0" distR="0" wp14:anchorId="17327E84" wp14:editId="13B33822">
            <wp:extent cx="2764800" cy="1620000"/>
            <wp:effectExtent l="0" t="0" r="0" b="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764800" cy="1620000"/>
                    </a:xfrm>
                    <a:prstGeom prst="rect">
                      <a:avLst/>
                    </a:prstGeom>
                  </pic:spPr>
                </pic:pic>
              </a:graphicData>
            </a:graphic>
          </wp:inline>
        </w:drawing>
      </w:r>
    </w:p>
    <w:p w14:paraId="2E68E90A" w14:textId="09C0E620" w:rsidR="001770F1" w:rsidRDefault="001770F1">
      <w:pPr>
        <w:spacing w:line="480" w:lineRule="auto"/>
        <w:rPr>
          <w:rFonts w:ascii="Times New Roman" w:hAnsi="Times New Roman" w:cs="Times New Roman"/>
          <w:sz w:val="24"/>
          <w:szCs w:val="24"/>
          <w:lang w:val="hr-HR"/>
        </w:rPr>
      </w:pPr>
      <w:r>
        <w:rPr>
          <w:rFonts w:ascii="Times New Roman" w:hAnsi="Times New Roman" w:cs="Times New Roman"/>
          <w:b/>
          <w:bCs/>
          <w:sz w:val="24"/>
          <w:szCs w:val="24"/>
          <w:lang w:val="hr-HR"/>
        </w:rPr>
        <w:t>Slika br. 2</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Procenat izolovanih mikrobioloških uzoraka na kirurškim odjelima KB. " Dr. Irfan Ljubijankić"   u periodu 2015 – 2017.</w:t>
      </w:r>
    </w:p>
    <w:p w14:paraId="1268A254" w14:textId="39A9492C" w:rsidR="00F93984" w:rsidRPr="003F09DC" w:rsidRDefault="00D06132">
      <w:pPr>
        <w:spacing w:line="480" w:lineRule="auto"/>
        <w:rPr>
          <w:rFonts w:ascii="Times New Roman" w:hAnsi="Times New Roman" w:cs="Times New Roman"/>
          <w:sz w:val="24"/>
          <w:szCs w:val="24"/>
          <w:lang w:val="hr-HR"/>
        </w:rPr>
      </w:pPr>
      <w:r>
        <w:rPr>
          <w:rFonts w:ascii="Times New Roman" w:hAnsi="Times New Roman" w:cs="Times New Roman"/>
          <w:sz w:val="24"/>
          <w:szCs w:val="24"/>
          <w:lang w:val="hr-HR"/>
        </w:rPr>
        <w:lastRenderedPageBreak/>
        <w:t>Na slici broj 3 prikazan je broj uzetih mikrobioloških uzoraka  od strane Higijenskoepidemiološke službe na kirurškim odjelima KB</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Bihać tokom perioda 2015</w:t>
      </w:r>
      <w:r w:rsidR="00021A22">
        <w:rPr>
          <w:rFonts w:ascii="Times New Roman" w:hAnsi="Times New Roman" w:cs="Times New Roman"/>
          <w:sz w:val="24"/>
          <w:szCs w:val="24"/>
          <w:lang w:val="hr-HR"/>
        </w:rPr>
        <w:t xml:space="preserve"> – </w:t>
      </w:r>
      <w:r>
        <w:rPr>
          <w:rFonts w:ascii="Times New Roman" w:hAnsi="Times New Roman" w:cs="Times New Roman"/>
          <w:sz w:val="24"/>
          <w:szCs w:val="24"/>
          <w:lang w:val="hr-HR"/>
        </w:rPr>
        <w:t>2017</w:t>
      </w:r>
      <w:r w:rsidR="00021A22">
        <w:rPr>
          <w:rFonts w:ascii="Times New Roman" w:hAnsi="Times New Roman" w:cs="Times New Roman"/>
          <w:sz w:val="24"/>
          <w:szCs w:val="24"/>
          <w:lang w:val="hr-HR"/>
        </w:rPr>
        <w:t>.</w:t>
      </w:r>
      <w:r>
        <w:rPr>
          <w:rFonts w:ascii="Times New Roman" w:hAnsi="Times New Roman" w:cs="Times New Roman"/>
          <w:sz w:val="24"/>
          <w:szCs w:val="24"/>
          <w:lang w:val="hr-HR"/>
        </w:rPr>
        <w:t xml:space="preserve"> te promjene i odnos između godina.</w:t>
      </w:r>
    </w:p>
    <w:p w14:paraId="1B10F522" w14:textId="77777777" w:rsidR="008E00E9" w:rsidRDefault="00D06132">
      <w:pPr>
        <w:spacing w:line="480" w:lineRule="auto"/>
        <w:jc w:val="center"/>
        <w:rPr>
          <w:rFonts w:ascii="Times New Roman" w:hAnsi="Times New Roman"/>
        </w:rPr>
      </w:pPr>
      <w:r>
        <w:rPr>
          <w:noProof/>
        </w:rPr>
        <w:drawing>
          <wp:inline distT="0" distB="0" distL="0" distR="0" wp14:anchorId="4B85C037" wp14:editId="26529C7D">
            <wp:extent cx="2772000" cy="1620000"/>
            <wp:effectExtent l="0" t="0" r="0" b="0"/>
            <wp:docPr id="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772000" cy="1620000"/>
                    </a:xfrm>
                    <a:prstGeom prst="rect">
                      <a:avLst/>
                    </a:prstGeom>
                  </pic:spPr>
                </pic:pic>
              </a:graphicData>
            </a:graphic>
          </wp:inline>
        </w:drawing>
      </w:r>
    </w:p>
    <w:p w14:paraId="07E5DC54" w14:textId="77777777" w:rsidR="001770F1" w:rsidRDefault="001770F1" w:rsidP="001770F1">
      <w:pPr>
        <w:spacing w:line="480" w:lineRule="auto"/>
      </w:pPr>
      <w:r>
        <w:rPr>
          <w:rFonts w:ascii="Times New Roman" w:hAnsi="Times New Roman" w:cs="Times New Roman"/>
          <w:b/>
          <w:bCs/>
          <w:sz w:val="24"/>
          <w:szCs w:val="24"/>
          <w:lang w:val="hr-HR"/>
        </w:rPr>
        <w:t>Slika br. 3</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Broj uzetih mikrobioloških uzoraka od strane HES službe na kirurškim odjelima KB. "  Dr. Irfan Ljubijankić" Bihać u periodu 2015 - 2017.</w:t>
      </w:r>
    </w:p>
    <w:p w14:paraId="1AEA4A71" w14:textId="56834E5F" w:rsidR="00406B03"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Na slici broj 4 prikazan je procenat izolovanih mikrobioloških uzoraka uzetih od strane HES-službe na kirurškim odjelima KB.“Dr.Irfan Ljubijankić“Bihać tokom perioda 2015</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2017. te promjene i odnos između godina. </w:t>
      </w:r>
    </w:p>
    <w:p w14:paraId="039F9A15" w14:textId="77777777" w:rsidR="008E00E9" w:rsidRDefault="00D06132">
      <w:pPr>
        <w:spacing w:line="480" w:lineRule="auto"/>
        <w:jc w:val="center"/>
        <w:rPr>
          <w:rFonts w:ascii="Times New Roman" w:hAnsi="Times New Roman"/>
        </w:rPr>
      </w:pPr>
      <w:r>
        <w:rPr>
          <w:noProof/>
        </w:rPr>
        <w:drawing>
          <wp:inline distT="0" distB="0" distL="0" distR="0" wp14:anchorId="5C993541" wp14:editId="4A4A35C9">
            <wp:extent cx="2772000" cy="1620000"/>
            <wp:effectExtent l="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772000" cy="1620000"/>
                    </a:xfrm>
                    <a:prstGeom prst="rect">
                      <a:avLst/>
                    </a:prstGeom>
                  </pic:spPr>
                </pic:pic>
              </a:graphicData>
            </a:graphic>
          </wp:inline>
        </w:drawing>
      </w:r>
    </w:p>
    <w:p w14:paraId="4F6A958B" w14:textId="066276D8" w:rsidR="001770F1" w:rsidRDefault="001770F1">
      <w:pPr>
        <w:spacing w:line="480" w:lineRule="auto"/>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Slika br. 4 </w:t>
      </w:r>
      <w:r>
        <w:rPr>
          <w:rFonts w:ascii="Times New Roman" w:hAnsi="Times New Roman" w:cs="Times New Roman"/>
          <w:i/>
          <w:iCs/>
          <w:sz w:val="24"/>
          <w:szCs w:val="24"/>
          <w:lang w:val="hr-HR"/>
        </w:rPr>
        <w:t>Procenat izolovanih mikrobioloških uzoraka uzetih od strane HES-službe na kirurškim odjelima KB. "   Dr. Irfan Ljubijankić "  u periodu 2015 - 2017.</w:t>
      </w:r>
    </w:p>
    <w:p w14:paraId="4364E988" w14:textId="1C63082A" w:rsidR="00406B03"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lastRenderedPageBreak/>
        <w:t>U tabeli broj 3 predstavljeno je prisustvo i struktura bakterija izolovanih na kirurškim odjelima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tokom perioda 2015 – 2017. te promjene i odnos između godina.</w:t>
      </w:r>
    </w:p>
    <w:p w14:paraId="07651835" w14:textId="45720CE1" w:rsidR="008E00E9" w:rsidRDefault="00D06132">
      <w:pPr>
        <w:spacing w:line="480" w:lineRule="auto"/>
        <w:jc w:val="both"/>
      </w:pPr>
      <w:r>
        <w:rPr>
          <w:rFonts w:ascii="Times New Roman" w:hAnsi="Times New Roman" w:cs="Times New Roman"/>
          <w:b/>
          <w:bCs/>
          <w:sz w:val="24"/>
          <w:szCs w:val="24"/>
          <w:lang w:val="hr-HR"/>
        </w:rPr>
        <w:t xml:space="preserve">Tabela br. 3 </w:t>
      </w:r>
      <w:r>
        <w:rPr>
          <w:rFonts w:ascii="Times New Roman" w:hAnsi="Times New Roman" w:cs="Times New Roman"/>
          <w:i/>
          <w:iCs/>
          <w:sz w:val="24"/>
          <w:szCs w:val="24"/>
          <w:lang w:val="hr-HR"/>
        </w:rPr>
        <w:t>Prisustvo i struktura izolovanih bakterija na kirurškim odjelima KB. "  Dr. Irfan Ljubijankić"   Bihać u periodu 2015 – 2017.</w:t>
      </w:r>
    </w:p>
    <w:p w14:paraId="4C5E6AAA" w14:textId="77777777" w:rsidR="008E00E9" w:rsidRDefault="00D06132" w:rsidP="00406B03">
      <w:pPr>
        <w:spacing w:line="480" w:lineRule="auto"/>
        <w:rPr>
          <w:rFonts w:ascii="Times New Roman" w:hAnsi="Times New Roman"/>
        </w:rPr>
      </w:pPr>
      <w:r>
        <w:rPr>
          <w:noProof/>
        </w:rPr>
        <w:drawing>
          <wp:inline distT="0" distB="0" distL="0" distR="0" wp14:anchorId="2B2B0928" wp14:editId="0EADE55B">
            <wp:extent cx="5599901" cy="5036820"/>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pic:cNvPicPr>
                      <a:picLocks noChangeAspect="1" noChangeArrowheads="1"/>
                    </pic:cNvPicPr>
                  </pic:nvPicPr>
                  <pic:blipFill>
                    <a:blip r:embed="rId15"/>
                    <a:stretch>
                      <a:fillRect/>
                    </a:stretch>
                  </pic:blipFill>
                  <pic:spPr bwMode="auto">
                    <a:xfrm>
                      <a:off x="0" y="0"/>
                      <a:ext cx="5610362" cy="5046229"/>
                    </a:xfrm>
                    <a:prstGeom prst="rect">
                      <a:avLst/>
                    </a:prstGeom>
                  </pic:spPr>
                </pic:pic>
              </a:graphicData>
            </a:graphic>
          </wp:inline>
        </w:drawing>
      </w:r>
    </w:p>
    <w:p w14:paraId="5D2EEB8D" w14:textId="77777777" w:rsidR="008E00E9" w:rsidRDefault="00D06132">
      <w:pPr>
        <w:spacing w:line="480" w:lineRule="auto"/>
        <w:jc w:val="both"/>
        <w:rPr>
          <w:rFonts w:ascii="Times New Roman" w:hAnsi="Times New Roman" w:cs="Times New Roman"/>
          <w:sz w:val="20"/>
          <w:szCs w:val="20"/>
          <w:lang w:val="hr-HR"/>
        </w:rPr>
      </w:pPr>
      <w:r>
        <w:rPr>
          <w:rFonts w:ascii="Times New Roman" w:hAnsi="Times New Roman" w:cs="Times New Roman"/>
          <w:sz w:val="20"/>
          <w:szCs w:val="20"/>
          <w:lang w:val="hr-HR"/>
        </w:rPr>
        <w:t>Legenda :ESBL - soj – *; MRSA – soj –**</w:t>
      </w:r>
    </w:p>
    <w:p w14:paraId="6C0F5A5C" w14:textId="77777777" w:rsidR="008E00E9" w:rsidRDefault="00D06132">
      <w:pPr>
        <w:pStyle w:val="Stilnaslova2"/>
        <w:numPr>
          <w:ilvl w:val="1"/>
          <w:numId w:val="1"/>
        </w:numPr>
        <w:spacing w:after="240" w:line="480" w:lineRule="auto"/>
        <w:rPr>
          <w:rFonts w:ascii="Times New Roman" w:hAnsi="Times New Roman"/>
        </w:rPr>
      </w:pPr>
      <w:r>
        <w:rPr>
          <w:rFonts w:ascii="Times New Roman" w:hAnsi="Times New Roman" w:cs="Times New Roman"/>
          <w:color w:val="00000A"/>
          <w:sz w:val="24"/>
          <w:szCs w:val="24"/>
          <w:lang w:val="hr-HR"/>
        </w:rPr>
        <w:lastRenderedPageBreak/>
        <w:t>Rezultati indikatora kvaliteta i bezbjednosti pacijenata</w:t>
      </w:r>
    </w:p>
    <w:p w14:paraId="240A68F8" w14:textId="6C3555D8" w:rsidR="008E00E9" w:rsidRDefault="00D06132">
      <w:pPr>
        <w:spacing w:line="480" w:lineRule="auto"/>
        <w:jc w:val="both"/>
      </w:pPr>
      <w:r>
        <w:rPr>
          <w:rFonts w:ascii="Times New Roman" w:hAnsi="Times New Roman" w:cs="Times New Roman"/>
          <w:sz w:val="24"/>
          <w:szCs w:val="24"/>
          <w:lang w:val="hr-HR"/>
        </w:rPr>
        <w:t>U tabeli broj 4 predstavljena je stopa incidencija bolničkih infekcija u ustanovi i na kirurškim  odjelima</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Kantonaln</w:t>
      </w:r>
      <w:r w:rsidR="00B2783E">
        <w:rPr>
          <w:rFonts w:ascii="Times New Roman" w:hAnsi="Times New Roman" w:cs="Times New Roman"/>
          <w:sz w:val="24"/>
          <w:szCs w:val="24"/>
          <w:lang w:val="hr-HR"/>
        </w:rPr>
        <w:t>e</w:t>
      </w:r>
      <w:r>
        <w:rPr>
          <w:rFonts w:ascii="Times New Roman" w:hAnsi="Times New Roman" w:cs="Times New Roman"/>
          <w:sz w:val="24"/>
          <w:szCs w:val="24"/>
          <w:lang w:val="hr-HR"/>
        </w:rPr>
        <w:t xml:space="preserve"> Bolnic</w:t>
      </w:r>
      <w:r w:rsidR="00B2783E">
        <w:rPr>
          <w:rFonts w:ascii="Times New Roman" w:hAnsi="Times New Roman" w:cs="Times New Roman"/>
          <w:sz w:val="24"/>
          <w:szCs w:val="24"/>
          <w:lang w:val="hr-HR"/>
        </w:rPr>
        <w:t>e</w:t>
      </w:r>
      <w:r>
        <w:rPr>
          <w:rFonts w:ascii="Times New Roman" w:hAnsi="Times New Roman" w:cs="Times New Roman"/>
          <w:sz w:val="24"/>
          <w:szCs w:val="24"/>
          <w:lang w:val="hr-HR"/>
        </w:rPr>
        <w:t xml:space="preserve"> „Dr. Irfan Ljubijankić“ Bihać tokom perioda 2015 - 2017 te promjene i odnos između godina.</w:t>
      </w:r>
    </w:p>
    <w:p w14:paraId="793D7E76" w14:textId="667FF155" w:rsidR="008E00E9" w:rsidRDefault="00D06132" w:rsidP="003B3F42">
      <w:pPr>
        <w:spacing w:line="480" w:lineRule="auto"/>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Tabela br. 4 </w:t>
      </w:r>
      <w:r>
        <w:rPr>
          <w:rFonts w:ascii="Times New Roman" w:hAnsi="Times New Roman" w:cs="Times New Roman"/>
          <w:i/>
          <w:iCs/>
          <w:sz w:val="24"/>
          <w:szCs w:val="24"/>
          <w:lang w:val="hr-HR"/>
        </w:rPr>
        <w:t>Stopa incidencije bolničkih infekcija u ustanovi i na kirurškim odjelima KB. "  Dr. Irfan Ljubijankić"   Bihać u periodu 2015 – 2017.</w:t>
      </w:r>
    </w:p>
    <w:tbl>
      <w:tblPr>
        <w:tblStyle w:val="TableGrid"/>
        <w:tblW w:w="6905" w:type="dxa"/>
        <w:tblInd w:w="63" w:type="dxa"/>
        <w:tblCellMar>
          <w:left w:w="63" w:type="dxa"/>
        </w:tblCellMar>
        <w:tblLook w:val="04A0" w:firstRow="1" w:lastRow="0" w:firstColumn="1" w:lastColumn="0" w:noHBand="0" w:noVBand="1"/>
      </w:tblPr>
      <w:tblGrid>
        <w:gridCol w:w="3693"/>
        <w:gridCol w:w="1071"/>
        <w:gridCol w:w="1071"/>
        <w:gridCol w:w="1070"/>
      </w:tblGrid>
      <w:tr w:rsidR="008E00E9" w14:paraId="72295030" w14:textId="77777777" w:rsidTr="003B3F42">
        <w:trPr>
          <w:cantSplit/>
          <w:trHeight w:hRule="exact" w:val="567"/>
        </w:trPr>
        <w:tc>
          <w:tcPr>
            <w:tcW w:w="3693" w:type="dxa"/>
            <w:shd w:val="clear" w:color="auto" w:fill="auto"/>
            <w:tcMar>
              <w:left w:w="63" w:type="dxa"/>
            </w:tcMar>
            <w:vAlign w:val="center"/>
          </w:tcPr>
          <w:p w14:paraId="47297704" w14:textId="77777777" w:rsidR="008E00E9" w:rsidRDefault="00D06132">
            <w:pPr>
              <w:widowControl w:val="0"/>
              <w:spacing w:before="120" w:after="0" w:line="48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ODJELI</w:t>
            </w:r>
          </w:p>
        </w:tc>
        <w:tc>
          <w:tcPr>
            <w:tcW w:w="1071" w:type="dxa"/>
            <w:shd w:val="clear" w:color="auto" w:fill="auto"/>
            <w:tcMar>
              <w:left w:w="63" w:type="dxa"/>
            </w:tcMar>
            <w:vAlign w:val="center"/>
          </w:tcPr>
          <w:p w14:paraId="1CC7C1ED"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2015.</w:t>
            </w:r>
          </w:p>
        </w:tc>
        <w:tc>
          <w:tcPr>
            <w:tcW w:w="1071" w:type="dxa"/>
            <w:shd w:val="clear" w:color="auto" w:fill="auto"/>
            <w:tcMar>
              <w:left w:w="63" w:type="dxa"/>
            </w:tcMar>
            <w:vAlign w:val="center"/>
          </w:tcPr>
          <w:p w14:paraId="36676309"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2016.</w:t>
            </w:r>
          </w:p>
        </w:tc>
        <w:tc>
          <w:tcPr>
            <w:tcW w:w="1070" w:type="dxa"/>
            <w:shd w:val="clear" w:color="auto" w:fill="auto"/>
            <w:tcMar>
              <w:left w:w="63" w:type="dxa"/>
            </w:tcMar>
            <w:vAlign w:val="center"/>
          </w:tcPr>
          <w:p w14:paraId="374F241D"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2017.</w:t>
            </w:r>
          </w:p>
        </w:tc>
      </w:tr>
      <w:tr w:rsidR="008E00E9" w14:paraId="222128D4" w14:textId="77777777" w:rsidTr="003B3F42">
        <w:trPr>
          <w:cantSplit/>
          <w:trHeight w:hRule="exact" w:val="567"/>
        </w:trPr>
        <w:tc>
          <w:tcPr>
            <w:tcW w:w="3693" w:type="dxa"/>
            <w:shd w:val="clear" w:color="auto" w:fill="auto"/>
            <w:tcMar>
              <w:left w:w="63" w:type="dxa"/>
            </w:tcMar>
            <w:vAlign w:val="center"/>
          </w:tcPr>
          <w:p w14:paraId="35F6319B"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Kirurgija</w:t>
            </w:r>
          </w:p>
        </w:tc>
        <w:tc>
          <w:tcPr>
            <w:tcW w:w="1071" w:type="dxa"/>
            <w:shd w:val="clear" w:color="auto" w:fill="auto"/>
            <w:tcMar>
              <w:left w:w="63" w:type="dxa"/>
            </w:tcMar>
            <w:vAlign w:val="center"/>
          </w:tcPr>
          <w:p w14:paraId="40D9DE00"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012685E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0" w:type="dxa"/>
            <w:shd w:val="clear" w:color="auto" w:fill="auto"/>
            <w:tcMar>
              <w:left w:w="63" w:type="dxa"/>
            </w:tcMar>
            <w:vAlign w:val="center"/>
          </w:tcPr>
          <w:p w14:paraId="3DEC024D"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r>
      <w:tr w:rsidR="008E00E9" w14:paraId="5268DB29" w14:textId="77777777" w:rsidTr="003B3F42">
        <w:trPr>
          <w:cantSplit/>
          <w:trHeight w:hRule="exact" w:val="567"/>
        </w:trPr>
        <w:tc>
          <w:tcPr>
            <w:tcW w:w="3693" w:type="dxa"/>
            <w:shd w:val="clear" w:color="auto" w:fill="auto"/>
            <w:tcMar>
              <w:left w:w="63" w:type="dxa"/>
            </w:tcMar>
            <w:vAlign w:val="center"/>
          </w:tcPr>
          <w:p w14:paraId="6D281EAF"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JIL - Kirurgije</w:t>
            </w:r>
          </w:p>
        </w:tc>
        <w:tc>
          <w:tcPr>
            <w:tcW w:w="1071" w:type="dxa"/>
            <w:shd w:val="clear" w:color="auto" w:fill="auto"/>
            <w:tcMar>
              <w:left w:w="63" w:type="dxa"/>
            </w:tcMar>
            <w:vAlign w:val="center"/>
          </w:tcPr>
          <w:p w14:paraId="372E1F54"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0,82</w:t>
            </w:r>
          </w:p>
        </w:tc>
        <w:tc>
          <w:tcPr>
            <w:tcW w:w="1071" w:type="dxa"/>
            <w:shd w:val="clear" w:color="auto" w:fill="auto"/>
            <w:tcMar>
              <w:left w:w="63" w:type="dxa"/>
            </w:tcMar>
            <w:vAlign w:val="center"/>
          </w:tcPr>
          <w:p w14:paraId="7F74A7D0"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c>
          <w:tcPr>
            <w:tcW w:w="1070" w:type="dxa"/>
            <w:shd w:val="clear" w:color="auto" w:fill="auto"/>
            <w:tcMar>
              <w:left w:w="63" w:type="dxa"/>
            </w:tcMar>
            <w:vAlign w:val="center"/>
          </w:tcPr>
          <w:p w14:paraId="3956CFA6"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r>
      <w:tr w:rsidR="008E00E9" w14:paraId="6AEDF2B6" w14:textId="77777777" w:rsidTr="003B3F42">
        <w:trPr>
          <w:cantSplit/>
          <w:trHeight w:hRule="exact" w:val="567"/>
        </w:trPr>
        <w:tc>
          <w:tcPr>
            <w:tcW w:w="3693" w:type="dxa"/>
            <w:shd w:val="clear" w:color="auto" w:fill="auto"/>
            <w:tcMar>
              <w:left w:w="63" w:type="dxa"/>
            </w:tcMar>
            <w:vAlign w:val="center"/>
          </w:tcPr>
          <w:p w14:paraId="1BAC952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Urologija</w:t>
            </w:r>
          </w:p>
        </w:tc>
        <w:tc>
          <w:tcPr>
            <w:tcW w:w="1071" w:type="dxa"/>
            <w:shd w:val="clear" w:color="auto" w:fill="auto"/>
            <w:tcMar>
              <w:left w:w="63" w:type="dxa"/>
            </w:tcMar>
            <w:vAlign w:val="center"/>
          </w:tcPr>
          <w:p w14:paraId="46E2CA2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057294A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17BDE45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r>
      <w:tr w:rsidR="008E00E9" w14:paraId="46E78CBE" w14:textId="77777777" w:rsidTr="003B3F42">
        <w:trPr>
          <w:cantSplit/>
          <w:trHeight w:hRule="exact" w:val="567"/>
        </w:trPr>
        <w:tc>
          <w:tcPr>
            <w:tcW w:w="3693" w:type="dxa"/>
            <w:shd w:val="clear" w:color="auto" w:fill="auto"/>
            <w:tcMar>
              <w:left w:w="63" w:type="dxa"/>
            </w:tcMar>
            <w:vAlign w:val="center"/>
          </w:tcPr>
          <w:p w14:paraId="45851BC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Ortopedija</w:t>
            </w:r>
          </w:p>
        </w:tc>
        <w:tc>
          <w:tcPr>
            <w:tcW w:w="1071" w:type="dxa"/>
            <w:shd w:val="clear" w:color="auto" w:fill="auto"/>
            <w:tcMar>
              <w:left w:w="63" w:type="dxa"/>
            </w:tcMar>
            <w:vAlign w:val="center"/>
          </w:tcPr>
          <w:p w14:paraId="1E87EEF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1" w:type="dxa"/>
            <w:shd w:val="clear" w:color="auto" w:fill="auto"/>
            <w:tcMar>
              <w:left w:w="63" w:type="dxa"/>
            </w:tcMar>
            <w:vAlign w:val="center"/>
          </w:tcPr>
          <w:p w14:paraId="5FE79116"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51B5CF8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r>
      <w:tr w:rsidR="008E00E9" w14:paraId="7EF9A83F" w14:textId="77777777" w:rsidTr="003B3F42">
        <w:trPr>
          <w:cantSplit/>
          <w:trHeight w:hRule="exact" w:val="567"/>
        </w:trPr>
        <w:tc>
          <w:tcPr>
            <w:tcW w:w="3693" w:type="dxa"/>
            <w:shd w:val="clear" w:color="auto" w:fill="auto"/>
            <w:tcMar>
              <w:left w:w="63" w:type="dxa"/>
            </w:tcMar>
            <w:vAlign w:val="center"/>
          </w:tcPr>
          <w:p w14:paraId="3C0F23EC"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Ginekologija/akušerstvo</w:t>
            </w:r>
          </w:p>
        </w:tc>
        <w:tc>
          <w:tcPr>
            <w:tcW w:w="1071" w:type="dxa"/>
            <w:shd w:val="clear" w:color="auto" w:fill="auto"/>
            <w:tcMar>
              <w:left w:w="63" w:type="dxa"/>
            </w:tcMar>
            <w:vAlign w:val="center"/>
          </w:tcPr>
          <w:p w14:paraId="2BE1F8D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17141D5C"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79B7104F"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r>
      <w:tr w:rsidR="008E00E9" w14:paraId="7A2CF8BF" w14:textId="77777777" w:rsidTr="003B3F42">
        <w:trPr>
          <w:cantSplit/>
          <w:trHeight w:hRule="exact" w:val="567"/>
        </w:trPr>
        <w:tc>
          <w:tcPr>
            <w:tcW w:w="3693" w:type="dxa"/>
            <w:shd w:val="clear" w:color="auto" w:fill="auto"/>
            <w:tcMar>
              <w:left w:w="63" w:type="dxa"/>
            </w:tcMar>
            <w:vAlign w:val="center"/>
          </w:tcPr>
          <w:p w14:paraId="4AB87B56" w14:textId="77777777" w:rsidR="008E00E9" w:rsidRDefault="00D06132">
            <w:pPr>
              <w:widowControl w:val="0"/>
              <w:spacing w:before="120" w:after="0" w:line="480" w:lineRule="auto"/>
              <w:jc w:val="center"/>
            </w:pPr>
            <w:r>
              <w:rPr>
                <w:rFonts w:ascii="Times New Roman" w:hAnsi="Times New Roman" w:cs="Times New Roman"/>
                <w:sz w:val="24"/>
                <w:szCs w:val="24"/>
                <w:lang w:val="hr-HR"/>
              </w:rPr>
              <w:t>Ostali odjeli / službe</w:t>
            </w:r>
          </w:p>
        </w:tc>
        <w:tc>
          <w:tcPr>
            <w:tcW w:w="1071" w:type="dxa"/>
            <w:shd w:val="clear" w:color="auto" w:fill="auto"/>
            <w:tcMar>
              <w:left w:w="63" w:type="dxa"/>
            </w:tcMar>
            <w:vAlign w:val="center"/>
          </w:tcPr>
          <w:p w14:paraId="2260753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3,01</w:t>
            </w:r>
          </w:p>
        </w:tc>
        <w:tc>
          <w:tcPr>
            <w:tcW w:w="1071" w:type="dxa"/>
            <w:shd w:val="clear" w:color="auto" w:fill="auto"/>
            <w:tcMar>
              <w:left w:w="63" w:type="dxa"/>
            </w:tcMar>
            <w:vAlign w:val="center"/>
          </w:tcPr>
          <w:p w14:paraId="697DE385"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2,74</w:t>
            </w:r>
          </w:p>
        </w:tc>
        <w:tc>
          <w:tcPr>
            <w:tcW w:w="1070" w:type="dxa"/>
            <w:shd w:val="clear" w:color="auto" w:fill="auto"/>
            <w:tcMar>
              <w:left w:w="63" w:type="dxa"/>
            </w:tcMar>
            <w:vAlign w:val="center"/>
          </w:tcPr>
          <w:p w14:paraId="1D8E610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2,47</w:t>
            </w:r>
          </w:p>
        </w:tc>
      </w:tr>
    </w:tbl>
    <w:p w14:paraId="5BCC6AFA" w14:textId="77777777" w:rsidR="008E00E9" w:rsidRDefault="00D06132">
      <w:pPr>
        <w:pStyle w:val="Stilnaslova1"/>
        <w:spacing w:after="240" w:line="480" w:lineRule="auto"/>
        <w:rPr>
          <w:rFonts w:ascii="Times New Roman" w:hAnsi="Times New Roman"/>
        </w:rPr>
      </w:pPr>
      <w:bookmarkStart w:id="8" w:name="__RefHeading___Toc797_2411089429"/>
      <w:bookmarkStart w:id="9" w:name="_Toc6250722"/>
      <w:bookmarkStart w:id="10" w:name="__RefHeading___Toc799_2411089429"/>
      <w:bookmarkStart w:id="11" w:name="_Toc6250723"/>
      <w:bookmarkEnd w:id="8"/>
      <w:bookmarkEnd w:id="9"/>
      <w:bookmarkEnd w:id="10"/>
      <w:bookmarkEnd w:id="11"/>
      <w:r>
        <w:rPr>
          <w:rFonts w:ascii="Times New Roman" w:hAnsi="Times New Roman" w:cs="Times New Roman"/>
          <w:color w:val="00000A"/>
          <w:lang w:val="hr-HR"/>
        </w:rPr>
        <w:t>DISKUSIJA</w:t>
      </w:r>
    </w:p>
    <w:p w14:paraId="4C30E1F2" w14:textId="77777777" w:rsidR="008E00E9" w:rsidRDefault="00D06132">
      <w:pPr>
        <w:pStyle w:val="Stilnaslova2"/>
        <w:numPr>
          <w:ilvl w:val="1"/>
          <w:numId w:val="2"/>
        </w:numPr>
        <w:spacing w:line="480" w:lineRule="auto"/>
        <w:rPr>
          <w:rFonts w:ascii="Times New Roman" w:hAnsi="Times New Roman"/>
          <w:color w:val="000000"/>
        </w:rPr>
      </w:pPr>
      <w:r>
        <w:rPr>
          <w:rFonts w:ascii="Times New Roman" w:hAnsi="Times New Roman"/>
          <w:color w:val="000000"/>
          <w:sz w:val="24"/>
          <w:szCs w:val="24"/>
        </w:rPr>
        <w:t>Potrošnja antibiotika</w:t>
      </w:r>
    </w:p>
    <w:p w14:paraId="0A58D4B0" w14:textId="7608BED3" w:rsidR="008E00E9" w:rsidRDefault="00D06132">
      <w:pPr>
        <w:spacing w:line="480" w:lineRule="auto"/>
        <w:jc w:val="both"/>
      </w:pPr>
      <w:r>
        <w:rPr>
          <w:rFonts w:ascii="Times New Roman" w:hAnsi="Times New Roman" w:cs="Times New Roman"/>
          <w:sz w:val="24"/>
          <w:szCs w:val="24"/>
          <w:lang w:val="hr-HR"/>
        </w:rPr>
        <w:t>Pretpostavlja se da će do 2050 godine antimikrobna rezistencija biti odgovorna za smrt oko 10 miliona ljudi, osim toga troškovi će iznositi oko 100 triliona američkih dolara</w:t>
      </w:r>
      <w:r w:rsidR="002D5E2C">
        <w:rPr>
          <w:rFonts w:ascii="Times New Roman" w:hAnsi="Times New Roman" w:cs="Times New Roman"/>
          <w:sz w:val="24"/>
          <w:szCs w:val="24"/>
          <w:lang w:val="hr-HR"/>
        </w:rPr>
        <w:t xml:space="preserve"> </w:t>
      </w:r>
      <w:r w:rsidR="008F51DD">
        <w:rPr>
          <w:rFonts w:ascii="Times New Roman" w:hAnsi="Times New Roman" w:cs="Times New Roman"/>
          <w:sz w:val="24"/>
          <w:szCs w:val="24"/>
          <w:lang w:val="hr-HR"/>
        </w:rPr>
        <w:t>(7)</w:t>
      </w:r>
      <w:r w:rsidR="002D5E2C">
        <w:rPr>
          <w:rFonts w:ascii="Times New Roman" w:hAnsi="Times New Roman" w:cs="Times New Roman"/>
          <w:sz w:val="24"/>
          <w:szCs w:val="24"/>
          <w:lang w:val="hr-HR"/>
        </w:rPr>
        <w:t>.</w:t>
      </w:r>
      <w:r>
        <w:rPr>
          <w:rFonts w:ascii="Times New Roman" w:hAnsi="Times New Roman" w:cs="Times New Roman"/>
          <w:sz w:val="24"/>
          <w:szCs w:val="24"/>
          <w:lang w:val="hr-HR"/>
        </w:rPr>
        <w:t xml:space="preserve"> Principi prevencije i kontrole infekcija ostaju temelj za širenje prevencije infekcija i kamen temeljac u borbi protiv širenja antibiotske rezistencije (</w:t>
      </w:r>
      <w:r w:rsidR="00C81BA5">
        <w:rPr>
          <w:rFonts w:ascii="Times New Roman" w:hAnsi="Times New Roman" w:cs="Times New Roman"/>
          <w:sz w:val="24"/>
          <w:szCs w:val="24"/>
          <w:lang w:val="hr-HR"/>
        </w:rPr>
        <w:t>8</w:t>
      </w:r>
      <w:r>
        <w:rPr>
          <w:rFonts w:ascii="Times New Roman" w:hAnsi="Times New Roman" w:cs="Times New Roman"/>
          <w:sz w:val="24"/>
          <w:szCs w:val="24"/>
          <w:lang w:val="hr-HR"/>
        </w:rPr>
        <w:t>).</w:t>
      </w:r>
    </w:p>
    <w:p w14:paraId="0CE41A44" w14:textId="66CA608E" w:rsidR="008E00E9" w:rsidRDefault="00D06132">
      <w:pPr>
        <w:spacing w:line="480" w:lineRule="auto"/>
        <w:jc w:val="both"/>
      </w:pPr>
      <w:r>
        <w:rPr>
          <w:rFonts w:ascii="Times New Roman" w:hAnsi="Times New Roman" w:cs="Times New Roman"/>
          <w:sz w:val="24"/>
          <w:szCs w:val="24"/>
          <w:lang w:val="hr-HR"/>
        </w:rPr>
        <w:lastRenderedPageBreak/>
        <w:t>Kada uporedimo potrošnju rezervnih antibiotika u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Bihać (tabela br 1.) sa potrošnjom u drugim medicinskim centrima u regionu , u ovom slučaju sa KBC „Bežanijska kosa“ Beograd, Srbija može se istaći da je potrošnja antibiotika bila na jednom  sasvim zadovoljavajućem nivou. Za poređenje su uzeti antibiotici sa liste rezervnih antibiotika (uz dodatak cefazolina)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Bihać. Posmatran je i udio u ukupnoj potrošnji antibiotika, kirurških odjela  KB „Dr. Irfan Ljubijankić“ Bihać (tabela br 2.). KBC „Bežanijska kosa“ Beograd Srbija je u periodu 2010. – 2012. imao sljedeće rezultate izražene kao DDD/ 100 postelja/dan: Ceftriakson  2010. 11,431, 2011. 8,538, 2012. 11,152.; Imipenem sa inhibitorom enzima 2010. 1,813, 2011. 1,374, 2012. 1,690.;</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Cefazolin 2010. 0,083, 2011. 0,296, 2012. 0,971.; Amoksicilin sa inhibitorom enzima 2010. 0,379, 2011. 0,401, 2012. 0,317 (</w:t>
      </w:r>
      <w:r w:rsidR="007E78B0">
        <w:rPr>
          <w:rFonts w:ascii="Times New Roman" w:hAnsi="Times New Roman" w:cs="Times New Roman"/>
          <w:sz w:val="24"/>
          <w:szCs w:val="24"/>
          <w:lang w:val="hr-HR"/>
        </w:rPr>
        <w:t>9</w:t>
      </w:r>
      <w:r>
        <w:rPr>
          <w:rFonts w:ascii="Times New Roman" w:hAnsi="Times New Roman" w:cs="Times New Roman"/>
          <w:sz w:val="24"/>
          <w:szCs w:val="24"/>
          <w:lang w:val="hr-HR"/>
        </w:rPr>
        <w:t>).</w:t>
      </w:r>
    </w:p>
    <w:p w14:paraId="25D04A44" w14:textId="77777777"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Prema prikazanim rezultatima možemo vidjeti da su najveći udio u ukupnoj potrošnji posmatranih antibiotika u obe ustanove imali cefalosporinski antibiotici, prije svih ceftriakson koji se izdvaja po svojoj potrošnji sa tendencijom blagog godišnjeg porasta . </w:t>
      </w:r>
    </w:p>
    <w:p w14:paraId="42BDE8F2" w14:textId="7F8A3E90" w:rsidR="008E00E9" w:rsidRDefault="00D06132">
      <w:pPr>
        <w:spacing w:line="480" w:lineRule="auto"/>
        <w:jc w:val="both"/>
      </w:pPr>
      <w:r>
        <w:rPr>
          <w:rFonts w:ascii="Times New Roman" w:hAnsi="Times New Roman" w:cs="Times New Roman"/>
          <w:sz w:val="24"/>
          <w:szCs w:val="24"/>
          <w:lang w:val="hr-HR"/>
        </w:rPr>
        <w:t>Na kirurškim odjelima  KB.“Dr. Irfan Ljubijankić“ Bihać, po potrošnji se  izdvaja cefazolin. Primjećujemo da je KBC</w:t>
      </w:r>
      <w:r w:rsidR="008A3DBA">
        <w:rPr>
          <w:rFonts w:ascii="Times New Roman" w:hAnsi="Times New Roman" w:cs="Times New Roman"/>
          <w:sz w:val="24"/>
          <w:szCs w:val="24"/>
          <w:lang w:val="hr-HR"/>
        </w:rPr>
        <w:t xml:space="preserve"> </w:t>
      </w:r>
      <w:r>
        <w:rPr>
          <w:rFonts w:ascii="Times New Roman" w:hAnsi="Times New Roman" w:cs="Times New Roman"/>
          <w:sz w:val="24"/>
          <w:szCs w:val="24"/>
          <w:lang w:val="hr-HR"/>
        </w:rPr>
        <w:t>„Bežanijska kosa“</w:t>
      </w:r>
      <w:r w:rsidR="008A3DBA">
        <w:rPr>
          <w:rFonts w:ascii="Times New Roman" w:hAnsi="Times New Roman" w:cs="Times New Roman"/>
          <w:sz w:val="24"/>
          <w:szCs w:val="24"/>
          <w:lang w:val="hr-HR"/>
        </w:rPr>
        <w:t xml:space="preserve"> </w:t>
      </w:r>
      <w:r>
        <w:rPr>
          <w:rFonts w:ascii="Times New Roman" w:hAnsi="Times New Roman" w:cs="Times New Roman"/>
          <w:sz w:val="24"/>
          <w:szCs w:val="24"/>
          <w:lang w:val="hr-HR"/>
        </w:rPr>
        <w:t>Beograd imala znatno veću potrošnju u odnosu na KB „Dr. Irfan Ljubijankić“ Bihać.</w:t>
      </w:r>
    </w:p>
    <w:p w14:paraId="0A9E6861" w14:textId="77777777" w:rsidR="008E00E9" w:rsidRDefault="00D06132">
      <w:pPr>
        <w:spacing w:after="0"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Naravno ovo poređenje možemo smatrati samo kao grubo poređenje na osnovu ATC / DDD metodologije. Za neke dublje i detaljnije analize morali bismo raspolagati znatno konkretnijim i preciznijim podacima, koji bi nam na kraju otkrili koji su to faktori koji čine razliku u potrošnji između ove dvije ustanove.</w:t>
      </w:r>
    </w:p>
    <w:p w14:paraId="7A170A41" w14:textId="77777777" w:rsidR="008E00E9" w:rsidRDefault="008E00E9">
      <w:pPr>
        <w:spacing w:after="0" w:line="480" w:lineRule="auto"/>
        <w:jc w:val="both"/>
        <w:rPr>
          <w:rFonts w:ascii="Times New Roman" w:hAnsi="Times New Roman"/>
        </w:rPr>
      </w:pPr>
    </w:p>
    <w:p w14:paraId="60F16895" w14:textId="77777777" w:rsidR="008E00E9" w:rsidRDefault="00D06132">
      <w:pPr>
        <w:spacing w:line="480" w:lineRule="auto"/>
        <w:jc w:val="both"/>
      </w:pPr>
      <w:r>
        <w:rPr>
          <w:rFonts w:ascii="Times New Roman" w:hAnsi="Times New Roman" w:cs="Times New Roman"/>
          <w:b/>
          <w:sz w:val="24"/>
          <w:szCs w:val="24"/>
          <w:lang w:val="hr-HR"/>
        </w:rPr>
        <w:lastRenderedPageBreak/>
        <w:t>Mikrobiološki i higijenskoepidemiološki profil Kantonalne Bolnice „Dr.Irfan Ljubijankić “Bihać</w:t>
      </w:r>
    </w:p>
    <w:p w14:paraId="2845F778" w14:textId="49F672B6" w:rsidR="008E00E9" w:rsidRDefault="00D06132">
      <w:pPr>
        <w:spacing w:line="480" w:lineRule="auto"/>
        <w:jc w:val="both"/>
      </w:pPr>
      <w:r>
        <w:rPr>
          <w:rFonts w:ascii="Times New Roman" w:hAnsi="Times New Roman" w:cs="Times New Roman"/>
          <w:sz w:val="24"/>
          <w:szCs w:val="24"/>
          <w:lang w:val="hr-HR"/>
        </w:rPr>
        <w:t>Klebsiella pneumoniae uobičajena je crijevna bakterija koja može uzrokovati infekcije opasne po život. Otpornost K. Pneumoniae na liječenje u krajnjem slučaju (karbapenemski antibiotici) proširila se na sve regije u svijetu (</w:t>
      </w:r>
      <w:r w:rsidR="007E78B0">
        <w:rPr>
          <w:rFonts w:ascii="Times New Roman" w:hAnsi="Times New Roman" w:cs="Times New Roman"/>
          <w:sz w:val="24"/>
          <w:szCs w:val="24"/>
          <w:lang w:val="hr-HR"/>
        </w:rPr>
        <w:t>10</w:t>
      </w:r>
      <w:r>
        <w:rPr>
          <w:rFonts w:ascii="Times New Roman" w:hAnsi="Times New Roman" w:cs="Times New Roman"/>
          <w:sz w:val="24"/>
          <w:szCs w:val="24"/>
          <w:lang w:val="hr-HR"/>
        </w:rPr>
        <w:t>). K. Pneumoniae je glavni uzrok bolničkih infekcija u svijetu, kao što je upala pluća, infekcije krvotoka, infekcije novorođenčadi i pacijenata na jedinicama intenzivne njege</w:t>
      </w:r>
      <w:r w:rsidR="007E78B0">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007E78B0">
        <w:rPr>
          <w:rFonts w:ascii="Times New Roman" w:hAnsi="Times New Roman" w:cs="Times New Roman"/>
          <w:sz w:val="24"/>
          <w:szCs w:val="24"/>
          <w:lang w:val="hr-HR"/>
        </w:rPr>
        <w:t>10</w:t>
      </w:r>
      <w:r>
        <w:rPr>
          <w:rFonts w:ascii="Times New Roman" w:hAnsi="Times New Roman" w:cs="Times New Roman"/>
          <w:sz w:val="24"/>
          <w:szCs w:val="24"/>
          <w:lang w:val="hr-HR"/>
        </w:rPr>
        <w:t>).</w:t>
      </w:r>
      <w:r w:rsidR="007E78B0">
        <w:rPr>
          <w:rFonts w:ascii="Times New Roman" w:hAnsi="Times New Roman" w:cs="Times New Roman"/>
          <w:sz w:val="24"/>
          <w:szCs w:val="24"/>
          <w:lang w:val="hr-HR"/>
        </w:rPr>
        <w:t xml:space="preserve"> </w:t>
      </w:r>
      <w:r>
        <w:rPr>
          <w:rFonts w:ascii="Times New Roman" w:hAnsi="Times New Roman" w:cs="Times New Roman"/>
          <w:sz w:val="24"/>
          <w:szCs w:val="24"/>
          <w:lang w:val="hr-HR"/>
        </w:rPr>
        <w:t>U nekim zemljama karbapenemski antibiotici zbog rezistencije ne djeluju u više od polovice pacijenata liječenih od K. Pneumoniae (</w:t>
      </w:r>
      <w:r w:rsidR="007E78B0">
        <w:rPr>
          <w:rFonts w:ascii="Times New Roman" w:hAnsi="Times New Roman" w:cs="Times New Roman"/>
          <w:sz w:val="24"/>
          <w:szCs w:val="24"/>
          <w:lang w:val="hr-HR"/>
        </w:rPr>
        <w:t>10</w:t>
      </w:r>
      <w:r>
        <w:rPr>
          <w:rFonts w:ascii="Times New Roman" w:hAnsi="Times New Roman" w:cs="Times New Roman"/>
          <w:sz w:val="24"/>
          <w:szCs w:val="24"/>
          <w:lang w:val="hr-HR"/>
        </w:rPr>
        <w:t>).</w:t>
      </w:r>
    </w:p>
    <w:p w14:paraId="1F337A2E" w14:textId="46EEF018"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Na prikazanim rezultatima o broju uzetih uzoraka (slika br 1.), procentu izolovanih uzoraka (slika br 2.) te vrsti izolata koji su izolovani mikrobiološkom analizom (tabela br 3), na kirurškim odjelima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Ljubijankić“Bihać, primjećujemo izuzetno visok postotak izolata u odnosu na vrlo mali broj uzetih uzoraka na ovim odjelima. Također primjećujemo da je uzorkovanjem od strane Higijenskoepidemiološke (HES) službe dobijen daleko manji postotak izolata (slika br 4.) u odnosu na znatno veći broj uzetih uzoraka</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(slika br 3.). </w:t>
      </w:r>
    </w:p>
    <w:p w14:paraId="2D82F89D" w14:textId="1E3CEADC" w:rsidR="00EE56CB" w:rsidRDefault="00D06132" w:rsidP="00C71BDB">
      <w:pPr>
        <w:spacing w:after="0"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Najveći postotak izolata izolovan je na jedinici intenzivnog liječenja kirurgije i odjelu kirurgije. Konstantnom primjenom higijenskoepidemioloških mjera, koje provodi Higijenskoepidemiološka-služba u </w:t>
      </w:r>
      <w:r w:rsidR="00B2783E">
        <w:rPr>
          <w:rFonts w:ascii="Times New Roman" w:hAnsi="Times New Roman" w:cs="Times New Roman"/>
          <w:sz w:val="24"/>
          <w:szCs w:val="24"/>
          <w:lang w:val="hr-HR"/>
        </w:rPr>
        <w:t>samoj</w:t>
      </w:r>
      <w:r>
        <w:rPr>
          <w:rFonts w:ascii="Times New Roman" w:hAnsi="Times New Roman" w:cs="Times New Roman"/>
          <w:sz w:val="24"/>
          <w:szCs w:val="24"/>
          <w:lang w:val="hr-HR"/>
        </w:rPr>
        <w:t xml:space="preserve"> ustanovi, otklanjaju se nedostatci koji bivaju uočeni na bolničkim odjelima. Što se tiče bakterijskog statusa  u posmatranom periodu daleko najveće prisustvo su imale Enterobakterije (tabela br 3.). Primjetno je i prisustvo Staphylococcusa spp. na svim odjelima  izuzev urologije, s tim što je u 2015. i 2016. godini </w:t>
      </w:r>
      <w:r>
        <w:rPr>
          <w:rFonts w:ascii="Times New Roman" w:hAnsi="Times New Roman" w:cs="Times New Roman"/>
          <w:sz w:val="24"/>
          <w:szCs w:val="24"/>
          <w:lang w:val="hr-HR"/>
        </w:rPr>
        <w:lastRenderedPageBreak/>
        <w:t xml:space="preserve">na odjelu kirurgije primjećeno prisustvo </w:t>
      </w:r>
      <w:r>
        <w:rPr>
          <w:rFonts w:ascii="Times New Roman" w:hAnsi="Times New Roman" w:cs="Times New Roman"/>
          <w:i/>
          <w:sz w:val="24"/>
          <w:szCs w:val="24"/>
          <w:lang w:val="hr-HR"/>
        </w:rPr>
        <w:t xml:space="preserve">Staphylococcus aureus-mrsa soja. </w:t>
      </w:r>
      <w:r>
        <w:rPr>
          <w:rFonts w:ascii="Times New Roman" w:hAnsi="Times New Roman" w:cs="Times New Roman"/>
          <w:sz w:val="24"/>
          <w:szCs w:val="24"/>
          <w:lang w:val="hr-HR"/>
        </w:rPr>
        <w:t xml:space="preserve">Treba naglasiti prisustvo </w:t>
      </w:r>
      <w:r>
        <w:rPr>
          <w:rFonts w:ascii="Times New Roman" w:hAnsi="Times New Roman" w:cs="Times New Roman"/>
          <w:i/>
          <w:sz w:val="24"/>
          <w:szCs w:val="24"/>
          <w:lang w:val="hr-HR"/>
        </w:rPr>
        <w:t>Pseudomonasa spp</w:t>
      </w:r>
      <w:r>
        <w:rPr>
          <w:rFonts w:ascii="Times New Roman" w:hAnsi="Times New Roman" w:cs="Times New Roman"/>
          <w:sz w:val="24"/>
          <w:szCs w:val="24"/>
          <w:lang w:val="hr-HR"/>
        </w:rPr>
        <w:t xml:space="preserve">. i </w:t>
      </w:r>
      <w:r>
        <w:rPr>
          <w:rFonts w:ascii="Times New Roman" w:hAnsi="Times New Roman" w:cs="Times New Roman"/>
          <w:i/>
          <w:iCs/>
          <w:sz w:val="24"/>
          <w:szCs w:val="24"/>
          <w:lang w:val="hr-HR"/>
        </w:rPr>
        <w:t xml:space="preserve">Acinetobacter spp. </w:t>
      </w:r>
      <w:r>
        <w:rPr>
          <w:rFonts w:ascii="Times New Roman" w:hAnsi="Times New Roman" w:cs="Times New Roman"/>
          <w:sz w:val="24"/>
          <w:szCs w:val="24"/>
          <w:lang w:val="hr-HR"/>
        </w:rPr>
        <w:t>na odjelima kirurgije i jedinice intenzivnog liječenja kirurgije. Sve ove izolovane bakterije su vodeći uzročnici bolničkih infekcija na kirurškim odjelima.</w:t>
      </w:r>
      <w:bookmarkStart w:id="12" w:name="__RefHeading___Toc803_2411089429"/>
      <w:bookmarkEnd w:id="12"/>
    </w:p>
    <w:p w14:paraId="4FCE6536" w14:textId="3D5D36EC" w:rsidR="008E00E9" w:rsidRDefault="00D06132">
      <w:pPr>
        <w:spacing w:line="480" w:lineRule="auto"/>
        <w:jc w:val="both"/>
      </w:pPr>
      <w:r>
        <w:rPr>
          <w:rFonts w:ascii="Times New Roman" w:hAnsi="Times New Roman" w:cs="Times New Roman"/>
          <w:sz w:val="24"/>
          <w:szCs w:val="24"/>
          <w:lang w:val="hr-HR"/>
        </w:rPr>
        <w:t>Kad uporedimo rezultate stope incidencije intrahospitalnih infekcija u KB</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Bihać sa rezultatima na pojedinim odjelima bolnica u Republici Srbiji iz perioda 2007.-2009. hirurgija 2007.0,1-4,0, 2008.0,2-3,3, 2009.0,1-2,3, ortopedija 2007.0,5-9,0, 2008.0,2-9,0, 2009.0,2-13,0, intenzivna njega 2007.0,5-40,6, 2008.0,3-18,0, 2009. 0,0-33,0, urologija 2007.0,3-9,9, 2008.0,1-6,1, 2009.0,2-9,0 ginekologija/akušerstvo 2007.0,1-5,7, 2008. 0,1-3,1, 2009.0,3-8,0 (1</w:t>
      </w:r>
      <w:r w:rsidR="00EE56CB">
        <w:rPr>
          <w:rFonts w:ascii="Times New Roman" w:hAnsi="Times New Roman" w:cs="Times New Roman"/>
          <w:sz w:val="24"/>
          <w:szCs w:val="24"/>
          <w:lang w:val="hr-HR"/>
        </w:rPr>
        <w:t>1</w:t>
      </w:r>
      <w:r>
        <w:rPr>
          <w:rFonts w:ascii="Times New Roman" w:hAnsi="Times New Roman" w:cs="Times New Roman"/>
          <w:sz w:val="24"/>
          <w:szCs w:val="24"/>
          <w:lang w:val="hr-HR"/>
        </w:rPr>
        <w:t>). Primjećujemo značajno veću stopu incidencije bolničkih infekcija u bolnicama na pojedinim odjelima u Republici Srbiji u odnosu na stopu incidencije bolničkih infekcija na odjelima kirurških grana KB</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Bihać. Sve ovo nam govori da su mjere koje se provode u samoj ustanovi dale svoj puni efekat. Tu</w:t>
      </w:r>
      <w:r w:rsidR="003E2510">
        <w:rPr>
          <w:rFonts w:ascii="Times New Roman" w:hAnsi="Times New Roman" w:cs="Times New Roman"/>
          <w:sz w:val="24"/>
          <w:szCs w:val="24"/>
          <w:lang w:val="hr-HR"/>
        </w:rPr>
        <w:t xml:space="preserve"> se</w:t>
      </w:r>
      <w:r>
        <w:rPr>
          <w:rFonts w:ascii="Times New Roman" w:hAnsi="Times New Roman" w:cs="Times New Roman"/>
          <w:sz w:val="24"/>
          <w:szCs w:val="24"/>
          <w:lang w:val="hr-HR"/>
        </w:rPr>
        <w:t xml:space="preserve"> prije svega misli na </w:t>
      </w:r>
      <w:r w:rsidR="003E2510">
        <w:rPr>
          <w:rFonts w:ascii="Times New Roman" w:hAnsi="Times New Roman" w:cs="Times New Roman"/>
          <w:sz w:val="24"/>
          <w:szCs w:val="24"/>
          <w:lang w:val="hr-HR"/>
        </w:rPr>
        <w:t xml:space="preserve"> mjere </w:t>
      </w:r>
      <w:r>
        <w:rPr>
          <w:rFonts w:ascii="Times New Roman" w:hAnsi="Times New Roman" w:cs="Times New Roman"/>
          <w:sz w:val="24"/>
          <w:szCs w:val="24"/>
          <w:lang w:val="hr-HR"/>
        </w:rPr>
        <w:t>racionaln</w:t>
      </w:r>
      <w:r w:rsidR="003E2510">
        <w:rPr>
          <w:rFonts w:ascii="Times New Roman" w:hAnsi="Times New Roman" w:cs="Times New Roman"/>
          <w:sz w:val="24"/>
          <w:szCs w:val="24"/>
          <w:lang w:val="hr-HR"/>
        </w:rPr>
        <w:t>e</w:t>
      </w:r>
      <w:r>
        <w:rPr>
          <w:rFonts w:ascii="Times New Roman" w:hAnsi="Times New Roman" w:cs="Times New Roman"/>
          <w:sz w:val="24"/>
          <w:szCs w:val="24"/>
          <w:lang w:val="hr-HR"/>
        </w:rPr>
        <w:t xml:space="preserve"> upotreb</w:t>
      </w:r>
      <w:r w:rsidR="003E2510">
        <w:rPr>
          <w:rFonts w:ascii="Times New Roman" w:hAnsi="Times New Roman" w:cs="Times New Roman"/>
          <w:sz w:val="24"/>
          <w:szCs w:val="24"/>
          <w:lang w:val="hr-HR"/>
        </w:rPr>
        <w:t>e</w:t>
      </w:r>
      <w:r>
        <w:rPr>
          <w:rFonts w:ascii="Times New Roman" w:hAnsi="Times New Roman" w:cs="Times New Roman"/>
          <w:sz w:val="24"/>
          <w:szCs w:val="24"/>
          <w:lang w:val="hr-HR"/>
        </w:rPr>
        <w:t xml:space="preserve"> antibiotika i</w:t>
      </w:r>
      <w:r w:rsidR="003E2510">
        <w:rPr>
          <w:rFonts w:ascii="Times New Roman" w:hAnsi="Times New Roman" w:cs="Times New Roman"/>
          <w:sz w:val="24"/>
          <w:szCs w:val="24"/>
          <w:lang w:val="hr-HR"/>
        </w:rPr>
        <w:t xml:space="preserve"> konstantnu primjenu</w:t>
      </w:r>
      <w:r>
        <w:rPr>
          <w:rFonts w:ascii="Times New Roman" w:hAnsi="Times New Roman" w:cs="Times New Roman"/>
          <w:sz w:val="24"/>
          <w:szCs w:val="24"/>
          <w:lang w:val="hr-HR"/>
        </w:rPr>
        <w:t xml:space="preserve">  higijenskoepidemiološk</w:t>
      </w:r>
      <w:r w:rsidR="00765846">
        <w:rPr>
          <w:rFonts w:ascii="Times New Roman" w:hAnsi="Times New Roman" w:cs="Times New Roman"/>
          <w:sz w:val="24"/>
          <w:szCs w:val="24"/>
          <w:lang w:val="hr-HR"/>
        </w:rPr>
        <w:t>ih</w:t>
      </w:r>
      <w:r>
        <w:rPr>
          <w:rFonts w:ascii="Times New Roman" w:hAnsi="Times New Roman" w:cs="Times New Roman"/>
          <w:sz w:val="24"/>
          <w:szCs w:val="24"/>
          <w:lang w:val="hr-HR"/>
        </w:rPr>
        <w:t xml:space="preserve"> mjer</w:t>
      </w:r>
      <w:r w:rsidR="00765846">
        <w:rPr>
          <w:rFonts w:ascii="Times New Roman" w:hAnsi="Times New Roman" w:cs="Times New Roman"/>
          <w:sz w:val="24"/>
          <w:szCs w:val="24"/>
          <w:lang w:val="hr-HR"/>
        </w:rPr>
        <w:t>a</w:t>
      </w:r>
      <w:r>
        <w:rPr>
          <w:rFonts w:ascii="Times New Roman" w:hAnsi="Times New Roman" w:cs="Times New Roman"/>
          <w:sz w:val="24"/>
          <w:szCs w:val="24"/>
          <w:lang w:val="hr-HR"/>
        </w:rPr>
        <w:t>.</w:t>
      </w:r>
      <w:bookmarkStart w:id="13" w:name="__RefHeading___Toc805_2411089429"/>
      <w:bookmarkEnd w:id="13"/>
      <w:r>
        <w:rPr>
          <w:rFonts w:ascii="Times New Roman" w:hAnsi="Times New Roman" w:cs="Times New Roman"/>
          <w:sz w:val="24"/>
          <w:szCs w:val="24"/>
          <w:lang w:val="hr-HR"/>
        </w:rPr>
        <w:t xml:space="preserve"> </w:t>
      </w:r>
    </w:p>
    <w:p w14:paraId="3C0DA95A" w14:textId="77777777" w:rsidR="008E00E9" w:rsidRDefault="00D06132">
      <w:pPr>
        <w:pStyle w:val="Stilnaslova1"/>
        <w:numPr>
          <w:ilvl w:val="0"/>
          <w:numId w:val="1"/>
        </w:numPr>
        <w:spacing w:before="0" w:line="480" w:lineRule="auto"/>
        <w:jc w:val="both"/>
        <w:rPr>
          <w:b w:val="0"/>
          <w:color w:val="000000" w:themeColor="text1"/>
        </w:rPr>
      </w:pPr>
      <w:r>
        <w:rPr>
          <w:color w:val="000000" w:themeColor="text1"/>
        </w:rPr>
        <w:t>ZAKLJUČAK</w:t>
      </w:r>
    </w:p>
    <w:p w14:paraId="0F8B29A4" w14:textId="094B8E8F" w:rsidR="00C71BDB" w:rsidRDefault="00D06132" w:rsidP="008B182F">
      <w:pPr>
        <w:pStyle w:val="Stilnaslova1"/>
        <w:numPr>
          <w:ilvl w:val="0"/>
          <w:numId w:val="1"/>
        </w:numPr>
        <w:spacing w:before="0" w:line="480" w:lineRule="auto"/>
        <w:jc w:val="both"/>
        <w:rPr>
          <w:rFonts w:ascii="Times New Roman" w:hAnsi="Times New Roman" w:cs="Times New Roman"/>
          <w:b w:val="0"/>
          <w:color w:val="000000" w:themeColor="text1"/>
          <w:sz w:val="24"/>
          <w:szCs w:val="24"/>
          <w:lang w:val="hr-HR"/>
        </w:rPr>
      </w:pPr>
      <w:r w:rsidRPr="00C71BDB">
        <w:rPr>
          <w:rFonts w:ascii="Times New Roman" w:hAnsi="Times New Roman" w:cs="Times New Roman"/>
          <w:b w:val="0"/>
          <w:color w:val="000000" w:themeColor="text1"/>
          <w:sz w:val="24"/>
          <w:szCs w:val="24"/>
          <w:lang w:val="hr-HR"/>
        </w:rPr>
        <w:t xml:space="preserve">Potrošnja rezervnih antibiotika sa dodatkom cefazolina u ustanovi i na odjelima kirurških grana u KB „Dr. Irfan Ljubijankić“ Bihać, bila je na jednom sasvim zadovoljavajućem nivou. Primjenom odgovarajućih restriktivnih i preventivnih mjera došlo se do racionalnije i svrsishodnije  primjene rezervnih antibiotika u samoj ustanovi i na odjelima kirurških grana. </w:t>
      </w:r>
      <w:bookmarkStart w:id="14" w:name="__RefHeading___Toc807_2411089429"/>
      <w:bookmarkStart w:id="15" w:name="_Toc6250727"/>
      <w:bookmarkStart w:id="16" w:name="_Toc2379028"/>
      <w:bookmarkEnd w:id="14"/>
      <w:bookmarkEnd w:id="15"/>
      <w:bookmarkEnd w:id="16"/>
    </w:p>
    <w:p w14:paraId="32A8B4F4" w14:textId="77777777" w:rsidR="00C71BDB" w:rsidRPr="00C71BDB" w:rsidRDefault="00C71BDB" w:rsidP="00C71BDB">
      <w:pPr>
        <w:rPr>
          <w:lang w:val="hr-HR"/>
        </w:rPr>
      </w:pPr>
    </w:p>
    <w:p w14:paraId="3B38A29E" w14:textId="64DF1532" w:rsidR="008E00E9" w:rsidRDefault="00D06132">
      <w:pPr>
        <w:spacing w:line="480" w:lineRule="auto"/>
        <w:jc w:val="both"/>
      </w:pPr>
      <w:r>
        <w:rPr>
          <w:rFonts w:ascii="Times New Roman" w:hAnsi="Times New Roman" w:cs="Times New Roman"/>
          <w:sz w:val="24"/>
          <w:szCs w:val="24"/>
          <w:lang w:val="hr-HR"/>
        </w:rPr>
        <w:lastRenderedPageBreak/>
        <w:t>Analizom mikrobiološkog i higijenskoepidemiološkog profila odjela i pacijenata na kirurškim odjelima KB.</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Bihać, utvrdili smo da se vodeći uzročnici bolničkih infekcija u ustanovi i na odjelima kirurških grana ne razlikuju od sličnih ustanova i odjela u regionu i šire. Poduzetim higijenskoepidemiološkim mjerama ispravljeni su uočeni nedostatci na kirurških odjelima, što je na kraju rezultiralo veoma niskom stopom intrahospitalnih infekcija u odnosu na druge ustanove u regionu.</w:t>
      </w:r>
      <w:r w:rsidR="00EE56CB">
        <w:rPr>
          <w:rFonts w:ascii="Times New Roman" w:hAnsi="Times New Roman" w:cs="Times New Roman"/>
          <w:sz w:val="24"/>
          <w:szCs w:val="24"/>
          <w:lang w:val="hr-HR"/>
        </w:rPr>
        <w:t xml:space="preserve"> </w:t>
      </w:r>
      <w:r>
        <w:rPr>
          <w:rFonts w:ascii="Times New Roman" w:hAnsi="Times New Roman" w:cs="Times New Roman"/>
          <w:sz w:val="24"/>
          <w:szCs w:val="24"/>
          <w:lang w:val="hr-HR"/>
        </w:rPr>
        <w:t>Na osnovu navedenih činjenica, sa sigurnošću se može istaći da je KB.</w:t>
      </w:r>
      <w:r w:rsidR="004F59C7">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w:t>
      </w:r>
      <w:r w:rsidR="004F59C7">
        <w:rPr>
          <w:rFonts w:ascii="Times New Roman" w:hAnsi="Times New Roman" w:cs="Times New Roman"/>
          <w:sz w:val="24"/>
          <w:szCs w:val="24"/>
          <w:lang w:val="hr-HR"/>
        </w:rPr>
        <w:t xml:space="preserve"> </w:t>
      </w:r>
      <w:r>
        <w:rPr>
          <w:rFonts w:ascii="Times New Roman" w:hAnsi="Times New Roman" w:cs="Times New Roman"/>
          <w:sz w:val="24"/>
          <w:szCs w:val="24"/>
          <w:lang w:val="hr-HR"/>
        </w:rPr>
        <w:t>Bihać unutar ustanove i na kirurškim odjelima uspjela održati zadovoljavajući kvalitet rada i na taj način osigurati bezbjednost pacijenata i svog osoblja.</w:t>
      </w:r>
    </w:p>
    <w:p w14:paraId="06C3490A" w14:textId="77777777" w:rsidR="008E00E9" w:rsidRDefault="00D06132">
      <w:pPr>
        <w:pStyle w:val="Stilnaslova1"/>
        <w:numPr>
          <w:ilvl w:val="0"/>
          <w:numId w:val="1"/>
        </w:numPr>
        <w:spacing w:line="480" w:lineRule="auto"/>
        <w:jc w:val="both"/>
        <w:rPr>
          <w:rFonts w:ascii="Times New Roman" w:hAnsi="Times New Roman" w:cs="Times New Roman"/>
          <w:sz w:val="24"/>
          <w:szCs w:val="24"/>
          <w:lang w:val="hr-HR"/>
        </w:rPr>
      </w:pPr>
      <w:r>
        <w:rPr>
          <w:rFonts w:ascii="Times New Roman" w:hAnsi="Times New Roman" w:cs="Times New Roman"/>
          <w:color w:val="00000A"/>
          <w:lang w:val="hr-HR"/>
        </w:rPr>
        <w:t>LITERATURA</w:t>
      </w:r>
    </w:p>
    <w:p w14:paraId="0CD5BC9C" w14:textId="62515C52"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[1]</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Sabo A, Tomić Z, Rašković A, Stanulović M. „Antibakterijski lekovi (sa ostalim antiinfektivnim lekovima)“, ALFAGRAF Petrovaradin, 4. izdanje Novi Sad 2014. str. 9-15, 20-25</w:t>
      </w:r>
    </w:p>
    <w:p w14:paraId="400CB07B" w14:textId="664FA295" w:rsidR="00425507" w:rsidRDefault="00425507">
      <w:pPr>
        <w:spacing w:line="480" w:lineRule="auto"/>
        <w:jc w:val="both"/>
      </w:pPr>
      <w:r>
        <w:rPr>
          <w:rFonts w:ascii="Times New Roman" w:hAnsi="Times New Roman" w:cs="Times New Roman"/>
          <w:sz w:val="24"/>
          <w:szCs w:val="24"/>
          <w:lang w:val="hr-HR"/>
        </w:rPr>
        <w:t>[2]</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Tiruchelvi Pullingam, Thaigarjan Pavumasivam, Kumar Sudesh; </w:t>
      </w:r>
      <w:r w:rsidR="00604859">
        <w:rPr>
          <w:rFonts w:ascii="Times New Roman" w:hAnsi="Times New Roman" w:cs="Times New Roman"/>
          <w:sz w:val="24"/>
          <w:szCs w:val="24"/>
          <w:lang w:val="hr-HR"/>
        </w:rPr>
        <w:t>„</w:t>
      </w:r>
      <w:r>
        <w:rPr>
          <w:rFonts w:ascii="Times New Roman" w:hAnsi="Times New Roman" w:cs="Times New Roman"/>
          <w:sz w:val="24"/>
          <w:szCs w:val="24"/>
          <w:lang w:val="hr-HR"/>
        </w:rPr>
        <w:t>Antimicrobial resistance. Prevalence, economic burden, mechanisms of resistance and strategy to overcome</w:t>
      </w:r>
      <w:r w:rsidR="00604859">
        <w:rPr>
          <w:rFonts w:ascii="Times New Roman" w:hAnsi="Times New Roman" w:cs="Times New Roman"/>
          <w:sz w:val="24"/>
          <w:szCs w:val="24"/>
          <w:lang w:val="hr-HR"/>
        </w:rPr>
        <w:t>“,</w:t>
      </w:r>
      <w:r>
        <w:rPr>
          <w:rFonts w:ascii="Times New Roman" w:hAnsi="Times New Roman" w:cs="Times New Roman"/>
          <w:sz w:val="24"/>
          <w:szCs w:val="24"/>
          <w:lang w:val="hr-HR"/>
        </w:rPr>
        <w:t xml:space="preserve"> European Jo</w:t>
      </w:r>
      <w:r w:rsidR="00765846">
        <w:rPr>
          <w:rFonts w:ascii="Times New Roman" w:hAnsi="Times New Roman" w:cs="Times New Roman"/>
          <w:sz w:val="24"/>
          <w:szCs w:val="24"/>
          <w:lang w:val="hr-HR"/>
        </w:rPr>
        <w:t>u</w:t>
      </w:r>
      <w:r>
        <w:rPr>
          <w:rFonts w:ascii="Times New Roman" w:hAnsi="Times New Roman" w:cs="Times New Roman"/>
          <w:sz w:val="24"/>
          <w:szCs w:val="24"/>
          <w:lang w:val="hr-HR"/>
        </w:rPr>
        <w:t>rnal of Pharmaceutical Sciences, 20 december 2021.</w:t>
      </w:r>
      <w:r w:rsidR="004F59C7">
        <w:rPr>
          <w:rFonts w:ascii="Times New Roman" w:hAnsi="Times New Roman" w:cs="Times New Roman"/>
          <w:sz w:val="24"/>
          <w:szCs w:val="24"/>
          <w:lang w:val="hr-HR"/>
        </w:rPr>
        <w:t xml:space="preserve"> </w:t>
      </w:r>
      <w:hyperlink r:id="rId16" w:history="1">
        <w:r w:rsidR="004F59C7" w:rsidRPr="0071711A">
          <w:rPr>
            <w:rStyle w:val="Hyperlink"/>
            <w:rFonts w:ascii="Times New Roman" w:hAnsi="Times New Roman" w:cs="Times New Roman"/>
            <w:sz w:val="24"/>
            <w:szCs w:val="24"/>
            <w:lang w:val="hr-HR"/>
          </w:rPr>
          <w:t>https://doi.org/10.1016/j.ejps.2021.106103</w:t>
        </w:r>
      </w:hyperlink>
      <w:r w:rsidR="004F59C7">
        <w:rPr>
          <w:rFonts w:ascii="Times New Roman" w:hAnsi="Times New Roman" w:cs="Times New Roman"/>
          <w:sz w:val="24"/>
          <w:szCs w:val="24"/>
          <w:lang w:val="hr-HR"/>
        </w:rPr>
        <w:t xml:space="preserve"> </w:t>
      </w:r>
    </w:p>
    <w:p w14:paraId="7EB15415" w14:textId="181D2472" w:rsidR="008E00E9" w:rsidRDefault="00D06132">
      <w:pPr>
        <w:spacing w:line="480" w:lineRule="auto"/>
        <w:jc w:val="both"/>
      </w:pPr>
      <w:r>
        <w:rPr>
          <w:rFonts w:ascii="Times New Roman" w:hAnsi="Times New Roman" w:cs="Times New Roman"/>
          <w:sz w:val="24"/>
          <w:szCs w:val="24"/>
          <w:lang w:val="hr-HR"/>
        </w:rPr>
        <w:t>[</w:t>
      </w:r>
      <w:r w:rsidR="00425507">
        <w:rPr>
          <w:rFonts w:ascii="Times New Roman" w:hAnsi="Times New Roman" w:cs="Times New Roman"/>
          <w:sz w:val="24"/>
          <w:szCs w:val="24"/>
          <w:lang w:val="hr-HR"/>
        </w:rPr>
        <w:t>3</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Tasić Lj, Marinković V, Pejović G, Vukmirović-Večerkov S, Pešić-Kotić V, Jović S. „Kvalitet u farmaciji od teorije do prakse“, Colografx d.o.o. Beograd 2012. str. 13, 24, 168-169, 176</w:t>
      </w:r>
    </w:p>
    <w:p w14:paraId="73F3984C" w14:textId="2E0F150C" w:rsidR="008E00E9" w:rsidRDefault="00D06132" w:rsidP="00604859">
      <w:pPr>
        <w:spacing w:line="480" w:lineRule="auto"/>
        <w:jc w:val="both"/>
      </w:pPr>
      <w:r>
        <w:rPr>
          <w:rFonts w:ascii="Times New Roman" w:hAnsi="Times New Roman" w:cs="Times New Roman"/>
          <w:sz w:val="24"/>
          <w:szCs w:val="24"/>
          <w:lang w:val="hr-HR"/>
        </w:rPr>
        <w:lastRenderedPageBreak/>
        <w:t>[</w:t>
      </w:r>
      <w:r w:rsidR="00425507">
        <w:rPr>
          <w:rFonts w:ascii="Times New Roman" w:hAnsi="Times New Roman" w:cs="Times New Roman"/>
          <w:sz w:val="24"/>
          <w:szCs w:val="24"/>
          <w:lang w:val="hr-HR"/>
        </w:rPr>
        <w:t>4</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sidR="00604859" w:rsidRPr="00604859">
        <w:rPr>
          <w:rFonts w:ascii="Times New Roman" w:hAnsi="Times New Roman" w:cs="Times New Roman"/>
          <w:sz w:val="24"/>
          <w:szCs w:val="24"/>
          <w:lang w:val="hr-HR"/>
        </w:rPr>
        <w:t>Baquero F.</w:t>
      </w:r>
      <w:r w:rsidR="00604859">
        <w:rPr>
          <w:rFonts w:ascii="Times New Roman" w:hAnsi="Times New Roman" w:cs="Times New Roman"/>
          <w:sz w:val="24"/>
          <w:szCs w:val="24"/>
          <w:lang w:val="hr-HR"/>
        </w:rPr>
        <w:t xml:space="preserve"> „T</w:t>
      </w:r>
      <w:r w:rsidR="00604859" w:rsidRPr="00425507">
        <w:rPr>
          <w:rFonts w:ascii="Times New Roman" w:hAnsi="Times New Roman" w:cs="Times New Roman"/>
          <w:sz w:val="24"/>
          <w:szCs w:val="24"/>
          <w:lang w:val="hr-HR"/>
        </w:rPr>
        <w:t>hreats of antibiotic resistance</w:t>
      </w:r>
      <w:r w:rsidR="00604859">
        <w:rPr>
          <w:rFonts w:ascii="Times New Roman" w:hAnsi="Times New Roman" w:cs="Times New Roman"/>
          <w:sz w:val="24"/>
          <w:szCs w:val="24"/>
          <w:lang w:val="hr-HR"/>
        </w:rPr>
        <w:t xml:space="preserve">„ </w:t>
      </w:r>
      <w:r w:rsidR="00604859" w:rsidRPr="00604859">
        <w:rPr>
          <w:rFonts w:ascii="Times New Roman" w:hAnsi="Times New Roman" w:cs="Times New Roman"/>
          <w:sz w:val="24"/>
          <w:szCs w:val="24"/>
          <w:lang w:val="hr-HR"/>
        </w:rPr>
        <w:t>Int Microbiol. 2021 Nov;24(4):499-506. doi: 10.1007/s10123-021-00184-y. Epub 2021 May 24.</w:t>
      </w:r>
      <w:r w:rsidR="00604859">
        <w:rPr>
          <w:rFonts w:ascii="Times New Roman" w:hAnsi="Times New Roman" w:cs="Times New Roman"/>
          <w:sz w:val="24"/>
          <w:szCs w:val="24"/>
          <w:lang w:val="hr-HR"/>
        </w:rPr>
        <w:t xml:space="preserve"> </w:t>
      </w:r>
      <w:r w:rsidR="00604859" w:rsidRPr="00604859">
        <w:rPr>
          <w:rFonts w:ascii="Times New Roman" w:hAnsi="Times New Roman" w:cs="Times New Roman"/>
          <w:sz w:val="24"/>
          <w:szCs w:val="24"/>
          <w:lang w:val="hr-HR"/>
        </w:rPr>
        <w:t>PMID: 34028624</w:t>
      </w:r>
      <w:r w:rsidR="00604859">
        <w:rPr>
          <w:rFonts w:ascii="Times New Roman" w:hAnsi="Times New Roman" w:cs="Times New Roman"/>
          <w:sz w:val="24"/>
          <w:szCs w:val="24"/>
          <w:lang w:val="hr-HR"/>
        </w:rPr>
        <w:t xml:space="preserve"> </w:t>
      </w:r>
    </w:p>
    <w:p w14:paraId="63268063" w14:textId="310BD59F" w:rsidR="008E00E9" w:rsidRDefault="00D06132" w:rsidP="00676107">
      <w:pPr>
        <w:spacing w:line="480" w:lineRule="auto"/>
      </w:pPr>
      <w:r>
        <w:rPr>
          <w:rFonts w:ascii="Times New Roman" w:hAnsi="Times New Roman" w:cs="Times New Roman"/>
          <w:sz w:val="24"/>
          <w:szCs w:val="24"/>
          <w:lang w:val="hr-HR"/>
        </w:rPr>
        <w:t>[</w:t>
      </w:r>
      <w:r w:rsidR="00345AAD">
        <w:rPr>
          <w:rFonts w:ascii="Times New Roman" w:hAnsi="Times New Roman" w:cs="Times New Roman"/>
          <w:sz w:val="24"/>
          <w:szCs w:val="24"/>
          <w:lang w:val="hr-HR"/>
        </w:rPr>
        <w:t>5</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WORLD Health Organization Guidelines for ATC classification and DDD assignment 2018. 2017; [Internet][cited: 2018 December 02]</w:t>
      </w:r>
      <w:r w:rsidR="007A3506">
        <w:rPr>
          <w:rFonts w:ascii="Times New Roman" w:hAnsi="Times New Roman" w:cs="Times New Roman"/>
          <w:sz w:val="24"/>
          <w:szCs w:val="24"/>
          <w:lang w:val="hr-HR"/>
        </w:rPr>
        <w:t xml:space="preserve">; </w:t>
      </w:r>
      <w:r w:rsidR="007A3506" w:rsidRPr="007A3506">
        <w:rPr>
          <w:rFonts w:ascii="Times New Roman" w:hAnsi="Times New Roman" w:cs="Times New Roman"/>
          <w:i/>
          <w:iCs/>
          <w:sz w:val="24"/>
          <w:szCs w:val="24"/>
          <w:lang w:val="hr-HR"/>
        </w:rPr>
        <w:t>korištena je verzija ATC / DDD Index 2018</w:t>
      </w:r>
      <w:r w:rsidR="007A3506">
        <w:rPr>
          <w:rFonts w:ascii="Times New Roman" w:hAnsi="Times New Roman" w:cs="Times New Roman"/>
          <w:i/>
          <w:sz w:val="24"/>
          <w:szCs w:val="24"/>
          <w:lang w:val="hr-HR"/>
        </w:rPr>
        <w:t>.</w:t>
      </w:r>
      <w:r>
        <w:rPr>
          <w:rFonts w:ascii="Times New Roman" w:hAnsi="Times New Roman" w:cs="Times New Roman"/>
          <w:sz w:val="24"/>
          <w:szCs w:val="24"/>
          <w:lang w:val="hr-HR"/>
        </w:rPr>
        <w:t xml:space="preserve"> Available from : </w:t>
      </w:r>
      <w:hyperlink r:id="rId17" w:history="1">
        <w:r w:rsidR="00676107" w:rsidRPr="0071711A">
          <w:rPr>
            <w:rStyle w:val="Hyperlink"/>
            <w:rFonts w:ascii="Times New Roman" w:hAnsi="Times New Roman" w:cs="Times New Roman"/>
            <w:sz w:val="24"/>
            <w:szCs w:val="24"/>
            <w:lang w:val="hr-HR"/>
          </w:rPr>
          <w:t>https://www.whocc.no/filearchive/publications/2018_guidelines_web.pdf</w:t>
        </w:r>
      </w:hyperlink>
    </w:p>
    <w:p w14:paraId="6174197A" w14:textId="03503058" w:rsidR="00676107" w:rsidRPr="00676107" w:rsidRDefault="00D06132" w:rsidP="00037289">
      <w:pPr>
        <w:spacing w:line="480" w:lineRule="auto"/>
        <w:jc w:val="both"/>
      </w:pPr>
      <w:r>
        <w:rPr>
          <w:rFonts w:ascii="Times New Roman" w:hAnsi="Times New Roman" w:cs="Times New Roman"/>
          <w:sz w:val="24"/>
          <w:szCs w:val="24"/>
          <w:lang w:val="hr-HR"/>
        </w:rPr>
        <w:t>[</w:t>
      </w:r>
      <w:r w:rsidR="00345AAD">
        <w:rPr>
          <w:rFonts w:ascii="Times New Roman" w:hAnsi="Times New Roman" w:cs="Times New Roman"/>
          <w:sz w:val="24"/>
          <w:szCs w:val="24"/>
          <w:lang w:val="hr-HR"/>
        </w:rPr>
        <w:t>6</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AMC Tool: the antimicrobial consumption tooll: </w:t>
      </w:r>
      <w:hyperlink r:id="rId18">
        <w:r>
          <w:rPr>
            <w:rStyle w:val="Internetskapoveznica"/>
            <w:rFonts w:ascii="Times New Roman" w:hAnsi="Times New Roman" w:cs="Times New Roman"/>
            <w:sz w:val="24"/>
            <w:szCs w:val="24"/>
            <w:lang w:val="hr-HR"/>
          </w:rPr>
          <w:t>https://amu-tools.org</w:t>
        </w:r>
      </w:hyperlink>
      <w:r w:rsidR="00676107">
        <w:rPr>
          <w:rStyle w:val="Internetskapoveznica"/>
          <w:rFonts w:ascii="Times New Roman" w:hAnsi="Times New Roman" w:cs="Times New Roman"/>
          <w:sz w:val="24"/>
          <w:szCs w:val="24"/>
          <w:lang w:val="hr-HR"/>
        </w:rPr>
        <w:t xml:space="preserve"> </w:t>
      </w:r>
      <w:r w:rsidR="00676107" w:rsidRPr="00676107">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preuzeto: </w:t>
      </w:r>
      <w:r w:rsidR="00C70A87" w:rsidRPr="00C70A87">
        <w:rPr>
          <w:rFonts w:ascii="Times New Roman" w:hAnsi="Times New Roman" w:cs="Times New Roman"/>
          <w:sz w:val="24"/>
          <w:szCs w:val="24"/>
          <w:lang w:val="hr-HR"/>
        </w:rPr>
        <w:t>2018 Decembar 01</w:t>
      </w:r>
    </w:p>
    <w:p w14:paraId="56F73BAA" w14:textId="690C0B87" w:rsidR="00037289" w:rsidRDefault="00037289" w:rsidP="00037289">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[7]</w:t>
      </w:r>
      <w:r w:rsidR="00052809">
        <w:t xml:space="preserve"> </w:t>
      </w:r>
      <w:r w:rsidRPr="00037289">
        <w:rPr>
          <w:rFonts w:ascii="Times New Roman" w:hAnsi="Times New Roman" w:cs="Times New Roman"/>
          <w:sz w:val="24"/>
          <w:szCs w:val="24"/>
          <w:lang w:val="hr-HR"/>
        </w:rPr>
        <w:t xml:space="preserve">Lucien MAB, Canarie MF, Kilgore PE, Jean-Denis G, Fénélon N, Pierre M, Cerpa M, Joseph GA, Maki G, Zervos MJ, Dely P, Boncy J, Sati H, Rio AD, Ramon-Pardo P. </w:t>
      </w:r>
      <w:r>
        <w:rPr>
          <w:rFonts w:ascii="Times New Roman" w:hAnsi="Times New Roman" w:cs="Times New Roman"/>
          <w:sz w:val="24"/>
          <w:szCs w:val="24"/>
          <w:lang w:val="hr-HR"/>
        </w:rPr>
        <w:t>„</w:t>
      </w:r>
      <w:r w:rsidRPr="00037289">
        <w:rPr>
          <w:rFonts w:ascii="Times New Roman" w:hAnsi="Times New Roman" w:cs="Times New Roman"/>
          <w:sz w:val="24"/>
          <w:szCs w:val="24"/>
          <w:lang w:val="hr-HR"/>
        </w:rPr>
        <w:t>Antibiotics and antimicrobial resistance in the COVID-19 era: Perspective from resource-limited settings</w:t>
      </w:r>
      <w:r>
        <w:rPr>
          <w:rFonts w:ascii="Times New Roman" w:hAnsi="Times New Roman" w:cs="Times New Roman"/>
          <w:sz w:val="24"/>
          <w:szCs w:val="24"/>
          <w:lang w:val="hr-HR"/>
        </w:rPr>
        <w:t xml:space="preserve">“, </w:t>
      </w:r>
      <w:r w:rsidRPr="00037289">
        <w:rPr>
          <w:rFonts w:ascii="Times New Roman" w:hAnsi="Times New Roman" w:cs="Times New Roman"/>
          <w:sz w:val="24"/>
          <w:szCs w:val="24"/>
          <w:lang w:val="hr-HR"/>
        </w:rPr>
        <w:t>Int J Infect Dis. 2021 Mar;104:250-254. doi: 10.1016/j.ijid.2020.12.087. Epub 2021 Jan 9.</w:t>
      </w:r>
      <w:r>
        <w:rPr>
          <w:rFonts w:ascii="Times New Roman" w:hAnsi="Times New Roman" w:cs="Times New Roman"/>
          <w:sz w:val="24"/>
          <w:szCs w:val="24"/>
          <w:lang w:val="hr-HR"/>
        </w:rPr>
        <w:t xml:space="preserve"> </w:t>
      </w:r>
      <w:r w:rsidRPr="00037289">
        <w:rPr>
          <w:rFonts w:ascii="Times New Roman" w:hAnsi="Times New Roman" w:cs="Times New Roman"/>
          <w:sz w:val="24"/>
          <w:szCs w:val="24"/>
          <w:lang w:val="hr-HR"/>
        </w:rPr>
        <w:t>PMID: 33434666</w:t>
      </w:r>
    </w:p>
    <w:p w14:paraId="3E54242E" w14:textId="0E232292" w:rsidR="008E00E9" w:rsidRDefault="00D06132">
      <w:pPr>
        <w:spacing w:line="480" w:lineRule="auto"/>
        <w:jc w:val="both"/>
      </w:pPr>
      <w:r>
        <w:rPr>
          <w:rFonts w:ascii="Times New Roman" w:hAnsi="Times New Roman" w:cs="Times New Roman"/>
          <w:sz w:val="24"/>
          <w:szCs w:val="24"/>
          <w:lang w:val="hr-HR"/>
        </w:rPr>
        <w:t>[</w:t>
      </w:r>
      <w:r w:rsidR="00C81BA5">
        <w:rPr>
          <w:rFonts w:ascii="Times New Roman" w:hAnsi="Times New Roman" w:cs="Times New Roman"/>
          <w:sz w:val="24"/>
          <w:szCs w:val="24"/>
          <w:lang w:val="hr-HR"/>
        </w:rPr>
        <w:t>8</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Antimicrobial Resistance Collaborators „Global burden of bacterial antimicrobial resistance in 2019: systematic analysis“; </w:t>
      </w:r>
      <w:hyperlink r:id="rId19">
        <w:r>
          <w:rPr>
            <w:rStyle w:val="Internetskapoveznica"/>
            <w:rFonts w:ascii="Times New Roman" w:hAnsi="Times New Roman" w:cs="Times New Roman"/>
            <w:sz w:val="24"/>
            <w:szCs w:val="24"/>
            <w:lang w:val="hr-HR"/>
          </w:rPr>
          <w:t>www.thelancet.com</w:t>
        </w:r>
      </w:hyperlink>
      <w:r>
        <w:rPr>
          <w:rFonts w:ascii="Times New Roman" w:hAnsi="Times New Roman" w:cs="Times New Roman"/>
          <w:sz w:val="24"/>
          <w:szCs w:val="24"/>
          <w:lang w:val="hr-HR"/>
        </w:rPr>
        <w:t xml:space="preserve"> published online January 20, 2022 ; </w:t>
      </w:r>
      <w:hyperlink r:id="rId20">
        <w:r>
          <w:rPr>
            <w:rStyle w:val="Internetskapoveznica"/>
            <w:rFonts w:ascii="Times New Roman" w:hAnsi="Times New Roman" w:cs="Times New Roman"/>
            <w:sz w:val="24"/>
            <w:szCs w:val="24"/>
            <w:lang w:val="hr-HR"/>
          </w:rPr>
          <w:t>https://doi.org/10.1016/50140-6736(21)02724-0</w:t>
        </w:r>
      </w:hyperlink>
      <w:r>
        <w:rPr>
          <w:rFonts w:ascii="Times New Roman" w:hAnsi="Times New Roman" w:cs="Times New Roman"/>
          <w:sz w:val="24"/>
          <w:szCs w:val="24"/>
          <w:lang w:val="hr-HR"/>
        </w:rPr>
        <w:t xml:space="preserve"> </w:t>
      </w:r>
    </w:p>
    <w:p w14:paraId="563B5876" w14:textId="74F1FD6C" w:rsidR="007E78B0" w:rsidRDefault="007E78B0" w:rsidP="007E78B0">
      <w:pPr>
        <w:spacing w:line="480" w:lineRule="auto"/>
        <w:jc w:val="both"/>
      </w:pPr>
      <w:r>
        <w:rPr>
          <w:rFonts w:ascii="Times New Roman" w:hAnsi="Times New Roman" w:cs="Times New Roman"/>
          <w:sz w:val="24"/>
          <w:szCs w:val="24"/>
          <w:lang w:val="hr-HR"/>
        </w:rPr>
        <w:t>[9]</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Brkić D Jovana."Bezbednost pacijenata i upotreba antibiotika na tercijarnom nivou zdravstvene zaštite".spec.rad Beograd : Univerzitet u  Beogradu–fakultet str. 14-15, 55</w:t>
      </w:r>
    </w:p>
    <w:p w14:paraId="0C9E309A" w14:textId="029415E5" w:rsidR="0052124A" w:rsidRDefault="0052124A">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w:t>
      </w:r>
      <w:r w:rsidR="009C76B3">
        <w:rPr>
          <w:rFonts w:ascii="Times New Roman" w:hAnsi="Times New Roman" w:cs="Times New Roman"/>
          <w:sz w:val="24"/>
          <w:szCs w:val="24"/>
          <w:lang w:val="hr-HR"/>
        </w:rPr>
        <w:t>10</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“Antimicrobial Resistance“; </w:t>
      </w:r>
      <w:hyperlink r:id="rId21" w:history="1">
        <w:r w:rsidRPr="0071711A">
          <w:rPr>
            <w:rStyle w:val="Hyperlink"/>
            <w:rFonts w:ascii="Times New Roman" w:hAnsi="Times New Roman" w:cs="Times New Roman"/>
            <w:sz w:val="24"/>
            <w:szCs w:val="24"/>
            <w:lang w:val="hr-HR"/>
          </w:rPr>
          <w:t>www.who.int</w:t>
        </w:r>
      </w:hyperlink>
      <w:r>
        <w:rPr>
          <w:rFonts w:ascii="Times New Roman" w:hAnsi="Times New Roman" w:cs="Times New Roman"/>
          <w:sz w:val="24"/>
          <w:szCs w:val="24"/>
          <w:lang w:val="hr-HR"/>
        </w:rPr>
        <w:t xml:space="preserve"> published online </w:t>
      </w:r>
      <w:r w:rsidRPr="0052124A">
        <w:rPr>
          <w:rFonts w:ascii="Times New Roman" w:hAnsi="Times New Roman" w:cs="Times New Roman"/>
          <w:sz w:val="24"/>
          <w:szCs w:val="24"/>
          <w:lang w:val="hr-HR"/>
        </w:rPr>
        <w:t>17 November 2021</w:t>
      </w:r>
      <w:r>
        <w:rPr>
          <w:rFonts w:ascii="Times New Roman" w:hAnsi="Times New Roman" w:cs="Times New Roman"/>
          <w:sz w:val="24"/>
          <w:szCs w:val="24"/>
          <w:lang w:val="hr-HR"/>
        </w:rPr>
        <w:t xml:space="preserve"> </w:t>
      </w:r>
      <w:hyperlink r:id="rId22" w:history="1">
        <w:r w:rsidR="00DD7B08" w:rsidRPr="0071711A">
          <w:rPr>
            <w:rStyle w:val="Hyperlink"/>
            <w:rFonts w:ascii="Times New Roman" w:hAnsi="Times New Roman" w:cs="Times New Roman"/>
            <w:sz w:val="24"/>
            <w:szCs w:val="24"/>
            <w:lang w:val="hr-HR"/>
          </w:rPr>
          <w:t>https://www.who.int/news-room/fact-sheets/detail/antimicrobial-resistance</w:t>
        </w:r>
      </w:hyperlink>
      <w:r w:rsidR="00DD7B08">
        <w:rPr>
          <w:rFonts w:ascii="Times New Roman" w:hAnsi="Times New Roman" w:cs="Times New Roman"/>
          <w:sz w:val="24"/>
          <w:szCs w:val="24"/>
          <w:lang w:val="hr-HR"/>
        </w:rPr>
        <w:t xml:space="preserve"> </w:t>
      </w:r>
    </w:p>
    <w:p w14:paraId="60F05F4C" w14:textId="1D772D0A" w:rsidR="008E00E9" w:rsidRDefault="00D06132">
      <w:pPr>
        <w:spacing w:line="480" w:lineRule="auto"/>
        <w:jc w:val="both"/>
      </w:pPr>
      <w:r>
        <w:rPr>
          <w:rFonts w:ascii="Times New Roman" w:hAnsi="Times New Roman" w:cs="Times New Roman"/>
          <w:sz w:val="24"/>
          <w:szCs w:val="24"/>
          <w:lang w:val="hr-HR"/>
        </w:rPr>
        <w:lastRenderedPageBreak/>
        <w:t>[1</w:t>
      </w:r>
      <w:r w:rsidR="00EE56CB">
        <w:rPr>
          <w:rFonts w:ascii="Times New Roman" w:hAnsi="Times New Roman" w:cs="Times New Roman"/>
          <w:sz w:val="24"/>
          <w:szCs w:val="24"/>
          <w:lang w:val="hr-HR"/>
        </w:rPr>
        <w:t>1</w:t>
      </w:r>
      <w:r>
        <w:rPr>
          <w:rFonts w:ascii="Times New Roman" w:hAnsi="Times New Roman" w:cs="Times New Roman"/>
          <w:sz w:val="24"/>
          <w:szCs w:val="24"/>
          <w:lang w:val="hr-HR"/>
        </w:rPr>
        <w:t>]</w:t>
      </w:r>
      <w:r w:rsidR="00052809">
        <w:rPr>
          <w:rFonts w:ascii="Times New Roman" w:hAnsi="Times New Roman" w:cs="Times New Roman"/>
          <w:sz w:val="24"/>
          <w:szCs w:val="24"/>
          <w:lang w:val="hr-HR"/>
        </w:rPr>
        <w:t xml:space="preserve"> </w:t>
      </w:r>
      <w:r>
        <w:rPr>
          <w:rFonts w:ascii="Times New Roman" w:hAnsi="Times New Roman" w:cs="Times New Roman"/>
          <w:sz w:val="24"/>
          <w:szCs w:val="24"/>
          <w:lang w:val="hr-HR"/>
        </w:rPr>
        <w:t>Prodović T. „Hospitalne infekcije-problem prošlosti i sadašnjosti“, APOLLINEM MEDICUM ET AESCULAPIUM 2012. Vol. 10 No. 2 str. 7-16</w:t>
      </w:r>
    </w:p>
    <w:sectPr w:rsidR="008E00E9" w:rsidSect="00DE0CE8">
      <w:footerReference w:type="default" r:id="rId23"/>
      <w:pgSz w:w="12240" w:h="15840"/>
      <w:pgMar w:top="1440" w:right="1134" w:bottom="1440" w:left="2268" w:header="0" w:footer="720" w:gutter="0"/>
      <w:pgNumType w:start="1"/>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E71F5" w14:textId="77777777" w:rsidR="00D20AEA" w:rsidRDefault="00D20AEA">
      <w:pPr>
        <w:spacing w:after="0" w:line="240" w:lineRule="auto"/>
      </w:pPr>
      <w:r>
        <w:separator/>
      </w:r>
    </w:p>
  </w:endnote>
  <w:endnote w:type="continuationSeparator" w:id="0">
    <w:p w14:paraId="53841C00" w14:textId="77777777" w:rsidR="00D20AEA" w:rsidRDefault="00D2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99BFB" w14:textId="77777777" w:rsidR="008E00E9" w:rsidRDefault="008E00E9">
    <w:pPr>
      <w:pStyle w:val="Podnoje"/>
      <w:jc w:val="right"/>
    </w:pPr>
  </w:p>
  <w:p w14:paraId="45F1F980" w14:textId="77777777" w:rsidR="008E00E9" w:rsidRDefault="008E00E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2155623"/>
      <w:docPartObj>
        <w:docPartGallery w:val="Page Numbers (Bottom of Page)"/>
        <w:docPartUnique/>
      </w:docPartObj>
    </w:sdtPr>
    <w:sdtEndPr/>
    <w:sdtContent>
      <w:p w14:paraId="0B516037" w14:textId="77777777" w:rsidR="008E00E9" w:rsidRDefault="00D06132">
        <w:pPr>
          <w:pStyle w:val="Podnoje"/>
          <w:jc w:val="right"/>
        </w:pPr>
        <w:r>
          <w:fldChar w:fldCharType="begin"/>
        </w:r>
        <w:r>
          <w:instrText>PAGE</w:instrText>
        </w:r>
        <w:r>
          <w:fldChar w:fldCharType="separate"/>
        </w:r>
        <w:r>
          <w:t>16</w:t>
        </w:r>
        <w:r>
          <w:fldChar w:fldCharType="end"/>
        </w:r>
      </w:p>
    </w:sdtContent>
  </w:sdt>
  <w:p w14:paraId="4BE4D8F3" w14:textId="77777777" w:rsidR="008E00E9" w:rsidRDefault="008E00E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67AFC" w14:textId="77777777" w:rsidR="00D20AEA" w:rsidRDefault="00D20AEA">
      <w:pPr>
        <w:spacing w:after="0" w:line="240" w:lineRule="auto"/>
      </w:pPr>
      <w:r>
        <w:separator/>
      </w:r>
    </w:p>
  </w:footnote>
  <w:footnote w:type="continuationSeparator" w:id="0">
    <w:p w14:paraId="0CE899BC" w14:textId="77777777" w:rsidR="00D20AEA" w:rsidRDefault="00D20A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D3408"/>
    <w:multiLevelType w:val="multilevel"/>
    <w:tmpl w:val="90BE60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6E66D8A"/>
    <w:multiLevelType w:val="multilevel"/>
    <w:tmpl w:val="1D28DD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5FF03446"/>
    <w:multiLevelType w:val="multilevel"/>
    <w:tmpl w:val="350C84E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4413DCF"/>
    <w:multiLevelType w:val="multilevel"/>
    <w:tmpl w:val="C96A706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00E9"/>
    <w:rsid w:val="00021A22"/>
    <w:rsid w:val="00037289"/>
    <w:rsid w:val="00052809"/>
    <w:rsid w:val="001770F1"/>
    <w:rsid w:val="002D5E2C"/>
    <w:rsid w:val="00326428"/>
    <w:rsid w:val="00345AAD"/>
    <w:rsid w:val="003B3F42"/>
    <w:rsid w:val="003E2510"/>
    <w:rsid w:val="003F09DC"/>
    <w:rsid w:val="00406B03"/>
    <w:rsid w:val="00425507"/>
    <w:rsid w:val="00434B61"/>
    <w:rsid w:val="004F59C7"/>
    <w:rsid w:val="0051371C"/>
    <w:rsid w:val="0052124A"/>
    <w:rsid w:val="005F02D3"/>
    <w:rsid w:val="00600934"/>
    <w:rsid w:val="00604859"/>
    <w:rsid w:val="00676107"/>
    <w:rsid w:val="00765846"/>
    <w:rsid w:val="007A3506"/>
    <w:rsid w:val="007E78B0"/>
    <w:rsid w:val="0081576A"/>
    <w:rsid w:val="008643AF"/>
    <w:rsid w:val="008A3DBA"/>
    <w:rsid w:val="008E00E9"/>
    <w:rsid w:val="008E16AB"/>
    <w:rsid w:val="008F51DD"/>
    <w:rsid w:val="008F7BCB"/>
    <w:rsid w:val="00924E98"/>
    <w:rsid w:val="00953447"/>
    <w:rsid w:val="009C76B3"/>
    <w:rsid w:val="009D3677"/>
    <w:rsid w:val="009D5099"/>
    <w:rsid w:val="009E2C9F"/>
    <w:rsid w:val="00A3650E"/>
    <w:rsid w:val="00B2783E"/>
    <w:rsid w:val="00B618C5"/>
    <w:rsid w:val="00C42FFF"/>
    <w:rsid w:val="00C70A87"/>
    <w:rsid w:val="00C71BDB"/>
    <w:rsid w:val="00C81BA5"/>
    <w:rsid w:val="00D00087"/>
    <w:rsid w:val="00D06132"/>
    <w:rsid w:val="00D20AEA"/>
    <w:rsid w:val="00D662FE"/>
    <w:rsid w:val="00DB2BFF"/>
    <w:rsid w:val="00DD7B08"/>
    <w:rsid w:val="00DE0CE8"/>
    <w:rsid w:val="00DF4B16"/>
    <w:rsid w:val="00E32A77"/>
    <w:rsid w:val="00E762BC"/>
    <w:rsid w:val="00E82FA4"/>
    <w:rsid w:val="00EE56CB"/>
    <w:rsid w:val="00F6090A"/>
    <w:rsid w:val="00F93984"/>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831F"/>
  <w15:docId w15:val="{B66477A5-99F9-4B67-AB9D-4F4744FB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C28"/>
    <w:pPr>
      <w:spacing w:after="200"/>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naslova1">
    <w:name w:val="Stil naslova 1"/>
    <w:basedOn w:val="Normal"/>
    <w:next w:val="Normal"/>
    <w:link w:val="Heading1Char"/>
    <w:uiPriority w:val="9"/>
    <w:rsid w:val="005D0E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Stilnaslova2">
    <w:name w:val="Stil naslova 2"/>
    <w:basedOn w:val="Normal"/>
    <w:next w:val="Normal"/>
    <w:link w:val="Heading2Char"/>
    <w:uiPriority w:val="9"/>
    <w:unhideWhenUsed/>
    <w:rsid w:val="005D0E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customStyle="1" w:styleId="BalloonTextChar">
    <w:name w:val="Balloon Text Char"/>
    <w:basedOn w:val="DefaultParagraphFont"/>
    <w:link w:val="BalloonText"/>
    <w:uiPriority w:val="99"/>
    <w:semiHidden/>
    <w:qFormat/>
    <w:rsid w:val="00093708"/>
    <w:rPr>
      <w:rFonts w:ascii="Tahoma" w:hAnsi="Tahoma" w:cs="Tahoma"/>
      <w:sz w:val="16"/>
      <w:szCs w:val="16"/>
    </w:rPr>
  </w:style>
  <w:style w:type="character" w:customStyle="1" w:styleId="Internetskapoveznica">
    <w:name w:val="Internetska poveznica"/>
    <w:basedOn w:val="DefaultParagraphFont"/>
    <w:uiPriority w:val="99"/>
    <w:unhideWhenUsed/>
    <w:rsid w:val="00815DD8"/>
    <w:rPr>
      <w:color w:val="0000FF" w:themeColor="hyperlink"/>
      <w:u w:val="single"/>
    </w:rPr>
  </w:style>
  <w:style w:type="character" w:customStyle="1" w:styleId="HeaderChar">
    <w:name w:val="Header Char"/>
    <w:basedOn w:val="DefaultParagraphFont"/>
    <w:link w:val="Zaglavlje"/>
    <w:uiPriority w:val="99"/>
    <w:qFormat/>
    <w:rsid w:val="005D0E78"/>
  </w:style>
  <w:style w:type="character" w:customStyle="1" w:styleId="FooterChar">
    <w:name w:val="Footer Char"/>
    <w:basedOn w:val="DefaultParagraphFont"/>
    <w:link w:val="Podnoje"/>
    <w:uiPriority w:val="99"/>
    <w:qFormat/>
    <w:rsid w:val="005D0E78"/>
  </w:style>
  <w:style w:type="character" w:customStyle="1" w:styleId="Heading1Char">
    <w:name w:val="Heading 1 Char"/>
    <w:basedOn w:val="DefaultParagraphFont"/>
    <w:link w:val="Stilnaslova1"/>
    <w:uiPriority w:val="9"/>
    <w:qFormat/>
    <w:rsid w:val="005D0E7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Stilnaslova2"/>
    <w:uiPriority w:val="9"/>
    <w:qFormat/>
    <w:rsid w:val="005D0E78"/>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qFormat/>
    <w:rsid w:val="00245CE9"/>
    <w:rPr>
      <w:sz w:val="16"/>
      <w:szCs w:val="16"/>
    </w:rPr>
  </w:style>
  <w:style w:type="character" w:customStyle="1" w:styleId="CommentTextChar">
    <w:name w:val="Comment Text Char"/>
    <w:basedOn w:val="DefaultParagraphFont"/>
    <w:link w:val="CommentText"/>
    <w:uiPriority w:val="99"/>
    <w:semiHidden/>
    <w:qFormat/>
    <w:rsid w:val="00245CE9"/>
    <w:rPr>
      <w:sz w:val="20"/>
      <w:szCs w:val="20"/>
    </w:rPr>
  </w:style>
  <w:style w:type="character" w:customStyle="1" w:styleId="CommentSubjectChar">
    <w:name w:val="Comment Subject Char"/>
    <w:basedOn w:val="CommentTextChar"/>
    <w:link w:val="CommentSubject"/>
    <w:uiPriority w:val="99"/>
    <w:semiHidden/>
    <w:qFormat/>
    <w:rsid w:val="00245CE9"/>
    <w:rPr>
      <w:b/>
      <w:bCs/>
      <w:sz w:val="20"/>
      <w:szCs w:val="20"/>
    </w:rPr>
  </w:style>
  <w:style w:type="character" w:customStyle="1" w:styleId="Indeksirajvezu">
    <w:name w:val="Indeksiraj vezu"/>
    <w:qFormat/>
    <w:rsid w:val="005C68B6"/>
  </w:style>
  <w:style w:type="character" w:customStyle="1" w:styleId="Simbolinumeriranja">
    <w:name w:val="Simboli numeriranja"/>
    <w:qFormat/>
    <w:rsid w:val="005C68B6"/>
  </w:style>
  <w:style w:type="character" w:customStyle="1" w:styleId="ListLabel1">
    <w:name w:val="ListLabel 1"/>
    <w:qFormat/>
    <w:rsid w:val="00B22A57"/>
    <w:rPr>
      <w:rFonts w:ascii="Times New Roman" w:hAnsi="Times New Roman" w:cs="Symbol"/>
    </w:rPr>
  </w:style>
  <w:style w:type="character" w:customStyle="1" w:styleId="ListLabel2">
    <w:name w:val="ListLabel 2"/>
    <w:qFormat/>
    <w:rsid w:val="00B22A57"/>
    <w:rPr>
      <w:rFonts w:cs="Courier New"/>
    </w:rPr>
  </w:style>
  <w:style w:type="character" w:customStyle="1" w:styleId="ListLabel3">
    <w:name w:val="ListLabel 3"/>
    <w:qFormat/>
    <w:rsid w:val="00B22A57"/>
    <w:rPr>
      <w:rFonts w:cs="Wingdings"/>
    </w:rPr>
  </w:style>
  <w:style w:type="character" w:customStyle="1" w:styleId="ListLabel4">
    <w:name w:val="ListLabel 4"/>
    <w:qFormat/>
    <w:rsid w:val="00B22A57"/>
    <w:rPr>
      <w:rFonts w:ascii="Times New Roman" w:hAnsi="Times New Roman" w:cs="Symbol"/>
    </w:rPr>
  </w:style>
  <w:style w:type="character" w:customStyle="1" w:styleId="ListLabel5">
    <w:name w:val="ListLabel 5"/>
    <w:qFormat/>
    <w:rsid w:val="00B22A57"/>
    <w:rPr>
      <w:rFonts w:cs="Courier New"/>
    </w:rPr>
  </w:style>
  <w:style w:type="character" w:customStyle="1" w:styleId="ListLabel6">
    <w:name w:val="ListLabel 6"/>
    <w:qFormat/>
    <w:rsid w:val="00B22A57"/>
    <w:rPr>
      <w:rFonts w:cs="Wingdings"/>
    </w:rPr>
  </w:style>
  <w:style w:type="character" w:customStyle="1" w:styleId="ListLabel7">
    <w:name w:val="ListLabel 7"/>
    <w:qFormat/>
    <w:rsid w:val="00B22A57"/>
    <w:rPr>
      <w:rFonts w:ascii="Times New Roman" w:hAnsi="Times New Roman" w:cs="Symbol"/>
    </w:rPr>
  </w:style>
  <w:style w:type="character" w:customStyle="1" w:styleId="ListLabel8">
    <w:name w:val="ListLabel 8"/>
    <w:qFormat/>
    <w:rsid w:val="00B22A57"/>
    <w:rPr>
      <w:rFonts w:cs="Courier New"/>
    </w:rPr>
  </w:style>
  <w:style w:type="character" w:customStyle="1" w:styleId="ListLabel9">
    <w:name w:val="ListLabel 9"/>
    <w:qFormat/>
    <w:rsid w:val="00B22A57"/>
    <w:rPr>
      <w:rFonts w:cs="Wingdings"/>
    </w:rPr>
  </w:style>
  <w:style w:type="character" w:customStyle="1" w:styleId="ListLabel10">
    <w:name w:val="ListLabel 10"/>
    <w:qFormat/>
    <w:rsid w:val="00B22A57"/>
    <w:rPr>
      <w:rFonts w:cs="Symbol"/>
    </w:rPr>
  </w:style>
  <w:style w:type="character" w:customStyle="1" w:styleId="ListLabel11">
    <w:name w:val="ListLabel 11"/>
    <w:qFormat/>
    <w:rsid w:val="00B22A57"/>
    <w:rPr>
      <w:rFonts w:cs="Courier New"/>
    </w:rPr>
  </w:style>
  <w:style w:type="character" w:customStyle="1" w:styleId="ListLabel12">
    <w:name w:val="ListLabel 12"/>
    <w:qFormat/>
    <w:rsid w:val="00B22A57"/>
    <w:rPr>
      <w:rFonts w:cs="Wingdings"/>
    </w:rPr>
  </w:style>
  <w:style w:type="character" w:customStyle="1" w:styleId="ListLabel13">
    <w:name w:val="ListLabel 13"/>
    <w:qFormat/>
    <w:rsid w:val="00B22A57"/>
    <w:rPr>
      <w:rFonts w:cs="Symbol"/>
    </w:rPr>
  </w:style>
  <w:style w:type="character" w:customStyle="1" w:styleId="ListLabel14">
    <w:name w:val="ListLabel 14"/>
    <w:qFormat/>
    <w:rsid w:val="00B22A57"/>
    <w:rPr>
      <w:rFonts w:cs="Courier New"/>
    </w:rPr>
  </w:style>
  <w:style w:type="character" w:customStyle="1" w:styleId="ListLabel15">
    <w:name w:val="ListLabel 15"/>
    <w:qFormat/>
    <w:rsid w:val="00B22A57"/>
    <w:rPr>
      <w:rFonts w:cs="Wingdings"/>
    </w:rPr>
  </w:style>
  <w:style w:type="character" w:customStyle="1" w:styleId="ListLabel16">
    <w:name w:val="ListLabel 16"/>
    <w:qFormat/>
    <w:rsid w:val="00B22A57"/>
    <w:rPr>
      <w:rFonts w:cs="Symbol"/>
    </w:rPr>
  </w:style>
  <w:style w:type="character" w:customStyle="1" w:styleId="ListLabel17">
    <w:name w:val="ListLabel 17"/>
    <w:qFormat/>
    <w:rsid w:val="00B22A57"/>
    <w:rPr>
      <w:rFonts w:cs="Courier New"/>
    </w:rPr>
  </w:style>
  <w:style w:type="character" w:customStyle="1" w:styleId="ListLabel18">
    <w:name w:val="ListLabel 18"/>
    <w:qFormat/>
    <w:rsid w:val="00B22A57"/>
    <w:rPr>
      <w:rFonts w:cs="Wingdings"/>
    </w:rPr>
  </w:style>
  <w:style w:type="character" w:customStyle="1" w:styleId="ListLabel19">
    <w:name w:val="ListLabel 19"/>
    <w:qFormat/>
    <w:rsid w:val="00B22A57"/>
    <w:rPr>
      <w:rFonts w:cs="Symbol"/>
    </w:rPr>
  </w:style>
  <w:style w:type="character" w:customStyle="1" w:styleId="ListLabel20">
    <w:name w:val="ListLabel 20"/>
    <w:qFormat/>
    <w:rsid w:val="00B22A57"/>
    <w:rPr>
      <w:rFonts w:cs="Courier New"/>
    </w:rPr>
  </w:style>
  <w:style w:type="character" w:customStyle="1" w:styleId="ListLabel21">
    <w:name w:val="ListLabel 21"/>
    <w:qFormat/>
    <w:rsid w:val="00B22A57"/>
    <w:rPr>
      <w:rFonts w:cs="Wingdings"/>
    </w:rPr>
  </w:style>
  <w:style w:type="character" w:customStyle="1" w:styleId="ListLabel22">
    <w:name w:val="ListLabel 22"/>
    <w:qFormat/>
    <w:rsid w:val="00B22A57"/>
    <w:rPr>
      <w:rFonts w:cs="Symbol"/>
    </w:rPr>
  </w:style>
  <w:style w:type="character" w:customStyle="1" w:styleId="ListLabel23">
    <w:name w:val="ListLabel 23"/>
    <w:qFormat/>
    <w:rsid w:val="00B22A57"/>
    <w:rPr>
      <w:rFonts w:cs="Courier New"/>
    </w:rPr>
  </w:style>
  <w:style w:type="character" w:customStyle="1" w:styleId="ListLabel24">
    <w:name w:val="ListLabel 24"/>
    <w:qFormat/>
    <w:rsid w:val="00B22A57"/>
    <w:rPr>
      <w:rFonts w:cs="Wingdings"/>
    </w:rPr>
  </w:style>
  <w:style w:type="character" w:customStyle="1" w:styleId="HeaderChar1">
    <w:name w:val="Header Char1"/>
    <w:basedOn w:val="DefaultParagraphFont"/>
    <w:uiPriority w:val="99"/>
    <w:semiHidden/>
    <w:qFormat/>
    <w:rsid w:val="00E505E7"/>
    <w:rPr>
      <w:rFonts w:ascii="Calibri" w:eastAsia="Calibri" w:hAnsi="Calibri"/>
      <w:color w:val="00000A"/>
      <w:sz w:val="22"/>
    </w:rPr>
  </w:style>
  <w:style w:type="character" w:customStyle="1" w:styleId="FooterChar1">
    <w:name w:val="Footer Char1"/>
    <w:basedOn w:val="DefaultParagraphFont"/>
    <w:uiPriority w:val="99"/>
    <w:semiHidden/>
    <w:qFormat/>
    <w:rsid w:val="00E505E7"/>
    <w:rPr>
      <w:rFonts w:ascii="Calibri" w:eastAsia="Calibri" w:hAnsi="Calibri"/>
      <w:color w:val="00000A"/>
      <w:sz w:val="22"/>
    </w:rPr>
  </w:style>
  <w:style w:type="character" w:customStyle="1" w:styleId="UnresolvedMention1">
    <w:name w:val="Unresolved Mention1"/>
    <w:basedOn w:val="DefaultParagraphFont"/>
    <w:uiPriority w:val="99"/>
    <w:semiHidden/>
    <w:unhideWhenUsed/>
    <w:qFormat/>
    <w:rsid w:val="00815DD8"/>
    <w:rPr>
      <w:color w:val="605E5C"/>
      <w:shd w:val="clear" w:color="auto" w:fill="E1DFDD"/>
    </w:rPr>
  </w:style>
  <w:style w:type="character" w:styleId="UnresolvedMention">
    <w:name w:val="Unresolved Mention"/>
    <w:basedOn w:val="DefaultParagraphFont"/>
    <w:uiPriority w:val="99"/>
    <w:semiHidden/>
    <w:unhideWhenUsed/>
    <w:qFormat/>
    <w:rsid w:val="00354036"/>
    <w:rPr>
      <w:color w:val="605E5C"/>
      <w:shd w:val="clear" w:color="auto" w:fill="E1DFDD"/>
    </w:rPr>
  </w:style>
  <w:style w:type="character" w:styleId="FollowedHyperlink">
    <w:name w:val="FollowedHyperlink"/>
    <w:basedOn w:val="DefaultParagraphFont"/>
    <w:uiPriority w:val="99"/>
    <w:semiHidden/>
    <w:unhideWhenUsed/>
    <w:qFormat/>
    <w:rsid w:val="00354036"/>
    <w:rPr>
      <w:color w:val="800080" w:themeColor="followedHyperlink"/>
      <w:u w:val="single"/>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paragraph" w:customStyle="1" w:styleId="Stilnaslova">
    <w:name w:val="Stil naslova"/>
    <w:basedOn w:val="Normal"/>
    <w:next w:val="Tijeloteksta"/>
    <w:qFormat/>
    <w:rsid w:val="00992D40"/>
    <w:pPr>
      <w:keepNext/>
      <w:spacing w:before="240" w:after="120"/>
    </w:pPr>
    <w:rPr>
      <w:rFonts w:ascii="Liberation Sans" w:eastAsia="Microsoft YaHei" w:hAnsi="Liberation Sans" w:cs="Mangal"/>
      <w:sz w:val="28"/>
      <w:szCs w:val="28"/>
    </w:rPr>
  </w:style>
  <w:style w:type="paragraph" w:customStyle="1" w:styleId="Tijeloteksta">
    <w:name w:val="Tijelo teksta"/>
    <w:basedOn w:val="Normal"/>
    <w:rsid w:val="00992D40"/>
    <w:pPr>
      <w:spacing w:after="140" w:line="288" w:lineRule="auto"/>
    </w:pPr>
  </w:style>
  <w:style w:type="paragraph" w:customStyle="1" w:styleId="Popis">
    <w:name w:val="Popis"/>
    <w:basedOn w:val="Tijeloteksta"/>
    <w:rsid w:val="00992D40"/>
    <w:rPr>
      <w:rFonts w:cs="Mangal"/>
    </w:rPr>
  </w:style>
  <w:style w:type="paragraph" w:customStyle="1" w:styleId="Opiselementa">
    <w:name w:val="Opis elementa"/>
    <w:basedOn w:val="Normal"/>
    <w:rsid w:val="00992D40"/>
    <w:pPr>
      <w:suppressLineNumbers/>
      <w:spacing w:before="120" w:after="120"/>
    </w:pPr>
    <w:rPr>
      <w:rFonts w:cs="Mangal"/>
      <w:i/>
      <w:iCs/>
      <w:sz w:val="24"/>
      <w:szCs w:val="24"/>
    </w:rPr>
  </w:style>
  <w:style w:type="paragraph" w:customStyle="1" w:styleId="Indeks">
    <w:name w:val="Indeks"/>
    <w:basedOn w:val="Normal"/>
    <w:qFormat/>
    <w:rsid w:val="00992D40"/>
    <w:pPr>
      <w:suppressLineNumbers/>
    </w:pPr>
    <w:rPr>
      <w:rFonts w:cs="Mangal"/>
    </w:rPr>
  </w:style>
  <w:style w:type="paragraph" w:styleId="BalloonText">
    <w:name w:val="Balloon Text"/>
    <w:basedOn w:val="Normal"/>
    <w:link w:val="BalloonTextChar"/>
    <w:uiPriority w:val="99"/>
    <w:semiHidden/>
    <w:unhideWhenUsed/>
    <w:qFormat/>
    <w:rsid w:val="00093708"/>
    <w:pPr>
      <w:spacing w:after="0" w:line="240" w:lineRule="auto"/>
    </w:pPr>
    <w:rPr>
      <w:rFonts w:ascii="Tahoma" w:hAnsi="Tahoma" w:cs="Tahoma"/>
      <w:sz w:val="16"/>
      <w:szCs w:val="16"/>
    </w:rPr>
  </w:style>
  <w:style w:type="paragraph" w:styleId="ListParagraph">
    <w:name w:val="List Paragraph"/>
    <w:basedOn w:val="Normal"/>
    <w:uiPriority w:val="34"/>
    <w:qFormat/>
    <w:rsid w:val="0017052A"/>
    <w:pPr>
      <w:ind w:left="720"/>
      <w:contextualSpacing/>
    </w:pPr>
  </w:style>
  <w:style w:type="paragraph" w:styleId="NoSpacing">
    <w:name w:val="No Spacing"/>
    <w:uiPriority w:val="1"/>
    <w:qFormat/>
    <w:rsid w:val="00CA7A9F"/>
    <w:pPr>
      <w:spacing w:line="240" w:lineRule="auto"/>
    </w:pPr>
    <w:rPr>
      <w:color w:val="00000A"/>
      <w:sz w:val="22"/>
    </w:rPr>
  </w:style>
  <w:style w:type="paragraph" w:customStyle="1" w:styleId="Zaglavlje">
    <w:name w:val="Zaglavlje"/>
    <w:basedOn w:val="Normal"/>
    <w:link w:val="HeaderChar"/>
    <w:uiPriority w:val="99"/>
    <w:semiHidden/>
    <w:unhideWhenUsed/>
    <w:rsid w:val="00E505E7"/>
    <w:pPr>
      <w:tabs>
        <w:tab w:val="center" w:pos="4680"/>
        <w:tab w:val="right" w:pos="9360"/>
      </w:tabs>
      <w:spacing w:after="0" w:line="240" w:lineRule="auto"/>
    </w:pPr>
  </w:style>
  <w:style w:type="paragraph" w:customStyle="1" w:styleId="Podnoje">
    <w:name w:val="Podnožje"/>
    <w:basedOn w:val="Normal"/>
    <w:link w:val="FooterChar"/>
    <w:uiPriority w:val="99"/>
    <w:semiHidden/>
    <w:unhideWhenUsed/>
    <w:rsid w:val="00E505E7"/>
    <w:pPr>
      <w:tabs>
        <w:tab w:val="center" w:pos="4680"/>
        <w:tab w:val="right" w:pos="9360"/>
      </w:tabs>
      <w:spacing w:after="0" w:line="240" w:lineRule="auto"/>
    </w:pPr>
  </w:style>
  <w:style w:type="paragraph" w:customStyle="1" w:styleId="HeaderandFooter">
    <w:name w:val="Header and Footer"/>
    <w:basedOn w:val="Normal"/>
    <w:qFormat/>
    <w:rsid w:val="005C68B6"/>
  </w:style>
  <w:style w:type="paragraph" w:customStyle="1" w:styleId="Sadraj1">
    <w:name w:val="Sadržaj 1"/>
    <w:basedOn w:val="Indeks"/>
    <w:next w:val="Normal"/>
    <w:autoRedefine/>
    <w:uiPriority w:val="39"/>
    <w:unhideWhenUsed/>
    <w:rsid w:val="00697A66"/>
    <w:pPr>
      <w:tabs>
        <w:tab w:val="right" w:leader="dot" w:pos="9099"/>
      </w:tabs>
    </w:pPr>
  </w:style>
  <w:style w:type="paragraph" w:customStyle="1" w:styleId="Sadraj2">
    <w:name w:val="Sadržaj 2"/>
    <w:basedOn w:val="Indeks"/>
    <w:next w:val="Normal"/>
    <w:autoRedefine/>
    <w:uiPriority w:val="39"/>
    <w:unhideWhenUsed/>
    <w:rsid w:val="00697A66"/>
    <w:pPr>
      <w:tabs>
        <w:tab w:val="right" w:leader="dot" w:pos="8816"/>
      </w:tabs>
      <w:ind w:left="283"/>
    </w:pPr>
  </w:style>
  <w:style w:type="paragraph" w:customStyle="1" w:styleId="Sadraj3">
    <w:name w:val="Sadržaj 3"/>
    <w:basedOn w:val="Normal"/>
    <w:next w:val="Normal"/>
    <w:autoRedefine/>
    <w:uiPriority w:val="39"/>
    <w:unhideWhenUsed/>
    <w:rsid w:val="00697A66"/>
    <w:pPr>
      <w:spacing w:after="0"/>
      <w:ind w:left="440"/>
    </w:pPr>
    <w:rPr>
      <w:rFonts w:cstheme="minorHAnsi"/>
      <w:i/>
      <w:iCs/>
      <w:sz w:val="20"/>
      <w:szCs w:val="20"/>
    </w:rPr>
  </w:style>
  <w:style w:type="paragraph" w:customStyle="1" w:styleId="Sadraj4">
    <w:name w:val="Sadržaj 4"/>
    <w:basedOn w:val="Normal"/>
    <w:next w:val="Normal"/>
    <w:autoRedefine/>
    <w:uiPriority w:val="39"/>
    <w:unhideWhenUsed/>
    <w:rsid w:val="00697A66"/>
    <w:pPr>
      <w:spacing w:after="0"/>
      <w:ind w:left="660"/>
    </w:pPr>
    <w:rPr>
      <w:rFonts w:cstheme="minorHAnsi"/>
      <w:sz w:val="18"/>
      <w:szCs w:val="18"/>
    </w:rPr>
  </w:style>
  <w:style w:type="paragraph" w:customStyle="1" w:styleId="Sadraj5">
    <w:name w:val="Sadržaj 5"/>
    <w:basedOn w:val="Normal"/>
    <w:next w:val="Normal"/>
    <w:autoRedefine/>
    <w:uiPriority w:val="39"/>
    <w:unhideWhenUsed/>
    <w:rsid w:val="00697A66"/>
    <w:pPr>
      <w:spacing w:after="0"/>
      <w:ind w:left="880"/>
    </w:pPr>
    <w:rPr>
      <w:rFonts w:cstheme="minorHAnsi"/>
      <w:sz w:val="18"/>
      <w:szCs w:val="18"/>
    </w:rPr>
  </w:style>
  <w:style w:type="paragraph" w:customStyle="1" w:styleId="Sadraj6">
    <w:name w:val="Sadržaj 6"/>
    <w:basedOn w:val="Normal"/>
    <w:next w:val="Normal"/>
    <w:autoRedefine/>
    <w:uiPriority w:val="39"/>
    <w:unhideWhenUsed/>
    <w:rsid w:val="00697A66"/>
    <w:pPr>
      <w:spacing w:after="0"/>
      <w:ind w:left="1100"/>
    </w:pPr>
    <w:rPr>
      <w:rFonts w:cstheme="minorHAnsi"/>
      <w:sz w:val="18"/>
      <w:szCs w:val="18"/>
    </w:rPr>
  </w:style>
  <w:style w:type="paragraph" w:customStyle="1" w:styleId="Sadraj7">
    <w:name w:val="Sadržaj 7"/>
    <w:basedOn w:val="Normal"/>
    <w:next w:val="Normal"/>
    <w:autoRedefine/>
    <w:uiPriority w:val="39"/>
    <w:unhideWhenUsed/>
    <w:rsid w:val="00697A66"/>
    <w:pPr>
      <w:spacing w:after="0"/>
      <w:ind w:left="1320"/>
    </w:pPr>
    <w:rPr>
      <w:rFonts w:cstheme="minorHAnsi"/>
      <w:sz w:val="18"/>
      <w:szCs w:val="18"/>
    </w:rPr>
  </w:style>
  <w:style w:type="paragraph" w:customStyle="1" w:styleId="Sadraj8">
    <w:name w:val="Sadržaj 8"/>
    <w:basedOn w:val="Normal"/>
    <w:next w:val="Normal"/>
    <w:autoRedefine/>
    <w:uiPriority w:val="39"/>
    <w:unhideWhenUsed/>
    <w:rsid w:val="00697A66"/>
    <w:pPr>
      <w:spacing w:after="0"/>
      <w:ind w:left="1540"/>
    </w:pPr>
    <w:rPr>
      <w:rFonts w:cstheme="minorHAnsi"/>
      <w:sz w:val="18"/>
      <w:szCs w:val="18"/>
    </w:rPr>
  </w:style>
  <w:style w:type="paragraph" w:customStyle="1" w:styleId="Sadraj9">
    <w:name w:val="Sadržaj 9"/>
    <w:basedOn w:val="Normal"/>
    <w:next w:val="Normal"/>
    <w:autoRedefine/>
    <w:uiPriority w:val="39"/>
    <w:unhideWhenUsed/>
    <w:rsid w:val="00697A66"/>
    <w:pPr>
      <w:spacing w:after="0"/>
      <w:ind w:left="1760"/>
    </w:pPr>
    <w:rPr>
      <w:rFonts w:cstheme="minorHAnsi"/>
      <w:sz w:val="18"/>
      <w:szCs w:val="18"/>
    </w:rPr>
  </w:style>
  <w:style w:type="paragraph" w:styleId="CommentText">
    <w:name w:val="annotation text"/>
    <w:basedOn w:val="Normal"/>
    <w:link w:val="CommentTextChar"/>
    <w:uiPriority w:val="99"/>
    <w:semiHidden/>
    <w:unhideWhenUsed/>
    <w:qFormat/>
    <w:rsid w:val="00245CE9"/>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245CE9"/>
    <w:rPr>
      <w:b/>
      <w:bCs/>
    </w:rPr>
  </w:style>
  <w:style w:type="paragraph" w:customStyle="1" w:styleId="Podnaslov">
    <w:name w:val="Podnaslov"/>
    <w:basedOn w:val="Stilnaslova"/>
    <w:rsid w:val="005C68B6"/>
    <w:pPr>
      <w:spacing w:before="60"/>
      <w:jc w:val="center"/>
    </w:pPr>
    <w:rPr>
      <w:sz w:val="36"/>
      <w:szCs w:val="36"/>
    </w:rPr>
  </w:style>
  <w:style w:type="table" w:styleId="TableGrid">
    <w:name w:val="Table Grid"/>
    <w:basedOn w:val="TableNormal"/>
    <w:uiPriority w:val="59"/>
    <w:rsid w:val="00CA7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12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264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dhem.midzic11@gmail.com" TargetMode="External"/><Relationship Id="rId13" Type="http://schemas.openxmlformats.org/officeDocument/2006/relationships/image" Target="media/image4.png"/><Relationship Id="rId18" Type="http://schemas.openxmlformats.org/officeDocument/2006/relationships/hyperlink" Target="https://amu-tools.org/" TargetMode="External"/><Relationship Id="rId3" Type="http://schemas.openxmlformats.org/officeDocument/2006/relationships/styles" Target="styles.xml"/><Relationship Id="rId21" Type="http://schemas.openxmlformats.org/officeDocument/2006/relationships/hyperlink" Target="http://www.who.int"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whocc.no/filearchive/publications/2018_guidelines_web.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jps.2021.106103" TargetMode="External"/><Relationship Id="rId20" Type="http://schemas.openxmlformats.org/officeDocument/2006/relationships/hyperlink" Target="https://doi.org/10.1016/50140-6736(21)0272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www.thelance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www.who.int/news-room/fact-sheets/detail/antimicrobial-resis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37FFA-A70C-4501-BD93-86CCEFA08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16</Pages>
  <Words>2677</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Amidza</cp:lastModifiedBy>
  <cp:revision>143</cp:revision>
  <dcterms:created xsi:type="dcterms:W3CDTF">2021-12-26T13:47:00Z</dcterms:created>
  <dcterms:modified xsi:type="dcterms:W3CDTF">2022-02-27T12:18:00Z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