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41C0" w14:textId="77777777" w:rsidR="009E7A72" w:rsidRPr="000C2D12" w:rsidRDefault="009E7A72" w:rsidP="0089598D">
      <w:pPr>
        <w:spacing w:line="480" w:lineRule="auto"/>
        <w:jc w:val="center"/>
        <w:rPr>
          <w:sz w:val="40"/>
          <w:szCs w:val="40"/>
          <w:lang w:val="sr-Latn-BA"/>
        </w:rPr>
      </w:pPr>
    </w:p>
    <w:p w14:paraId="32AB5EE8" w14:textId="77777777" w:rsidR="009E7A72" w:rsidRDefault="009E7A72" w:rsidP="0089598D">
      <w:pPr>
        <w:spacing w:line="480" w:lineRule="auto"/>
        <w:jc w:val="center"/>
        <w:rPr>
          <w:sz w:val="40"/>
          <w:szCs w:val="40"/>
        </w:rPr>
      </w:pPr>
    </w:p>
    <w:p w14:paraId="45A5B5EC" w14:textId="77777777" w:rsidR="009E7A72" w:rsidRDefault="009E7A72" w:rsidP="00B4043A">
      <w:pPr>
        <w:spacing w:line="480" w:lineRule="auto"/>
        <w:rPr>
          <w:sz w:val="40"/>
          <w:szCs w:val="40"/>
        </w:rPr>
      </w:pPr>
    </w:p>
    <w:p w14:paraId="05948C93" w14:textId="69B524E7" w:rsidR="00CC09C8" w:rsidRPr="00A3673A" w:rsidRDefault="009E7A72" w:rsidP="0089598D">
      <w:pPr>
        <w:spacing w:line="480" w:lineRule="auto"/>
        <w:jc w:val="center"/>
        <w:rPr>
          <w:rFonts w:ascii="Times New Roman" w:hAnsi="Times New Roman" w:cs="Times New Roman"/>
          <w:sz w:val="56"/>
          <w:szCs w:val="56"/>
        </w:rPr>
      </w:pPr>
      <w:r w:rsidRPr="00A3673A">
        <w:rPr>
          <w:rFonts w:ascii="Times New Roman" w:hAnsi="Times New Roman" w:cs="Times New Roman"/>
          <w:sz w:val="56"/>
          <w:szCs w:val="56"/>
        </w:rPr>
        <w:t>D</w:t>
      </w:r>
      <w:r w:rsidR="00F931FB" w:rsidRPr="00A3673A">
        <w:rPr>
          <w:rFonts w:ascii="Times New Roman" w:hAnsi="Times New Roman" w:cs="Times New Roman"/>
          <w:sz w:val="56"/>
          <w:szCs w:val="56"/>
        </w:rPr>
        <w:t>ENTALNI</w:t>
      </w:r>
      <w:r w:rsidRPr="00A3673A">
        <w:rPr>
          <w:rFonts w:ascii="Times New Roman" w:hAnsi="Times New Roman" w:cs="Times New Roman"/>
          <w:sz w:val="56"/>
          <w:szCs w:val="56"/>
        </w:rPr>
        <w:t xml:space="preserve"> F</w:t>
      </w:r>
      <w:r w:rsidR="00F931FB" w:rsidRPr="00A3673A">
        <w:rPr>
          <w:rFonts w:ascii="Times New Roman" w:hAnsi="Times New Roman" w:cs="Times New Roman"/>
          <w:sz w:val="56"/>
          <w:szCs w:val="56"/>
        </w:rPr>
        <w:t>OKUSI</w:t>
      </w:r>
      <w:r w:rsidRPr="00A3673A">
        <w:rPr>
          <w:rFonts w:ascii="Times New Roman" w:hAnsi="Times New Roman" w:cs="Times New Roman"/>
          <w:sz w:val="56"/>
          <w:szCs w:val="56"/>
        </w:rPr>
        <w:t xml:space="preserve"> </w:t>
      </w:r>
      <w:r w:rsidR="00F931FB" w:rsidRPr="00A3673A">
        <w:rPr>
          <w:rFonts w:ascii="Times New Roman" w:hAnsi="Times New Roman" w:cs="Times New Roman"/>
          <w:sz w:val="56"/>
          <w:szCs w:val="56"/>
        </w:rPr>
        <w:t>KAO</w:t>
      </w:r>
      <w:r w:rsidRPr="00A3673A">
        <w:rPr>
          <w:rFonts w:ascii="Times New Roman" w:hAnsi="Times New Roman" w:cs="Times New Roman"/>
          <w:sz w:val="56"/>
          <w:szCs w:val="56"/>
        </w:rPr>
        <w:t xml:space="preserve"> U</w:t>
      </w:r>
      <w:r w:rsidR="00F931FB" w:rsidRPr="00A3673A">
        <w:rPr>
          <w:rFonts w:ascii="Times New Roman" w:hAnsi="Times New Roman" w:cs="Times New Roman"/>
          <w:sz w:val="56"/>
          <w:szCs w:val="56"/>
        </w:rPr>
        <w:t>ZROČNIK</w:t>
      </w:r>
      <w:r w:rsidRPr="00A3673A">
        <w:rPr>
          <w:rFonts w:ascii="Times New Roman" w:hAnsi="Times New Roman" w:cs="Times New Roman"/>
          <w:sz w:val="56"/>
          <w:szCs w:val="56"/>
        </w:rPr>
        <w:t xml:space="preserve"> A</w:t>
      </w:r>
      <w:r w:rsidR="00F931FB" w:rsidRPr="00A3673A">
        <w:rPr>
          <w:rFonts w:ascii="Times New Roman" w:hAnsi="Times New Roman" w:cs="Times New Roman"/>
          <w:sz w:val="56"/>
          <w:szCs w:val="56"/>
        </w:rPr>
        <w:t>LOPECI</w:t>
      </w:r>
      <w:r w:rsidR="001F0E8E" w:rsidRPr="00A3673A">
        <w:rPr>
          <w:rFonts w:ascii="Times New Roman" w:hAnsi="Times New Roman" w:cs="Times New Roman"/>
          <w:sz w:val="56"/>
          <w:szCs w:val="56"/>
        </w:rPr>
        <w:t>J</w:t>
      </w:r>
      <w:r w:rsidR="00F931FB" w:rsidRPr="00A3673A">
        <w:rPr>
          <w:rFonts w:ascii="Times New Roman" w:hAnsi="Times New Roman" w:cs="Times New Roman"/>
          <w:sz w:val="56"/>
          <w:szCs w:val="56"/>
        </w:rPr>
        <w:t>E</w:t>
      </w:r>
      <w:r w:rsidRPr="00A3673A">
        <w:rPr>
          <w:rFonts w:ascii="Times New Roman" w:hAnsi="Times New Roman" w:cs="Times New Roman"/>
          <w:sz w:val="56"/>
          <w:szCs w:val="56"/>
        </w:rPr>
        <w:t xml:space="preserve"> A</w:t>
      </w:r>
      <w:r w:rsidR="00F931FB" w:rsidRPr="00A3673A">
        <w:rPr>
          <w:rFonts w:ascii="Times New Roman" w:hAnsi="Times New Roman" w:cs="Times New Roman"/>
          <w:sz w:val="56"/>
          <w:szCs w:val="56"/>
        </w:rPr>
        <w:t>REATE</w:t>
      </w:r>
    </w:p>
    <w:p w14:paraId="2EE1A35B" w14:textId="77777777" w:rsidR="009E7A72" w:rsidRPr="00A3673A" w:rsidRDefault="009E7A72" w:rsidP="0089598D">
      <w:pPr>
        <w:spacing w:line="480" w:lineRule="auto"/>
        <w:jc w:val="center"/>
        <w:rPr>
          <w:rFonts w:ascii="Times New Roman" w:hAnsi="Times New Roman" w:cs="Times New Roman"/>
          <w:sz w:val="40"/>
          <w:szCs w:val="40"/>
        </w:rPr>
      </w:pPr>
    </w:p>
    <w:p w14:paraId="2144A1E1" w14:textId="77777777" w:rsidR="009E7A72" w:rsidRDefault="009E7A72" w:rsidP="0089598D">
      <w:pPr>
        <w:spacing w:line="480" w:lineRule="auto"/>
        <w:jc w:val="center"/>
        <w:rPr>
          <w:sz w:val="40"/>
          <w:szCs w:val="40"/>
        </w:rPr>
      </w:pPr>
    </w:p>
    <w:p w14:paraId="57A0D4A4" w14:textId="77777777" w:rsidR="00B4043A" w:rsidRDefault="00B4043A" w:rsidP="0089598D">
      <w:pPr>
        <w:spacing w:line="480" w:lineRule="auto"/>
        <w:rPr>
          <w:rFonts w:ascii="Times New Roman" w:hAnsi="Times New Roman" w:cs="Times New Roman"/>
          <w:sz w:val="32"/>
          <w:szCs w:val="32"/>
        </w:rPr>
      </w:pPr>
    </w:p>
    <w:p w14:paraId="3C8E1D75" w14:textId="77777777" w:rsidR="00B4043A" w:rsidRDefault="00B4043A" w:rsidP="0089598D">
      <w:pPr>
        <w:spacing w:line="480" w:lineRule="auto"/>
        <w:rPr>
          <w:rFonts w:ascii="Times New Roman" w:hAnsi="Times New Roman" w:cs="Times New Roman"/>
          <w:sz w:val="32"/>
          <w:szCs w:val="32"/>
        </w:rPr>
      </w:pPr>
    </w:p>
    <w:p w14:paraId="25B2DAF2" w14:textId="500A7743" w:rsidR="0089598D" w:rsidRPr="00A3673A" w:rsidRDefault="00A3673A" w:rsidP="0089598D">
      <w:pPr>
        <w:spacing w:line="480" w:lineRule="auto"/>
        <w:rPr>
          <w:rFonts w:ascii="Times New Roman" w:hAnsi="Times New Roman" w:cs="Times New Roman"/>
          <w:sz w:val="32"/>
          <w:szCs w:val="32"/>
        </w:rPr>
      </w:pPr>
      <w:r>
        <w:rPr>
          <w:rFonts w:ascii="Times New Roman" w:hAnsi="Times New Roman" w:cs="Times New Roman"/>
          <w:sz w:val="32"/>
          <w:szCs w:val="32"/>
        </w:rPr>
        <w:t>Simo Malinović, Dom zdravlja Mostar</w:t>
      </w:r>
    </w:p>
    <w:p w14:paraId="657BDCD6" w14:textId="77777777" w:rsidR="0089598D" w:rsidRDefault="0089598D" w:rsidP="0089598D">
      <w:pPr>
        <w:spacing w:line="480" w:lineRule="auto"/>
        <w:rPr>
          <w:sz w:val="40"/>
          <w:szCs w:val="40"/>
        </w:rPr>
      </w:pPr>
    </w:p>
    <w:p w14:paraId="502D6107" w14:textId="568C7546" w:rsidR="009E7A72" w:rsidRPr="007B01CB" w:rsidRDefault="00731347" w:rsidP="0089598D">
      <w:pPr>
        <w:spacing w:line="480" w:lineRule="auto"/>
        <w:rPr>
          <w:b/>
          <w:bCs/>
          <w:sz w:val="24"/>
          <w:szCs w:val="24"/>
        </w:rPr>
      </w:pPr>
      <w:r w:rsidRPr="007B01CB">
        <w:rPr>
          <w:b/>
          <w:bCs/>
          <w:sz w:val="24"/>
          <w:szCs w:val="24"/>
        </w:rPr>
        <w:lastRenderedPageBreak/>
        <w:t>Apstrakt</w:t>
      </w:r>
    </w:p>
    <w:p w14:paraId="5548594A" w14:textId="77777777" w:rsidR="00C42A8F" w:rsidRDefault="007E6692"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Uvod: </w:t>
      </w:r>
      <w:r w:rsidR="00731347">
        <w:rPr>
          <w:rFonts w:ascii="Times New Roman" w:hAnsi="Times New Roman" w:cs="Times New Roman"/>
          <w:sz w:val="24"/>
          <w:szCs w:val="24"/>
        </w:rPr>
        <w:t>Alopecija areata predstavlja autoimuno oboljenje koje se karatkeriše opadanjem dlake na ograničenim kružnim područijima, najčešće kapilicijumu.</w:t>
      </w:r>
      <w:r w:rsidR="00F22DCF" w:rsidRPr="00F22DCF">
        <w:t xml:space="preserve"> </w:t>
      </w:r>
      <w:r w:rsidR="00F22DCF" w:rsidRPr="00F22DCF">
        <w:rPr>
          <w:rFonts w:ascii="Times New Roman" w:hAnsi="Times New Roman" w:cs="Times New Roman"/>
          <w:sz w:val="24"/>
          <w:szCs w:val="24"/>
        </w:rPr>
        <w:t>Dentogena žarišta nastaju kao posljedica pulpitisa, odnosno direktnim prodorom mikroorganizama i njihovih produkata u pulpu i periapikalno područje</w:t>
      </w:r>
      <w:r w:rsidR="00F22DCF">
        <w:rPr>
          <w:rFonts w:ascii="Times New Roman" w:hAnsi="Times New Roman" w:cs="Times New Roman"/>
          <w:sz w:val="24"/>
          <w:szCs w:val="24"/>
        </w:rPr>
        <w:t>.</w:t>
      </w:r>
    </w:p>
    <w:p w14:paraId="47B8E883" w14:textId="31BCDCA8" w:rsidR="007E6692" w:rsidRDefault="00731347"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42A8F">
        <w:rPr>
          <w:rFonts w:ascii="Times New Roman" w:hAnsi="Times New Roman" w:cs="Times New Roman"/>
          <w:sz w:val="24"/>
          <w:szCs w:val="24"/>
        </w:rPr>
        <w:t xml:space="preserve">Materijal i metode: U prospektivnoj studiji </w:t>
      </w:r>
      <w:r w:rsidR="008747BB">
        <w:rPr>
          <w:rFonts w:ascii="Times New Roman" w:hAnsi="Times New Roman" w:cs="Times New Roman"/>
          <w:sz w:val="24"/>
          <w:szCs w:val="24"/>
        </w:rPr>
        <w:t>koja uključuje 40 ispitanika sa dijagnostikovanom alopecijiom areatom na različitim dijelovima glave, utvrđuje se uzročnik oboljenja te sprovodi izliječenje pomoću dermatoloških i stomatoloških metoda. Ispitanici su podijeljeni u tri grupe na osnovu terapijskih metoda</w:t>
      </w:r>
      <w:r w:rsidR="00A344DB">
        <w:rPr>
          <w:rFonts w:ascii="Times New Roman" w:hAnsi="Times New Roman" w:cs="Times New Roman"/>
          <w:sz w:val="24"/>
          <w:szCs w:val="24"/>
        </w:rPr>
        <w:t>.</w:t>
      </w:r>
    </w:p>
    <w:p w14:paraId="346FFBF8" w14:textId="21C81556" w:rsidR="008747BB" w:rsidRDefault="008747BB"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Rezultat: Kod </w:t>
      </w:r>
      <w:r w:rsidR="0053399F">
        <w:rPr>
          <w:rFonts w:ascii="Times New Roman" w:hAnsi="Times New Roman" w:cs="Times New Roman"/>
          <w:sz w:val="24"/>
          <w:szCs w:val="24"/>
        </w:rPr>
        <w:t>20</w:t>
      </w:r>
      <w:r>
        <w:rPr>
          <w:rFonts w:ascii="Times New Roman" w:hAnsi="Times New Roman" w:cs="Times New Roman"/>
          <w:sz w:val="24"/>
          <w:szCs w:val="24"/>
        </w:rPr>
        <w:t xml:space="preserve"> pacijenata </w:t>
      </w:r>
      <w:r w:rsidR="003408E0">
        <w:rPr>
          <w:rFonts w:ascii="Times New Roman" w:hAnsi="Times New Roman" w:cs="Times New Roman"/>
          <w:sz w:val="24"/>
          <w:szCs w:val="24"/>
        </w:rPr>
        <w:t>je došlo do potpunog povlačenja alopecije nakon</w:t>
      </w:r>
      <w:r w:rsidR="0053399F">
        <w:rPr>
          <w:rFonts w:ascii="Times New Roman" w:hAnsi="Times New Roman" w:cs="Times New Roman"/>
          <w:sz w:val="24"/>
          <w:szCs w:val="24"/>
        </w:rPr>
        <w:t xml:space="preserve"> zajedničkog dejstva</w:t>
      </w:r>
      <w:r w:rsidR="003408E0">
        <w:rPr>
          <w:rFonts w:ascii="Times New Roman" w:hAnsi="Times New Roman" w:cs="Times New Roman"/>
          <w:sz w:val="24"/>
          <w:szCs w:val="24"/>
        </w:rPr>
        <w:t xml:space="preserve"> stomatološkog</w:t>
      </w:r>
      <w:r w:rsidR="0053399F">
        <w:rPr>
          <w:rFonts w:ascii="Times New Roman" w:hAnsi="Times New Roman" w:cs="Times New Roman"/>
          <w:sz w:val="24"/>
          <w:szCs w:val="24"/>
        </w:rPr>
        <w:t xml:space="preserve"> i dermatološkog</w:t>
      </w:r>
      <w:r w:rsidR="003408E0">
        <w:rPr>
          <w:rFonts w:ascii="Times New Roman" w:hAnsi="Times New Roman" w:cs="Times New Roman"/>
          <w:sz w:val="24"/>
          <w:szCs w:val="24"/>
        </w:rPr>
        <w:t xml:space="preserve"> tretmana. </w:t>
      </w:r>
      <w:r w:rsidR="00F42D7A">
        <w:rPr>
          <w:rFonts w:ascii="Times New Roman" w:hAnsi="Times New Roman" w:cs="Times New Roman"/>
          <w:sz w:val="24"/>
          <w:szCs w:val="24"/>
        </w:rPr>
        <w:t xml:space="preserve">Kod </w:t>
      </w:r>
      <w:r w:rsidR="0053399F">
        <w:rPr>
          <w:rFonts w:ascii="Times New Roman" w:hAnsi="Times New Roman" w:cs="Times New Roman"/>
          <w:sz w:val="24"/>
          <w:szCs w:val="24"/>
        </w:rPr>
        <w:t>12</w:t>
      </w:r>
      <w:r w:rsidR="00F42D7A">
        <w:rPr>
          <w:rFonts w:ascii="Times New Roman" w:hAnsi="Times New Roman" w:cs="Times New Roman"/>
          <w:sz w:val="24"/>
          <w:szCs w:val="24"/>
        </w:rPr>
        <w:t xml:space="preserve"> pacijenata je došlo do vidljivog smanjenja promjene nakon</w:t>
      </w:r>
      <w:r w:rsidR="0053399F">
        <w:rPr>
          <w:rFonts w:ascii="Times New Roman" w:hAnsi="Times New Roman" w:cs="Times New Roman"/>
          <w:sz w:val="24"/>
          <w:szCs w:val="24"/>
        </w:rPr>
        <w:t xml:space="preserve"> primjene samo</w:t>
      </w:r>
      <w:r w:rsidR="00F42D7A">
        <w:rPr>
          <w:rFonts w:ascii="Times New Roman" w:hAnsi="Times New Roman" w:cs="Times New Roman"/>
          <w:sz w:val="24"/>
          <w:szCs w:val="24"/>
        </w:rPr>
        <w:t xml:space="preserve"> </w:t>
      </w:r>
      <w:r w:rsidR="0053399F">
        <w:rPr>
          <w:rFonts w:ascii="Times New Roman" w:hAnsi="Times New Roman" w:cs="Times New Roman"/>
          <w:sz w:val="24"/>
          <w:szCs w:val="24"/>
        </w:rPr>
        <w:t xml:space="preserve">stomatološkog </w:t>
      </w:r>
      <w:r w:rsidR="00F42D7A">
        <w:rPr>
          <w:rFonts w:ascii="Times New Roman" w:hAnsi="Times New Roman" w:cs="Times New Roman"/>
          <w:sz w:val="24"/>
          <w:szCs w:val="24"/>
        </w:rPr>
        <w:t xml:space="preserve">tretmana. A kod presostalih </w:t>
      </w:r>
      <w:r w:rsidR="0053399F">
        <w:rPr>
          <w:rFonts w:ascii="Times New Roman" w:hAnsi="Times New Roman" w:cs="Times New Roman"/>
          <w:sz w:val="24"/>
          <w:szCs w:val="24"/>
        </w:rPr>
        <w:t>8</w:t>
      </w:r>
      <w:r w:rsidR="00F42D7A">
        <w:rPr>
          <w:rFonts w:ascii="Times New Roman" w:hAnsi="Times New Roman" w:cs="Times New Roman"/>
          <w:sz w:val="24"/>
          <w:szCs w:val="24"/>
        </w:rPr>
        <w:t xml:space="preserve"> pacijenata nije došlo da značajnih promjena</w:t>
      </w:r>
      <w:r w:rsidR="00A679CC">
        <w:rPr>
          <w:rFonts w:ascii="Times New Roman" w:hAnsi="Times New Roman" w:cs="Times New Roman"/>
          <w:sz w:val="24"/>
          <w:szCs w:val="24"/>
        </w:rPr>
        <w:t xml:space="preserve"> nakon dermatološkog tretmana</w:t>
      </w:r>
      <w:r w:rsidR="00F42D7A">
        <w:rPr>
          <w:rFonts w:ascii="Times New Roman" w:hAnsi="Times New Roman" w:cs="Times New Roman"/>
          <w:sz w:val="24"/>
          <w:szCs w:val="24"/>
        </w:rPr>
        <w:t>.</w:t>
      </w:r>
    </w:p>
    <w:p w14:paraId="3CB6C543" w14:textId="77432E03" w:rsidR="00A344DB" w:rsidRDefault="00A344DB"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Zaključak: </w:t>
      </w:r>
      <w:r w:rsidR="00C33EE5">
        <w:rPr>
          <w:rFonts w:ascii="Times New Roman" w:hAnsi="Times New Roman" w:cs="Times New Roman"/>
          <w:sz w:val="24"/>
          <w:szCs w:val="24"/>
        </w:rPr>
        <w:t>Na kraju možemo reći da najčešća vrsta patoloških procesa kod ispitivanih pacijenata je cista i hronična periapikalna lezija. U samoj terapiji najbolje rezultate dalo je kombinovano dejstvo stomatološkog saniranja dentogenog žarišta zajedno sa dermatološkom terapijom</w:t>
      </w:r>
      <w:r w:rsidR="002D3846">
        <w:rPr>
          <w:rFonts w:ascii="Times New Roman" w:hAnsi="Times New Roman" w:cs="Times New Roman"/>
          <w:sz w:val="24"/>
          <w:szCs w:val="24"/>
        </w:rPr>
        <w:t>.</w:t>
      </w:r>
    </w:p>
    <w:p w14:paraId="6AA2BC5D" w14:textId="77777777" w:rsidR="00830A40" w:rsidRDefault="00830A40" w:rsidP="0089598D">
      <w:pPr>
        <w:spacing w:line="480" w:lineRule="auto"/>
        <w:rPr>
          <w:rFonts w:ascii="Times New Roman" w:hAnsi="Times New Roman" w:cs="Times New Roman"/>
          <w:sz w:val="24"/>
          <w:szCs w:val="24"/>
        </w:rPr>
      </w:pPr>
    </w:p>
    <w:p w14:paraId="40602611" w14:textId="065449E0" w:rsidR="00D44484" w:rsidRDefault="00D44484" w:rsidP="0089598D">
      <w:pPr>
        <w:spacing w:line="480" w:lineRule="auto"/>
        <w:rPr>
          <w:rFonts w:ascii="Times New Roman" w:hAnsi="Times New Roman" w:cs="Times New Roman"/>
          <w:sz w:val="24"/>
          <w:szCs w:val="24"/>
        </w:rPr>
      </w:pPr>
      <w:r>
        <w:rPr>
          <w:rFonts w:ascii="Times New Roman" w:hAnsi="Times New Roman" w:cs="Times New Roman"/>
          <w:sz w:val="24"/>
          <w:szCs w:val="24"/>
        </w:rPr>
        <w:t>Ključne riječi: alopecija areata, dentalno žarište, oralna šupljina</w:t>
      </w:r>
    </w:p>
    <w:p w14:paraId="10CE86B9" w14:textId="77777777" w:rsidR="00830A40" w:rsidRDefault="00830A40" w:rsidP="0089598D">
      <w:pPr>
        <w:spacing w:line="480" w:lineRule="auto"/>
        <w:rPr>
          <w:rFonts w:ascii="Times New Roman" w:hAnsi="Times New Roman" w:cs="Times New Roman"/>
          <w:b/>
          <w:bCs/>
          <w:sz w:val="24"/>
          <w:szCs w:val="24"/>
        </w:rPr>
      </w:pPr>
    </w:p>
    <w:p w14:paraId="198D5CBB" w14:textId="77777777" w:rsidR="009260CE" w:rsidRDefault="009260CE" w:rsidP="0089598D">
      <w:pPr>
        <w:spacing w:line="480" w:lineRule="auto"/>
        <w:rPr>
          <w:rFonts w:ascii="Times New Roman" w:hAnsi="Times New Roman" w:cs="Times New Roman"/>
          <w:b/>
          <w:bCs/>
          <w:sz w:val="24"/>
          <w:szCs w:val="24"/>
        </w:rPr>
      </w:pPr>
    </w:p>
    <w:p w14:paraId="083B6EF0" w14:textId="14F1C132" w:rsidR="003E0498" w:rsidRPr="00D44484" w:rsidRDefault="003E0498" w:rsidP="0089598D">
      <w:pPr>
        <w:spacing w:line="480" w:lineRule="auto"/>
        <w:rPr>
          <w:rFonts w:ascii="Times New Roman" w:hAnsi="Times New Roman" w:cs="Times New Roman"/>
          <w:sz w:val="24"/>
          <w:szCs w:val="24"/>
        </w:rPr>
      </w:pPr>
      <w:r w:rsidRPr="007B01CB">
        <w:rPr>
          <w:rFonts w:ascii="Times New Roman" w:hAnsi="Times New Roman" w:cs="Times New Roman"/>
          <w:b/>
          <w:bCs/>
          <w:sz w:val="24"/>
          <w:szCs w:val="24"/>
        </w:rPr>
        <w:lastRenderedPageBreak/>
        <w:t>Abstract</w:t>
      </w:r>
    </w:p>
    <w:p w14:paraId="6B1BAAED" w14:textId="401F3D70" w:rsidR="003E0498" w:rsidRDefault="002D3846" w:rsidP="0089598D">
      <w:pPr>
        <w:spacing w:line="480" w:lineRule="auto"/>
        <w:rPr>
          <w:rFonts w:ascii="Times New Roman" w:hAnsi="Times New Roman" w:cs="Times New Roman"/>
          <w:sz w:val="24"/>
          <w:szCs w:val="24"/>
        </w:rPr>
      </w:pPr>
      <w:r w:rsidRPr="002D3846">
        <w:rPr>
          <w:rFonts w:ascii="Times New Roman" w:eastAsia="Calibri" w:hAnsi="Times New Roman" w:cs="Times New Roman"/>
          <w:sz w:val="24"/>
          <w:szCs w:val="24"/>
          <w:lang w:val="en-US" w:eastAsia="en-US"/>
        </w:rPr>
        <w:t>Introduction:</w:t>
      </w:r>
      <w:r>
        <w:rPr>
          <w:rFonts w:ascii="Times New Roman" w:eastAsia="Calibri" w:hAnsi="Times New Roman" w:cs="Times New Roman"/>
          <w:sz w:val="24"/>
          <w:szCs w:val="24"/>
          <w:lang w:val="en-US" w:eastAsia="en-US"/>
        </w:rPr>
        <w:t xml:space="preserve"> </w:t>
      </w:r>
      <w:r w:rsidR="003E0498">
        <w:rPr>
          <w:rFonts w:ascii="Times New Roman" w:hAnsi="Times New Roman" w:cs="Times New Roman"/>
          <w:sz w:val="24"/>
          <w:szCs w:val="24"/>
        </w:rPr>
        <w:t>Alopecia areata is autoimmune dessise wich is characterize</w:t>
      </w:r>
      <w:r w:rsidR="0050241C">
        <w:rPr>
          <w:rFonts w:ascii="Times New Roman" w:hAnsi="Times New Roman" w:cs="Times New Roman"/>
          <w:sz w:val="24"/>
          <w:szCs w:val="24"/>
        </w:rPr>
        <w:t>d</w:t>
      </w:r>
      <w:r w:rsidR="003E0498">
        <w:rPr>
          <w:rFonts w:ascii="Times New Roman" w:hAnsi="Times New Roman" w:cs="Times New Roman"/>
          <w:sz w:val="24"/>
          <w:szCs w:val="24"/>
        </w:rPr>
        <w:t xml:space="preserve"> by hair lose on limited circular area</w:t>
      </w:r>
      <w:r w:rsidR="005E198D">
        <w:rPr>
          <w:rFonts w:ascii="Times New Roman" w:hAnsi="Times New Roman" w:cs="Times New Roman"/>
          <w:sz w:val="24"/>
          <w:szCs w:val="24"/>
        </w:rPr>
        <w:t>s, most commonly on capilicium. Dental foci are among the causes of alopecia areata, most often as avital teeth with an inflamatory procces int</w:t>
      </w:r>
      <w:r>
        <w:rPr>
          <w:rFonts w:ascii="Times New Roman" w:hAnsi="Times New Roman" w:cs="Times New Roman"/>
          <w:sz w:val="24"/>
          <w:szCs w:val="24"/>
        </w:rPr>
        <w:t>o</w:t>
      </w:r>
      <w:r w:rsidR="005E198D">
        <w:rPr>
          <w:rFonts w:ascii="Times New Roman" w:hAnsi="Times New Roman" w:cs="Times New Roman"/>
          <w:sz w:val="24"/>
          <w:szCs w:val="24"/>
        </w:rPr>
        <w:t xml:space="preserve"> the apical region. </w:t>
      </w:r>
    </w:p>
    <w:p w14:paraId="34C42CC1" w14:textId="0984B786" w:rsidR="002D3846" w:rsidRDefault="002D3846" w:rsidP="0089598D">
      <w:pPr>
        <w:spacing w:line="480" w:lineRule="auto"/>
        <w:rPr>
          <w:rFonts w:ascii="Times New Roman" w:hAnsi="Times New Roman" w:cs="Times New Roman"/>
          <w:sz w:val="24"/>
          <w:szCs w:val="24"/>
        </w:rPr>
      </w:pPr>
      <w:r w:rsidRPr="002D3846">
        <w:rPr>
          <w:rFonts w:ascii="Times New Roman" w:hAnsi="Times New Roman" w:cs="Times New Roman"/>
          <w:sz w:val="24"/>
          <w:szCs w:val="24"/>
        </w:rPr>
        <w:t>Material and methods: In a prospective study involving 40 subjects diagnosed with alopecia areata on different parts of the head, the cause of the disease is determined and cured by dermatological and dental methods. Subjects were divided into three groups based on therapeutic methods.</w:t>
      </w:r>
    </w:p>
    <w:p w14:paraId="43814E3F" w14:textId="6FA179A5" w:rsidR="002D3846" w:rsidRDefault="0053399F" w:rsidP="0089598D">
      <w:pPr>
        <w:spacing w:line="480" w:lineRule="auto"/>
        <w:rPr>
          <w:rFonts w:ascii="Times New Roman" w:hAnsi="Times New Roman" w:cs="Times New Roman"/>
          <w:sz w:val="24"/>
          <w:szCs w:val="24"/>
        </w:rPr>
      </w:pPr>
      <w:r w:rsidRPr="0053399F">
        <w:rPr>
          <w:rFonts w:ascii="Times New Roman" w:hAnsi="Times New Roman" w:cs="Times New Roman"/>
          <w:sz w:val="24"/>
          <w:szCs w:val="24"/>
        </w:rPr>
        <w:t>Result: In 20 patients there was a complete withdrawal of alopecia after the joint action of dental and dermatological treatment. In 12 patients there was a visible reduction in the change after only dental treatment. And in the remaining 8 patients, there were no significant changes after dermatological treatment.</w:t>
      </w:r>
    </w:p>
    <w:p w14:paraId="20C4B1D8" w14:textId="43FE59B6" w:rsidR="00D44484" w:rsidRDefault="00D44484" w:rsidP="0089598D">
      <w:pPr>
        <w:spacing w:line="480" w:lineRule="auto"/>
        <w:rPr>
          <w:rFonts w:ascii="Times New Roman" w:hAnsi="Times New Roman" w:cs="Times New Roman"/>
          <w:sz w:val="24"/>
          <w:szCs w:val="24"/>
        </w:rPr>
      </w:pPr>
      <w:r w:rsidRPr="00D44484">
        <w:rPr>
          <w:rFonts w:ascii="Times New Roman" w:hAnsi="Times New Roman" w:cs="Times New Roman"/>
          <w:sz w:val="24"/>
          <w:szCs w:val="24"/>
        </w:rPr>
        <w:t>Conclusion: Finally, we can say that the most common type of pathological processes in the examined patients is cyst and chronic periapical lesion. In the therapy itself, the best results were given by the combined effect of dental remediation of dentogenic foci together with dermatological therapy.</w:t>
      </w:r>
    </w:p>
    <w:p w14:paraId="43ADD0C8" w14:textId="77777777" w:rsidR="0053399F" w:rsidRDefault="0053399F" w:rsidP="0089598D">
      <w:pPr>
        <w:spacing w:line="480" w:lineRule="auto"/>
        <w:rPr>
          <w:rFonts w:ascii="Times New Roman" w:hAnsi="Times New Roman" w:cs="Times New Roman"/>
          <w:sz w:val="24"/>
          <w:szCs w:val="24"/>
        </w:rPr>
      </w:pPr>
    </w:p>
    <w:p w14:paraId="3E23F66B" w14:textId="7736830F" w:rsidR="006B4BAE" w:rsidRDefault="006B4BAE" w:rsidP="0089598D">
      <w:pPr>
        <w:spacing w:line="480" w:lineRule="auto"/>
        <w:rPr>
          <w:rFonts w:ascii="Times New Roman" w:hAnsi="Times New Roman" w:cs="Times New Roman"/>
          <w:sz w:val="24"/>
          <w:szCs w:val="24"/>
        </w:rPr>
      </w:pPr>
      <w:r>
        <w:rPr>
          <w:rFonts w:ascii="Times New Roman" w:hAnsi="Times New Roman" w:cs="Times New Roman"/>
          <w:sz w:val="24"/>
          <w:szCs w:val="24"/>
        </w:rPr>
        <w:t>Key words: Alopecia areata, dental foci, oral cavity</w:t>
      </w:r>
    </w:p>
    <w:p w14:paraId="2200780D" w14:textId="070A4193" w:rsidR="00830A40" w:rsidRDefault="00830A40" w:rsidP="0089598D">
      <w:pPr>
        <w:pStyle w:val="Heading1"/>
        <w:spacing w:before="0" w:line="480" w:lineRule="auto"/>
        <w:rPr>
          <w:color w:val="auto"/>
        </w:rPr>
      </w:pPr>
    </w:p>
    <w:p w14:paraId="2F825661" w14:textId="3638A6FF" w:rsidR="00830A40" w:rsidRDefault="00830A40" w:rsidP="00830A40"/>
    <w:p w14:paraId="366B63B9" w14:textId="08ACD41E" w:rsidR="00830A40" w:rsidRDefault="00830A40" w:rsidP="00830A40"/>
    <w:p w14:paraId="69523446" w14:textId="77777777" w:rsidR="00986C00" w:rsidRPr="00830A40" w:rsidRDefault="00986C00" w:rsidP="00830A40"/>
    <w:p w14:paraId="04B14B6E" w14:textId="598A197B" w:rsidR="006B4BAE" w:rsidRPr="004E3507" w:rsidRDefault="0068438F" w:rsidP="0089598D">
      <w:pPr>
        <w:pStyle w:val="Heading1"/>
        <w:spacing w:before="0" w:line="480" w:lineRule="auto"/>
        <w:rPr>
          <w:color w:val="auto"/>
        </w:rPr>
      </w:pPr>
      <w:r w:rsidRPr="004E3507">
        <w:rPr>
          <w:color w:val="auto"/>
        </w:rPr>
        <w:lastRenderedPageBreak/>
        <w:t>Uvod</w:t>
      </w:r>
    </w:p>
    <w:p w14:paraId="6C0CDF2C" w14:textId="77777777" w:rsidR="004E3507" w:rsidRDefault="004E3507" w:rsidP="0089598D">
      <w:pPr>
        <w:spacing w:line="480" w:lineRule="auto"/>
        <w:rPr>
          <w:rFonts w:ascii="Times New Roman" w:hAnsi="Times New Roman" w:cs="Times New Roman"/>
          <w:sz w:val="24"/>
          <w:szCs w:val="24"/>
        </w:rPr>
      </w:pPr>
    </w:p>
    <w:p w14:paraId="20A7654C" w14:textId="3F49A975"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Dentogena žarišta nastaju kao posljedica pulpitisa, odnosno direktnim prodorom mikroorganizama i njihovih produkata u pulpu i periapikalno područje, sa dominantnim nastankom infekcije</w:t>
      </w:r>
      <w:r w:rsidR="001D372D">
        <w:rPr>
          <w:rFonts w:ascii="Times New Roman" w:hAnsi="Times New Roman" w:cs="Times New Roman"/>
          <w:sz w:val="24"/>
          <w:szCs w:val="24"/>
        </w:rPr>
        <w:t xml:space="preserve"> (1)</w:t>
      </w:r>
      <w:r w:rsidRPr="0068438F">
        <w:rPr>
          <w:rFonts w:ascii="Times New Roman" w:hAnsi="Times New Roman" w:cs="Times New Roman"/>
          <w:sz w:val="24"/>
          <w:szCs w:val="24"/>
        </w:rPr>
        <w:t>. Najčešći fokusi su na depulpiranim zubima sa manifestnom, rengdenski prepoznatljivom alteracijom u području periapeksa. Avitalni zubi, bez uočljivih rengdenskih promjena se ne smiju zanemariti.. I mliječni zubi mogu biti žarišta, posebno u vrijeme smjene zuba</w:t>
      </w:r>
      <w:r w:rsidR="001D372D">
        <w:rPr>
          <w:rFonts w:ascii="Times New Roman" w:hAnsi="Times New Roman" w:cs="Times New Roman"/>
          <w:sz w:val="24"/>
          <w:szCs w:val="24"/>
        </w:rPr>
        <w:t xml:space="preserve"> (3)</w:t>
      </w:r>
      <w:r w:rsidRPr="0068438F">
        <w:rPr>
          <w:rFonts w:ascii="Times New Roman" w:hAnsi="Times New Roman" w:cs="Times New Roman"/>
          <w:sz w:val="24"/>
          <w:szCs w:val="24"/>
        </w:rPr>
        <w:t xml:space="preserve">. Ti zubi mogu imati sva obilježja hronične upale cijelog parodoncijuma. Na mliječnim zubima se mogu stvarati i ciste i </w:t>
      </w:r>
      <w:r>
        <w:rPr>
          <w:rFonts w:ascii="Times New Roman" w:hAnsi="Times New Roman" w:cs="Times New Roman"/>
          <w:sz w:val="24"/>
          <w:szCs w:val="24"/>
        </w:rPr>
        <w:t xml:space="preserve">granulomi. </w:t>
      </w:r>
      <w:r w:rsidRPr="0068438F">
        <w:rPr>
          <w:rFonts w:ascii="Times New Roman" w:hAnsi="Times New Roman" w:cs="Times New Roman"/>
          <w:sz w:val="24"/>
          <w:szCs w:val="24"/>
        </w:rPr>
        <w:t xml:space="preserve">Za formiranje apikalnog žarišta neophodni su i određeni uslovi: </w:t>
      </w:r>
    </w:p>
    <w:p w14:paraId="50E5E023"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duboka kariozna lezija, </w:t>
      </w:r>
    </w:p>
    <w:p w14:paraId="1DD47C27"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virulentnost mikroba, </w:t>
      </w:r>
    </w:p>
    <w:p w14:paraId="7BABAB0C"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oslabljene imunološke snage organizma. </w:t>
      </w:r>
    </w:p>
    <w:p w14:paraId="0237E460" w14:textId="06A45368"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Periapikalne hronične lezije su patološke promjene koje nastaju na vrhu korijenova avitalnih zuba, kada nekrotični sadržaj kanala korijena zuba, vršeći stalnu iritaciju apikalnog predjela zuba, uslovljava pojavu hronične iritacije. Ove lezije nastaju kao posljedica prodora živih i neživih iritansa iz korijena kanala zuba, nastalih uslijed patoloških promjena u zubnoj pulpi. Sadržaj nekrotičnog kanala korijena zuba čine raspadnuti produkti vezivnog, vaskularnog i nervnog tkiva, bakterija i njihovih toksina. Glavni uzrok nastanka hroničnih periapikalnih lezija je mikrobiološka infekcija. Mikroorganizmi koji prodiru do apeksa korijena zuba izazivaju zapaljenske procese. Zapaljenske promjene najprije zahvataju periodoncijum i cement korijena </w:t>
      </w:r>
      <w:r w:rsidRPr="0068438F">
        <w:rPr>
          <w:rFonts w:ascii="Times New Roman" w:hAnsi="Times New Roman" w:cs="Times New Roman"/>
          <w:sz w:val="24"/>
          <w:szCs w:val="24"/>
        </w:rPr>
        <w:lastRenderedPageBreak/>
        <w:t>zuba, a zatim se šire na alveolarnu kost. U suštini hronične periapikalne lezije predstavljaju zapaljensku reakciju koja se odlikuje formiranjem granulomatoznog tkiva čija je funkcija istovremeno i odbrambena i produktivna.Savremena saznanja o prisutnoj infekciji zasnivaju se na tehnikama ispitivanja mikrobiološke kulture. Pažljiva primjena molekularnih genetičkih metoda u mikrobiologiji potvrđuju zaključke o širokom spektru mikrobiološke flore. Međutim, još uvijek ne postoje naučni dokazi da su svi prisutni mikroorganizmi kanala korijena zuba patogeni</w:t>
      </w:r>
      <w:r w:rsidR="00611B19">
        <w:rPr>
          <w:rFonts w:ascii="Times New Roman" w:hAnsi="Times New Roman" w:cs="Times New Roman"/>
          <w:sz w:val="24"/>
          <w:szCs w:val="24"/>
        </w:rPr>
        <w:t>.</w:t>
      </w:r>
      <w:r w:rsidR="00D44484">
        <w:rPr>
          <w:rFonts w:ascii="Times New Roman" w:hAnsi="Times New Roman" w:cs="Times New Roman"/>
          <w:sz w:val="24"/>
          <w:szCs w:val="24"/>
        </w:rPr>
        <w:t xml:space="preserve"> </w:t>
      </w:r>
      <w:r w:rsidRPr="0068438F">
        <w:rPr>
          <w:rFonts w:ascii="Times New Roman" w:hAnsi="Times New Roman" w:cs="Times New Roman"/>
          <w:sz w:val="24"/>
          <w:szCs w:val="24"/>
        </w:rPr>
        <w:t>Mnogobrojna naučna istraživanja mikrobiološke flore dentogenih infekcija pokazuju značajne razlike u zastupljenosti anaerobnih i aerobnih bakterija. Najčešći mikroorganizmi kao izazivači periapikalnih lezija dominantno su anaerobne bakterije</w:t>
      </w:r>
      <w:r w:rsidR="001B4A30">
        <w:rPr>
          <w:rFonts w:ascii="Times New Roman" w:hAnsi="Times New Roman" w:cs="Times New Roman"/>
          <w:sz w:val="24"/>
          <w:szCs w:val="24"/>
        </w:rPr>
        <w:t xml:space="preserve">. </w:t>
      </w:r>
      <w:r w:rsidRPr="0068438F">
        <w:rPr>
          <w:rFonts w:ascii="Times New Roman" w:hAnsi="Times New Roman" w:cs="Times New Roman"/>
          <w:sz w:val="24"/>
          <w:szCs w:val="24"/>
        </w:rPr>
        <w:t xml:space="preserve">Odontogene infekcije predstavljaju najučestalija oboljenja lica i vilica. Najčešće se razvijaju kao sekundarne infekcije koje uglavnom potiču iz zuba i kosti, a rjeđe kao primarne infekcije iz mekih tkiva. Za nastanak infekcija značajna je patogenost, zaraznost, invazivnost, toksičnost, virulentnost, kao i mogućnost odbrambenih snaga organizma da se suprostavi infekciji, odnosno imunitet. Mikroorganizmi mogu da prodiru iz mrtvih zuba, potpornog aparata zuba, sluzokože usne duplje, povreda itd. </w:t>
      </w:r>
    </w:p>
    <w:p w14:paraId="3540EEC6"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Po načinu nastanka infekcije mogu biti: </w:t>
      </w:r>
    </w:p>
    <w:p w14:paraId="1714E8BE"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egzogene infekcije – izazivači potiču iz spoljne sredine; </w:t>
      </w:r>
    </w:p>
    <w:p w14:paraId="18317E18"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endogene infekcije – izazivač se već nalazi u organizmu; </w:t>
      </w:r>
    </w:p>
    <w:p w14:paraId="3DBF139E"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reinfekcije – isti izazivač dovodi ponovo do infekcije; </w:t>
      </w:r>
    </w:p>
    <w:p w14:paraId="66607760"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sekundarna infekcija – ponovljena infekcija sa drugim prouzrokovačem; </w:t>
      </w:r>
    </w:p>
    <w:p w14:paraId="1DD09C0F"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kombinovana infekcija – kada dva uzročnika dovode do pojave infekcije; </w:t>
      </w:r>
    </w:p>
    <w:p w14:paraId="66FF9A6D" w14:textId="5000097E"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lastRenderedPageBreak/>
        <w:t xml:space="preserve">- latentna infekcija – simptomi izostaju, ali u svakom momentu može doći do akutne egzacerbacije infekcije. </w:t>
      </w:r>
    </w:p>
    <w:p w14:paraId="562429FB" w14:textId="77777777" w:rsidR="00F23972" w:rsidRDefault="00F23972" w:rsidP="0089598D">
      <w:pPr>
        <w:keepNext/>
        <w:keepLines/>
        <w:spacing w:after="0" w:line="480" w:lineRule="auto"/>
        <w:outlineLvl w:val="0"/>
        <w:rPr>
          <w:rFonts w:asciiTheme="majorHAnsi" w:eastAsiaTheme="majorEastAsia" w:hAnsiTheme="majorHAnsi" w:cstheme="majorBidi"/>
          <w:sz w:val="32"/>
          <w:szCs w:val="32"/>
        </w:rPr>
      </w:pPr>
    </w:p>
    <w:p w14:paraId="2EBA7508" w14:textId="1AAC1166" w:rsidR="000C422A" w:rsidRPr="000C422A" w:rsidRDefault="000C422A" w:rsidP="0089598D">
      <w:pPr>
        <w:keepNext/>
        <w:keepLines/>
        <w:spacing w:after="0" w:line="480" w:lineRule="auto"/>
        <w:outlineLvl w:val="0"/>
        <w:rPr>
          <w:rFonts w:asciiTheme="majorHAnsi" w:eastAsiaTheme="majorEastAsia" w:hAnsiTheme="majorHAnsi" w:cstheme="majorBidi"/>
          <w:sz w:val="32"/>
          <w:szCs w:val="32"/>
        </w:rPr>
      </w:pPr>
      <w:r w:rsidRPr="000C422A">
        <w:rPr>
          <w:rFonts w:asciiTheme="majorHAnsi" w:eastAsiaTheme="majorEastAsia" w:hAnsiTheme="majorHAnsi" w:cstheme="majorBidi"/>
          <w:sz w:val="32"/>
          <w:szCs w:val="32"/>
        </w:rPr>
        <w:t>Hipoteza</w:t>
      </w:r>
    </w:p>
    <w:p w14:paraId="20408B21" w14:textId="77777777" w:rsidR="00F23972" w:rsidRDefault="00F23972" w:rsidP="0089598D">
      <w:pPr>
        <w:spacing w:line="480" w:lineRule="auto"/>
        <w:rPr>
          <w:rFonts w:ascii="Times New Roman" w:hAnsi="Times New Roman" w:cs="Times New Roman"/>
          <w:sz w:val="24"/>
          <w:szCs w:val="24"/>
        </w:rPr>
      </w:pPr>
    </w:p>
    <w:p w14:paraId="297682B0" w14:textId="67263638" w:rsidR="000C422A" w:rsidRPr="000C422A" w:rsidRDefault="000C422A" w:rsidP="0089598D">
      <w:pPr>
        <w:spacing w:line="480" w:lineRule="auto"/>
        <w:rPr>
          <w:rFonts w:ascii="Times New Roman" w:hAnsi="Times New Roman" w:cs="Times New Roman"/>
          <w:sz w:val="24"/>
          <w:szCs w:val="24"/>
        </w:rPr>
      </w:pPr>
      <w:r w:rsidRPr="000C422A">
        <w:rPr>
          <w:rFonts w:ascii="Times New Roman" w:hAnsi="Times New Roman" w:cs="Times New Roman"/>
          <w:sz w:val="24"/>
          <w:szCs w:val="24"/>
        </w:rPr>
        <w:t xml:space="preserve">H0: Uklanjanje dentogenog žarišta kao uzročnika alopecije areate će dovesti izlječenja sa ili bez primjene lokalne dermatološke terapije. </w:t>
      </w:r>
    </w:p>
    <w:p w14:paraId="42806E9B" w14:textId="43ABD000" w:rsidR="000C422A" w:rsidRPr="000C422A" w:rsidRDefault="000C422A" w:rsidP="0089598D">
      <w:pPr>
        <w:spacing w:line="480" w:lineRule="auto"/>
        <w:rPr>
          <w:rFonts w:ascii="Times New Roman" w:hAnsi="Times New Roman" w:cs="Times New Roman"/>
          <w:sz w:val="24"/>
          <w:szCs w:val="24"/>
        </w:rPr>
      </w:pPr>
      <w:r w:rsidRPr="000C422A">
        <w:rPr>
          <w:rFonts w:ascii="Times New Roman" w:hAnsi="Times New Roman" w:cs="Times New Roman"/>
          <w:sz w:val="24"/>
          <w:szCs w:val="24"/>
        </w:rPr>
        <w:t xml:space="preserve">H1: </w:t>
      </w:r>
      <w:r w:rsidR="00B45DD1">
        <w:rPr>
          <w:rFonts w:ascii="Times New Roman" w:hAnsi="Times New Roman" w:cs="Times New Roman"/>
          <w:sz w:val="24"/>
          <w:szCs w:val="24"/>
        </w:rPr>
        <w:t>O</w:t>
      </w:r>
      <w:r w:rsidRPr="000C422A">
        <w:rPr>
          <w:rFonts w:ascii="Times New Roman" w:hAnsi="Times New Roman" w:cs="Times New Roman"/>
          <w:sz w:val="24"/>
          <w:szCs w:val="24"/>
        </w:rPr>
        <w:t>dstranjenje fokusa oralnog područja odontogenog porijekla ima značajan uticaj na normalizaciju laboratorijskih parametara.</w:t>
      </w:r>
    </w:p>
    <w:p w14:paraId="0EEC6FAB" w14:textId="15410D48" w:rsidR="000C422A" w:rsidRDefault="000C422A" w:rsidP="0089598D">
      <w:pPr>
        <w:pStyle w:val="Heading1"/>
        <w:spacing w:before="0" w:line="480" w:lineRule="auto"/>
        <w:rPr>
          <w:color w:val="auto"/>
        </w:rPr>
      </w:pPr>
    </w:p>
    <w:p w14:paraId="077A5E25" w14:textId="77777777" w:rsidR="003313F6" w:rsidRPr="004E3507" w:rsidRDefault="003313F6" w:rsidP="0089598D">
      <w:pPr>
        <w:pStyle w:val="Heading1"/>
        <w:spacing w:before="0" w:line="480" w:lineRule="auto"/>
        <w:rPr>
          <w:color w:val="auto"/>
        </w:rPr>
      </w:pPr>
      <w:r>
        <w:rPr>
          <w:color w:val="auto"/>
        </w:rPr>
        <w:t>Ciljevi istraživanja</w:t>
      </w:r>
      <w:r w:rsidRPr="004E3507">
        <w:rPr>
          <w:color w:val="auto"/>
        </w:rPr>
        <w:t xml:space="preserve"> </w:t>
      </w:r>
    </w:p>
    <w:p w14:paraId="265EC94D" w14:textId="77777777" w:rsidR="00F23972" w:rsidRDefault="00F23972" w:rsidP="0089598D">
      <w:pPr>
        <w:spacing w:line="480" w:lineRule="auto"/>
        <w:rPr>
          <w:rFonts w:ascii="Times New Roman" w:hAnsi="Times New Roman" w:cs="Times New Roman"/>
          <w:sz w:val="24"/>
          <w:szCs w:val="24"/>
        </w:rPr>
      </w:pPr>
    </w:p>
    <w:p w14:paraId="129EAC61" w14:textId="03B3DE2B" w:rsidR="003313F6" w:rsidRDefault="003313F6" w:rsidP="0089598D">
      <w:pPr>
        <w:spacing w:line="480" w:lineRule="auto"/>
        <w:rPr>
          <w:rFonts w:ascii="Times New Roman" w:hAnsi="Times New Roman" w:cs="Times New Roman"/>
          <w:sz w:val="24"/>
          <w:szCs w:val="24"/>
        </w:rPr>
      </w:pPr>
      <w:r>
        <w:rPr>
          <w:rFonts w:ascii="Times New Roman" w:hAnsi="Times New Roman" w:cs="Times New Roman"/>
          <w:sz w:val="24"/>
          <w:szCs w:val="24"/>
        </w:rPr>
        <w:t>Osnovni ciljevi ovoga rada su:</w:t>
      </w:r>
    </w:p>
    <w:p w14:paraId="0FC577EE" w14:textId="2246F15C" w:rsidR="003313F6" w:rsidRDefault="003313F6" w:rsidP="0089598D">
      <w:pPr>
        <w:pStyle w:val="ListParagraph"/>
        <w:numPr>
          <w:ilvl w:val="0"/>
          <w:numId w:val="1"/>
        </w:numPr>
        <w:spacing w:line="480" w:lineRule="auto"/>
        <w:rPr>
          <w:rFonts w:ascii="Times New Roman" w:hAnsi="Times New Roman" w:cs="Times New Roman"/>
          <w:sz w:val="24"/>
          <w:szCs w:val="24"/>
        </w:rPr>
      </w:pPr>
      <w:r w:rsidRPr="003313F6">
        <w:rPr>
          <w:rFonts w:ascii="Times New Roman" w:hAnsi="Times New Roman" w:cs="Times New Roman"/>
          <w:sz w:val="24"/>
          <w:szCs w:val="24"/>
        </w:rPr>
        <w:t>Utvrditi učestalost pojedinih vrsta fokusa oralnog područja odontogenog porijekla kod oboljelih od alopecije areate</w:t>
      </w:r>
    </w:p>
    <w:p w14:paraId="16A61B5C" w14:textId="00637740" w:rsidR="003313F6" w:rsidRDefault="003313F6" w:rsidP="0089598D">
      <w:pPr>
        <w:pStyle w:val="ListParagraph"/>
        <w:numPr>
          <w:ilvl w:val="0"/>
          <w:numId w:val="1"/>
        </w:numPr>
        <w:spacing w:line="480" w:lineRule="auto"/>
        <w:rPr>
          <w:rFonts w:ascii="Times New Roman" w:hAnsi="Times New Roman" w:cs="Times New Roman"/>
          <w:sz w:val="24"/>
          <w:szCs w:val="24"/>
        </w:rPr>
      </w:pPr>
      <w:r w:rsidRPr="003313F6">
        <w:rPr>
          <w:rFonts w:ascii="Times New Roman" w:hAnsi="Times New Roman" w:cs="Times New Roman"/>
          <w:sz w:val="24"/>
          <w:szCs w:val="24"/>
        </w:rPr>
        <w:t>Ispitati povezanost lokalizacije i opsežnosti kožnih promjena kod oboljelih od alopecije areate u odnosu na vrstu odontogenih fokusa</w:t>
      </w:r>
    </w:p>
    <w:p w14:paraId="02E28DC9" w14:textId="14989A2A" w:rsidR="003313F6" w:rsidRDefault="003313F6" w:rsidP="0089598D">
      <w:pPr>
        <w:pStyle w:val="ListParagraph"/>
        <w:numPr>
          <w:ilvl w:val="0"/>
          <w:numId w:val="1"/>
        </w:numPr>
        <w:spacing w:line="480" w:lineRule="auto"/>
        <w:rPr>
          <w:rFonts w:ascii="Times New Roman" w:hAnsi="Times New Roman" w:cs="Times New Roman"/>
          <w:sz w:val="24"/>
          <w:szCs w:val="24"/>
        </w:rPr>
      </w:pPr>
      <w:r w:rsidRPr="003313F6">
        <w:rPr>
          <w:rFonts w:ascii="Times New Roman" w:hAnsi="Times New Roman" w:cs="Times New Roman"/>
          <w:sz w:val="24"/>
          <w:szCs w:val="24"/>
        </w:rPr>
        <w:t>Ispitati uticaj odstranjenja odontogenih fokusa na ishod i tok terapije alopecije areate kao i povezanost sa lokalnom dermatološkom terapijom</w:t>
      </w:r>
    </w:p>
    <w:p w14:paraId="3D5EED83" w14:textId="77777777" w:rsidR="003313F6" w:rsidRPr="003313F6" w:rsidRDefault="003313F6" w:rsidP="0089598D">
      <w:pPr>
        <w:pStyle w:val="ListParagraph"/>
        <w:spacing w:line="480" w:lineRule="auto"/>
        <w:rPr>
          <w:rFonts w:ascii="Times New Roman" w:hAnsi="Times New Roman" w:cs="Times New Roman"/>
          <w:sz w:val="24"/>
          <w:szCs w:val="24"/>
        </w:rPr>
      </w:pPr>
    </w:p>
    <w:p w14:paraId="2088A11B" w14:textId="07EA836A" w:rsidR="003313F6" w:rsidRDefault="0068438F" w:rsidP="0089598D">
      <w:pPr>
        <w:pStyle w:val="Heading1"/>
        <w:spacing w:before="0" w:line="480" w:lineRule="auto"/>
        <w:rPr>
          <w:color w:val="auto"/>
        </w:rPr>
      </w:pPr>
      <w:r w:rsidRPr="004E3507">
        <w:rPr>
          <w:color w:val="auto"/>
        </w:rPr>
        <w:lastRenderedPageBreak/>
        <w:t>Metode rada</w:t>
      </w:r>
    </w:p>
    <w:p w14:paraId="52978D06" w14:textId="77777777" w:rsidR="004E3507" w:rsidRDefault="004E3507" w:rsidP="0089598D">
      <w:pPr>
        <w:spacing w:line="480" w:lineRule="auto"/>
        <w:rPr>
          <w:rFonts w:ascii="Times New Roman" w:hAnsi="Times New Roman" w:cs="Times New Roman"/>
          <w:sz w:val="24"/>
          <w:szCs w:val="24"/>
        </w:rPr>
      </w:pPr>
    </w:p>
    <w:p w14:paraId="2482695E" w14:textId="5865C085"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Istraživanje je obavljeno u zdravstvenoj ustanovi </w:t>
      </w:r>
      <w:r>
        <w:rPr>
          <w:rFonts w:ascii="Times New Roman" w:hAnsi="Times New Roman" w:cs="Times New Roman"/>
          <w:sz w:val="24"/>
          <w:szCs w:val="24"/>
        </w:rPr>
        <w:t>Dom zdravlja Mostar i klinici za kožne i polne bolesti SKB Mostar</w:t>
      </w:r>
      <w:r w:rsidRPr="0068438F">
        <w:rPr>
          <w:rFonts w:ascii="Times New Roman" w:hAnsi="Times New Roman" w:cs="Times New Roman"/>
          <w:sz w:val="24"/>
          <w:szCs w:val="24"/>
        </w:rPr>
        <w:t xml:space="preserve">. </w:t>
      </w:r>
    </w:p>
    <w:p w14:paraId="3A110C5F"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Kohortnom prospektivnom studijom obuhvaćeno je </w:t>
      </w:r>
      <w:r w:rsidR="005854D8">
        <w:rPr>
          <w:rFonts w:ascii="Times New Roman" w:hAnsi="Times New Roman" w:cs="Times New Roman"/>
          <w:sz w:val="24"/>
          <w:szCs w:val="24"/>
        </w:rPr>
        <w:t>40</w:t>
      </w:r>
      <w:r w:rsidRPr="0068438F">
        <w:rPr>
          <w:rFonts w:ascii="Times New Roman" w:hAnsi="Times New Roman" w:cs="Times New Roman"/>
          <w:sz w:val="24"/>
          <w:szCs w:val="24"/>
        </w:rPr>
        <w:t xml:space="preserve"> pacijenata koji su bili podijeljeni u tri grupe: </w:t>
      </w:r>
    </w:p>
    <w:p w14:paraId="3B146E75" w14:textId="15064F67" w:rsidR="0068438F" w:rsidRPr="0068438F" w:rsidRDefault="00830A40" w:rsidP="0089598D">
      <w:pPr>
        <w:spacing w:line="480" w:lineRule="auto"/>
        <w:rPr>
          <w:rFonts w:ascii="Times New Roman" w:hAnsi="Times New Roman" w:cs="Times New Roman"/>
          <w:sz w:val="24"/>
          <w:szCs w:val="24"/>
        </w:rPr>
      </w:pPr>
      <w:r>
        <w:rPr>
          <w:rFonts w:ascii="Times New Roman" w:hAnsi="Times New Roman" w:cs="Times New Roman"/>
          <w:sz w:val="24"/>
          <w:szCs w:val="24"/>
        </w:rPr>
        <w:t>Prva</w:t>
      </w:r>
      <w:r w:rsidR="0068438F" w:rsidRPr="0068438F">
        <w:rPr>
          <w:rFonts w:ascii="Times New Roman" w:hAnsi="Times New Roman" w:cs="Times New Roman"/>
          <w:sz w:val="24"/>
          <w:szCs w:val="24"/>
        </w:rPr>
        <w:t xml:space="preserve"> grupa – pacijenti sa alopecijom areatom liječeni samo uz odstranjenje fokusa bez lokalne dermatološke terapije </w:t>
      </w:r>
    </w:p>
    <w:p w14:paraId="19DE3F18" w14:textId="0BC22B2F" w:rsidR="0068438F" w:rsidRPr="0068438F" w:rsidRDefault="00830A40" w:rsidP="0089598D">
      <w:pPr>
        <w:spacing w:line="480" w:lineRule="auto"/>
        <w:rPr>
          <w:rFonts w:ascii="Times New Roman" w:hAnsi="Times New Roman" w:cs="Times New Roman"/>
          <w:sz w:val="24"/>
          <w:szCs w:val="24"/>
        </w:rPr>
      </w:pPr>
      <w:r>
        <w:rPr>
          <w:rFonts w:ascii="Times New Roman" w:hAnsi="Times New Roman" w:cs="Times New Roman"/>
          <w:sz w:val="24"/>
          <w:szCs w:val="24"/>
        </w:rPr>
        <w:t>Drua</w:t>
      </w:r>
      <w:r w:rsidR="0068438F" w:rsidRPr="0068438F">
        <w:rPr>
          <w:rFonts w:ascii="Times New Roman" w:hAnsi="Times New Roman" w:cs="Times New Roman"/>
          <w:sz w:val="24"/>
          <w:szCs w:val="24"/>
        </w:rPr>
        <w:t xml:space="preserve"> grupa – pacijenti sa alopecijom areatom tretirani lokalnom dermatološkom terapijom uz eliminaciju i liječenje fokusa </w:t>
      </w:r>
    </w:p>
    <w:p w14:paraId="7E274538" w14:textId="0C621BBE" w:rsidR="0068438F" w:rsidRPr="0068438F" w:rsidRDefault="00830A40" w:rsidP="0089598D">
      <w:pPr>
        <w:spacing w:line="480" w:lineRule="auto"/>
        <w:rPr>
          <w:rFonts w:ascii="Times New Roman" w:hAnsi="Times New Roman" w:cs="Times New Roman"/>
          <w:sz w:val="24"/>
          <w:szCs w:val="24"/>
        </w:rPr>
      </w:pPr>
      <w:r>
        <w:rPr>
          <w:rFonts w:ascii="Times New Roman" w:hAnsi="Times New Roman" w:cs="Times New Roman"/>
          <w:sz w:val="24"/>
          <w:szCs w:val="24"/>
        </w:rPr>
        <w:t>Treća</w:t>
      </w:r>
      <w:r w:rsidR="0068438F" w:rsidRPr="0068438F">
        <w:rPr>
          <w:rFonts w:ascii="Times New Roman" w:hAnsi="Times New Roman" w:cs="Times New Roman"/>
          <w:sz w:val="24"/>
          <w:szCs w:val="24"/>
        </w:rPr>
        <w:t xml:space="preserve"> grupa - pacijenti sa alopecijom areatom tretirani samo lokalno dermatološkom terapijom bez liječenja fokusa </w:t>
      </w:r>
    </w:p>
    <w:p w14:paraId="43977CD0"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Svim pacijentima je urađen: </w:t>
      </w:r>
    </w:p>
    <w:p w14:paraId="259C20FD"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stomatološki pregled </w:t>
      </w:r>
    </w:p>
    <w:p w14:paraId="71AA5330" w14:textId="77777777"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xml:space="preserve">- dermatološki pregled </w:t>
      </w:r>
    </w:p>
    <w:p w14:paraId="2E464B01" w14:textId="14E69FD4" w:rsidR="0068438F" w:rsidRPr="0068438F" w:rsidRDefault="0068438F" w:rsidP="0089598D">
      <w:pPr>
        <w:spacing w:line="480" w:lineRule="auto"/>
        <w:rPr>
          <w:rFonts w:ascii="Times New Roman" w:hAnsi="Times New Roman" w:cs="Times New Roman"/>
          <w:sz w:val="24"/>
          <w:szCs w:val="24"/>
        </w:rPr>
      </w:pPr>
      <w:r w:rsidRPr="0068438F">
        <w:rPr>
          <w:rFonts w:ascii="Times New Roman" w:hAnsi="Times New Roman" w:cs="Times New Roman"/>
          <w:sz w:val="24"/>
          <w:szCs w:val="24"/>
        </w:rPr>
        <w:t>- laboratorijske pretrage: osnovna KKS, sedimentacija, CRP, Fe,</w:t>
      </w:r>
      <w:r w:rsidR="000800C9">
        <w:rPr>
          <w:rFonts w:ascii="Times New Roman" w:hAnsi="Times New Roman" w:cs="Times New Roman"/>
          <w:sz w:val="24"/>
          <w:szCs w:val="24"/>
        </w:rPr>
        <w:t xml:space="preserve"> </w:t>
      </w:r>
      <w:r w:rsidRPr="0068438F">
        <w:rPr>
          <w:rFonts w:ascii="Times New Roman" w:hAnsi="Times New Roman" w:cs="Times New Roman"/>
          <w:sz w:val="24"/>
          <w:szCs w:val="24"/>
        </w:rPr>
        <w:t>mineralogram,</w:t>
      </w:r>
      <w:r w:rsidR="000800C9">
        <w:rPr>
          <w:rFonts w:ascii="Times New Roman" w:hAnsi="Times New Roman" w:cs="Times New Roman"/>
          <w:sz w:val="24"/>
          <w:szCs w:val="24"/>
        </w:rPr>
        <w:t xml:space="preserve"> </w:t>
      </w:r>
      <w:r w:rsidRPr="0068438F">
        <w:rPr>
          <w:rFonts w:ascii="Times New Roman" w:hAnsi="Times New Roman" w:cs="Times New Roman"/>
          <w:sz w:val="24"/>
          <w:szCs w:val="24"/>
        </w:rPr>
        <w:t xml:space="preserve">IGE i IGA. </w:t>
      </w:r>
    </w:p>
    <w:p w14:paraId="4D40F753" w14:textId="505D04FE" w:rsidR="00F23972" w:rsidRDefault="00F23972" w:rsidP="0089598D">
      <w:pPr>
        <w:pStyle w:val="Heading1"/>
        <w:spacing w:before="0" w:line="480" w:lineRule="auto"/>
        <w:rPr>
          <w:color w:val="auto"/>
        </w:rPr>
      </w:pPr>
    </w:p>
    <w:p w14:paraId="1B9555F3" w14:textId="4B0EFE4E" w:rsidR="00F23972" w:rsidRDefault="00F23972" w:rsidP="00F23972"/>
    <w:p w14:paraId="193EC490" w14:textId="77777777" w:rsidR="00F23972" w:rsidRPr="00F23972" w:rsidRDefault="00F23972" w:rsidP="00F23972"/>
    <w:p w14:paraId="2FCCE862" w14:textId="202BD96D" w:rsidR="005854D8" w:rsidRPr="004E3507" w:rsidRDefault="005854D8" w:rsidP="0089598D">
      <w:pPr>
        <w:pStyle w:val="Heading1"/>
        <w:spacing w:before="0" w:line="480" w:lineRule="auto"/>
        <w:rPr>
          <w:color w:val="auto"/>
        </w:rPr>
      </w:pPr>
      <w:r w:rsidRPr="004E3507">
        <w:rPr>
          <w:color w:val="auto"/>
        </w:rPr>
        <w:lastRenderedPageBreak/>
        <w:t>Rezultati</w:t>
      </w:r>
    </w:p>
    <w:p w14:paraId="43E950A1" w14:textId="77777777" w:rsidR="004E3507" w:rsidRDefault="004E3507" w:rsidP="0089598D">
      <w:pPr>
        <w:spacing w:line="480" w:lineRule="auto"/>
        <w:rPr>
          <w:rFonts w:ascii="Times New Roman" w:hAnsi="Times New Roman" w:cs="Times New Roman"/>
          <w:sz w:val="24"/>
          <w:szCs w:val="24"/>
        </w:rPr>
      </w:pPr>
    </w:p>
    <w:p w14:paraId="7FBFB28F" w14:textId="18244EA2" w:rsidR="000C2D12" w:rsidRDefault="0084471E" w:rsidP="0089598D">
      <w:pPr>
        <w:spacing w:line="480" w:lineRule="auto"/>
        <w:rPr>
          <w:rFonts w:ascii="Times New Roman" w:hAnsi="Times New Roman" w:cs="Times New Roman"/>
          <w:sz w:val="24"/>
          <w:szCs w:val="24"/>
        </w:rPr>
      </w:pPr>
      <w:r w:rsidRPr="0084471E">
        <w:rPr>
          <w:rFonts w:ascii="Times New Roman" w:hAnsi="Times New Roman" w:cs="Times New Roman"/>
          <w:sz w:val="24"/>
          <w:szCs w:val="24"/>
        </w:rPr>
        <w:t xml:space="preserve">Uzorak čine </w:t>
      </w:r>
      <w:r w:rsidR="0017741C">
        <w:rPr>
          <w:rFonts w:ascii="Times New Roman" w:hAnsi="Times New Roman" w:cs="Times New Roman"/>
          <w:sz w:val="24"/>
          <w:szCs w:val="24"/>
        </w:rPr>
        <w:t>4</w:t>
      </w:r>
      <w:r w:rsidR="00A4717A">
        <w:rPr>
          <w:rFonts w:ascii="Times New Roman" w:hAnsi="Times New Roman" w:cs="Times New Roman"/>
          <w:sz w:val="24"/>
          <w:szCs w:val="24"/>
        </w:rPr>
        <w:t>0</w:t>
      </w:r>
      <w:r w:rsidR="007D4447" w:rsidRPr="007D4447">
        <w:t xml:space="preserve"> </w:t>
      </w:r>
      <w:r w:rsidR="007D4447" w:rsidRPr="007D4447">
        <w:rPr>
          <w:rFonts w:ascii="Times New Roman" w:hAnsi="Times New Roman" w:cs="Times New Roman"/>
          <w:sz w:val="24"/>
          <w:szCs w:val="24"/>
        </w:rPr>
        <w:t>ispitanika koji su podijeljeni u tri grupe</w:t>
      </w:r>
      <w:r w:rsidR="000C2D12">
        <w:rPr>
          <w:rFonts w:ascii="Times New Roman" w:hAnsi="Times New Roman" w:cs="Times New Roman"/>
          <w:sz w:val="24"/>
          <w:szCs w:val="24"/>
        </w:rPr>
        <w:t xml:space="preserve">. </w:t>
      </w:r>
    </w:p>
    <w:p w14:paraId="349EDD2E" w14:textId="2A46E99C" w:rsidR="007D4447" w:rsidRDefault="000C2D12" w:rsidP="0089598D">
      <w:pPr>
        <w:spacing w:line="480" w:lineRule="auto"/>
        <w:rPr>
          <w:rFonts w:ascii="Times New Roman" w:hAnsi="Times New Roman" w:cs="Times New Roman"/>
          <w:sz w:val="24"/>
          <w:szCs w:val="24"/>
        </w:rPr>
      </w:pPr>
      <w:r w:rsidRPr="000C2D12">
        <w:rPr>
          <w:rFonts w:ascii="Times New Roman" w:hAnsi="Times New Roman" w:cs="Times New Roman"/>
          <w:sz w:val="24"/>
          <w:szCs w:val="24"/>
        </w:rPr>
        <w:t>Među ispitanicima je 20 muškaraca odnosno 50% i 20 žena odnosno 50%</w:t>
      </w:r>
      <w:r w:rsidR="00D52E85">
        <w:rPr>
          <w:rFonts w:ascii="Times New Roman" w:hAnsi="Times New Roman" w:cs="Times New Roman"/>
          <w:sz w:val="24"/>
          <w:szCs w:val="24"/>
        </w:rPr>
        <w:t xml:space="preserve"> u tabeli 1. ćemo pokazati taj odnos u procentima</w:t>
      </w:r>
      <w:r w:rsidRPr="000C2D12">
        <w:rPr>
          <w:rFonts w:ascii="Times New Roman" w:hAnsi="Times New Roman" w:cs="Times New Roman"/>
          <w:sz w:val="24"/>
          <w:szCs w:val="24"/>
        </w:rPr>
        <w:t xml:space="preserve">. </w:t>
      </w:r>
    </w:p>
    <w:p w14:paraId="02D31F91" w14:textId="310304BD" w:rsidR="00193D89" w:rsidRPr="00193D89" w:rsidRDefault="00193D89" w:rsidP="00193D89">
      <w:pPr>
        <w:spacing w:line="480" w:lineRule="auto"/>
        <w:rPr>
          <w:rFonts w:ascii="Times New Roman" w:hAnsi="Times New Roman" w:cs="Times New Roman"/>
          <w:sz w:val="18"/>
          <w:szCs w:val="18"/>
        </w:rPr>
      </w:pPr>
      <w:r w:rsidRPr="00DD7FB1">
        <w:rPr>
          <w:rFonts w:ascii="Times New Roman" w:hAnsi="Times New Roman" w:cs="Times New Roman"/>
          <w:sz w:val="18"/>
          <w:szCs w:val="18"/>
        </w:rPr>
        <w:t>Tabela 1. Prikaz omjera polova ispitanika u procentima</w:t>
      </w:r>
    </w:p>
    <w:tbl>
      <w:tblPr>
        <w:tblStyle w:val="TableGrid"/>
        <w:tblW w:w="0" w:type="auto"/>
        <w:tblLook w:val="04A0" w:firstRow="1" w:lastRow="0" w:firstColumn="1" w:lastColumn="0" w:noHBand="0" w:noVBand="1"/>
      </w:tblPr>
      <w:tblGrid>
        <w:gridCol w:w="1649"/>
        <w:gridCol w:w="1725"/>
        <w:gridCol w:w="1664"/>
        <w:gridCol w:w="1664"/>
        <w:gridCol w:w="1748"/>
      </w:tblGrid>
      <w:tr w:rsidR="0017741C" w14:paraId="187B7E80" w14:textId="77777777" w:rsidTr="0017741C">
        <w:trPr>
          <w:trHeight w:val="436"/>
        </w:trPr>
        <w:tc>
          <w:tcPr>
            <w:tcW w:w="1857" w:type="dxa"/>
          </w:tcPr>
          <w:p w14:paraId="1A55527C" w14:textId="77777777" w:rsidR="0017741C" w:rsidRDefault="0017741C" w:rsidP="0089598D">
            <w:pPr>
              <w:spacing w:line="480" w:lineRule="auto"/>
              <w:rPr>
                <w:rFonts w:ascii="Times New Roman" w:hAnsi="Times New Roman" w:cs="Times New Roman"/>
                <w:sz w:val="24"/>
                <w:szCs w:val="24"/>
              </w:rPr>
            </w:pPr>
          </w:p>
        </w:tc>
        <w:tc>
          <w:tcPr>
            <w:tcW w:w="1857" w:type="dxa"/>
          </w:tcPr>
          <w:p w14:paraId="564A2E3F" w14:textId="11274B8D"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Frequency</w:t>
            </w:r>
          </w:p>
        </w:tc>
        <w:tc>
          <w:tcPr>
            <w:tcW w:w="1858" w:type="dxa"/>
          </w:tcPr>
          <w:p w14:paraId="76DD007F" w14:textId="499ED153"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Percent</w:t>
            </w:r>
          </w:p>
        </w:tc>
        <w:tc>
          <w:tcPr>
            <w:tcW w:w="1858" w:type="dxa"/>
          </w:tcPr>
          <w:p w14:paraId="176911A2" w14:textId="224E80D5"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Valid Percent</w:t>
            </w:r>
          </w:p>
        </w:tc>
        <w:tc>
          <w:tcPr>
            <w:tcW w:w="1858" w:type="dxa"/>
          </w:tcPr>
          <w:p w14:paraId="34D63351" w14:textId="0D57BB35"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Cumulative Percent</w:t>
            </w:r>
          </w:p>
        </w:tc>
      </w:tr>
      <w:tr w:rsidR="0017741C" w14:paraId="4D7066FE" w14:textId="77777777" w:rsidTr="0017741C">
        <w:trPr>
          <w:trHeight w:val="1138"/>
        </w:trPr>
        <w:tc>
          <w:tcPr>
            <w:tcW w:w="1857" w:type="dxa"/>
          </w:tcPr>
          <w:p w14:paraId="21C6FF36"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Muški</w:t>
            </w:r>
          </w:p>
          <w:p w14:paraId="61BA86F7"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Ženski</w:t>
            </w:r>
          </w:p>
          <w:p w14:paraId="54B0A055" w14:textId="08015856"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Total</w:t>
            </w:r>
          </w:p>
        </w:tc>
        <w:tc>
          <w:tcPr>
            <w:tcW w:w="1857" w:type="dxa"/>
          </w:tcPr>
          <w:p w14:paraId="74E1804E"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20</w:t>
            </w:r>
          </w:p>
          <w:p w14:paraId="4DE8D183"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20</w:t>
            </w:r>
          </w:p>
          <w:p w14:paraId="1703C0B0" w14:textId="47AF19D4"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40</w:t>
            </w:r>
          </w:p>
        </w:tc>
        <w:tc>
          <w:tcPr>
            <w:tcW w:w="1858" w:type="dxa"/>
          </w:tcPr>
          <w:p w14:paraId="2014D3B8"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1FDE92C1"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0603D152" w14:textId="5C7D78F9"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100%</w:t>
            </w:r>
          </w:p>
        </w:tc>
        <w:tc>
          <w:tcPr>
            <w:tcW w:w="1858" w:type="dxa"/>
          </w:tcPr>
          <w:p w14:paraId="4D73BC12"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10B3742F" w14:textId="77777777"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50%</w:t>
            </w:r>
          </w:p>
          <w:p w14:paraId="5B81DECD" w14:textId="4B47CF99" w:rsidR="0017741C" w:rsidRDefault="0017741C" w:rsidP="0089598D">
            <w:pPr>
              <w:spacing w:line="480" w:lineRule="auto"/>
              <w:rPr>
                <w:rFonts w:ascii="Times New Roman" w:hAnsi="Times New Roman" w:cs="Times New Roman"/>
                <w:sz w:val="24"/>
                <w:szCs w:val="24"/>
              </w:rPr>
            </w:pPr>
            <w:r>
              <w:rPr>
                <w:rFonts w:ascii="Times New Roman" w:hAnsi="Times New Roman" w:cs="Times New Roman"/>
                <w:sz w:val="24"/>
                <w:szCs w:val="24"/>
              </w:rPr>
              <w:t>100%</w:t>
            </w:r>
          </w:p>
        </w:tc>
        <w:tc>
          <w:tcPr>
            <w:tcW w:w="1858" w:type="dxa"/>
          </w:tcPr>
          <w:p w14:paraId="2EB3BC31" w14:textId="77777777"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50%</w:t>
            </w:r>
          </w:p>
          <w:p w14:paraId="730DD6A5" w14:textId="77777777"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50%</w:t>
            </w:r>
          </w:p>
          <w:p w14:paraId="204D382A" w14:textId="2EE11CE7" w:rsidR="0017741C" w:rsidRDefault="0017741C" w:rsidP="0089598D">
            <w:pPr>
              <w:spacing w:line="480" w:lineRule="auto"/>
              <w:rPr>
                <w:rFonts w:ascii="Times New Roman" w:hAnsi="Times New Roman" w:cs="Times New Roman"/>
                <w:sz w:val="24"/>
                <w:szCs w:val="24"/>
              </w:rPr>
            </w:pPr>
            <w:r w:rsidRPr="0017741C">
              <w:rPr>
                <w:rFonts w:ascii="Times New Roman" w:hAnsi="Times New Roman" w:cs="Times New Roman"/>
                <w:sz w:val="24"/>
                <w:szCs w:val="24"/>
              </w:rPr>
              <w:t>100%</w:t>
            </w:r>
          </w:p>
        </w:tc>
      </w:tr>
    </w:tbl>
    <w:p w14:paraId="5569385E" w14:textId="220A0E66" w:rsidR="007D4447" w:rsidRDefault="007D4447" w:rsidP="0089598D">
      <w:pPr>
        <w:spacing w:line="480" w:lineRule="auto"/>
        <w:rPr>
          <w:rFonts w:ascii="Times New Roman" w:hAnsi="Times New Roman" w:cs="Times New Roman"/>
          <w:sz w:val="24"/>
          <w:szCs w:val="24"/>
        </w:rPr>
      </w:pPr>
    </w:p>
    <w:p w14:paraId="0F75F136" w14:textId="4A43EECB"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U ukupnom broju ispitanika oboljelih od alopecije areate sa dijagnostikovanim odontogenim fokusom  utvđena je učestalost je u odnosu na vrstu fokusa: </w:t>
      </w:r>
    </w:p>
    <w:p w14:paraId="0CB4C8FD" w14:textId="2CE876FB"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51 % ciste i periapikalne lezije; </w:t>
      </w:r>
    </w:p>
    <w:p w14:paraId="0E8F574C" w14:textId="77777777"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31,7% parodontopatija i gingivitis; </w:t>
      </w:r>
    </w:p>
    <w:p w14:paraId="2C14B9BB" w14:textId="77777777" w:rsidR="00957649" w:rsidRPr="00957649"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11,7% perikoronitisi; </w:t>
      </w:r>
    </w:p>
    <w:p w14:paraId="6B4C2DE5" w14:textId="3AA8B57D" w:rsidR="000C2D12" w:rsidRDefault="00957649" w:rsidP="0089598D">
      <w:pPr>
        <w:spacing w:line="480" w:lineRule="auto"/>
        <w:rPr>
          <w:rFonts w:ascii="Times New Roman" w:hAnsi="Times New Roman" w:cs="Times New Roman"/>
          <w:sz w:val="24"/>
          <w:szCs w:val="24"/>
        </w:rPr>
      </w:pPr>
      <w:r w:rsidRPr="00957649">
        <w:rPr>
          <w:rFonts w:ascii="Times New Roman" w:hAnsi="Times New Roman" w:cs="Times New Roman"/>
          <w:sz w:val="24"/>
          <w:szCs w:val="24"/>
        </w:rPr>
        <w:t xml:space="preserve"> 5,0% radiks relikti</w:t>
      </w:r>
      <w:r w:rsidR="00496EFF">
        <w:rPr>
          <w:rFonts w:ascii="Times New Roman" w:hAnsi="Times New Roman" w:cs="Times New Roman"/>
          <w:sz w:val="24"/>
          <w:szCs w:val="24"/>
        </w:rPr>
        <w:t>.</w:t>
      </w:r>
      <w:r w:rsidR="00D52E85">
        <w:rPr>
          <w:rFonts w:ascii="Times New Roman" w:hAnsi="Times New Roman" w:cs="Times New Roman"/>
          <w:sz w:val="24"/>
          <w:szCs w:val="24"/>
        </w:rPr>
        <w:t xml:space="preserve"> </w:t>
      </w:r>
    </w:p>
    <w:p w14:paraId="75473D12" w14:textId="1386165A" w:rsidR="00D52E85" w:rsidRDefault="00D52E85"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U tabeli 2. ćemo prikazati učestalost </w:t>
      </w:r>
      <w:r w:rsidRPr="00C35343">
        <w:rPr>
          <w:rFonts w:ascii="Times New Roman" w:hAnsi="Times New Roman" w:cs="Times New Roman"/>
          <w:noProof/>
          <w:sz w:val="24"/>
          <w:szCs w:val="24"/>
        </w:rPr>
        <w:t>vrste fokusa uzročnika</w:t>
      </w:r>
      <w:r w:rsidR="00C35343">
        <w:rPr>
          <w:rFonts w:ascii="Times New Roman" w:hAnsi="Times New Roman" w:cs="Times New Roman"/>
          <w:noProof/>
          <w:sz w:val="24"/>
          <w:szCs w:val="24"/>
        </w:rPr>
        <w:t>.</w:t>
      </w:r>
    </w:p>
    <w:p w14:paraId="4673F7D3" w14:textId="77777777" w:rsidR="00D52E85" w:rsidRDefault="00D52E85" w:rsidP="00D52E85">
      <w:pPr>
        <w:spacing w:line="480" w:lineRule="auto"/>
        <w:rPr>
          <w:rFonts w:ascii="Times New Roman" w:hAnsi="Times New Roman" w:cs="Times New Roman"/>
          <w:noProof/>
          <w:sz w:val="18"/>
          <w:szCs w:val="18"/>
        </w:rPr>
      </w:pPr>
    </w:p>
    <w:p w14:paraId="14E82316" w14:textId="77777777" w:rsidR="009260CE" w:rsidRDefault="009260CE" w:rsidP="0089598D">
      <w:pPr>
        <w:spacing w:line="480" w:lineRule="auto"/>
        <w:rPr>
          <w:rFonts w:ascii="Times New Roman" w:hAnsi="Times New Roman" w:cs="Times New Roman"/>
          <w:noProof/>
          <w:sz w:val="18"/>
          <w:szCs w:val="18"/>
        </w:rPr>
      </w:pPr>
    </w:p>
    <w:p w14:paraId="103837FE" w14:textId="5F2B22EF" w:rsidR="000C2D12" w:rsidRPr="00D52E85" w:rsidRDefault="00D52E85" w:rsidP="0089598D">
      <w:pPr>
        <w:spacing w:line="480" w:lineRule="auto"/>
        <w:rPr>
          <w:rFonts w:ascii="Times New Roman" w:hAnsi="Times New Roman" w:cs="Times New Roman"/>
          <w:noProof/>
          <w:sz w:val="18"/>
          <w:szCs w:val="18"/>
        </w:rPr>
      </w:pPr>
      <w:r w:rsidRPr="00DD7FB1">
        <w:rPr>
          <w:rFonts w:ascii="Times New Roman" w:hAnsi="Times New Roman" w:cs="Times New Roman"/>
          <w:noProof/>
          <w:sz w:val="18"/>
          <w:szCs w:val="18"/>
        </w:rPr>
        <w:lastRenderedPageBreak/>
        <w:t>Tabela 2. Učestalost određene vrste fokusa uzročnika alopecije areate izraženo u procentima</w:t>
      </w:r>
    </w:p>
    <w:tbl>
      <w:tblPr>
        <w:tblStyle w:val="TableGrid0"/>
        <w:tblW w:w="9146" w:type="dxa"/>
        <w:tblInd w:w="-36" w:type="dxa"/>
        <w:tblCellMar>
          <w:top w:w="89" w:type="dxa"/>
          <w:left w:w="12" w:type="dxa"/>
          <w:bottom w:w="21" w:type="dxa"/>
          <w:right w:w="7" w:type="dxa"/>
        </w:tblCellMar>
        <w:tblLook w:val="04A0" w:firstRow="1" w:lastRow="0" w:firstColumn="1" w:lastColumn="0" w:noHBand="0" w:noVBand="1"/>
      </w:tblPr>
      <w:tblGrid>
        <w:gridCol w:w="3198"/>
        <w:gridCol w:w="1169"/>
        <w:gridCol w:w="1030"/>
        <w:gridCol w:w="1397"/>
        <w:gridCol w:w="2352"/>
      </w:tblGrid>
      <w:tr w:rsidR="00957649" w14:paraId="3BD9C4BD" w14:textId="77777777" w:rsidTr="00957649">
        <w:trPr>
          <w:trHeight w:val="679"/>
        </w:trPr>
        <w:tc>
          <w:tcPr>
            <w:tcW w:w="3198" w:type="dxa"/>
            <w:tcBorders>
              <w:top w:val="single" w:sz="15" w:space="0" w:color="000000"/>
              <w:left w:val="single" w:sz="15" w:space="0" w:color="000000"/>
              <w:bottom w:val="single" w:sz="15" w:space="0" w:color="000000"/>
              <w:right w:val="single" w:sz="15" w:space="0" w:color="000000"/>
            </w:tcBorders>
            <w:vAlign w:val="bottom"/>
          </w:tcPr>
          <w:p w14:paraId="13293517" w14:textId="77777777" w:rsidR="00957649" w:rsidRDefault="00957649" w:rsidP="0089598D">
            <w:pPr>
              <w:spacing w:line="480" w:lineRule="auto"/>
              <w:ind w:left="7"/>
            </w:pPr>
          </w:p>
        </w:tc>
        <w:tc>
          <w:tcPr>
            <w:tcW w:w="1169" w:type="dxa"/>
            <w:tcBorders>
              <w:top w:val="single" w:sz="15" w:space="0" w:color="000000"/>
              <w:left w:val="single" w:sz="15" w:space="0" w:color="000000"/>
              <w:bottom w:val="single" w:sz="15" w:space="0" w:color="000000"/>
              <w:right w:val="single" w:sz="8" w:space="0" w:color="000000"/>
            </w:tcBorders>
            <w:vAlign w:val="bottom"/>
          </w:tcPr>
          <w:p w14:paraId="2EE66509" w14:textId="77777777" w:rsidR="00957649" w:rsidRDefault="00957649" w:rsidP="0089598D">
            <w:pPr>
              <w:spacing w:line="480" w:lineRule="auto"/>
              <w:ind w:left="70"/>
            </w:pPr>
            <w:r>
              <w:t xml:space="preserve">Frequency </w:t>
            </w:r>
          </w:p>
        </w:tc>
        <w:tc>
          <w:tcPr>
            <w:tcW w:w="1030" w:type="dxa"/>
            <w:tcBorders>
              <w:top w:val="single" w:sz="15" w:space="0" w:color="000000"/>
              <w:left w:val="single" w:sz="8" w:space="0" w:color="000000"/>
              <w:bottom w:val="single" w:sz="15" w:space="0" w:color="000000"/>
              <w:right w:val="single" w:sz="8" w:space="0" w:color="000000"/>
            </w:tcBorders>
            <w:vAlign w:val="bottom"/>
          </w:tcPr>
          <w:p w14:paraId="57BECE27" w14:textId="77777777" w:rsidR="00957649" w:rsidRDefault="00957649" w:rsidP="0089598D">
            <w:pPr>
              <w:spacing w:line="480" w:lineRule="auto"/>
              <w:ind w:left="142"/>
            </w:pPr>
            <w:r>
              <w:t xml:space="preserve">Percent </w:t>
            </w:r>
          </w:p>
        </w:tc>
        <w:tc>
          <w:tcPr>
            <w:tcW w:w="1397" w:type="dxa"/>
            <w:tcBorders>
              <w:top w:val="single" w:sz="15" w:space="0" w:color="000000"/>
              <w:left w:val="single" w:sz="8" w:space="0" w:color="000000"/>
              <w:bottom w:val="single" w:sz="15" w:space="0" w:color="000000"/>
              <w:right w:val="single" w:sz="8" w:space="0" w:color="000000"/>
            </w:tcBorders>
          </w:tcPr>
          <w:p w14:paraId="4DF79DBC" w14:textId="77777777" w:rsidR="00957649" w:rsidRPr="00D52E85" w:rsidRDefault="00957649" w:rsidP="0089598D">
            <w:pPr>
              <w:spacing w:line="480" w:lineRule="auto"/>
              <w:ind w:left="13"/>
              <w:jc w:val="center"/>
            </w:pPr>
            <w:r w:rsidRPr="00D52E85">
              <w:rPr>
                <w:rFonts w:ascii="Times New Roman" w:eastAsia="Times New Roman" w:hAnsi="Times New Roman" w:cs="Times New Roman"/>
                <w:b/>
              </w:rPr>
              <w:t xml:space="preserve">Valid Percent </w:t>
            </w:r>
          </w:p>
        </w:tc>
        <w:tc>
          <w:tcPr>
            <w:tcW w:w="2352" w:type="dxa"/>
            <w:tcBorders>
              <w:top w:val="single" w:sz="15" w:space="0" w:color="000000"/>
              <w:left w:val="single" w:sz="8" w:space="0" w:color="000000"/>
              <w:bottom w:val="single" w:sz="2" w:space="0" w:color="FFFFFF"/>
              <w:right w:val="single" w:sz="15" w:space="0" w:color="000000"/>
            </w:tcBorders>
            <w:vAlign w:val="bottom"/>
          </w:tcPr>
          <w:p w14:paraId="2F6B20E5" w14:textId="77777777" w:rsidR="00957649" w:rsidRDefault="00957649" w:rsidP="0089598D">
            <w:pPr>
              <w:spacing w:line="480" w:lineRule="auto"/>
              <w:ind w:right="19"/>
              <w:jc w:val="center"/>
            </w:pPr>
            <w:r>
              <w:t xml:space="preserve">Cumulative Percent </w:t>
            </w:r>
          </w:p>
        </w:tc>
      </w:tr>
      <w:tr w:rsidR="00957649" w14:paraId="7E29AEB1" w14:textId="77777777" w:rsidTr="00957649">
        <w:trPr>
          <w:trHeight w:val="355"/>
        </w:trPr>
        <w:tc>
          <w:tcPr>
            <w:tcW w:w="3198" w:type="dxa"/>
            <w:vMerge w:val="restart"/>
            <w:tcBorders>
              <w:top w:val="single" w:sz="15" w:space="0" w:color="000000"/>
              <w:left w:val="single" w:sz="15" w:space="0" w:color="000000"/>
              <w:bottom w:val="single" w:sz="15" w:space="0" w:color="000000"/>
              <w:right w:val="single" w:sz="15" w:space="0" w:color="000000"/>
            </w:tcBorders>
          </w:tcPr>
          <w:p w14:paraId="2C5D4E71" w14:textId="77777777" w:rsidR="00957649" w:rsidRDefault="00957649" w:rsidP="0089598D">
            <w:pPr>
              <w:spacing w:after="60" w:line="480" w:lineRule="auto"/>
              <w:ind w:left="67"/>
            </w:pPr>
            <w:r>
              <w:t xml:space="preserve">Valid </w:t>
            </w:r>
            <w:proofErr w:type="spellStart"/>
            <w:r>
              <w:t>Perikoronitis</w:t>
            </w:r>
            <w:proofErr w:type="spellEnd"/>
            <w:r>
              <w:t xml:space="preserve"> </w:t>
            </w:r>
          </w:p>
          <w:p w14:paraId="12971F58" w14:textId="77777777" w:rsidR="00957649" w:rsidRDefault="00957649" w:rsidP="0089598D">
            <w:pPr>
              <w:spacing w:after="41" w:line="480" w:lineRule="auto"/>
              <w:ind w:left="785"/>
            </w:pPr>
            <w:proofErr w:type="spellStart"/>
            <w:r>
              <w:t>Parodontopatija</w:t>
            </w:r>
            <w:proofErr w:type="spellEnd"/>
            <w:r>
              <w:t xml:space="preserve"> </w:t>
            </w:r>
            <w:proofErr w:type="spellStart"/>
            <w:r>
              <w:t>i</w:t>
            </w:r>
            <w:proofErr w:type="spellEnd"/>
            <w:r>
              <w:t xml:space="preserve"> gingivitis </w:t>
            </w:r>
          </w:p>
          <w:p w14:paraId="4A9A21B9" w14:textId="77777777" w:rsidR="00957649" w:rsidRDefault="00957649" w:rsidP="0089598D">
            <w:pPr>
              <w:spacing w:after="21" w:line="480" w:lineRule="auto"/>
              <w:ind w:left="785" w:right="566"/>
            </w:pPr>
            <w:proofErr w:type="spellStart"/>
            <w:r>
              <w:t>Ciste</w:t>
            </w:r>
            <w:proofErr w:type="spellEnd"/>
            <w:r>
              <w:t xml:space="preserve"> </w:t>
            </w:r>
            <w:proofErr w:type="spellStart"/>
            <w:r>
              <w:t>i</w:t>
            </w:r>
            <w:proofErr w:type="spellEnd"/>
            <w:r>
              <w:t xml:space="preserve"> </w:t>
            </w:r>
            <w:proofErr w:type="spellStart"/>
            <w:r>
              <w:t>parodontitis</w:t>
            </w:r>
            <w:proofErr w:type="spellEnd"/>
            <w:r>
              <w:t xml:space="preserve"> </w:t>
            </w:r>
            <w:proofErr w:type="spellStart"/>
            <w:r>
              <w:t>apikalis</w:t>
            </w:r>
            <w:proofErr w:type="spellEnd"/>
            <w:r>
              <w:t xml:space="preserve"> </w:t>
            </w:r>
            <w:proofErr w:type="spellStart"/>
            <w:r>
              <w:t>Radiks</w:t>
            </w:r>
            <w:proofErr w:type="spellEnd"/>
            <w:r>
              <w:t xml:space="preserve"> </w:t>
            </w:r>
            <w:proofErr w:type="spellStart"/>
            <w:r>
              <w:t>relikte</w:t>
            </w:r>
            <w:proofErr w:type="spellEnd"/>
            <w:r>
              <w:t xml:space="preserve"> </w:t>
            </w:r>
          </w:p>
          <w:p w14:paraId="160C9D3C" w14:textId="77777777" w:rsidR="00957649" w:rsidRDefault="00957649" w:rsidP="0089598D">
            <w:pPr>
              <w:spacing w:line="480" w:lineRule="auto"/>
              <w:ind w:left="785"/>
            </w:pPr>
            <w:r>
              <w:t xml:space="preserve">Total </w:t>
            </w:r>
          </w:p>
        </w:tc>
        <w:tc>
          <w:tcPr>
            <w:tcW w:w="1169" w:type="dxa"/>
            <w:vMerge w:val="restart"/>
            <w:tcBorders>
              <w:top w:val="single" w:sz="15" w:space="0" w:color="000000"/>
              <w:left w:val="single" w:sz="15" w:space="0" w:color="000000"/>
              <w:bottom w:val="single" w:sz="16" w:space="0" w:color="FFFFFF"/>
              <w:right w:val="single" w:sz="8" w:space="0" w:color="000000"/>
            </w:tcBorders>
            <w:vAlign w:val="center"/>
          </w:tcPr>
          <w:p w14:paraId="7CF8D744" w14:textId="77777777" w:rsidR="00957649" w:rsidRDefault="00957649" w:rsidP="0089598D">
            <w:pPr>
              <w:spacing w:after="218" w:line="480" w:lineRule="auto"/>
              <w:ind w:right="62"/>
              <w:jc w:val="right"/>
            </w:pPr>
            <w:r>
              <w:t xml:space="preserve">2 </w:t>
            </w:r>
          </w:p>
          <w:p w14:paraId="71674F0D" w14:textId="77777777" w:rsidR="00957649" w:rsidRDefault="00957649" w:rsidP="0089598D">
            <w:pPr>
              <w:spacing w:line="480" w:lineRule="auto"/>
              <w:ind w:right="62"/>
              <w:jc w:val="right"/>
            </w:pPr>
            <w:r>
              <w:t xml:space="preserve">6 </w:t>
            </w:r>
          </w:p>
        </w:tc>
        <w:tc>
          <w:tcPr>
            <w:tcW w:w="1030" w:type="dxa"/>
            <w:tcBorders>
              <w:top w:val="single" w:sz="15" w:space="0" w:color="000000"/>
              <w:left w:val="single" w:sz="8" w:space="0" w:color="000000"/>
              <w:bottom w:val="single" w:sz="16" w:space="0" w:color="FFFFFF"/>
              <w:right w:val="single" w:sz="8" w:space="0" w:color="000000"/>
            </w:tcBorders>
          </w:tcPr>
          <w:p w14:paraId="23508F99" w14:textId="77777777" w:rsidR="00957649" w:rsidRDefault="00957649" w:rsidP="0089598D">
            <w:pPr>
              <w:spacing w:line="480" w:lineRule="auto"/>
              <w:ind w:right="65"/>
              <w:jc w:val="right"/>
            </w:pPr>
            <w:r>
              <w:t xml:space="preserve">10,0 </w:t>
            </w:r>
          </w:p>
        </w:tc>
        <w:tc>
          <w:tcPr>
            <w:tcW w:w="1397" w:type="dxa"/>
            <w:tcBorders>
              <w:top w:val="single" w:sz="15" w:space="0" w:color="000000"/>
              <w:left w:val="single" w:sz="8" w:space="0" w:color="000000"/>
              <w:bottom w:val="single" w:sz="16" w:space="0" w:color="FFFFFF"/>
              <w:right w:val="single" w:sz="8" w:space="0" w:color="000000"/>
            </w:tcBorders>
          </w:tcPr>
          <w:p w14:paraId="64A1AD62"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10,0 </w:t>
            </w:r>
          </w:p>
        </w:tc>
        <w:tc>
          <w:tcPr>
            <w:tcW w:w="2352" w:type="dxa"/>
            <w:tcBorders>
              <w:top w:val="single" w:sz="2" w:space="0" w:color="FFFFFF"/>
              <w:left w:val="single" w:sz="8" w:space="0" w:color="000000"/>
              <w:bottom w:val="single" w:sz="16" w:space="0" w:color="FFFFFF"/>
              <w:right w:val="single" w:sz="15" w:space="0" w:color="000000"/>
            </w:tcBorders>
          </w:tcPr>
          <w:p w14:paraId="29856969" w14:textId="77777777" w:rsidR="00957649" w:rsidRDefault="00957649" w:rsidP="0089598D">
            <w:pPr>
              <w:spacing w:line="480" w:lineRule="auto"/>
              <w:ind w:right="72"/>
              <w:jc w:val="right"/>
            </w:pPr>
            <w:r>
              <w:t xml:space="preserve">10,0 </w:t>
            </w:r>
          </w:p>
        </w:tc>
      </w:tr>
      <w:tr w:rsidR="00957649" w14:paraId="6B42740A" w14:textId="77777777" w:rsidTr="005A6E1C">
        <w:trPr>
          <w:trHeight w:val="679"/>
        </w:trPr>
        <w:tc>
          <w:tcPr>
            <w:tcW w:w="0" w:type="auto"/>
            <w:vMerge/>
            <w:tcBorders>
              <w:top w:val="nil"/>
              <w:left w:val="single" w:sz="15" w:space="0" w:color="000000"/>
              <w:bottom w:val="nil"/>
              <w:right w:val="single" w:sz="15" w:space="0" w:color="000000"/>
            </w:tcBorders>
          </w:tcPr>
          <w:p w14:paraId="201FBC6E" w14:textId="77777777" w:rsidR="00957649" w:rsidRDefault="00957649" w:rsidP="0089598D">
            <w:pPr>
              <w:spacing w:after="160" w:line="480" w:lineRule="auto"/>
            </w:pPr>
          </w:p>
        </w:tc>
        <w:tc>
          <w:tcPr>
            <w:tcW w:w="0" w:type="auto"/>
            <w:vMerge/>
            <w:tcBorders>
              <w:top w:val="nil"/>
              <w:left w:val="single" w:sz="15" w:space="0" w:color="000000"/>
              <w:bottom w:val="single" w:sz="16" w:space="0" w:color="FFFFFF"/>
              <w:right w:val="single" w:sz="8" w:space="0" w:color="000000"/>
            </w:tcBorders>
          </w:tcPr>
          <w:p w14:paraId="7C8C92D0" w14:textId="77777777" w:rsidR="00957649" w:rsidRDefault="00957649" w:rsidP="0089598D">
            <w:pPr>
              <w:spacing w:after="160" w:line="480" w:lineRule="auto"/>
            </w:pPr>
          </w:p>
        </w:tc>
        <w:tc>
          <w:tcPr>
            <w:tcW w:w="1030" w:type="dxa"/>
            <w:tcBorders>
              <w:top w:val="single" w:sz="16" w:space="0" w:color="FFFFFF"/>
              <w:left w:val="single" w:sz="8" w:space="0" w:color="000000"/>
              <w:bottom w:val="single" w:sz="16" w:space="0" w:color="FFFFFF"/>
              <w:right w:val="single" w:sz="8" w:space="0" w:color="000000"/>
            </w:tcBorders>
            <w:vAlign w:val="center"/>
          </w:tcPr>
          <w:p w14:paraId="37E92103" w14:textId="77777777" w:rsidR="00957649" w:rsidRDefault="00957649" w:rsidP="0089598D">
            <w:pPr>
              <w:spacing w:line="480" w:lineRule="auto"/>
              <w:ind w:right="65"/>
              <w:jc w:val="right"/>
            </w:pPr>
            <w:r>
              <w:t xml:space="preserve">30,0 </w:t>
            </w:r>
          </w:p>
        </w:tc>
        <w:tc>
          <w:tcPr>
            <w:tcW w:w="1397" w:type="dxa"/>
            <w:tcBorders>
              <w:top w:val="single" w:sz="16" w:space="0" w:color="FFFFFF"/>
              <w:left w:val="single" w:sz="8" w:space="0" w:color="000000"/>
              <w:bottom w:val="single" w:sz="16" w:space="0" w:color="FFFFFF"/>
              <w:right w:val="single" w:sz="8" w:space="0" w:color="000000"/>
            </w:tcBorders>
            <w:vAlign w:val="bottom"/>
          </w:tcPr>
          <w:p w14:paraId="05A435DA"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30,0 </w:t>
            </w:r>
          </w:p>
        </w:tc>
        <w:tc>
          <w:tcPr>
            <w:tcW w:w="2352" w:type="dxa"/>
            <w:tcBorders>
              <w:top w:val="single" w:sz="16" w:space="0" w:color="FFFFFF"/>
              <w:left w:val="single" w:sz="8" w:space="0" w:color="000000"/>
              <w:bottom w:val="single" w:sz="16" w:space="0" w:color="FFFFFF"/>
              <w:right w:val="single" w:sz="15" w:space="0" w:color="000000"/>
            </w:tcBorders>
            <w:vAlign w:val="center"/>
          </w:tcPr>
          <w:p w14:paraId="07B2A3CC" w14:textId="77777777" w:rsidR="00957649" w:rsidRDefault="00957649" w:rsidP="0089598D">
            <w:pPr>
              <w:spacing w:line="480" w:lineRule="auto"/>
              <w:ind w:right="72"/>
              <w:jc w:val="right"/>
            </w:pPr>
            <w:r>
              <w:t xml:space="preserve">40,0 </w:t>
            </w:r>
          </w:p>
        </w:tc>
      </w:tr>
      <w:tr w:rsidR="00957649" w14:paraId="2087D191" w14:textId="77777777" w:rsidTr="005A6E1C">
        <w:trPr>
          <w:trHeight w:val="682"/>
        </w:trPr>
        <w:tc>
          <w:tcPr>
            <w:tcW w:w="0" w:type="auto"/>
            <w:vMerge/>
            <w:tcBorders>
              <w:top w:val="nil"/>
              <w:left w:val="single" w:sz="15" w:space="0" w:color="000000"/>
              <w:bottom w:val="nil"/>
              <w:right w:val="single" w:sz="15" w:space="0" w:color="000000"/>
            </w:tcBorders>
          </w:tcPr>
          <w:p w14:paraId="6F6AA6E8" w14:textId="77777777" w:rsidR="00957649" w:rsidRDefault="00957649" w:rsidP="0089598D">
            <w:pPr>
              <w:spacing w:after="160" w:line="480" w:lineRule="auto"/>
            </w:pPr>
          </w:p>
        </w:tc>
        <w:tc>
          <w:tcPr>
            <w:tcW w:w="1169" w:type="dxa"/>
            <w:tcBorders>
              <w:top w:val="single" w:sz="16" w:space="0" w:color="FFFFFF"/>
              <w:left w:val="single" w:sz="15" w:space="0" w:color="000000"/>
              <w:bottom w:val="single" w:sz="16" w:space="0" w:color="FFFFFF"/>
              <w:right w:val="single" w:sz="8" w:space="0" w:color="000000"/>
            </w:tcBorders>
            <w:vAlign w:val="center"/>
          </w:tcPr>
          <w:p w14:paraId="6991F51C" w14:textId="77777777" w:rsidR="00957649" w:rsidRDefault="00957649" w:rsidP="0089598D">
            <w:pPr>
              <w:spacing w:line="480" w:lineRule="auto"/>
              <w:ind w:right="62"/>
              <w:jc w:val="right"/>
            </w:pPr>
            <w:r>
              <w:t xml:space="preserve">11 </w:t>
            </w:r>
          </w:p>
        </w:tc>
        <w:tc>
          <w:tcPr>
            <w:tcW w:w="1030" w:type="dxa"/>
            <w:tcBorders>
              <w:top w:val="single" w:sz="16" w:space="0" w:color="FFFFFF"/>
              <w:left w:val="single" w:sz="8" w:space="0" w:color="000000"/>
              <w:bottom w:val="single" w:sz="16" w:space="0" w:color="FFFFFF"/>
              <w:right w:val="single" w:sz="8" w:space="0" w:color="000000"/>
            </w:tcBorders>
            <w:vAlign w:val="center"/>
          </w:tcPr>
          <w:p w14:paraId="1F75237E" w14:textId="77777777" w:rsidR="00957649" w:rsidRDefault="00957649" w:rsidP="0089598D">
            <w:pPr>
              <w:spacing w:line="480" w:lineRule="auto"/>
              <w:ind w:right="65"/>
              <w:jc w:val="right"/>
            </w:pPr>
            <w:r>
              <w:t xml:space="preserve">55,0 </w:t>
            </w:r>
          </w:p>
        </w:tc>
        <w:tc>
          <w:tcPr>
            <w:tcW w:w="1397" w:type="dxa"/>
            <w:tcBorders>
              <w:top w:val="single" w:sz="16" w:space="0" w:color="FFFFFF"/>
              <w:left w:val="single" w:sz="8" w:space="0" w:color="000000"/>
              <w:bottom w:val="single" w:sz="16" w:space="0" w:color="FFFFFF"/>
              <w:right w:val="single" w:sz="8" w:space="0" w:color="000000"/>
            </w:tcBorders>
            <w:vAlign w:val="bottom"/>
          </w:tcPr>
          <w:p w14:paraId="6BDF56F6"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55,0 </w:t>
            </w:r>
          </w:p>
        </w:tc>
        <w:tc>
          <w:tcPr>
            <w:tcW w:w="2352" w:type="dxa"/>
            <w:tcBorders>
              <w:top w:val="single" w:sz="16" w:space="0" w:color="FFFFFF"/>
              <w:left w:val="single" w:sz="8" w:space="0" w:color="000000"/>
              <w:bottom w:val="single" w:sz="16" w:space="0" w:color="FFFFFF"/>
              <w:right w:val="single" w:sz="15" w:space="0" w:color="000000"/>
            </w:tcBorders>
            <w:vAlign w:val="center"/>
          </w:tcPr>
          <w:p w14:paraId="7218126D" w14:textId="77777777" w:rsidR="00957649" w:rsidRDefault="00957649" w:rsidP="0089598D">
            <w:pPr>
              <w:spacing w:line="480" w:lineRule="auto"/>
              <w:ind w:right="72"/>
              <w:jc w:val="right"/>
            </w:pPr>
            <w:r>
              <w:t xml:space="preserve">95,0 </w:t>
            </w:r>
          </w:p>
        </w:tc>
      </w:tr>
      <w:tr w:rsidR="00957649" w14:paraId="741834FC" w14:textId="77777777" w:rsidTr="005A6E1C">
        <w:trPr>
          <w:trHeight w:val="360"/>
        </w:trPr>
        <w:tc>
          <w:tcPr>
            <w:tcW w:w="0" w:type="auto"/>
            <w:vMerge/>
            <w:tcBorders>
              <w:top w:val="nil"/>
              <w:left w:val="single" w:sz="15" w:space="0" w:color="000000"/>
              <w:bottom w:val="nil"/>
              <w:right w:val="single" w:sz="15" w:space="0" w:color="000000"/>
            </w:tcBorders>
          </w:tcPr>
          <w:p w14:paraId="157F65CB" w14:textId="77777777" w:rsidR="00957649" w:rsidRDefault="00957649" w:rsidP="0089598D">
            <w:pPr>
              <w:spacing w:after="160" w:line="480" w:lineRule="auto"/>
            </w:pPr>
          </w:p>
        </w:tc>
        <w:tc>
          <w:tcPr>
            <w:tcW w:w="1169" w:type="dxa"/>
            <w:vMerge w:val="restart"/>
            <w:tcBorders>
              <w:top w:val="single" w:sz="16" w:space="0" w:color="FFFFFF"/>
              <w:left w:val="single" w:sz="15" w:space="0" w:color="000000"/>
              <w:bottom w:val="single" w:sz="15" w:space="0" w:color="000000"/>
              <w:right w:val="single" w:sz="8" w:space="0" w:color="000000"/>
            </w:tcBorders>
          </w:tcPr>
          <w:p w14:paraId="5370E67A" w14:textId="77777777" w:rsidR="00957649" w:rsidRDefault="00957649" w:rsidP="0089598D">
            <w:pPr>
              <w:spacing w:after="60" w:line="480" w:lineRule="auto"/>
              <w:ind w:right="62"/>
              <w:jc w:val="right"/>
            </w:pPr>
            <w:r>
              <w:t xml:space="preserve">1 </w:t>
            </w:r>
          </w:p>
          <w:p w14:paraId="2D46A5F8" w14:textId="77777777" w:rsidR="00957649" w:rsidRDefault="00957649" w:rsidP="0089598D">
            <w:pPr>
              <w:spacing w:line="480" w:lineRule="auto"/>
              <w:ind w:right="62"/>
              <w:jc w:val="right"/>
            </w:pPr>
            <w:r>
              <w:t xml:space="preserve">20 </w:t>
            </w:r>
          </w:p>
        </w:tc>
        <w:tc>
          <w:tcPr>
            <w:tcW w:w="1030" w:type="dxa"/>
            <w:tcBorders>
              <w:top w:val="single" w:sz="16" w:space="0" w:color="FFFFFF"/>
              <w:left w:val="single" w:sz="8" w:space="0" w:color="000000"/>
              <w:bottom w:val="single" w:sz="17" w:space="0" w:color="FFFFFF"/>
              <w:right w:val="single" w:sz="8" w:space="0" w:color="000000"/>
            </w:tcBorders>
          </w:tcPr>
          <w:p w14:paraId="0A59F829" w14:textId="77777777" w:rsidR="00957649" w:rsidRDefault="00957649" w:rsidP="0089598D">
            <w:pPr>
              <w:spacing w:line="480" w:lineRule="auto"/>
              <w:ind w:right="65"/>
              <w:jc w:val="right"/>
            </w:pPr>
            <w:r>
              <w:t xml:space="preserve">5,0 </w:t>
            </w:r>
          </w:p>
        </w:tc>
        <w:tc>
          <w:tcPr>
            <w:tcW w:w="1397" w:type="dxa"/>
            <w:tcBorders>
              <w:top w:val="single" w:sz="16" w:space="0" w:color="FFFFFF"/>
              <w:left w:val="single" w:sz="8" w:space="0" w:color="000000"/>
              <w:bottom w:val="single" w:sz="17" w:space="0" w:color="FFFFFF"/>
              <w:right w:val="single" w:sz="8" w:space="0" w:color="000000"/>
            </w:tcBorders>
          </w:tcPr>
          <w:p w14:paraId="3891E0F0" w14:textId="77777777" w:rsidR="00957649" w:rsidRPr="00D52E85" w:rsidRDefault="00957649" w:rsidP="0089598D">
            <w:pPr>
              <w:spacing w:line="480" w:lineRule="auto"/>
              <w:ind w:right="60"/>
              <w:jc w:val="right"/>
            </w:pPr>
            <w:r w:rsidRPr="00D52E85">
              <w:rPr>
                <w:rFonts w:ascii="Times New Roman" w:eastAsia="Times New Roman" w:hAnsi="Times New Roman" w:cs="Times New Roman"/>
                <w:b/>
              </w:rPr>
              <w:t xml:space="preserve">5,0 </w:t>
            </w:r>
          </w:p>
        </w:tc>
        <w:tc>
          <w:tcPr>
            <w:tcW w:w="2352" w:type="dxa"/>
            <w:tcBorders>
              <w:top w:val="single" w:sz="16" w:space="0" w:color="FFFFFF"/>
              <w:left w:val="single" w:sz="8" w:space="0" w:color="000000"/>
              <w:bottom w:val="single" w:sz="17" w:space="0" w:color="FFFFFF"/>
              <w:right w:val="single" w:sz="15" w:space="0" w:color="000000"/>
            </w:tcBorders>
          </w:tcPr>
          <w:p w14:paraId="4F6F18D3" w14:textId="77777777" w:rsidR="00957649" w:rsidRDefault="00957649" w:rsidP="0089598D">
            <w:pPr>
              <w:spacing w:line="480" w:lineRule="auto"/>
              <w:ind w:right="72"/>
              <w:jc w:val="right"/>
            </w:pPr>
            <w:r>
              <w:t xml:space="preserve">100,0 </w:t>
            </w:r>
          </w:p>
        </w:tc>
      </w:tr>
      <w:tr w:rsidR="00957649" w14:paraId="292ADC8F" w14:textId="77777777" w:rsidTr="005A6E1C">
        <w:trPr>
          <w:trHeight w:val="359"/>
        </w:trPr>
        <w:tc>
          <w:tcPr>
            <w:tcW w:w="0" w:type="auto"/>
            <w:vMerge/>
            <w:tcBorders>
              <w:top w:val="nil"/>
              <w:left w:val="single" w:sz="15" w:space="0" w:color="000000"/>
              <w:bottom w:val="single" w:sz="15" w:space="0" w:color="000000"/>
              <w:right w:val="single" w:sz="15" w:space="0" w:color="000000"/>
            </w:tcBorders>
          </w:tcPr>
          <w:p w14:paraId="5FB59BAF" w14:textId="77777777" w:rsidR="00957649" w:rsidRDefault="00957649" w:rsidP="0089598D">
            <w:pPr>
              <w:spacing w:after="160" w:line="480" w:lineRule="auto"/>
            </w:pPr>
          </w:p>
        </w:tc>
        <w:tc>
          <w:tcPr>
            <w:tcW w:w="0" w:type="auto"/>
            <w:vMerge/>
            <w:tcBorders>
              <w:top w:val="nil"/>
              <w:left w:val="single" w:sz="15" w:space="0" w:color="000000"/>
              <w:bottom w:val="single" w:sz="15" w:space="0" w:color="000000"/>
              <w:right w:val="single" w:sz="8" w:space="0" w:color="000000"/>
            </w:tcBorders>
          </w:tcPr>
          <w:p w14:paraId="55227764" w14:textId="77777777" w:rsidR="00957649" w:rsidRDefault="00957649" w:rsidP="0089598D">
            <w:pPr>
              <w:spacing w:after="160" w:line="480" w:lineRule="auto"/>
            </w:pPr>
          </w:p>
        </w:tc>
        <w:tc>
          <w:tcPr>
            <w:tcW w:w="1030" w:type="dxa"/>
            <w:tcBorders>
              <w:top w:val="single" w:sz="17" w:space="0" w:color="FFFFFF"/>
              <w:left w:val="single" w:sz="8" w:space="0" w:color="000000"/>
              <w:bottom w:val="single" w:sz="15" w:space="0" w:color="000000"/>
              <w:right w:val="single" w:sz="8" w:space="0" w:color="000000"/>
            </w:tcBorders>
          </w:tcPr>
          <w:p w14:paraId="264B29F8" w14:textId="77777777" w:rsidR="00957649" w:rsidRDefault="00957649" w:rsidP="0089598D">
            <w:pPr>
              <w:spacing w:line="480" w:lineRule="auto"/>
              <w:ind w:right="65"/>
              <w:jc w:val="right"/>
            </w:pPr>
            <w:r>
              <w:t xml:space="preserve">100,0 </w:t>
            </w:r>
          </w:p>
        </w:tc>
        <w:tc>
          <w:tcPr>
            <w:tcW w:w="1397" w:type="dxa"/>
            <w:tcBorders>
              <w:top w:val="single" w:sz="17" w:space="0" w:color="FFFFFF"/>
              <w:left w:val="single" w:sz="8" w:space="0" w:color="000000"/>
              <w:bottom w:val="single" w:sz="15" w:space="0" w:color="000000"/>
              <w:right w:val="single" w:sz="8" w:space="0" w:color="000000"/>
            </w:tcBorders>
          </w:tcPr>
          <w:p w14:paraId="2C95E57D" w14:textId="77777777" w:rsidR="00957649" w:rsidRDefault="00957649" w:rsidP="0089598D">
            <w:pPr>
              <w:spacing w:line="480" w:lineRule="auto"/>
              <w:ind w:right="60"/>
              <w:jc w:val="right"/>
            </w:pPr>
            <w:r>
              <w:t xml:space="preserve">100,0 </w:t>
            </w:r>
          </w:p>
        </w:tc>
        <w:tc>
          <w:tcPr>
            <w:tcW w:w="2352" w:type="dxa"/>
            <w:tcBorders>
              <w:top w:val="single" w:sz="17" w:space="0" w:color="FFFFFF"/>
              <w:left w:val="single" w:sz="8" w:space="0" w:color="000000"/>
              <w:bottom w:val="single" w:sz="15" w:space="0" w:color="000000"/>
              <w:right w:val="single" w:sz="15" w:space="0" w:color="000000"/>
            </w:tcBorders>
          </w:tcPr>
          <w:p w14:paraId="0D91B073" w14:textId="77777777" w:rsidR="00957649" w:rsidRDefault="00957649" w:rsidP="0089598D">
            <w:pPr>
              <w:spacing w:line="480" w:lineRule="auto"/>
            </w:pPr>
            <w:r>
              <w:t xml:space="preserve"> </w:t>
            </w:r>
          </w:p>
        </w:tc>
      </w:tr>
    </w:tbl>
    <w:p w14:paraId="694284EA" w14:textId="7C1E3ACD" w:rsidR="000C2D12" w:rsidRDefault="000C2D12" w:rsidP="0089598D">
      <w:pPr>
        <w:spacing w:line="480" w:lineRule="auto"/>
        <w:rPr>
          <w:rFonts w:ascii="Times New Roman" w:hAnsi="Times New Roman" w:cs="Times New Roman"/>
          <w:sz w:val="24"/>
          <w:szCs w:val="24"/>
        </w:rPr>
      </w:pPr>
    </w:p>
    <w:p w14:paraId="126D61C2" w14:textId="5C7B6B3E" w:rsidR="000C422A" w:rsidRPr="00143016" w:rsidRDefault="00DD7FB1" w:rsidP="0089598D">
      <w:pPr>
        <w:spacing w:line="480" w:lineRule="auto"/>
        <w:rPr>
          <w:rFonts w:ascii="Times New Roman" w:hAnsi="Times New Roman" w:cs="Times New Roman"/>
          <w:sz w:val="24"/>
          <w:szCs w:val="24"/>
        </w:rPr>
      </w:pPr>
      <w:r w:rsidRPr="00DD7FB1">
        <w:rPr>
          <w:rFonts w:ascii="Times New Roman" w:hAnsi="Times New Roman" w:cs="Times New Roman"/>
          <w:sz w:val="24"/>
          <w:szCs w:val="24"/>
        </w:rPr>
        <w:t>Kod pacijenata prve grupe koji su liječeni samo odstranjenjem fokusa, a kod kojih je verifikovano po šest cističnih patoloških procesa cista i HPL, kao i četiri zapaljenja potpornog aparata zuba parodontopatije, laboratorijski nalaz je ukazivao na zapaljenske procese u organizmu sa izraženom limfocitozom, leukocitozom i uvečanjem IgE i CRP.</w:t>
      </w:r>
    </w:p>
    <w:p w14:paraId="79A34315" w14:textId="5A35B3AF" w:rsidR="00143016" w:rsidRDefault="00040245" w:rsidP="0089598D">
      <w:pPr>
        <w:spacing w:line="480" w:lineRule="auto"/>
        <w:rPr>
          <w:rFonts w:ascii="Times New Roman" w:hAnsi="Times New Roman" w:cs="Times New Roman"/>
          <w:sz w:val="24"/>
          <w:szCs w:val="24"/>
        </w:rPr>
      </w:pPr>
      <w:r w:rsidRPr="00040245">
        <w:rPr>
          <w:rFonts w:ascii="Times New Roman" w:hAnsi="Times New Roman" w:cs="Times New Roman"/>
          <w:sz w:val="24"/>
          <w:szCs w:val="24"/>
        </w:rPr>
        <w:t>Kod pacijenata druge grupe kod kojih je pri liječenju osim uklanjanja fokusa korištena i lokalna dermatološka terapija, laboratorijski rezultati ukazuju na postojanje zapaljenskih reakcija u organizmu kod pojedinih pacijenata zbog evidentnog povećanja vrijednosti sedimentacije i leukocitoze.</w:t>
      </w:r>
    </w:p>
    <w:p w14:paraId="038E6C4F" w14:textId="7A0923CA" w:rsidR="00143016" w:rsidRDefault="00143016" w:rsidP="0089598D">
      <w:pPr>
        <w:spacing w:line="480" w:lineRule="auto"/>
        <w:rPr>
          <w:rFonts w:ascii="Times New Roman" w:hAnsi="Times New Roman" w:cs="Times New Roman"/>
          <w:sz w:val="24"/>
          <w:szCs w:val="24"/>
        </w:rPr>
      </w:pPr>
      <w:r w:rsidRPr="00143016">
        <w:rPr>
          <w:rFonts w:ascii="Times New Roman" w:hAnsi="Times New Roman" w:cs="Times New Roman"/>
          <w:sz w:val="24"/>
          <w:szCs w:val="24"/>
        </w:rPr>
        <w:t xml:space="preserve">Kod pacijenata treće grupe koji su liječeni samo lokalnom dermatološkom terapijom laboratorijski nalazi </w:t>
      </w:r>
      <w:r>
        <w:rPr>
          <w:rFonts w:ascii="Times New Roman" w:hAnsi="Times New Roman" w:cs="Times New Roman"/>
          <w:sz w:val="24"/>
          <w:szCs w:val="24"/>
        </w:rPr>
        <w:t xml:space="preserve">namjanju promjenu vrijednosti svih parametara. </w:t>
      </w:r>
      <w:r w:rsidRPr="00143016">
        <w:rPr>
          <w:rFonts w:ascii="Times New Roman" w:hAnsi="Times New Roman" w:cs="Times New Roman"/>
          <w:sz w:val="24"/>
          <w:szCs w:val="24"/>
        </w:rPr>
        <w:t xml:space="preserve">Iz podataka prikazanim </w:t>
      </w:r>
      <w:r w:rsidR="00C35343">
        <w:rPr>
          <w:rFonts w:ascii="Times New Roman" w:hAnsi="Times New Roman" w:cs="Times New Roman"/>
          <w:sz w:val="24"/>
          <w:szCs w:val="24"/>
        </w:rPr>
        <w:t>na slici</w:t>
      </w:r>
      <w:r w:rsidR="00255D29">
        <w:rPr>
          <w:rFonts w:ascii="Times New Roman" w:hAnsi="Times New Roman" w:cs="Times New Roman"/>
          <w:sz w:val="24"/>
          <w:szCs w:val="24"/>
        </w:rPr>
        <w:t xml:space="preserve"> </w:t>
      </w:r>
      <w:r w:rsidR="00D1445D">
        <w:rPr>
          <w:rFonts w:ascii="Times New Roman" w:hAnsi="Times New Roman" w:cs="Times New Roman"/>
          <w:sz w:val="24"/>
          <w:szCs w:val="24"/>
        </w:rPr>
        <w:t>1</w:t>
      </w:r>
      <w:r w:rsidR="00255D29">
        <w:rPr>
          <w:rFonts w:ascii="Times New Roman" w:hAnsi="Times New Roman" w:cs="Times New Roman"/>
          <w:sz w:val="24"/>
          <w:szCs w:val="24"/>
        </w:rPr>
        <w:t xml:space="preserve">. </w:t>
      </w:r>
      <w:r w:rsidR="00C35343">
        <w:rPr>
          <w:rFonts w:ascii="Times New Roman" w:hAnsi="Times New Roman" w:cs="Times New Roman"/>
          <w:sz w:val="24"/>
          <w:szCs w:val="24"/>
        </w:rPr>
        <w:t>e</w:t>
      </w:r>
      <w:r w:rsidRPr="00143016">
        <w:rPr>
          <w:rFonts w:ascii="Times New Roman" w:hAnsi="Times New Roman" w:cs="Times New Roman"/>
          <w:sz w:val="24"/>
          <w:szCs w:val="24"/>
        </w:rPr>
        <w:t xml:space="preserve">videntno je da su laboratorijske analize pokazivale odstupanja </w:t>
      </w:r>
      <w:r w:rsidRPr="00143016">
        <w:rPr>
          <w:rFonts w:ascii="Times New Roman" w:hAnsi="Times New Roman" w:cs="Times New Roman"/>
          <w:sz w:val="24"/>
          <w:szCs w:val="24"/>
        </w:rPr>
        <w:lastRenderedPageBreak/>
        <w:t>od normalnih vrijednosti najviše kod pacijenata iz prve i druge grupe što ukazuje na postojanje zapaljenskih reakcija u samom organizmu pacijenata</w:t>
      </w:r>
      <w:r w:rsidR="00255D29">
        <w:rPr>
          <w:rFonts w:ascii="Times New Roman" w:hAnsi="Times New Roman" w:cs="Times New Roman"/>
          <w:sz w:val="24"/>
          <w:szCs w:val="24"/>
        </w:rPr>
        <w:t>.</w:t>
      </w:r>
    </w:p>
    <w:p w14:paraId="4AF0DDA1" w14:textId="77777777" w:rsidR="00143016" w:rsidRDefault="00143016" w:rsidP="0089598D">
      <w:pPr>
        <w:spacing w:line="480" w:lineRule="auto"/>
        <w:rPr>
          <w:rFonts w:ascii="Times New Roman" w:hAnsi="Times New Roman" w:cs="Times New Roman"/>
          <w:sz w:val="18"/>
          <w:szCs w:val="18"/>
        </w:rPr>
      </w:pPr>
    </w:p>
    <w:p w14:paraId="7168FC3E" w14:textId="7E9624C2" w:rsidR="000C422A" w:rsidRDefault="00040245" w:rsidP="0089598D">
      <w:pPr>
        <w:pStyle w:val="Heading1"/>
        <w:spacing w:before="0" w:line="480" w:lineRule="auto"/>
        <w:rPr>
          <w:color w:val="auto"/>
        </w:rPr>
      </w:pPr>
      <w:r>
        <w:rPr>
          <w:noProof/>
          <w:color w:val="auto"/>
        </w:rPr>
        <w:drawing>
          <wp:inline distT="0" distB="0" distL="0" distR="0" wp14:anchorId="610D288D" wp14:editId="208E1092">
            <wp:extent cx="5429250" cy="2819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02A4138" w14:textId="77777777" w:rsidR="00C35343" w:rsidRPr="008913A5" w:rsidRDefault="00C35343" w:rsidP="00C35343">
      <w:pPr>
        <w:spacing w:line="480" w:lineRule="auto"/>
        <w:rPr>
          <w:rFonts w:ascii="Times New Roman" w:hAnsi="Times New Roman" w:cs="Times New Roman"/>
          <w:sz w:val="18"/>
          <w:szCs w:val="18"/>
        </w:rPr>
      </w:pPr>
      <w:r w:rsidRPr="008913A5">
        <w:rPr>
          <w:rFonts w:ascii="Times New Roman" w:hAnsi="Times New Roman" w:cs="Times New Roman"/>
          <w:sz w:val="18"/>
          <w:szCs w:val="18"/>
        </w:rPr>
        <w:t xml:space="preserve">Slika </w:t>
      </w:r>
      <w:r>
        <w:rPr>
          <w:rFonts w:ascii="Times New Roman" w:hAnsi="Times New Roman" w:cs="Times New Roman"/>
          <w:sz w:val="18"/>
          <w:szCs w:val="18"/>
        </w:rPr>
        <w:t>1</w:t>
      </w:r>
      <w:r w:rsidRPr="008913A5">
        <w:rPr>
          <w:rFonts w:ascii="Times New Roman" w:hAnsi="Times New Roman" w:cs="Times New Roman"/>
          <w:sz w:val="18"/>
          <w:szCs w:val="18"/>
        </w:rPr>
        <w:t xml:space="preserve">. Grafički prikaz odnosa laboratorisjkih rezultata sve tri gupe </w:t>
      </w:r>
    </w:p>
    <w:p w14:paraId="21DAD328" w14:textId="77777777" w:rsidR="004D2556" w:rsidRPr="004D2556" w:rsidRDefault="004D2556" w:rsidP="0089598D">
      <w:pPr>
        <w:spacing w:line="480" w:lineRule="auto"/>
      </w:pPr>
    </w:p>
    <w:p w14:paraId="2E427F13" w14:textId="385526EC" w:rsidR="00CE250E" w:rsidRPr="004E3507" w:rsidRDefault="00CE250E" w:rsidP="0089598D">
      <w:pPr>
        <w:pStyle w:val="Heading1"/>
        <w:spacing w:before="0" w:line="480" w:lineRule="auto"/>
        <w:rPr>
          <w:color w:val="auto"/>
        </w:rPr>
      </w:pPr>
      <w:r w:rsidRPr="004E3507">
        <w:rPr>
          <w:color w:val="auto"/>
        </w:rPr>
        <w:t>Diskusija</w:t>
      </w:r>
    </w:p>
    <w:p w14:paraId="730D465B" w14:textId="77777777" w:rsidR="004E3507" w:rsidRDefault="004E3507" w:rsidP="0089598D">
      <w:pPr>
        <w:spacing w:line="480" w:lineRule="auto"/>
        <w:rPr>
          <w:rFonts w:ascii="Times New Roman" w:hAnsi="Times New Roman" w:cs="Times New Roman"/>
          <w:sz w:val="24"/>
          <w:szCs w:val="24"/>
        </w:rPr>
      </w:pPr>
    </w:p>
    <w:p w14:paraId="0948918B" w14:textId="715B45A9"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U dosadašnjim objavljenim istraživanjima mnogobrojna su i različita objašnjenja  uzroka nastanka oboljenja alopecije areate. Već dugi niz godina oralne infekcije, posebno  parodontitis, smatraju se potencijalnim činiocima za razvoj niza klinički značajnih sistemskih bolesti</w:t>
      </w:r>
      <w:r w:rsidR="001D372D">
        <w:rPr>
          <w:rFonts w:ascii="Times New Roman" w:hAnsi="Times New Roman" w:cs="Times New Roman"/>
          <w:sz w:val="24"/>
          <w:szCs w:val="24"/>
        </w:rPr>
        <w:t xml:space="preserve"> (4)</w:t>
      </w:r>
      <w:r w:rsidRPr="00742858">
        <w:rPr>
          <w:rFonts w:ascii="Times New Roman" w:hAnsi="Times New Roman" w:cs="Times New Roman"/>
          <w:sz w:val="24"/>
          <w:szCs w:val="24"/>
        </w:rPr>
        <w:t xml:space="preserve">. </w:t>
      </w:r>
    </w:p>
    <w:p w14:paraId="40044349" w14:textId="0BCE78D2"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U hroničnom parodontitisu parodontni patogeni, koji su uglavnom Gram negativni, i njihovih toksini, kao što citolitički enzimi i lipopolisaharadi mogu ući u krvotok kroz kompromitovani ili ulcerirani epitel parodontalnog džepa</w:t>
      </w:r>
      <w:r w:rsidR="001D372D">
        <w:rPr>
          <w:rFonts w:ascii="Times New Roman" w:hAnsi="Times New Roman" w:cs="Times New Roman"/>
          <w:sz w:val="24"/>
          <w:szCs w:val="24"/>
        </w:rPr>
        <w:t xml:space="preserve"> (5)</w:t>
      </w:r>
      <w:r w:rsidRPr="00742858">
        <w:rPr>
          <w:rFonts w:ascii="Times New Roman" w:hAnsi="Times New Roman" w:cs="Times New Roman"/>
          <w:sz w:val="24"/>
          <w:szCs w:val="24"/>
        </w:rPr>
        <w:t xml:space="preserve">. Unutar inflamiranog gingivalnog tkiva proizvode se upalni medijatori kao što su tumor nekrotizirajući </w:t>
      </w:r>
      <w:r w:rsidRPr="00742858">
        <w:rPr>
          <w:rFonts w:ascii="Times New Roman" w:hAnsi="Times New Roman" w:cs="Times New Roman"/>
          <w:sz w:val="24"/>
          <w:szCs w:val="24"/>
        </w:rPr>
        <w:lastRenderedPageBreak/>
        <w:t>faktor α (TNF-α), interleukin (IL) -1 α, prostaglandin E2 (PGE2), i α-interferon koji mogu ući u krvotok i doprinose globalnom upalnom opterećenju. Prema tome, sistemska izloženost parodontalnih patogena, njihovih toksina i parodontalno izazvanih upalnih medijatora može odrediti patološke posljedice u različitim organima ili sistemima</w:t>
      </w:r>
      <w:r w:rsidR="001D372D">
        <w:rPr>
          <w:rFonts w:ascii="Times New Roman" w:hAnsi="Times New Roman" w:cs="Times New Roman"/>
          <w:sz w:val="24"/>
          <w:szCs w:val="24"/>
        </w:rPr>
        <w:t xml:space="preserve"> (5,6)</w:t>
      </w:r>
      <w:r w:rsidRPr="00742858">
        <w:rPr>
          <w:rFonts w:ascii="Times New Roman" w:hAnsi="Times New Roman" w:cs="Times New Roman"/>
          <w:sz w:val="24"/>
          <w:szCs w:val="24"/>
        </w:rPr>
        <w:t xml:space="preserve">. </w:t>
      </w:r>
    </w:p>
    <w:p w14:paraId="7E960D6D" w14:textId="5A234A7F"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Na temelju epidemioloških studija potvrđena je veze između hroničnog parodontitisa i kardiovaskularnih bolesti, bolesti respiratornog sistema, dijabetesa, osteoporoze, hronične bolesti bubrega, reumatoidnog artritisa, Alzheimerove bolesti, alopeciae areatae, alopeciae totalis i drugih bolesti</w:t>
      </w:r>
      <w:r w:rsidR="001D372D">
        <w:rPr>
          <w:rFonts w:ascii="Times New Roman" w:hAnsi="Times New Roman" w:cs="Times New Roman"/>
          <w:sz w:val="24"/>
          <w:szCs w:val="24"/>
        </w:rPr>
        <w:t xml:space="preserve"> (7,8)</w:t>
      </w:r>
      <w:r w:rsidRPr="00742858">
        <w:rPr>
          <w:rFonts w:ascii="Times New Roman" w:hAnsi="Times New Roman" w:cs="Times New Roman"/>
          <w:sz w:val="24"/>
          <w:szCs w:val="24"/>
        </w:rPr>
        <w:t xml:space="preserve">. </w:t>
      </w:r>
    </w:p>
    <w:p w14:paraId="01EFA907" w14:textId="06409B82" w:rsidR="00CE250E"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Međutim, alopecia areata se smatra autoimunom bolešću nejasne etiologije i patogeneze, koja je rijetko povezivana sa dentalnim fokusima. Ova bolest ima jak psihološki učinak na pacijenta, jer je prezentovana gubitkom kose, i može pogoditi bilo koju površinu s kosom/dlakama, ali obično uključuje lice i vlasište, gdje estetski razlozi igraju važnu ulogu u samopouzdanju</w:t>
      </w:r>
      <w:r w:rsidR="001D372D">
        <w:rPr>
          <w:rFonts w:ascii="Times New Roman" w:hAnsi="Times New Roman" w:cs="Times New Roman"/>
          <w:sz w:val="24"/>
          <w:szCs w:val="24"/>
        </w:rPr>
        <w:t xml:space="preserve"> (11)</w:t>
      </w:r>
      <w:r w:rsidRPr="00742858">
        <w:rPr>
          <w:rFonts w:ascii="Times New Roman" w:hAnsi="Times New Roman" w:cs="Times New Roman"/>
          <w:sz w:val="24"/>
          <w:szCs w:val="24"/>
        </w:rPr>
        <w:t>.</w:t>
      </w:r>
    </w:p>
    <w:p w14:paraId="76B1C6A7" w14:textId="4D8F4645" w:rsid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Hipokrat je prvi upotrijebio pojam alopecija, ali karakteristike bolesti gubitka kose prvi put je opisao Cornelius Celsus u 30. p.n.e. sa dva oblika: prvi - potpuna ćelavost koja se javlja kod ljudi svih starosnih grupa; drugi je nazvao "Ophiasis", što se doslovno prevodi kao "zmija", obzirom na način na koji se regije ćelavosti proširuju preko kože, i može se vidjeti samo kod djece. Alopecija areata katkad se naziva "</w:t>
      </w:r>
      <w:r w:rsidR="003F0378">
        <w:rPr>
          <w:rFonts w:ascii="Times New Roman" w:hAnsi="Times New Roman" w:cs="Times New Roman"/>
          <w:sz w:val="24"/>
          <w:szCs w:val="24"/>
        </w:rPr>
        <w:t xml:space="preserve"> </w:t>
      </w:r>
      <w:r w:rsidRPr="00742858">
        <w:rPr>
          <w:rFonts w:ascii="Times New Roman" w:hAnsi="Times New Roman" w:cs="Times New Roman"/>
          <w:sz w:val="24"/>
          <w:szCs w:val="24"/>
        </w:rPr>
        <w:t>prostor Celsija</w:t>
      </w:r>
      <w:r w:rsidR="003F0378">
        <w:rPr>
          <w:rFonts w:ascii="Times New Roman" w:hAnsi="Times New Roman" w:cs="Times New Roman"/>
          <w:sz w:val="24"/>
          <w:szCs w:val="24"/>
        </w:rPr>
        <w:t xml:space="preserve"> </w:t>
      </w:r>
      <w:r w:rsidRPr="00742858">
        <w:rPr>
          <w:rFonts w:ascii="Times New Roman" w:hAnsi="Times New Roman" w:cs="Times New Roman"/>
          <w:sz w:val="24"/>
          <w:szCs w:val="24"/>
        </w:rPr>
        <w:t>"u čast Corneliusa Celsusa</w:t>
      </w:r>
      <w:r w:rsidR="001D372D">
        <w:rPr>
          <w:rFonts w:ascii="Times New Roman" w:hAnsi="Times New Roman" w:cs="Times New Roman"/>
          <w:sz w:val="24"/>
          <w:szCs w:val="24"/>
        </w:rPr>
        <w:t xml:space="preserve"> (14)</w:t>
      </w:r>
      <w:r w:rsidRPr="00742858">
        <w:rPr>
          <w:rFonts w:ascii="Times New Roman" w:hAnsi="Times New Roman" w:cs="Times New Roman"/>
          <w:sz w:val="24"/>
          <w:szCs w:val="24"/>
        </w:rPr>
        <w:t>.</w:t>
      </w:r>
    </w:p>
    <w:p w14:paraId="59E44851" w14:textId="25B72425" w:rsidR="00742858" w:rsidRDefault="00742858" w:rsidP="0089598D">
      <w:pPr>
        <w:spacing w:line="480" w:lineRule="auto"/>
        <w:rPr>
          <w:rFonts w:ascii="Times New Roman" w:hAnsi="Times New Roman" w:cs="Times New Roman"/>
          <w:sz w:val="24"/>
          <w:szCs w:val="24"/>
        </w:rPr>
      </w:pPr>
    </w:p>
    <w:p w14:paraId="531BF851" w14:textId="77777777" w:rsidR="00F23972" w:rsidRDefault="00F23972" w:rsidP="0089598D">
      <w:pPr>
        <w:pStyle w:val="Heading1"/>
        <w:spacing w:before="0" w:line="480" w:lineRule="auto"/>
        <w:rPr>
          <w:rFonts w:ascii="Times New Roman" w:hAnsi="Times New Roman" w:cs="Times New Roman"/>
          <w:color w:val="auto"/>
        </w:rPr>
      </w:pPr>
    </w:p>
    <w:p w14:paraId="3AB3C154" w14:textId="18ECE50E" w:rsidR="000C2D12" w:rsidRPr="00F04874" w:rsidRDefault="00F04874" w:rsidP="0089598D">
      <w:pPr>
        <w:pStyle w:val="Heading1"/>
        <w:spacing w:before="0" w:line="480" w:lineRule="auto"/>
        <w:rPr>
          <w:rFonts w:ascii="Times New Roman" w:hAnsi="Times New Roman" w:cs="Times New Roman"/>
          <w:color w:val="auto"/>
        </w:rPr>
      </w:pPr>
      <w:r w:rsidRPr="00F04874">
        <w:rPr>
          <w:rFonts w:ascii="Times New Roman" w:hAnsi="Times New Roman" w:cs="Times New Roman"/>
          <w:color w:val="auto"/>
        </w:rPr>
        <w:t>Zaključak</w:t>
      </w:r>
    </w:p>
    <w:p w14:paraId="04195EEF" w14:textId="10C2E9C6" w:rsidR="000C2D12" w:rsidRDefault="000C2D12" w:rsidP="0089598D">
      <w:pPr>
        <w:spacing w:line="480" w:lineRule="auto"/>
        <w:rPr>
          <w:rFonts w:ascii="Times New Roman" w:hAnsi="Times New Roman" w:cs="Times New Roman"/>
          <w:sz w:val="24"/>
          <w:szCs w:val="24"/>
        </w:rPr>
      </w:pPr>
    </w:p>
    <w:p w14:paraId="208F089B" w14:textId="75908D9E" w:rsidR="00F04874" w:rsidRPr="00F04874" w:rsidRDefault="00F04874"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U konačnici možemo reći da je alopecija areata autoimuno oboljenje </w:t>
      </w:r>
      <w:r w:rsidR="00565AB0">
        <w:rPr>
          <w:rFonts w:ascii="Times New Roman" w:hAnsi="Times New Roman" w:cs="Times New Roman"/>
          <w:sz w:val="24"/>
          <w:szCs w:val="24"/>
        </w:rPr>
        <w:t>nepoznatog</w:t>
      </w:r>
      <w:r>
        <w:rPr>
          <w:rFonts w:ascii="Times New Roman" w:hAnsi="Times New Roman" w:cs="Times New Roman"/>
          <w:sz w:val="24"/>
          <w:szCs w:val="24"/>
        </w:rPr>
        <w:t xml:space="preserve"> uzroka, koje u ovom istraživanju vežemo za dentogene fokuse. Oni kao izvor infekcije mogu biti uzročnik alopecije areate </w:t>
      </w:r>
      <w:r w:rsidR="00565AB0">
        <w:rPr>
          <w:rFonts w:ascii="Times New Roman" w:hAnsi="Times New Roman" w:cs="Times New Roman"/>
          <w:sz w:val="24"/>
          <w:szCs w:val="24"/>
        </w:rPr>
        <w:t>ali vrlo rijetko. Kada se zub detaljnim pregledom i ispitivanjem dokaže kao uzročnik, oboljenje se može vrlo efikasno liječiti uklanjanjem istog dentogenog žarišta, bilo ekstrakcijim samog zuba ili metodom endodontskog liječenja kanala korijena zuba.</w:t>
      </w:r>
    </w:p>
    <w:p w14:paraId="76ABF391" w14:textId="77777777" w:rsidR="004D2556" w:rsidRDefault="004D2556" w:rsidP="0089598D">
      <w:pPr>
        <w:pStyle w:val="Heading1"/>
        <w:spacing w:before="0" w:line="480" w:lineRule="auto"/>
        <w:rPr>
          <w:color w:val="auto"/>
        </w:rPr>
      </w:pPr>
    </w:p>
    <w:p w14:paraId="0965A1FC" w14:textId="17CC8181" w:rsidR="004E3507" w:rsidRPr="004D2556" w:rsidRDefault="00742858" w:rsidP="0089598D">
      <w:pPr>
        <w:pStyle w:val="Heading1"/>
        <w:spacing w:before="0" w:line="480" w:lineRule="auto"/>
        <w:rPr>
          <w:color w:val="auto"/>
        </w:rPr>
      </w:pPr>
      <w:r w:rsidRPr="004E3507">
        <w:rPr>
          <w:color w:val="auto"/>
        </w:rPr>
        <w:t>Literatura</w:t>
      </w:r>
    </w:p>
    <w:p w14:paraId="668EE285" w14:textId="77777777" w:rsidR="004D2556" w:rsidRDefault="004D2556" w:rsidP="0089598D">
      <w:pPr>
        <w:spacing w:line="480" w:lineRule="auto"/>
        <w:rPr>
          <w:rFonts w:ascii="Times New Roman" w:hAnsi="Times New Roman" w:cs="Times New Roman"/>
          <w:sz w:val="24"/>
          <w:szCs w:val="24"/>
        </w:rPr>
      </w:pPr>
    </w:p>
    <w:p w14:paraId="27A43711" w14:textId="0855EDFE"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 xml:space="preserve">1. </w:t>
      </w:r>
      <w:r w:rsidR="00830697" w:rsidRPr="00830697">
        <w:rPr>
          <w:rFonts w:ascii="Times New Roman" w:hAnsi="Times New Roman" w:cs="Times New Roman"/>
          <w:sz w:val="24"/>
          <w:szCs w:val="24"/>
        </w:rPr>
        <w:t>Pratt CH, King LE Jr, Messenger AG, Christiano AM, Sundberg JP. Alopecia areata. Nat Rev Dis Primers. 2017 Mar 16;3:17011. doi: 10.1038/nrdp.2017.11. PMID: 28300084; PMCID: PMC5573125.</w:t>
      </w:r>
      <w:r w:rsidR="003F0378" w:rsidRPr="003F0378">
        <w:rPr>
          <w:rFonts w:ascii="Times New Roman" w:hAnsi="Times New Roman" w:cs="Times New Roman"/>
          <w:sz w:val="24"/>
          <w:szCs w:val="24"/>
        </w:rPr>
        <w:t>19;366(16):1515-25. doi: 10.1056/NEJMra1103442. PMID: 22512484.</w:t>
      </w:r>
    </w:p>
    <w:p w14:paraId="61E15F5D" w14:textId="378E1496"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 xml:space="preserve">2. </w:t>
      </w:r>
      <w:r w:rsidR="003F0378" w:rsidRPr="003F0378">
        <w:rPr>
          <w:rFonts w:ascii="Times New Roman" w:hAnsi="Times New Roman" w:cs="Times New Roman"/>
          <w:sz w:val="24"/>
          <w:szCs w:val="24"/>
        </w:rPr>
        <w:t>Strazzulla LC, Wang EHC, Avila L, Lo Sicco K, Brinster N, Christiano AM, Shapiro J. Alopecia areata: Disease characteristics, clinical evaluation, and new perspectives on pathogenesis. J Am Acad Dermatol. 2018 Jan;78(1):1-12. doi: 10.1016/j.jaad.2017.04.1141. PMID: 29241771.</w:t>
      </w:r>
    </w:p>
    <w:p w14:paraId="1E146AF9" w14:textId="19283BE2" w:rsidR="00742858" w:rsidRPr="00742858"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 xml:space="preserve">3. </w:t>
      </w:r>
      <w:r w:rsidR="003F0378" w:rsidRPr="003F0378">
        <w:rPr>
          <w:rFonts w:ascii="Times New Roman" w:hAnsi="Times New Roman" w:cs="Times New Roman"/>
          <w:sz w:val="24"/>
          <w:szCs w:val="24"/>
        </w:rPr>
        <w:t xml:space="preserve">Juárez-Rendón KJ, Rivera Sánchez G, Reyes-López MÁ, García-Ortiz JE, Bocanegra-García V, Guardiola-Avila I, Altamirano-García ML. Alopecia Areata. </w:t>
      </w:r>
      <w:r w:rsidR="003F0378" w:rsidRPr="003F0378">
        <w:rPr>
          <w:rFonts w:ascii="Times New Roman" w:hAnsi="Times New Roman" w:cs="Times New Roman"/>
          <w:sz w:val="24"/>
          <w:szCs w:val="24"/>
        </w:rPr>
        <w:lastRenderedPageBreak/>
        <w:t>Current situation and perspectives. Arch Argent Pediatr. 2017 Dec 1;115(6):e404-e411. English, Spanish. doi: 10.5546/aap.2017.eng.e404. PMID: 29087123.</w:t>
      </w:r>
    </w:p>
    <w:p w14:paraId="65966ED6" w14:textId="4275CC70" w:rsidR="00830697"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4.</w:t>
      </w:r>
      <w:r w:rsidR="00CF1A49">
        <w:rPr>
          <w:rFonts w:ascii="Times New Roman" w:hAnsi="Times New Roman" w:cs="Times New Roman"/>
          <w:sz w:val="24"/>
          <w:szCs w:val="24"/>
        </w:rPr>
        <w:t xml:space="preserve"> </w:t>
      </w:r>
      <w:r w:rsidR="00830697" w:rsidRPr="00830697">
        <w:rPr>
          <w:rFonts w:ascii="Times New Roman" w:hAnsi="Times New Roman" w:cs="Times New Roman"/>
          <w:sz w:val="24"/>
          <w:szCs w:val="24"/>
        </w:rPr>
        <w:t>Han G. The Changing Landscape of Alopecia Areata: An Introduction. Adv Ther. 2017 Jul;34(7):1584-1585. doi: 10.1007/s12325-017-0544-5. PMID: 28646391; PMCID: PMC5504198.</w:t>
      </w:r>
    </w:p>
    <w:p w14:paraId="3C30B396" w14:textId="61111AE0" w:rsidR="00830697" w:rsidRDefault="00830697"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5. </w:t>
      </w:r>
      <w:r w:rsidRPr="00830697">
        <w:rPr>
          <w:rFonts w:ascii="Times New Roman" w:hAnsi="Times New Roman" w:cs="Times New Roman"/>
          <w:sz w:val="24"/>
          <w:szCs w:val="24"/>
        </w:rPr>
        <w:t>Trüeb RM, Dias MFRG. Alopecia Areata: a Comprehensive Review of Pathogenesis and Management. Clin Rev Allergy Immunol. 2018 Feb;54(1):68-87. doi: 10.1007/s12016-017-8620-9. PMID: 28717940.</w:t>
      </w:r>
    </w:p>
    <w:p w14:paraId="0F476EE4" w14:textId="77777777" w:rsidR="00830697"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6</w:t>
      </w:r>
      <w:r w:rsidR="00CF1A49">
        <w:rPr>
          <w:rFonts w:ascii="Times New Roman" w:hAnsi="Times New Roman" w:cs="Times New Roman"/>
          <w:sz w:val="24"/>
          <w:szCs w:val="24"/>
        </w:rPr>
        <w:t xml:space="preserve">. </w:t>
      </w:r>
      <w:r w:rsidR="00830697" w:rsidRPr="00830697">
        <w:rPr>
          <w:rFonts w:ascii="Times New Roman" w:hAnsi="Times New Roman" w:cs="Times New Roman"/>
          <w:sz w:val="24"/>
          <w:szCs w:val="24"/>
        </w:rPr>
        <w:t>Waśkiel A, Rakowska A, Sikora M, Olszewska M, Rudnicka L. Trichoscopy of alopecia areata: An update. J Dermatol. 2018 Jun;45(6):692-700. doi: 10.1111/1346-8138.14283. Epub 2018 Mar 22. PMID: 29569271.</w:t>
      </w:r>
    </w:p>
    <w:p w14:paraId="0143A19E" w14:textId="3EEFC438" w:rsidR="00830697" w:rsidRDefault="00742858" w:rsidP="0089598D">
      <w:pPr>
        <w:spacing w:line="480" w:lineRule="auto"/>
        <w:rPr>
          <w:rFonts w:ascii="Times New Roman" w:hAnsi="Times New Roman" w:cs="Times New Roman"/>
          <w:sz w:val="24"/>
          <w:szCs w:val="24"/>
        </w:rPr>
      </w:pPr>
      <w:r w:rsidRPr="00742858">
        <w:rPr>
          <w:rFonts w:ascii="Times New Roman" w:hAnsi="Times New Roman" w:cs="Times New Roman"/>
          <w:sz w:val="24"/>
          <w:szCs w:val="24"/>
        </w:rPr>
        <w:t>7</w:t>
      </w:r>
      <w:r w:rsidR="00CF1A49">
        <w:rPr>
          <w:rFonts w:ascii="Times New Roman" w:hAnsi="Times New Roman" w:cs="Times New Roman"/>
          <w:sz w:val="24"/>
          <w:szCs w:val="24"/>
        </w:rPr>
        <w:t xml:space="preserve">. </w:t>
      </w:r>
      <w:r w:rsidR="00830697" w:rsidRPr="00830697">
        <w:rPr>
          <w:rFonts w:ascii="Times New Roman" w:hAnsi="Times New Roman" w:cs="Times New Roman"/>
          <w:sz w:val="24"/>
          <w:szCs w:val="24"/>
        </w:rPr>
        <w:t>Sterkens A, Lambert J, Bervoets A. Alopecia areata: a review on diagnosis, immunological etiopathogenesis and treatment options. Clin Exp Med. 2021 May;21(2):215-230. doi: 10.1007/s10238-020-00673-w. Epub 2021 Jan 1. PMID: 33386567.</w:t>
      </w:r>
    </w:p>
    <w:p w14:paraId="568DB84C" w14:textId="69B28921" w:rsidR="00742858" w:rsidRDefault="00CF1A49"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8. </w:t>
      </w:r>
      <w:r w:rsidR="00742858" w:rsidRPr="00742858">
        <w:rPr>
          <w:rFonts w:ascii="Times New Roman" w:hAnsi="Times New Roman" w:cs="Times New Roman"/>
          <w:sz w:val="24"/>
          <w:szCs w:val="24"/>
        </w:rPr>
        <w:t xml:space="preserve">Andonova I. Iliev V. Živković N. Parodontopatija i rizik za nastajanje prijevremenog porođaja:Studija slučaj,Opšta bolnica Šibenik.Hr;2014;27-32 </w:t>
      </w:r>
    </w:p>
    <w:p w14:paraId="119A7CBB" w14:textId="73AF259C"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 xml:space="preserve">9. </w:t>
      </w:r>
      <w:r w:rsidRPr="0058771F">
        <w:rPr>
          <w:rFonts w:ascii="Times New Roman" w:hAnsi="Times New Roman" w:cs="Times New Roman"/>
          <w:sz w:val="24"/>
          <w:szCs w:val="24"/>
        </w:rPr>
        <w:t>Mensch K, Nagy G, Nagy Á, Bródy A. A szájüreg leggyakoribb bakteriális eredetű kórképeinek jellegzetességei, diagnosztikája és kezelése [Characteristics, diagnosis and treatment of the most common bacterial diseases of the oral cavity]. Orv Hetil. 2019 May;160(19):739-746. Hungarian. doi: 10.1556/650.2019.31377. PMID: 31055960.</w:t>
      </w:r>
    </w:p>
    <w:p w14:paraId="34A28FA4" w14:textId="4C5DD76F"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10.</w:t>
      </w:r>
      <w:r w:rsidR="00CF1A49">
        <w:rPr>
          <w:rFonts w:ascii="Times New Roman" w:hAnsi="Times New Roman" w:cs="Times New Roman"/>
          <w:sz w:val="24"/>
          <w:szCs w:val="24"/>
        </w:rPr>
        <w:t xml:space="preserve"> </w:t>
      </w:r>
      <w:r w:rsidR="00830697" w:rsidRPr="00830697">
        <w:rPr>
          <w:rFonts w:ascii="Times New Roman" w:hAnsi="Times New Roman" w:cs="Times New Roman"/>
          <w:sz w:val="24"/>
          <w:szCs w:val="24"/>
        </w:rPr>
        <w:t>Pigatto PD, Ferrucci SM, Brambilla L, Guzzi G. Alopecia Areata and Toxic Metals. Skin Appendage Disord. 2020 Jun;6(3):177-179. doi: 10.1159/000507296. Epub 2020 May 16. PMID: 32656240; PMCID: PMC7325209.</w:t>
      </w:r>
      <w:r w:rsidRPr="0058771F">
        <w:rPr>
          <w:rFonts w:ascii="Times New Roman" w:hAnsi="Times New Roman" w:cs="Times New Roman"/>
          <w:sz w:val="24"/>
          <w:szCs w:val="24"/>
        </w:rPr>
        <w:t>.</w:t>
      </w:r>
    </w:p>
    <w:p w14:paraId="6A91F7A1" w14:textId="77777777" w:rsidR="006D3780"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11.</w:t>
      </w:r>
      <w:r w:rsidR="00CF1A49">
        <w:rPr>
          <w:rFonts w:ascii="Times New Roman" w:hAnsi="Times New Roman" w:cs="Times New Roman"/>
          <w:sz w:val="24"/>
          <w:szCs w:val="24"/>
        </w:rPr>
        <w:t xml:space="preserve"> </w:t>
      </w:r>
      <w:r w:rsidR="006D3780" w:rsidRPr="006D3780">
        <w:rPr>
          <w:rFonts w:ascii="Times New Roman" w:hAnsi="Times New Roman" w:cs="Times New Roman"/>
          <w:sz w:val="24"/>
          <w:szCs w:val="24"/>
        </w:rPr>
        <w:t>Mitra D, Agarwal R, Chopra A, Kandpal R. Rare Presentation of Alopecia Universalis Congenita and Twenty-nail Dystrophy in Siblings. Int J Trichology. 2017 Apr-Jun;9(2):63-66. doi: 10.4103/ijt.ijt_48_17. PMID: 28839389; PMCID: PMC5551308.</w:t>
      </w:r>
    </w:p>
    <w:p w14:paraId="4D5D149B" w14:textId="58CA7907" w:rsidR="0058771F" w:rsidRDefault="0058771F" w:rsidP="0089598D">
      <w:pPr>
        <w:spacing w:line="480" w:lineRule="auto"/>
        <w:rPr>
          <w:rFonts w:ascii="Times New Roman" w:hAnsi="Times New Roman" w:cs="Times New Roman"/>
          <w:sz w:val="24"/>
          <w:szCs w:val="24"/>
        </w:rPr>
      </w:pPr>
      <w:r>
        <w:rPr>
          <w:rFonts w:ascii="Times New Roman" w:hAnsi="Times New Roman" w:cs="Times New Roman"/>
          <w:sz w:val="24"/>
          <w:szCs w:val="24"/>
        </w:rPr>
        <w:t>12.</w:t>
      </w:r>
      <w:r w:rsidR="00CF1A49">
        <w:rPr>
          <w:rFonts w:ascii="Times New Roman" w:hAnsi="Times New Roman" w:cs="Times New Roman"/>
          <w:sz w:val="24"/>
          <w:szCs w:val="24"/>
        </w:rPr>
        <w:t xml:space="preserve"> </w:t>
      </w:r>
      <w:r>
        <w:rPr>
          <w:rFonts w:ascii="Times New Roman" w:hAnsi="Times New Roman" w:cs="Times New Roman"/>
          <w:sz w:val="24"/>
          <w:szCs w:val="24"/>
        </w:rPr>
        <w:t>P</w:t>
      </w:r>
      <w:r w:rsidRPr="0058771F">
        <w:rPr>
          <w:rFonts w:ascii="Times New Roman" w:hAnsi="Times New Roman" w:cs="Times New Roman"/>
          <w:sz w:val="24"/>
          <w:szCs w:val="24"/>
        </w:rPr>
        <w:t>árkányi L, Vályi P, Nagy K, Fráter M. Az odontogén góc és a szisztémás betegségek. Irodalmi áttekintés [Odontogenic foci and systemic diseases. A review]. Orv Hetil. 2018 Mar;159(11):415-422. Hungarian. doi: 10.1556/650.2018.31008. PMID: 29526126.</w:t>
      </w:r>
    </w:p>
    <w:p w14:paraId="1B79B2C5" w14:textId="478673C1" w:rsidR="005C3D6A" w:rsidRDefault="005C3D6A" w:rsidP="0089598D">
      <w:pPr>
        <w:spacing w:line="480" w:lineRule="auto"/>
        <w:rPr>
          <w:rFonts w:ascii="Times New Roman" w:hAnsi="Times New Roman" w:cs="Times New Roman"/>
          <w:sz w:val="24"/>
          <w:szCs w:val="24"/>
        </w:rPr>
      </w:pPr>
      <w:r>
        <w:rPr>
          <w:rFonts w:ascii="Times New Roman" w:hAnsi="Times New Roman" w:cs="Times New Roman"/>
          <w:sz w:val="24"/>
          <w:szCs w:val="24"/>
        </w:rPr>
        <w:t>13.</w:t>
      </w:r>
      <w:r w:rsidR="00CF1A49">
        <w:rPr>
          <w:rFonts w:ascii="Times New Roman" w:hAnsi="Times New Roman" w:cs="Times New Roman"/>
          <w:sz w:val="24"/>
          <w:szCs w:val="24"/>
        </w:rPr>
        <w:t xml:space="preserve"> </w:t>
      </w:r>
      <w:r w:rsidRPr="005C3D6A">
        <w:rPr>
          <w:rFonts w:ascii="Times New Roman" w:hAnsi="Times New Roman" w:cs="Times New Roman"/>
          <w:sz w:val="24"/>
          <w:szCs w:val="24"/>
        </w:rPr>
        <w:t>Agossa K, Roman L, Gosset M, Yzet C, Fumery M. Periodontal and dental health in inflammatory bowel diseases: a systematic review. Expert Rev Gastroenterol Hepatol. 2021 Jul 19:1-15. doi: 10.1080/17474124.2021.1952866. Epub ahead of print. PMID: 34227446.</w:t>
      </w:r>
    </w:p>
    <w:p w14:paraId="15E4ACB8" w14:textId="4B99B15E" w:rsidR="005C3D6A" w:rsidRPr="00742858" w:rsidRDefault="005C3D6A" w:rsidP="0089598D">
      <w:pPr>
        <w:spacing w:line="480" w:lineRule="auto"/>
        <w:rPr>
          <w:rFonts w:ascii="Times New Roman" w:hAnsi="Times New Roman" w:cs="Times New Roman"/>
          <w:sz w:val="24"/>
          <w:szCs w:val="24"/>
        </w:rPr>
      </w:pPr>
      <w:r>
        <w:rPr>
          <w:rFonts w:ascii="Times New Roman" w:hAnsi="Times New Roman" w:cs="Times New Roman"/>
          <w:sz w:val="24"/>
          <w:szCs w:val="24"/>
        </w:rPr>
        <w:t>14.</w:t>
      </w:r>
      <w:r w:rsidR="00CF1A49">
        <w:rPr>
          <w:rFonts w:ascii="Times New Roman" w:hAnsi="Times New Roman" w:cs="Times New Roman"/>
          <w:sz w:val="24"/>
          <w:szCs w:val="24"/>
        </w:rPr>
        <w:t xml:space="preserve"> </w:t>
      </w:r>
      <w:r w:rsidR="00091B16" w:rsidRPr="00091B16">
        <w:rPr>
          <w:rFonts w:ascii="Times New Roman" w:hAnsi="Times New Roman" w:cs="Times New Roman"/>
          <w:sz w:val="24"/>
          <w:szCs w:val="24"/>
        </w:rPr>
        <w:t>Olsen I, van Winkelhoff AJ. Acute focal infections of dental origin. Periodontol 2000. 2014 Jun;65(1):178-89. doi: 10.1111/prd.12018. PMID: 24738592.</w:t>
      </w:r>
    </w:p>
    <w:sectPr w:rsidR="005C3D6A" w:rsidRPr="00742858" w:rsidSect="000A72BA">
      <w:pgSz w:w="11906" w:h="16838"/>
      <w:pgMar w:top="1411" w:right="1411" w:bottom="1411" w:left="2261"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61E7E"/>
    <w:multiLevelType w:val="hybridMultilevel"/>
    <w:tmpl w:val="E8B06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01691"/>
    <w:rsid w:val="00040245"/>
    <w:rsid w:val="000800C9"/>
    <w:rsid w:val="00091B16"/>
    <w:rsid w:val="000A72BA"/>
    <w:rsid w:val="000C2D12"/>
    <w:rsid w:val="000C422A"/>
    <w:rsid w:val="00143016"/>
    <w:rsid w:val="0017741C"/>
    <w:rsid w:val="00193D89"/>
    <w:rsid w:val="001B4A30"/>
    <w:rsid w:val="001D372D"/>
    <w:rsid w:val="001F0E8E"/>
    <w:rsid w:val="001F1229"/>
    <w:rsid w:val="001F1C9B"/>
    <w:rsid w:val="00255D29"/>
    <w:rsid w:val="002D3846"/>
    <w:rsid w:val="003313F6"/>
    <w:rsid w:val="003408E0"/>
    <w:rsid w:val="00371336"/>
    <w:rsid w:val="003E0498"/>
    <w:rsid w:val="003F0378"/>
    <w:rsid w:val="00496EFF"/>
    <w:rsid w:val="004D2556"/>
    <w:rsid w:val="004E3507"/>
    <w:rsid w:val="0050241C"/>
    <w:rsid w:val="0053399F"/>
    <w:rsid w:val="00565AB0"/>
    <w:rsid w:val="005854D8"/>
    <w:rsid w:val="0058771F"/>
    <w:rsid w:val="005A6E1C"/>
    <w:rsid w:val="005C3D6A"/>
    <w:rsid w:val="005E198D"/>
    <w:rsid w:val="005F1F56"/>
    <w:rsid w:val="00611B19"/>
    <w:rsid w:val="006426EF"/>
    <w:rsid w:val="0068438F"/>
    <w:rsid w:val="006B4BAE"/>
    <w:rsid w:val="006D3780"/>
    <w:rsid w:val="00714DFB"/>
    <w:rsid w:val="00731347"/>
    <w:rsid w:val="00742858"/>
    <w:rsid w:val="007B01CB"/>
    <w:rsid w:val="007B7582"/>
    <w:rsid w:val="007D4447"/>
    <w:rsid w:val="007E6692"/>
    <w:rsid w:val="00830697"/>
    <w:rsid w:val="00830A40"/>
    <w:rsid w:val="0084471E"/>
    <w:rsid w:val="008747BB"/>
    <w:rsid w:val="008913A5"/>
    <w:rsid w:val="0089598D"/>
    <w:rsid w:val="00901691"/>
    <w:rsid w:val="009260CE"/>
    <w:rsid w:val="00957649"/>
    <w:rsid w:val="0096040B"/>
    <w:rsid w:val="00962E9C"/>
    <w:rsid w:val="00986C00"/>
    <w:rsid w:val="009B4A11"/>
    <w:rsid w:val="009E7A72"/>
    <w:rsid w:val="00A344DB"/>
    <w:rsid w:val="00A3673A"/>
    <w:rsid w:val="00A4717A"/>
    <w:rsid w:val="00A679CC"/>
    <w:rsid w:val="00B4043A"/>
    <w:rsid w:val="00B45DD1"/>
    <w:rsid w:val="00C33EE5"/>
    <w:rsid w:val="00C35343"/>
    <w:rsid w:val="00C42A8F"/>
    <w:rsid w:val="00CC09C8"/>
    <w:rsid w:val="00CE250E"/>
    <w:rsid w:val="00CF1A49"/>
    <w:rsid w:val="00D1445D"/>
    <w:rsid w:val="00D26C43"/>
    <w:rsid w:val="00D44484"/>
    <w:rsid w:val="00D52E85"/>
    <w:rsid w:val="00DD7FB1"/>
    <w:rsid w:val="00E53041"/>
    <w:rsid w:val="00F04874"/>
    <w:rsid w:val="00F22DCF"/>
    <w:rsid w:val="00F23972"/>
    <w:rsid w:val="00F42D7A"/>
    <w:rsid w:val="00F931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FFFD"/>
  <w15:docId w15:val="{84314CC6-2AC5-48B4-8A0E-6CA2EA1B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1C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177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57649"/>
    <w:pPr>
      <w:spacing w:after="0" w:line="240" w:lineRule="auto"/>
    </w:pPr>
    <w:rPr>
      <w:lang w:val="en-US" w:eastAsia="en-US"/>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7B01CB"/>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313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97162">
      <w:bodyDiv w:val="1"/>
      <w:marLeft w:val="0"/>
      <w:marRight w:val="0"/>
      <w:marTop w:val="0"/>
      <w:marBottom w:val="0"/>
      <w:divBdr>
        <w:top w:val="none" w:sz="0" w:space="0" w:color="auto"/>
        <w:left w:val="none" w:sz="0" w:space="0" w:color="auto"/>
        <w:bottom w:val="none" w:sz="0" w:space="0" w:color="auto"/>
        <w:right w:val="none" w:sz="0" w:space="0" w:color="auto"/>
      </w:divBdr>
    </w:div>
    <w:div w:id="1979412984">
      <w:bodyDiv w:val="1"/>
      <w:marLeft w:val="0"/>
      <w:marRight w:val="0"/>
      <w:marTop w:val="0"/>
      <w:marBottom w:val="0"/>
      <w:divBdr>
        <w:top w:val="none" w:sz="0" w:space="0" w:color="auto"/>
        <w:left w:val="none" w:sz="0" w:space="0" w:color="auto"/>
        <w:bottom w:val="none" w:sz="0" w:space="0" w:color="auto"/>
        <w:right w:val="none" w:sz="0" w:space="0" w:color="auto"/>
      </w:divBdr>
      <w:divsChild>
        <w:div w:id="1445226858">
          <w:marLeft w:val="0"/>
          <w:marRight w:val="0"/>
          <w:marTop w:val="15"/>
          <w:marBottom w:val="0"/>
          <w:divBdr>
            <w:top w:val="single" w:sz="48" w:space="0" w:color="auto"/>
            <w:left w:val="single" w:sz="48" w:space="0" w:color="auto"/>
            <w:bottom w:val="single" w:sz="48" w:space="0" w:color="auto"/>
            <w:right w:val="single" w:sz="48" w:space="0" w:color="auto"/>
          </w:divBdr>
          <w:divsChild>
            <w:div w:id="5096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a:t>Laboratorijski nalazi</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Grupa1</c:v>
                </c:pt>
              </c:strCache>
            </c:strRef>
          </c:tx>
          <c:spPr>
            <a:solidFill>
              <a:schemeClr val="accent1"/>
            </a:solidFill>
            <a:ln>
              <a:noFill/>
            </a:ln>
            <a:effectLst/>
          </c:spPr>
          <c:invertIfNegative val="0"/>
          <c:cat>
            <c:strRef>
              <c:f>Sheet1!$A$2:$A$9</c:f>
              <c:strCache>
                <c:ptCount val="8"/>
                <c:pt idx="0">
                  <c:v>CRP</c:v>
                </c:pt>
                <c:pt idx="1">
                  <c:v>Leukocitoza</c:v>
                </c:pt>
                <c:pt idx="2">
                  <c:v>Llimfocitoza</c:v>
                </c:pt>
                <c:pt idx="3">
                  <c:v>IGE</c:v>
                </c:pt>
                <c:pt idx="4">
                  <c:v>Nivo željeza</c:v>
                </c:pt>
                <c:pt idx="5">
                  <c:v>Nivo kalijuma</c:v>
                </c:pt>
                <c:pt idx="6">
                  <c:v>Nivo minerala</c:v>
                </c:pt>
                <c:pt idx="7">
                  <c:v>Sedimentacija</c:v>
                </c:pt>
              </c:strCache>
            </c:strRef>
          </c:cat>
          <c:val>
            <c:numRef>
              <c:f>Sheet1!$B$2:$B$9</c:f>
              <c:numCache>
                <c:formatCode>General</c:formatCode>
                <c:ptCount val="8"/>
                <c:pt idx="0">
                  <c:v>2</c:v>
                </c:pt>
                <c:pt idx="1">
                  <c:v>4</c:v>
                </c:pt>
                <c:pt idx="2">
                  <c:v>4</c:v>
                </c:pt>
                <c:pt idx="3">
                  <c:v>4</c:v>
                </c:pt>
                <c:pt idx="4">
                  <c:v>1</c:v>
                </c:pt>
                <c:pt idx="5">
                  <c:v>1</c:v>
                </c:pt>
                <c:pt idx="6">
                  <c:v>1</c:v>
                </c:pt>
                <c:pt idx="7">
                  <c:v>0.5</c:v>
                </c:pt>
              </c:numCache>
            </c:numRef>
          </c:val>
          <c:extLst>
            <c:ext xmlns:c16="http://schemas.microsoft.com/office/drawing/2014/chart" uri="{C3380CC4-5D6E-409C-BE32-E72D297353CC}">
              <c16:uniqueId val="{00000000-A3B1-445E-A358-355388C4278D}"/>
            </c:ext>
          </c:extLst>
        </c:ser>
        <c:ser>
          <c:idx val="1"/>
          <c:order val="1"/>
          <c:tx>
            <c:strRef>
              <c:f>Sheet1!$C$1</c:f>
              <c:strCache>
                <c:ptCount val="1"/>
                <c:pt idx="0">
                  <c:v>Grupa 2 </c:v>
                </c:pt>
              </c:strCache>
            </c:strRef>
          </c:tx>
          <c:spPr>
            <a:solidFill>
              <a:schemeClr val="accent2"/>
            </a:solidFill>
            <a:ln>
              <a:noFill/>
            </a:ln>
            <a:effectLst/>
          </c:spPr>
          <c:invertIfNegative val="0"/>
          <c:cat>
            <c:strRef>
              <c:f>Sheet1!$A$2:$A$9</c:f>
              <c:strCache>
                <c:ptCount val="8"/>
                <c:pt idx="0">
                  <c:v>CRP</c:v>
                </c:pt>
                <c:pt idx="1">
                  <c:v>Leukocitoza</c:v>
                </c:pt>
                <c:pt idx="2">
                  <c:v>Llimfocitoza</c:v>
                </c:pt>
                <c:pt idx="3">
                  <c:v>IGE</c:v>
                </c:pt>
                <c:pt idx="4">
                  <c:v>Nivo željeza</c:v>
                </c:pt>
                <c:pt idx="5">
                  <c:v>Nivo kalijuma</c:v>
                </c:pt>
                <c:pt idx="6">
                  <c:v>Nivo minerala</c:v>
                </c:pt>
                <c:pt idx="7">
                  <c:v>Sedimentacija</c:v>
                </c:pt>
              </c:strCache>
            </c:strRef>
          </c:cat>
          <c:val>
            <c:numRef>
              <c:f>Sheet1!$C$2:$C$9</c:f>
              <c:numCache>
                <c:formatCode>General</c:formatCode>
                <c:ptCount val="8"/>
                <c:pt idx="0">
                  <c:v>1</c:v>
                </c:pt>
                <c:pt idx="1">
                  <c:v>3</c:v>
                </c:pt>
                <c:pt idx="2">
                  <c:v>2</c:v>
                </c:pt>
                <c:pt idx="3">
                  <c:v>1</c:v>
                </c:pt>
                <c:pt idx="4">
                  <c:v>2</c:v>
                </c:pt>
                <c:pt idx="5">
                  <c:v>3</c:v>
                </c:pt>
                <c:pt idx="6">
                  <c:v>2</c:v>
                </c:pt>
                <c:pt idx="7">
                  <c:v>1</c:v>
                </c:pt>
              </c:numCache>
            </c:numRef>
          </c:val>
          <c:extLst>
            <c:ext xmlns:c16="http://schemas.microsoft.com/office/drawing/2014/chart" uri="{C3380CC4-5D6E-409C-BE32-E72D297353CC}">
              <c16:uniqueId val="{00000001-A3B1-445E-A358-355388C4278D}"/>
            </c:ext>
          </c:extLst>
        </c:ser>
        <c:ser>
          <c:idx val="2"/>
          <c:order val="2"/>
          <c:tx>
            <c:strRef>
              <c:f>Sheet1!$D$1</c:f>
              <c:strCache>
                <c:ptCount val="1"/>
                <c:pt idx="0">
                  <c:v>Grupa3</c:v>
                </c:pt>
              </c:strCache>
            </c:strRef>
          </c:tx>
          <c:spPr>
            <a:solidFill>
              <a:schemeClr val="accent3"/>
            </a:solidFill>
            <a:ln>
              <a:noFill/>
            </a:ln>
            <a:effectLst/>
          </c:spPr>
          <c:invertIfNegative val="0"/>
          <c:cat>
            <c:strRef>
              <c:f>Sheet1!$A$2:$A$9</c:f>
              <c:strCache>
                <c:ptCount val="8"/>
                <c:pt idx="0">
                  <c:v>CRP</c:v>
                </c:pt>
                <c:pt idx="1">
                  <c:v>Leukocitoza</c:v>
                </c:pt>
                <c:pt idx="2">
                  <c:v>Llimfocitoza</c:v>
                </c:pt>
                <c:pt idx="3">
                  <c:v>IGE</c:v>
                </c:pt>
                <c:pt idx="4">
                  <c:v>Nivo željeza</c:v>
                </c:pt>
                <c:pt idx="5">
                  <c:v>Nivo kalijuma</c:v>
                </c:pt>
                <c:pt idx="6">
                  <c:v>Nivo minerala</c:v>
                </c:pt>
                <c:pt idx="7">
                  <c:v>Sedimentacija</c:v>
                </c:pt>
              </c:strCache>
            </c:strRef>
          </c:cat>
          <c:val>
            <c:numRef>
              <c:f>Sheet1!$D$2:$D$9</c:f>
              <c:numCache>
                <c:formatCode>General</c:formatCode>
                <c:ptCount val="8"/>
                <c:pt idx="0">
                  <c:v>2</c:v>
                </c:pt>
                <c:pt idx="1">
                  <c:v>1.5</c:v>
                </c:pt>
                <c:pt idx="2">
                  <c:v>2.1</c:v>
                </c:pt>
                <c:pt idx="3">
                  <c:v>1.8</c:v>
                </c:pt>
                <c:pt idx="4">
                  <c:v>1.1000000000000001</c:v>
                </c:pt>
                <c:pt idx="5">
                  <c:v>1.5</c:v>
                </c:pt>
                <c:pt idx="6">
                  <c:v>1.9</c:v>
                </c:pt>
                <c:pt idx="7">
                  <c:v>1.3</c:v>
                </c:pt>
              </c:numCache>
            </c:numRef>
          </c:val>
          <c:extLst>
            <c:ext xmlns:c16="http://schemas.microsoft.com/office/drawing/2014/chart" uri="{C3380CC4-5D6E-409C-BE32-E72D297353CC}">
              <c16:uniqueId val="{00000002-A3B1-445E-A358-355388C4278D}"/>
            </c:ext>
          </c:extLst>
        </c:ser>
        <c:dLbls>
          <c:showLegendKey val="0"/>
          <c:showVal val="0"/>
          <c:showCatName val="0"/>
          <c:showSerName val="0"/>
          <c:showPercent val="0"/>
          <c:showBubbleSize val="0"/>
        </c:dLbls>
        <c:gapWidth val="219"/>
        <c:overlap val="-27"/>
        <c:axId val="2085409440"/>
        <c:axId val="2085419008"/>
      </c:barChart>
      <c:catAx>
        <c:axId val="2085409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419008"/>
        <c:crosses val="autoZero"/>
        <c:auto val="1"/>
        <c:lblAlgn val="ctr"/>
        <c:lblOffset val="100"/>
        <c:noMultiLvlLbl val="0"/>
      </c:catAx>
      <c:valAx>
        <c:axId val="208541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409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11BD5-3B8F-4FE8-A960-B349707F9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14</Pages>
  <Words>2301</Words>
  <Characters>13116</Characters>
  <Application>Microsoft Office Word</Application>
  <DocSecurity>0</DocSecurity>
  <Lines>109</Lines>
  <Paragraphs>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HITNAZUBNO</dc:creator>
  <cp:keywords/>
  <dc:description/>
  <cp:lastModifiedBy>Simo Malinovic</cp:lastModifiedBy>
  <cp:revision>20</cp:revision>
  <dcterms:created xsi:type="dcterms:W3CDTF">2022-01-13T18:21:00Z</dcterms:created>
  <dcterms:modified xsi:type="dcterms:W3CDTF">2022-02-11T20:24:00Z</dcterms:modified>
</cp:coreProperties>
</file>