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left="0" w:leftChars="0"/>
        <w:jc w:val="both"/>
        <w:rPr>
          <w:rFonts w:ascii="Times New Roman" w:hAnsi="Times New Roman" w:cs="Times New Roman"/>
          <w:b/>
          <w:sz w:val="28"/>
          <w:szCs w:val="28"/>
        </w:rPr>
      </w:pPr>
    </w:p>
    <w:p>
      <w:pPr>
        <w:spacing w:line="480" w:lineRule="auto"/>
        <w:jc w:val="both"/>
        <w:rPr>
          <w:rFonts w:ascii="Times New Roman" w:hAnsi="Times New Roman" w:cs="Times New Roman"/>
          <w:b/>
          <w:bCs/>
          <w:color w:val="000000"/>
          <w:sz w:val="28"/>
          <w:szCs w:val="28"/>
          <w:shd w:val="clear" w:color="auto" w:fill="FFFFFF"/>
        </w:rPr>
      </w:pPr>
      <w:bookmarkStart w:id="1" w:name="_GoBack"/>
      <w:bookmarkEnd w:id="1"/>
      <w:r>
        <w:rPr>
          <w:rFonts w:ascii="Times New Roman" w:hAnsi="Times New Roman" w:cs="Times New Roman"/>
          <w:b/>
          <w:bCs/>
          <w:color w:val="000000"/>
          <w:sz w:val="28"/>
          <w:szCs w:val="28"/>
          <w:shd w:val="clear" w:color="auto" w:fill="FFFFFF"/>
        </w:rPr>
        <w:t>Povezanost morfologije bikuspidne aortne valvule sa patološkom morfologijom korijena aorte</w:t>
      </w:r>
    </w:p>
    <w:p>
      <w:pPr>
        <w:numPr>
          <w:ilvl w:val="0"/>
          <w:numId w:val="1"/>
        </w:numPr>
        <w:spacing w:line="480" w:lineRule="auto"/>
        <w:jc w:val="both"/>
        <w:rPr>
          <w:rFonts w:hint="default" w:ascii="Times New Roman" w:hAnsi="Times New Roman" w:cs="Times New Roman"/>
          <w:b w:val="0"/>
          <w:bCs w:val="0"/>
          <w:color w:val="000000"/>
          <w:sz w:val="24"/>
          <w:szCs w:val="24"/>
          <w:shd w:val="clear" w:color="auto" w:fill="FFFFFF"/>
          <w:lang w:val="en-US"/>
        </w:rPr>
      </w:pPr>
      <w:r>
        <w:rPr>
          <w:rFonts w:hint="default" w:ascii="Times New Roman" w:hAnsi="Times New Roman" w:cs="Times New Roman"/>
          <w:b w:val="0"/>
          <w:bCs w:val="0"/>
          <w:color w:val="000000"/>
          <w:sz w:val="24"/>
          <w:szCs w:val="24"/>
          <w:shd w:val="clear" w:color="auto" w:fill="FFFFFF"/>
          <w:lang w:val="en-US"/>
        </w:rPr>
        <w:t>Merjema Karavdić; Odjeljenje kardiohirurgije; Centar za srce Sarajevo</w:t>
      </w:r>
    </w:p>
    <w:p>
      <w:pPr>
        <w:pStyle w:val="7"/>
        <w:spacing w:line="480" w:lineRule="auto"/>
        <w:jc w:val="both"/>
        <w:rPr>
          <w:rFonts w:ascii="Times New Roman" w:hAnsi="Times New Roman" w:cs="Times New Roman"/>
          <w:b/>
          <w:bCs/>
          <w:sz w:val="24"/>
          <w:szCs w:val="24"/>
        </w:rPr>
      </w:pPr>
    </w:p>
    <w:p>
      <w:pPr>
        <w:pStyle w:val="7"/>
        <w:spacing w:line="600" w:lineRule="auto"/>
        <w:jc w:val="both"/>
        <w:rPr>
          <w:rFonts w:ascii="Times New Roman" w:hAnsi="Times New Roman" w:cs="Times New Roman"/>
          <w:b/>
          <w:bCs/>
          <w:sz w:val="24"/>
          <w:szCs w:val="24"/>
        </w:rPr>
      </w:pPr>
    </w:p>
    <w:p>
      <w:pPr>
        <w:pStyle w:val="7"/>
        <w:spacing w:line="600" w:lineRule="auto"/>
        <w:jc w:val="both"/>
        <w:rPr>
          <w:rFonts w:ascii="Times New Roman" w:hAnsi="Times New Roman" w:cs="Times New Roman"/>
          <w:b/>
          <w:bCs/>
          <w:sz w:val="24"/>
          <w:szCs w:val="24"/>
        </w:rPr>
      </w:pPr>
      <w:r>
        <w:rPr>
          <w:rFonts w:ascii="Times New Roman" w:hAnsi="Times New Roman" w:cs="Times New Roman"/>
          <w:b/>
          <w:bCs/>
          <w:sz w:val="24"/>
          <w:szCs w:val="24"/>
        </w:rPr>
        <w:t>ABSTRAKT</w:t>
      </w:r>
    </w:p>
    <w:p>
      <w:pPr>
        <w:pStyle w:val="7"/>
        <w:spacing w:line="480" w:lineRule="auto"/>
        <w:jc w:val="both"/>
        <w:rPr>
          <w:rFonts w:ascii="Times New Roman" w:hAnsi="Times New Roman" w:cs="Times New Roman"/>
          <w:b/>
          <w:bCs/>
          <w:sz w:val="24"/>
          <w:szCs w:val="24"/>
        </w:rPr>
      </w:pPr>
    </w:p>
    <w:p>
      <w:pPr>
        <w:pStyle w:val="7"/>
        <w:spacing w:line="480" w:lineRule="auto"/>
        <w:jc w:val="both"/>
        <w:rPr>
          <w:rFonts w:ascii="Times New Roman" w:hAnsi="Times New Roman" w:cs="Times New Roman"/>
          <w:sz w:val="24"/>
          <w:szCs w:val="24"/>
        </w:rPr>
      </w:pPr>
      <w:r>
        <w:rPr>
          <w:rFonts w:ascii="Times New Roman" w:hAnsi="Times New Roman" w:cs="Times New Roman"/>
          <w:sz w:val="24"/>
          <w:szCs w:val="24"/>
        </w:rPr>
        <w:t>CILJ STUDIJE: Ova studija ima za zadatak utvrditi povezanost morfologije bikuspidne aortne valvule sa patološkim lezijama korijena aorte.</w:t>
      </w:r>
    </w:p>
    <w:p>
      <w:pPr>
        <w:pStyle w:val="7"/>
        <w:spacing w:line="480" w:lineRule="auto"/>
        <w:jc w:val="both"/>
        <w:rPr>
          <w:rFonts w:ascii="Times New Roman" w:hAnsi="Times New Roman" w:cs="Times New Roman"/>
          <w:sz w:val="24"/>
          <w:szCs w:val="24"/>
        </w:rPr>
      </w:pPr>
      <w:r>
        <w:rPr>
          <w:rFonts w:ascii="Times New Roman" w:hAnsi="Times New Roman" w:cs="Times New Roman"/>
          <w:sz w:val="24"/>
          <w:szCs w:val="24"/>
        </w:rPr>
        <w:t>METODE: Bikuspidna aortna valvula kongenitalna je varijacija morfologije aortne valvule koja može biti nesignifikantna u smislu remećenja hemodinamike. Nerijetko bikuspidna aortna valvula predisponira pojavu stenoze i insuficijencije. U spektru bolesti aortne valvule nerijetko se nađe i udružena dilatacija, aneurizma ili disekcija korijena aorte. U periodu od 2018. do 2020. godine, 90 pacijenata sa koji su podvrgnuti kardiohirurškim operacijama zamjene aortne valvule u Centru za srce Sarajevo, ispitivani su pre- i intraoperativno u smislu traganja za patologijom aortnog korijena. Indikacija za operativni tretman bila je ili stenoza ili insuficijencija aortne valvule. 48 (44%)  pacijenata imalo je urođenu bikuspidnu aortnu valvulu dok je njih 42 (46%) imalo aortnu valvulu sa tri listića. Metode preoperativne procjene bile su transtorakalni ultrazvuk i CT angiografija. Intraoperativna procjena patomorfologije korijena aorte vršena je direktnom vizualizacijom hirurga i transezofagealnom ehokardiografijom. Mjere za kojima se tragalo su dijametar korijena aorte, sinotubularnog spoja i ascendentne aorte kao i eventualno postojanje disekcije.</w:t>
      </w:r>
    </w:p>
    <w:p>
      <w:pPr>
        <w:pStyle w:val="7"/>
        <w:spacing w:line="480" w:lineRule="auto"/>
        <w:jc w:val="both"/>
        <w:rPr>
          <w:rFonts w:ascii="Times New Roman" w:hAnsi="Times New Roman" w:cs="Times New Roman"/>
          <w:sz w:val="24"/>
          <w:szCs w:val="24"/>
        </w:rPr>
      </w:pPr>
      <w:r>
        <w:rPr>
          <w:rFonts w:ascii="Times New Roman" w:hAnsi="Times New Roman" w:cs="Times New Roman"/>
          <w:sz w:val="24"/>
          <w:szCs w:val="24"/>
        </w:rPr>
        <w:t>REZULTATI: Patološke promjene korijena aorte kao što su dilatacija, aneurizma i disekcija nađene su kod ukupno 38 pacijenata od čega je 10 nađeno kod pacijenata sa trolisnom aortnom valvulom dok je njih 28 bilo kod pacijenata sa bikuspidnom valvulom. Utvrđeno je da je u ukupnom broju ispitanika patologija korijena aorte signifikantno češća (p manje od 0,05) od pacijenata sa bikuspidnom valvulom.</w:t>
      </w:r>
    </w:p>
    <w:p>
      <w:pPr>
        <w:pStyle w:val="7"/>
        <w:spacing w:line="480" w:lineRule="auto"/>
        <w:jc w:val="both"/>
        <w:rPr>
          <w:rFonts w:ascii="Times New Roman" w:hAnsi="Times New Roman" w:cs="Times New Roman"/>
          <w:sz w:val="24"/>
          <w:szCs w:val="24"/>
        </w:rPr>
      </w:pPr>
      <w:r>
        <w:rPr>
          <w:rFonts w:ascii="Times New Roman" w:hAnsi="Times New Roman" w:cs="Times New Roman"/>
          <w:sz w:val="24"/>
          <w:szCs w:val="24"/>
        </w:rPr>
        <w:t>ZAKLJUČAK: Studija pokazuje povezanost između bikuspidne valvule i patoloških promjena aortnog korijena.</w:t>
      </w:r>
    </w:p>
    <w:p>
      <w:pPr>
        <w:pStyle w:val="7"/>
        <w:spacing w:line="480" w:lineRule="auto"/>
        <w:jc w:val="both"/>
        <w:rPr>
          <w:rFonts w:ascii="Times New Roman" w:hAnsi="Times New Roman" w:cs="Times New Roman"/>
          <w:sz w:val="24"/>
          <w:szCs w:val="24"/>
        </w:rPr>
      </w:pPr>
    </w:p>
    <w:p>
      <w:pPr>
        <w:pStyle w:val="7"/>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UVOD</w:t>
      </w:r>
    </w:p>
    <w:p>
      <w:pPr>
        <w:pStyle w:val="7"/>
        <w:spacing w:line="480" w:lineRule="auto"/>
        <w:jc w:val="both"/>
        <w:rPr>
          <w:rFonts w:ascii="Times New Roman" w:hAnsi="Times New Roman" w:cs="Times New Roman"/>
          <w:b/>
          <w:bCs/>
          <w:sz w:val="24"/>
          <w:szCs w:val="24"/>
        </w:rPr>
      </w:pPr>
    </w:p>
    <w:p>
      <w:pPr>
        <w:pStyle w:val="7"/>
        <w:spacing w:line="480" w:lineRule="auto"/>
        <w:jc w:val="both"/>
        <w:rPr>
          <w:rFonts w:ascii="Times New Roman" w:hAnsi="Times New Roman" w:cs="Times New Roman"/>
          <w:sz w:val="24"/>
          <w:szCs w:val="24"/>
        </w:rPr>
      </w:pPr>
      <w:r>
        <w:rPr>
          <w:rFonts w:ascii="Times New Roman" w:hAnsi="Times New Roman" w:cs="Times New Roman"/>
          <w:sz w:val="24"/>
          <w:szCs w:val="24"/>
        </w:rPr>
        <w:t>Bikuspidna aortna valvula (BAV) najčešća je urođena srčana mana, sa prevalencom 1-2 % u populaciji. Brojni dokazi upućuju na to da BAV nije samo izoliran problem već i da može biti  povezana sa aortopatijom i bolestima drugih valvula (1).</w:t>
      </w:r>
    </w:p>
    <w:p>
      <w:pPr>
        <w:pStyle w:val="7"/>
        <w:spacing w:line="480" w:lineRule="auto"/>
        <w:jc w:val="both"/>
        <w:rPr>
          <w:rFonts w:ascii="Times New Roman" w:hAnsi="Times New Roman" w:cs="Times New Roman"/>
          <w:sz w:val="24"/>
          <w:szCs w:val="24"/>
        </w:rPr>
      </w:pPr>
      <w:r>
        <w:rPr>
          <w:rFonts w:ascii="Times New Roman" w:hAnsi="Times New Roman" w:cs="Times New Roman"/>
          <w:sz w:val="24"/>
          <w:szCs w:val="24"/>
        </w:rPr>
        <w:t>Postojanje aortopatije povećava rizik od životno ugrožavajućih komplikacija kao što su disekcija i rupture. Razumijevanje povezanosti BAV i bolesti aorte bitno je radi preveniranja nastanka pomenutih komplikacija. Dilatacija ili aneurizmatsko proširenje korijena aorte može biti rezultat genetske predodređenosti ili hemodinamskog stresa na zid aorte kao posljedice primarno insuficijentneili stenozirane BAV (2).</w:t>
      </w:r>
    </w:p>
    <w:p>
      <w:pPr>
        <w:pStyle w:val="7"/>
        <w:spacing w:line="480" w:lineRule="auto"/>
        <w:rPr>
          <w:rFonts w:ascii="Times New Roman" w:hAnsi="Times New Roman" w:cs="Times New Roman"/>
          <w:sz w:val="24"/>
          <w:szCs w:val="24"/>
        </w:rPr>
      </w:pPr>
    </w:p>
    <w:p>
      <w:pPr>
        <w:pStyle w:val="7"/>
        <w:spacing w:line="480" w:lineRule="auto"/>
        <w:rPr>
          <w:rFonts w:ascii="Times New Roman" w:hAnsi="Times New Roman" w:cs="Times New Roman"/>
          <w:sz w:val="24"/>
          <w:szCs w:val="24"/>
        </w:rPr>
      </w:pPr>
    </w:p>
    <w:p>
      <w:pPr>
        <w:pStyle w:val="7"/>
        <w:spacing w:line="480" w:lineRule="auto"/>
        <w:rPr>
          <w:rFonts w:ascii="Times New Roman" w:hAnsi="Times New Roman" w:cs="Times New Roman"/>
          <w:sz w:val="24"/>
          <w:szCs w:val="24"/>
        </w:rPr>
      </w:pPr>
    </w:p>
    <w:p>
      <w:pPr>
        <w:pStyle w:val="7"/>
        <w:spacing w:line="480" w:lineRule="auto"/>
        <w:rPr>
          <w:rFonts w:ascii="Times New Roman" w:hAnsi="Times New Roman" w:cs="Times New Roman"/>
          <w:sz w:val="24"/>
          <w:szCs w:val="24"/>
        </w:rPr>
      </w:pPr>
    </w:p>
    <w:p>
      <w:pPr>
        <w:pStyle w:val="7"/>
        <w:spacing w:line="480" w:lineRule="auto"/>
        <w:rPr>
          <w:rFonts w:ascii="Times New Roman" w:hAnsi="Times New Roman" w:cs="Times New Roman"/>
          <w:sz w:val="24"/>
          <w:szCs w:val="24"/>
        </w:rPr>
      </w:pPr>
    </w:p>
    <w:p>
      <w:pPr>
        <w:pStyle w:val="7"/>
        <w:spacing w:line="480" w:lineRule="auto"/>
        <w:rPr>
          <w:rFonts w:ascii="Times New Roman" w:hAnsi="Times New Roman" w:cs="Times New Roman"/>
          <w:sz w:val="24"/>
          <w:szCs w:val="24"/>
        </w:rPr>
      </w:pPr>
    </w:p>
    <w:p>
      <w:pPr>
        <w:pStyle w:val="7"/>
        <w:spacing w:line="480" w:lineRule="auto"/>
        <w:rPr>
          <w:rFonts w:ascii="Times New Roman" w:hAnsi="Times New Roman" w:cs="Times New Roman"/>
          <w:sz w:val="24"/>
          <w:szCs w:val="24"/>
        </w:rPr>
      </w:pPr>
    </w:p>
    <w:p>
      <w:pPr>
        <w:pStyle w:val="7"/>
        <w:spacing w:line="480" w:lineRule="auto"/>
        <w:rPr>
          <w:rFonts w:ascii="Times New Roman" w:hAnsi="Times New Roman" w:cs="Times New Roman"/>
          <w:b/>
          <w:bCs/>
          <w:sz w:val="24"/>
          <w:szCs w:val="24"/>
        </w:rPr>
      </w:pPr>
      <w:r>
        <w:rPr>
          <w:rFonts w:ascii="Times New Roman" w:hAnsi="Times New Roman" w:cs="Times New Roman"/>
          <w:b/>
          <w:bCs/>
          <w:sz w:val="24"/>
          <w:szCs w:val="24"/>
        </w:rPr>
        <w:t>MATERIJALI I METODE</w:t>
      </w:r>
    </w:p>
    <w:p>
      <w:pPr>
        <w:pStyle w:val="7"/>
        <w:spacing w:line="480" w:lineRule="auto"/>
        <w:rPr>
          <w:rFonts w:ascii="Times New Roman" w:hAnsi="Times New Roman" w:cs="Times New Roman"/>
          <w:b/>
          <w:bCs/>
          <w:sz w:val="24"/>
          <w:szCs w:val="24"/>
        </w:rPr>
      </w:pPr>
    </w:p>
    <w:p>
      <w:pPr>
        <w:pStyle w:val="7"/>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Istraživanje je kreirano kao retrospektivna observaciona studija. U periodu od 2018. do 2020. godine, 90 pacijenata koji su podvrgnuti kardiohirurškim operacijama zamjene aortne valvule u Centru za srce Sarajevo, ispitivani su pre- i intraoperativno u smislu traganja za patologijom aortnog korijena. Kod svih ispitanika, primarna indikacija za kardiohirurški operativni zahvat bila je stenoza ili insuficijencija aortne valvule. Podaci za istraživanje uzeti sui iz medicinskih istorija pacijenata. </w:t>
      </w:r>
      <w:r>
        <w:rPr>
          <w:rFonts w:ascii="Times New Roman" w:hAnsi="Times New Roman" w:cs="Times New Roman"/>
          <w:sz w:val="24"/>
          <w:szCs w:val="24"/>
          <w:lang w:val="sr-Latn-BA"/>
        </w:rPr>
        <w:t xml:space="preserve">Prilikom analize podataka primjenjene su slijedeće deskriptivne statističke metode: aritmetička sredina, standardna devijacija, minimum i maksimum. Nivo značajnosti određen je pri </w:t>
      </w:r>
      <w:r>
        <w:rPr>
          <w:rFonts w:ascii="Times New Roman" w:hAnsi="Times New Roman" w:cs="Times New Roman"/>
          <w:i/>
          <w:sz w:val="24"/>
          <w:szCs w:val="24"/>
          <w:lang w:val="sr-Latn-BA"/>
        </w:rPr>
        <w:t>p</w:t>
      </w:r>
      <w:r>
        <w:rPr>
          <w:rFonts w:ascii="Times New Roman" w:hAnsi="Times New Roman" w:cs="Times New Roman"/>
          <w:sz w:val="24"/>
          <w:szCs w:val="24"/>
          <w:lang w:val="sr-Latn-BA"/>
        </w:rPr>
        <w:t>&lt;0,05.</w:t>
      </w:r>
      <w:r>
        <w:rPr>
          <w:rFonts w:hint="default" w:ascii="Times New Roman" w:hAnsi="Times New Roman" w:cs="Times New Roman"/>
          <w:sz w:val="24"/>
          <w:szCs w:val="24"/>
          <w:lang w:val="en-US"/>
        </w:rPr>
        <w:t xml:space="preserve"> </w:t>
      </w:r>
      <w:r>
        <w:rPr>
          <w:rFonts w:ascii="Times New Roman" w:hAnsi="Times New Roman" w:cs="Times New Roman"/>
          <w:sz w:val="24"/>
          <w:szCs w:val="24"/>
        </w:rPr>
        <w:t xml:space="preserve">Preoperativno su pacijenti podvrgavani transtorakalnoj ehokardiografiji i CT angiografiji pri čemu je fokus bio na opisivanju morfologije aortne valvule te njenoj kompetenciji kao i na dijametrima korijena aorte, sinotubularnog spoja i ascendentne aorte te eventualnom postojanju disekcije. </w:t>
      </w:r>
      <w:r>
        <w:rPr>
          <w:rFonts w:ascii="Times New Roman" w:hAnsi="Times New Roman" w:cs="Times New Roman"/>
          <w:color w:val="FF0000"/>
          <w:sz w:val="24"/>
          <w:szCs w:val="24"/>
        </w:rPr>
        <w:t>Tabela 1</w:t>
      </w:r>
      <w:r>
        <w:rPr>
          <w:rFonts w:hint="default" w:ascii="Times New Roman" w:hAnsi="Times New Roman" w:cs="Times New Roman"/>
          <w:color w:val="FF0000"/>
          <w:sz w:val="24"/>
          <w:szCs w:val="24"/>
          <w:lang w:val="en-US"/>
        </w:rPr>
        <w:t xml:space="preserve"> </w:t>
      </w:r>
      <w:r>
        <w:rPr>
          <w:rFonts w:hint="default" w:ascii="Times New Roman" w:hAnsi="Times New Roman" w:cs="Times New Roman"/>
          <w:color w:val="000000" w:themeColor="text1"/>
          <w:sz w:val="24"/>
          <w:szCs w:val="24"/>
          <w:lang w:val="en-US"/>
          <w14:textFill>
            <w14:solidFill>
              <w14:schemeClr w14:val="tx1"/>
            </w14:solidFill>
          </w14:textFill>
        </w:rPr>
        <w:t>(na kraju rada, iza referenci)</w:t>
      </w:r>
      <w:r>
        <w:rPr>
          <w:rFonts w:ascii="Times New Roman" w:hAnsi="Times New Roman" w:cs="Times New Roman"/>
          <w:sz w:val="24"/>
          <w:szCs w:val="24"/>
        </w:rPr>
        <w:t xml:space="preserve"> prikazuje normalne dijametre pojedinih segmenata aorte na osnovu ehokardiografske procjene. Intraoperativno je patomorfologija korijena aorte procjenjivana direktnom vizualizacijom operatera i transezofagealnom ehokardiografijom vršenom od strane kardioanesteziologa</w:t>
      </w:r>
      <w:r>
        <w:rPr>
          <w:rFonts w:hint="default" w:ascii="Times New Roman" w:hAnsi="Times New Roman" w:cs="Times New Roman"/>
          <w:sz w:val="24"/>
          <w:szCs w:val="24"/>
          <w:lang w:val="en-US"/>
        </w:rPr>
        <w:t xml:space="preserve"> (</w:t>
      </w:r>
      <w:r>
        <w:rPr>
          <w:rFonts w:hint="default" w:ascii="Times New Roman" w:hAnsi="Times New Roman" w:cs="Times New Roman"/>
          <w:color w:val="FF0000"/>
          <w:sz w:val="24"/>
          <w:szCs w:val="24"/>
          <w:lang w:val="en-US"/>
        </w:rPr>
        <w:t>Slika 1</w:t>
      </w:r>
      <w:r>
        <w:rPr>
          <w:rFonts w:hint="default" w:ascii="Times New Roman" w:hAnsi="Times New Roman" w:cs="Times New Roman"/>
          <w:color w:val="000000" w:themeColor="text1"/>
          <w:sz w:val="24"/>
          <w:szCs w:val="24"/>
          <w:lang w:val="en-US"/>
          <w14:textFill>
            <w14:solidFill>
              <w14:schemeClr w14:val="tx1"/>
            </w14:solidFill>
          </w14:textFill>
        </w:rPr>
        <w:t xml:space="preserve"> - na kraju rada, iza referenci</w:t>
      </w:r>
      <w:r>
        <w:rPr>
          <w:rFonts w:hint="default" w:ascii="Times New Roman" w:hAnsi="Times New Roman" w:cs="Times New Roman"/>
          <w:sz w:val="24"/>
          <w:szCs w:val="24"/>
          <w:lang w:val="en-US"/>
        </w:rPr>
        <w:t>)</w:t>
      </w:r>
      <w:r>
        <w:rPr>
          <w:rFonts w:ascii="Times New Roman" w:hAnsi="Times New Roman" w:cs="Times New Roman"/>
          <w:sz w:val="24"/>
          <w:szCs w:val="24"/>
        </w:rPr>
        <w:t xml:space="preserve">. </w:t>
      </w:r>
    </w:p>
    <w:p>
      <w:pPr>
        <w:pStyle w:val="7"/>
        <w:spacing w:line="480" w:lineRule="auto"/>
        <w:rPr>
          <w:rFonts w:ascii="Times New Roman" w:hAnsi="Times New Roman" w:cs="Times New Roman"/>
          <w:b/>
          <w:bCs/>
          <w:sz w:val="24"/>
          <w:szCs w:val="24"/>
        </w:rPr>
      </w:pPr>
    </w:p>
    <w:p>
      <w:pPr>
        <w:pStyle w:val="7"/>
        <w:spacing w:line="480" w:lineRule="auto"/>
        <w:rPr>
          <w:rFonts w:ascii="Times New Roman" w:hAnsi="Times New Roman" w:cs="Times New Roman"/>
          <w:b/>
          <w:bCs/>
          <w:sz w:val="24"/>
          <w:szCs w:val="24"/>
        </w:rPr>
      </w:pPr>
    </w:p>
    <w:p>
      <w:pPr>
        <w:pStyle w:val="7"/>
        <w:spacing w:line="480" w:lineRule="auto"/>
        <w:rPr>
          <w:rFonts w:ascii="Times New Roman" w:hAnsi="Times New Roman" w:cs="Times New Roman"/>
          <w:b/>
          <w:bCs/>
          <w:sz w:val="24"/>
          <w:szCs w:val="24"/>
        </w:rPr>
      </w:pPr>
    </w:p>
    <w:p>
      <w:pPr>
        <w:pStyle w:val="7"/>
        <w:spacing w:line="480" w:lineRule="auto"/>
        <w:rPr>
          <w:rFonts w:ascii="Times New Roman" w:hAnsi="Times New Roman" w:cs="Times New Roman"/>
          <w:b/>
          <w:bCs/>
          <w:sz w:val="24"/>
          <w:szCs w:val="24"/>
        </w:rPr>
      </w:pPr>
      <w:r>
        <w:rPr>
          <w:rFonts w:ascii="Times New Roman" w:hAnsi="Times New Roman" w:cs="Times New Roman"/>
          <w:b/>
          <w:bCs/>
          <w:sz w:val="24"/>
          <w:szCs w:val="24"/>
        </w:rPr>
        <w:t>REZULTATI</w:t>
      </w:r>
    </w:p>
    <w:p>
      <w:pPr>
        <w:pStyle w:val="7"/>
        <w:spacing w:line="480" w:lineRule="auto"/>
        <w:rPr>
          <w:rFonts w:ascii="Times New Roman" w:hAnsi="Times New Roman" w:cs="Times New Roman"/>
          <w:b/>
          <w:bCs/>
          <w:sz w:val="24"/>
          <w:szCs w:val="24"/>
        </w:rPr>
      </w:pPr>
    </w:p>
    <w:p>
      <w:pPr>
        <w:pStyle w:val="7"/>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 Statistička obrada podataka urađena je u SPSS 28.0.1 softverskom statističkom paketu. </w:t>
      </w:r>
      <w:r>
        <w:rPr>
          <w:rFonts w:ascii="Times New Roman" w:hAnsi="Times New Roman" w:cs="Times New Roman"/>
          <w:sz w:val="24"/>
          <w:szCs w:val="24"/>
        </w:rPr>
        <w:t xml:space="preserve">U ispitivane parametre uvrstili smo i dob pacijenta u momentu prijema pri čemu su pacijenti sa BAV bili dobi 52±14,5 dok su pacijenti sa trolisnom AV bili dobi </w:t>
      </w:r>
      <w:r>
        <w:rPr>
          <w:rFonts w:ascii="Times New Roman" w:hAnsi="Times New Roman" w:cs="Times New Roman"/>
          <w:sz w:val="24"/>
          <w:szCs w:val="24"/>
          <w:lang w:val="sr-Latn-BA"/>
        </w:rPr>
        <w:t>60</w:t>
      </w:r>
      <w:r>
        <w:rPr>
          <w:rFonts w:ascii="Times New Roman" w:hAnsi="Times New Roman" w:cs="Times New Roman"/>
          <w:sz w:val="24"/>
          <w:szCs w:val="24"/>
        </w:rPr>
        <w:t xml:space="preserve"> ± 15 godina, p</w:t>
      </w:r>
      <w:r>
        <w:rPr>
          <w:rFonts w:ascii="Times New Roman" w:hAnsi="Times New Roman" w:cs="Times New Roman"/>
          <w:color w:val="202124"/>
          <w:sz w:val="24"/>
          <w:szCs w:val="24"/>
          <w:shd w:val="clear" w:color="auto" w:fill="FFFFFF"/>
        </w:rPr>
        <w:t xml:space="preserve"> ≤ 0.05</w:t>
      </w:r>
      <w:r>
        <w:rPr>
          <w:rFonts w:ascii="Times New Roman" w:hAnsi="Times New Roman" w:cs="Times New Roman"/>
          <w:sz w:val="24"/>
          <w:szCs w:val="24"/>
        </w:rPr>
        <w:t xml:space="preserve"> ,  Hipertenzija kao još jedan od ispitivanih parametara evidentirana je kod 59 pacijenata od čega je 62,5% pacijenata sa BAV a 69% pacijenata sa TAV imalo hipertenziju, p</w:t>
      </w:r>
      <w:r>
        <w:rPr>
          <w:rFonts w:ascii="Times New Roman" w:hAnsi="Times New Roman" w:cs="Times New Roman"/>
          <w:color w:val="202124"/>
          <w:sz w:val="24"/>
          <w:szCs w:val="24"/>
          <w:shd w:val="clear" w:color="auto" w:fill="FFFFFF"/>
        </w:rPr>
        <w:t xml:space="preserve"> &gt; 0.05</w:t>
      </w:r>
      <w:r>
        <w:rPr>
          <w:rFonts w:ascii="Times New Roman" w:hAnsi="Times New Roman" w:cs="Times New Roman"/>
          <w:sz w:val="24"/>
          <w:szCs w:val="24"/>
        </w:rPr>
        <w:t xml:space="preserve"> . Od najvećeg interesa za istraživanje nam je bilo upravo mjerenje dijametra aorte na nivou Valsalvinih sinusa s obzirom da ovaj parameter opisuje korijen aorte te je kod BAV </w:t>
      </w:r>
      <w:r>
        <w:rPr>
          <w:rFonts w:ascii="Times New Roman" w:hAnsi="Times New Roman" w:cs="Times New Roman"/>
          <w:sz w:val="24"/>
          <w:szCs w:val="24"/>
          <w:lang w:val="sr-Latn-BA"/>
        </w:rPr>
        <w:t>45</w:t>
      </w:r>
      <w:r>
        <w:rPr>
          <w:rFonts w:ascii="Times New Roman" w:hAnsi="Times New Roman" w:cs="Times New Roman"/>
          <w:sz w:val="24"/>
          <w:szCs w:val="24"/>
        </w:rPr>
        <w:t xml:space="preserve"> ±6 a kod TAV </w:t>
      </w:r>
      <w:r>
        <w:rPr>
          <w:rFonts w:ascii="Times New Roman" w:hAnsi="Times New Roman" w:cs="Times New Roman"/>
          <w:sz w:val="24"/>
          <w:szCs w:val="24"/>
          <w:lang w:val="sr-Latn-BA"/>
        </w:rPr>
        <w:t>38</w:t>
      </w:r>
      <w:r>
        <w:rPr>
          <w:rFonts w:ascii="Times New Roman" w:hAnsi="Times New Roman" w:cs="Times New Roman"/>
          <w:sz w:val="24"/>
          <w:szCs w:val="24"/>
        </w:rPr>
        <w:t xml:space="preserve"> ±5, p </w:t>
      </w:r>
      <w:r>
        <w:rPr>
          <w:rFonts w:ascii="Times New Roman" w:hAnsi="Times New Roman" w:cs="Times New Roman"/>
          <w:color w:val="202124"/>
          <w:sz w:val="24"/>
          <w:szCs w:val="24"/>
          <w:shd w:val="clear" w:color="auto" w:fill="FFFFFF"/>
        </w:rPr>
        <w:t>≤ 0.05</w:t>
      </w:r>
      <w:r>
        <w:rPr>
          <w:rFonts w:ascii="Times New Roman" w:hAnsi="Times New Roman" w:cs="Times New Roman"/>
          <w:sz w:val="24"/>
          <w:szCs w:val="24"/>
        </w:rPr>
        <w:t xml:space="preserve">. Kao dalje ispitivanje povezanosti bikuspidne aortne valvule sa patologijom aorte, uporedili smo i mjerenja na ostalim segmentima van korijena aorte pa je dijametar ST spoja kod BAV </w:t>
      </w:r>
      <w:r>
        <w:rPr>
          <w:rFonts w:ascii="Times New Roman" w:hAnsi="Times New Roman" w:cs="Times New Roman"/>
          <w:sz w:val="24"/>
          <w:szCs w:val="24"/>
          <w:lang w:val="sr-Latn-BA"/>
        </w:rPr>
        <w:t>36</w:t>
      </w:r>
      <w:r>
        <w:rPr>
          <w:rFonts w:ascii="Times New Roman" w:hAnsi="Times New Roman" w:cs="Times New Roman"/>
          <w:sz w:val="24"/>
          <w:szCs w:val="24"/>
        </w:rPr>
        <w:t xml:space="preserve"> ±5 mm a kod TAV </w:t>
      </w:r>
      <w:r>
        <w:rPr>
          <w:rFonts w:ascii="Times New Roman" w:hAnsi="Times New Roman" w:cs="Times New Roman"/>
          <w:sz w:val="24"/>
          <w:szCs w:val="24"/>
          <w:lang w:val="sr-Latn-BA"/>
        </w:rPr>
        <w:t>35</w:t>
      </w:r>
      <w:r>
        <w:rPr>
          <w:rFonts w:ascii="Times New Roman" w:hAnsi="Times New Roman" w:cs="Times New Roman"/>
          <w:sz w:val="24"/>
          <w:szCs w:val="24"/>
        </w:rPr>
        <w:t xml:space="preserve"> ±5 mm, </w:t>
      </w:r>
      <w:r>
        <w:rPr>
          <w:rFonts w:ascii="Times New Roman" w:hAnsi="Times New Roman" w:cs="Times New Roman"/>
          <w:color w:val="202124"/>
          <w:sz w:val="24"/>
          <w:szCs w:val="24"/>
          <w:shd w:val="clear" w:color="auto" w:fill="FFFFFF"/>
        </w:rPr>
        <w:t>p &gt; 0.05</w:t>
      </w:r>
      <w:r>
        <w:rPr>
          <w:rFonts w:ascii="Times New Roman" w:hAnsi="Times New Roman" w:cs="Times New Roman"/>
          <w:sz w:val="24"/>
          <w:szCs w:val="24"/>
        </w:rPr>
        <w:t xml:space="preserve">. Dijametar ascendentne aorte je kod obje grupe bio </w:t>
      </w:r>
      <w:r>
        <w:rPr>
          <w:rFonts w:ascii="Times New Roman" w:hAnsi="Times New Roman" w:cs="Times New Roman"/>
          <w:sz w:val="24"/>
          <w:szCs w:val="24"/>
          <w:lang w:val="sr-Latn-BA"/>
        </w:rPr>
        <w:t>36</w:t>
      </w:r>
      <w:r>
        <w:rPr>
          <w:rFonts w:ascii="Times New Roman" w:hAnsi="Times New Roman" w:cs="Times New Roman"/>
          <w:sz w:val="24"/>
          <w:szCs w:val="24"/>
        </w:rPr>
        <w:t xml:space="preserve"> ±6 mm,</w:t>
      </w:r>
      <w:r>
        <w:rPr>
          <w:rFonts w:ascii="Times New Roman" w:hAnsi="Times New Roman" w:cs="Times New Roman"/>
          <w:color w:val="202124"/>
          <w:sz w:val="24"/>
          <w:szCs w:val="24"/>
          <w:shd w:val="clear" w:color="auto" w:fill="FFFFFF"/>
        </w:rPr>
        <w:t xml:space="preserve">          p&gt; 0.05</w:t>
      </w:r>
      <w:r>
        <w:rPr>
          <w:rFonts w:ascii="Times New Roman" w:hAnsi="Times New Roman" w:cs="Times New Roman"/>
          <w:sz w:val="24"/>
          <w:szCs w:val="24"/>
        </w:rPr>
        <w:t xml:space="preserve"> . Disekcija korijena aorte zabilježena je kod ukupno 4 pacijenta i to 3 sa BAV i 1 sa TAV,</w:t>
      </w:r>
      <w:r>
        <w:rPr>
          <w:rFonts w:ascii="Times New Roman" w:hAnsi="Times New Roman" w:cs="Times New Roman"/>
          <w:color w:val="202124"/>
          <w:sz w:val="24"/>
          <w:szCs w:val="24"/>
          <w:shd w:val="clear" w:color="auto" w:fill="FFFFFF"/>
        </w:rPr>
        <w:t xml:space="preserve"> p &gt; 0.05</w:t>
      </w:r>
      <w:r>
        <w:rPr>
          <w:rFonts w:ascii="Times New Roman" w:hAnsi="Times New Roman" w:cs="Times New Roman"/>
          <w:sz w:val="24"/>
          <w:szCs w:val="24"/>
        </w:rPr>
        <w:t xml:space="preserve">. Pomenuti parametri su prikazani u </w:t>
      </w:r>
      <w:r>
        <w:rPr>
          <w:rFonts w:ascii="Times New Roman" w:hAnsi="Times New Roman" w:cs="Times New Roman"/>
          <w:color w:val="FF0000"/>
          <w:sz w:val="24"/>
          <w:szCs w:val="24"/>
        </w:rPr>
        <w:t>Tabeli 2</w:t>
      </w:r>
      <w:r>
        <w:rPr>
          <w:rFonts w:hint="default" w:ascii="Times New Roman" w:hAnsi="Times New Roman" w:cs="Times New Roman"/>
          <w:color w:val="000000" w:themeColor="text1"/>
          <w:sz w:val="24"/>
          <w:szCs w:val="24"/>
          <w:lang w:val="en-US"/>
          <w14:textFill>
            <w14:solidFill>
              <w14:schemeClr w14:val="tx1"/>
            </w14:solidFill>
          </w14:textFill>
        </w:rPr>
        <w:t xml:space="preserve"> (na kraju rada, iza referenci)</w:t>
      </w:r>
      <w:r>
        <w:rPr>
          <w:rFonts w:ascii="Times New Roman" w:hAnsi="Times New Roman" w:cs="Times New Roman"/>
          <w:sz w:val="24"/>
          <w:szCs w:val="24"/>
        </w:rPr>
        <w:t xml:space="preserve">. </w:t>
      </w:r>
    </w:p>
    <w:p>
      <w:pPr>
        <w:pStyle w:val="7"/>
        <w:spacing w:line="480" w:lineRule="auto"/>
        <w:rPr>
          <w:rFonts w:ascii="Times New Roman" w:hAnsi="Times New Roman" w:cs="Times New Roman"/>
          <w:sz w:val="24"/>
          <w:szCs w:val="24"/>
        </w:rPr>
      </w:pPr>
    </w:p>
    <w:p>
      <w:pPr>
        <w:pStyle w:val="7"/>
        <w:spacing w:line="480" w:lineRule="auto"/>
        <w:rPr>
          <w:rFonts w:ascii="Times New Roman" w:hAnsi="Times New Roman" w:cs="Times New Roman"/>
          <w:sz w:val="24"/>
          <w:szCs w:val="24"/>
        </w:rPr>
      </w:pPr>
    </w:p>
    <w:p>
      <w:pPr>
        <w:pStyle w:val="7"/>
        <w:spacing w:line="480" w:lineRule="auto"/>
        <w:rPr>
          <w:rFonts w:ascii="Times New Roman" w:hAnsi="Times New Roman" w:cs="Times New Roman"/>
          <w:b/>
          <w:bCs/>
          <w:sz w:val="24"/>
          <w:szCs w:val="24"/>
        </w:rPr>
      </w:pPr>
      <w:r>
        <w:rPr>
          <w:rFonts w:ascii="Times New Roman" w:hAnsi="Times New Roman" w:cs="Times New Roman"/>
          <w:b/>
          <w:bCs/>
          <w:sz w:val="24"/>
          <w:szCs w:val="24"/>
        </w:rPr>
        <w:t>DISKUSIJA</w:t>
      </w:r>
    </w:p>
    <w:p>
      <w:pPr>
        <w:pStyle w:val="7"/>
        <w:spacing w:line="480" w:lineRule="auto"/>
        <w:rPr>
          <w:rFonts w:ascii="Times New Roman" w:hAnsi="Times New Roman" w:cs="Times New Roman"/>
          <w:b/>
          <w:bCs/>
          <w:sz w:val="24"/>
          <w:szCs w:val="24"/>
        </w:rPr>
      </w:pPr>
    </w:p>
    <w:p>
      <w:pPr>
        <w:pStyle w:val="7"/>
        <w:spacing w:line="480" w:lineRule="auto"/>
        <w:jc w:val="both"/>
        <w:rPr>
          <w:rFonts w:ascii="Times New Roman" w:hAnsi="Times New Roman" w:cs="Times New Roman"/>
          <w:sz w:val="24"/>
          <w:szCs w:val="24"/>
        </w:rPr>
      </w:pPr>
      <w:r>
        <w:rPr>
          <w:rFonts w:ascii="Times New Roman" w:hAnsi="Times New Roman" w:cs="Times New Roman"/>
          <w:sz w:val="24"/>
          <w:szCs w:val="24"/>
        </w:rPr>
        <w:t>Kod pacijenata koji su kandidati za zamjenu aortne valvule uslijed stenoze ili insuficijencije, dob pacijenata po referiranju za operativni zahvat značajno je manja kod pacijenata sa bikuspidnom aortnom valvulom. Prethodno pomenuto govori u prilog toga da bikuspidna aortna valvula potpada degeneraciji ranije od trolisne valvule. Trolisna aortna valvule, sa druge strane, kao najčešći uzrok za promjenu svoje normalne morfologije i funkcije ima kalcifikaciju te upalne procese.  Kalcifikacija aortne valvule process je koji se javlja sa starenjem, stoga je jasno kako se ovi pacijenti javljaju kasnije nego pacijenti sa bikuspidnom aortnom valvulom.</w:t>
      </w:r>
    </w:p>
    <w:p>
      <w:pPr>
        <w:pStyle w:val="7"/>
        <w:spacing w:line="480" w:lineRule="auto"/>
        <w:jc w:val="both"/>
        <w:rPr>
          <w:rFonts w:ascii="Times New Roman" w:hAnsi="Times New Roman" w:cs="Times New Roman"/>
          <w:sz w:val="24"/>
          <w:szCs w:val="24"/>
        </w:rPr>
      </w:pPr>
      <w:r>
        <w:rPr>
          <w:rFonts w:ascii="Times New Roman" w:hAnsi="Times New Roman" w:cs="Times New Roman"/>
          <w:sz w:val="24"/>
          <w:szCs w:val="24"/>
        </w:rPr>
        <w:t>Hipertenzija, koja je jedan od vodećih rizikofaktora za kardiovaskularne bolesti, nije značajn više zastupljena kod  pacijenata sa bikuspidnom valvulom. Patologija korijena aorte je povezana sa bikuspidnom aortnom valvulom – vjerovatno najčešće zbog poremećaja vezivnog tkiva koji u svom sindromskom sklopu nerijetko imaju bikuspidnu aortnu valvulu i slabost vezivnog tkiva zbog kojeg dolazi do dilatacije ili čak aneurizmatskog proširenja i disekcije korijena aorte (3,4). Dijametar tubularnog dijela aorte i ascendentne aorte ne razlikuje se kod pacijenata sa bikuspidnom aortnom valvulom u odnosu na pacijente sa trolisnom valvulom (5</w:t>
      </w:r>
      <w:r>
        <w:rPr>
          <w:rFonts w:hint="default" w:ascii="Times New Roman" w:hAnsi="Times New Roman" w:cs="Times New Roman"/>
          <w:sz w:val="24"/>
          <w:szCs w:val="24"/>
          <w:lang w:val="en-US"/>
        </w:rPr>
        <w:t>,6</w:t>
      </w:r>
      <w:r>
        <w:rPr>
          <w:rFonts w:ascii="Times New Roman" w:hAnsi="Times New Roman" w:cs="Times New Roman"/>
          <w:sz w:val="24"/>
          <w:szCs w:val="24"/>
        </w:rPr>
        <w:t>). Pored genetske komponente, značajan je i direktan uticaj hemodinamskog remećenja na zidove aorte. Stoga viši pritisak trpi dio zida aorte koji je bliži samoj aberantnoj valvuli (korijen aorte) od udaljenijeg tubularnog dijela</w:t>
      </w:r>
      <w:r>
        <w:rPr>
          <w:rFonts w:hint="default" w:ascii="Times New Roman" w:hAnsi="Times New Roman" w:cs="Times New Roman"/>
          <w:sz w:val="24"/>
          <w:szCs w:val="24"/>
          <w:lang w:val="en-US"/>
        </w:rPr>
        <w:t xml:space="preserve"> (7,8)</w:t>
      </w:r>
      <w:r>
        <w:rPr>
          <w:rFonts w:ascii="Times New Roman" w:hAnsi="Times New Roman" w:cs="Times New Roman"/>
          <w:sz w:val="24"/>
          <w:szCs w:val="24"/>
        </w:rPr>
        <w:t>. Mali broj ispitivanih pacijenata je imao i disekciju aorte po prijemu t enije nađeno da postoji signifikatna razlika između onih koji su imali bikuspidnu i trikuspidnu aortnu valvulu.</w:t>
      </w:r>
    </w:p>
    <w:p>
      <w:pPr>
        <w:pStyle w:val="7"/>
        <w:spacing w:line="480" w:lineRule="auto"/>
        <w:jc w:val="both"/>
        <w:rPr>
          <w:rFonts w:ascii="Times New Roman" w:hAnsi="Times New Roman" w:cs="Times New Roman"/>
          <w:sz w:val="24"/>
          <w:szCs w:val="24"/>
        </w:rPr>
      </w:pPr>
    </w:p>
    <w:p>
      <w:pPr>
        <w:pStyle w:val="7"/>
        <w:spacing w:line="480" w:lineRule="auto"/>
        <w:jc w:val="both"/>
        <w:rPr>
          <w:rFonts w:ascii="Times New Roman" w:hAnsi="Times New Roman" w:cs="Times New Roman"/>
          <w:sz w:val="24"/>
          <w:szCs w:val="24"/>
        </w:rPr>
      </w:pPr>
    </w:p>
    <w:p>
      <w:pPr>
        <w:pStyle w:val="7"/>
        <w:spacing w:line="480" w:lineRule="auto"/>
        <w:rPr>
          <w:rFonts w:ascii="Times New Roman" w:hAnsi="Times New Roman" w:cs="Times New Roman"/>
          <w:b/>
          <w:bCs/>
          <w:sz w:val="24"/>
          <w:szCs w:val="24"/>
        </w:rPr>
      </w:pPr>
      <w:r>
        <w:rPr>
          <w:rFonts w:ascii="Times New Roman" w:hAnsi="Times New Roman" w:cs="Times New Roman"/>
          <w:b/>
          <w:bCs/>
          <w:sz w:val="24"/>
          <w:szCs w:val="24"/>
        </w:rPr>
        <w:t>ZAKLJUČAK</w:t>
      </w:r>
    </w:p>
    <w:p>
      <w:pPr>
        <w:pStyle w:val="7"/>
        <w:spacing w:line="480" w:lineRule="auto"/>
        <w:rPr>
          <w:rFonts w:ascii="Times New Roman" w:hAnsi="Times New Roman" w:cs="Times New Roman"/>
          <w:b/>
          <w:bCs/>
          <w:sz w:val="24"/>
          <w:szCs w:val="24"/>
        </w:rPr>
      </w:pPr>
    </w:p>
    <w:p>
      <w:pPr>
        <w:pStyle w:val="7"/>
        <w:spacing w:line="480" w:lineRule="auto"/>
        <w:jc w:val="both"/>
        <w:rPr>
          <w:rFonts w:ascii="Times New Roman" w:hAnsi="Times New Roman" w:cs="Times New Roman"/>
          <w:sz w:val="24"/>
          <w:szCs w:val="24"/>
        </w:rPr>
      </w:pPr>
      <w:r>
        <w:rPr>
          <w:rFonts w:ascii="Times New Roman" w:hAnsi="Times New Roman" w:cs="Times New Roman"/>
          <w:sz w:val="24"/>
          <w:szCs w:val="24"/>
        </w:rPr>
        <w:t>Pacijenti sa bikuspidnom aortnom valvulom signifikantno češće imaju udruženu patologiju korijena aorte. Ova informacija je naročitno bitna kako bi se kod ovakvih pacijenata insistiralo na odgovarajućoj preoperativnoj i intraoperativnoj evaluaciji a u cilju rješavanja dilatacije ili aneurizmatskog proširenja aortnog korijena.</w:t>
      </w:r>
    </w:p>
    <w:p>
      <w:pPr>
        <w:pStyle w:val="7"/>
        <w:spacing w:line="480" w:lineRule="auto"/>
        <w:rPr>
          <w:rFonts w:ascii="Times New Roman" w:hAnsi="Times New Roman" w:cs="Times New Roman"/>
          <w:sz w:val="24"/>
          <w:szCs w:val="24"/>
        </w:rPr>
      </w:pPr>
    </w:p>
    <w:p>
      <w:pPr>
        <w:pStyle w:val="7"/>
        <w:spacing w:line="480" w:lineRule="auto"/>
        <w:rPr>
          <w:rFonts w:ascii="Times New Roman" w:hAnsi="Times New Roman" w:cs="Times New Roman"/>
          <w:b/>
          <w:bCs/>
          <w:sz w:val="24"/>
          <w:szCs w:val="24"/>
        </w:rPr>
      </w:pPr>
      <w:r>
        <w:rPr>
          <w:rFonts w:ascii="Times New Roman" w:hAnsi="Times New Roman" w:cs="Times New Roman"/>
          <w:b/>
          <w:bCs/>
          <w:sz w:val="24"/>
          <w:szCs w:val="24"/>
        </w:rPr>
        <w:t>LITERATURA</w:t>
      </w:r>
    </w:p>
    <w:p>
      <w:pPr>
        <w:pStyle w:val="7"/>
        <w:spacing w:line="480" w:lineRule="auto"/>
        <w:rPr>
          <w:rFonts w:hint="default" w:ascii="Times New Roman" w:hAnsi="Times New Roman" w:cs="Times New Roman"/>
          <w:b w:val="0"/>
          <w:bCs w:val="0"/>
          <w:i w:val="0"/>
          <w:iCs w:val="0"/>
          <w:sz w:val="24"/>
          <w:szCs w:val="24"/>
        </w:rPr>
      </w:pPr>
    </w:p>
    <w:p>
      <w:pPr>
        <w:pStyle w:val="7"/>
        <w:numPr>
          <w:ilvl w:val="0"/>
          <w:numId w:val="2"/>
        </w:numPr>
        <w:spacing w:line="480" w:lineRule="auto"/>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Warren AE, Boyd ML, O’Connell C, et al. Dilatation of the ascending aorta in paediatric patients with bicuspid aortic valve: frequency, rate of progression and risk factors. Heart 2006;10:1496e500.</w:t>
      </w:r>
    </w:p>
    <w:p>
      <w:pPr>
        <w:pStyle w:val="7"/>
        <w:spacing w:line="480" w:lineRule="auto"/>
        <w:rPr>
          <w:rFonts w:hint="default" w:ascii="Times New Roman" w:hAnsi="Times New Roman" w:cs="Times New Roman"/>
          <w:b w:val="0"/>
          <w:bCs w:val="0"/>
          <w:i w:val="0"/>
          <w:iCs w:val="0"/>
          <w:sz w:val="24"/>
          <w:szCs w:val="24"/>
        </w:rPr>
      </w:pPr>
    </w:p>
    <w:p>
      <w:pPr>
        <w:pStyle w:val="7"/>
        <w:numPr>
          <w:ilvl w:val="0"/>
          <w:numId w:val="2"/>
        </w:numPr>
        <w:spacing w:line="480" w:lineRule="auto"/>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Thanassoulis G, Yip JW, Filion K, et al. Retrospective study to identify predictors of the presence and rapid progression of aortic dilatation in patients with bicuspid aortic valves. Nat Clin Pract Cardiovasc Med 2008;12:821e8.</w:t>
      </w:r>
    </w:p>
    <w:p>
      <w:pPr>
        <w:pStyle w:val="7"/>
        <w:spacing w:line="480" w:lineRule="auto"/>
        <w:rPr>
          <w:rFonts w:hint="default" w:ascii="Times New Roman" w:hAnsi="Times New Roman" w:cs="Times New Roman"/>
          <w:b w:val="0"/>
          <w:bCs w:val="0"/>
          <w:i w:val="0"/>
          <w:iCs w:val="0"/>
          <w:sz w:val="24"/>
          <w:szCs w:val="24"/>
        </w:rPr>
      </w:pPr>
    </w:p>
    <w:p>
      <w:pPr>
        <w:pStyle w:val="7"/>
        <w:numPr>
          <w:ilvl w:val="0"/>
          <w:numId w:val="2"/>
        </w:numPr>
        <w:spacing w:line="480" w:lineRule="auto"/>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Loeys BL, Schwarze U, Holm T, et al. Aneurysm syndromes caused by mutations in the TGF-beta receptor. N Engl J Med 2006;8:788e98</w:t>
      </w:r>
    </w:p>
    <w:p>
      <w:pPr>
        <w:pStyle w:val="7"/>
        <w:spacing w:line="480" w:lineRule="auto"/>
        <w:rPr>
          <w:rFonts w:hint="default" w:ascii="Times New Roman" w:hAnsi="Times New Roman" w:cs="Times New Roman"/>
          <w:b w:val="0"/>
          <w:bCs w:val="0"/>
          <w:i w:val="0"/>
          <w:iCs w:val="0"/>
          <w:sz w:val="24"/>
          <w:szCs w:val="24"/>
        </w:rPr>
      </w:pPr>
    </w:p>
    <w:p>
      <w:pPr>
        <w:pStyle w:val="7"/>
        <w:numPr>
          <w:ilvl w:val="0"/>
          <w:numId w:val="2"/>
        </w:numPr>
        <w:spacing w:line="480" w:lineRule="auto"/>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Mahle WT, Sutherland JL, Frias PA. Outcome of isolated bicuspid aortic valve in childhood. J Pediatr 2010;3:445e9</w:t>
      </w:r>
    </w:p>
    <w:p>
      <w:pPr>
        <w:pStyle w:val="7"/>
        <w:spacing w:line="480" w:lineRule="auto"/>
        <w:rPr>
          <w:rFonts w:hint="default" w:ascii="Times New Roman" w:hAnsi="Times New Roman" w:cs="Times New Roman"/>
          <w:b w:val="0"/>
          <w:bCs w:val="0"/>
          <w:i w:val="0"/>
          <w:iCs w:val="0"/>
          <w:sz w:val="24"/>
          <w:szCs w:val="24"/>
        </w:rPr>
      </w:pPr>
    </w:p>
    <w:p>
      <w:pPr>
        <w:pStyle w:val="7"/>
        <w:numPr>
          <w:ilvl w:val="0"/>
          <w:numId w:val="2"/>
        </w:numPr>
        <w:spacing w:line="480" w:lineRule="auto"/>
        <w:rPr>
          <w:rFonts w:hint="default" w:ascii="Times New Roman" w:hAnsi="Times New Roman" w:cs="Times New Roman"/>
          <w:b w:val="0"/>
          <w:bCs w:val="0"/>
          <w:i w:val="0"/>
          <w:iCs w:val="0"/>
          <w:color w:val="000000" w:themeColor="text1"/>
          <w:sz w:val="24"/>
          <w:szCs w:val="24"/>
          <w14:textFill>
            <w14:solidFill>
              <w14:schemeClr w14:val="tx1"/>
            </w14:solidFill>
          </w14:textFill>
        </w:rPr>
      </w:pPr>
      <w:r>
        <w:rPr>
          <w:rFonts w:hint="default" w:ascii="Times New Roman" w:hAnsi="Times New Roman" w:cs="Times New Roman"/>
          <w:b w:val="0"/>
          <w:bCs w:val="0"/>
          <w:i w:val="0"/>
          <w:iCs w:val="0"/>
          <w:color w:val="000000" w:themeColor="text1"/>
          <w:sz w:val="24"/>
          <w:szCs w:val="24"/>
          <w:shd w:val="clear" w:color="auto" w:fill="FFFFFF"/>
          <w14:textFill>
            <w14:solidFill>
              <w14:schemeClr w14:val="tx1"/>
            </w14:solidFill>
          </w14:textFill>
        </w:rPr>
        <w:t>Ma, M., Li, Z., Mohamed, M.A. et al. Aortic root aortopathy in bicuspid aortic valve associated with high genetic risk. BMC Cardiovasc Disord 21, 413 (2021)</w:t>
      </w:r>
    </w:p>
    <w:p>
      <w:pPr>
        <w:pStyle w:val="7"/>
        <w:numPr>
          <w:ilvl w:val="0"/>
          <w:numId w:val="2"/>
        </w:numPr>
        <w:spacing w:line="480" w:lineRule="auto"/>
        <w:rPr>
          <w:rFonts w:hint="default" w:ascii="Times New Roman" w:hAnsi="Times New Roman" w:cs="Times New Roman"/>
          <w:b w:val="0"/>
          <w:bCs w:val="0"/>
          <w:i w:val="0"/>
          <w:iCs w:val="0"/>
          <w:color w:val="000000" w:themeColor="text1"/>
          <w:sz w:val="24"/>
          <w:szCs w:val="24"/>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4"/>
          <w:szCs w:val="24"/>
          <w:shd w:val="clear" w:fill="F9F9F9"/>
          <w14:textFill>
            <w14:solidFill>
              <w14:schemeClr w14:val="tx1"/>
            </w14:solidFill>
          </w14:textFill>
        </w:rPr>
        <w:t>Cohn L.H., &amp; Adams D.H.(Eds.), (2017). </w:t>
      </w:r>
      <w:r>
        <w:rPr>
          <w:rStyle w:val="4"/>
          <w:rFonts w:hint="default" w:ascii="Times New Roman" w:hAnsi="Times New Roman" w:eastAsia="sans-serif" w:cs="Times New Roman"/>
          <w:i w:val="0"/>
          <w:iCs w:val="0"/>
          <w:caps w:val="0"/>
          <w:color w:val="000000" w:themeColor="text1"/>
          <w:spacing w:val="0"/>
          <w:sz w:val="24"/>
          <w:szCs w:val="24"/>
          <w:shd w:val="clear" w:fill="F9F9F9"/>
          <w14:textFill>
            <w14:solidFill>
              <w14:schemeClr w14:val="tx1"/>
            </w14:solidFill>
          </w14:textFill>
        </w:rPr>
        <w:t>Cardiac Surgery in the Adult, 5e</w:t>
      </w:r>
      <w:r>
        <w:rPr>
          <w:rFonts w:hint="default" w:ascii="Times New Roman" w:hAnsi="Times New Roman" w:eastAsia="sans-serif" w:cs="Times New Roman"/>
          <w:i w:val="0"/>
          <w:iCs w:val="0"/>
          <w:caps w:val="0"/>
          <w:color w:val="000000" w:themeColor="text1"/>
          <w:spacing w:val="0"/>
          <w:sz w:val="24"/>
          <w:szCs w:val="24"/>
          <w:shd w:val="clear" w:fill="F9F9F9"/>
          <w14:textFill>
            <w14:solidFill>
              <w14:schemeClr w14:val="tx1"/>
            </w14:solidFill>
          </w14:textFill>
        </w:rPr>
        <w:t>. McGraw Hill</w:t>
      </w:r>
    </w:p>
    <w:p>
      <w:pPr>
        <w:pStyle w:val="7"/>
        <w:numPr>
          <w:ilvl w:val="0"/>
          <w:numId w:val="2"/>
        </w:numPr>
        <w:spacing w:line="480" w:lineRule="auto"/>
        <w:rPr>
          <w:rFonts w:hint="default" w:ascii="Times New Roman" w:hAnsi="Times New Roman" w:cs="Times New Roman"/>
          <w:b w:val="0"/>
          <w:bCs w:val="0"/>
          <w:i w:val="0"/>
          <w:iCs w:val="0"/>
          <w:color w:val="000000" w:themeColor="text1"/>
          <w:sz w:val="24"/>
          <w:szCs w:val="24"/>
          <w14:textFill>
            <w14:solidFill>
              <w14:schemeClr w14:val="tx1"/>
            </w14:solidFill>
          </w14:textFill>
        </w:rPr>
      </w:pPr>
      <w:r>
        <w:rPr>
          <w:rFonts w:hint="default" w:ascii="Times New Roman" w:hAnsi="Times New Roman" w:eastAsia="SimSun" w:cs="Times New Roman"/>
          <w:i w:val="0"/>
          <w:iCs w:val="0"/>
          <w:caps w:val="0"/>
          <w:color w:val="000000"/>
          <w:spacing w:val="0"/>
          <w:sz w:val="24"/>
          <w:szCs w:val="24"/>
          <w:shd w:val="clear" w:fill="FFFFFF"/>
        </w:rPr>
        <w:t xml:space="preserve">Ashton HA, Buxton MJ, Day NE, Kim LG, Marteau TM, Scott RAP, et al. The Multicentre Aneurysm Screening Study (MASS) into the effect of abdominal aortic aneurysm screening on mortality in men: a randomised controlled trial. Lancet 2002;360:1531–9. </w:t>
      </w:r>
    </w:p>
    <w:p>
      <w:pPr>
        <w:pStyle w:val="7"/>
        <w:numPr>
          <w:ilvl w:val="0"/>
          <w:numId w:val="2"/>
        </w:numPr>
        <w:spacing w:line="480" w:lineRule="auto"/>
        <w:rPr>
          <w:rFonts w:hint="default" w:ascii="Times New Roman" w:hAnsi="Times New Roman" w:cs="Times New Roman"/>
          <w:b w:val="0"/>
          <w:bCs w:val="0"/>
          <w:i w:val="0"/>
          <w:iCs w:val="0"/>
          <w:color w:val="000000" w:themeColor="text1"/>
          <w:sz w:val="24"/>
          <w:szCs w:val="24"/>
          <w14:textFill>
            <w14:solidFill>
              <w14:schemeClr w14:val="tx1"/>
            </w14:solidFill>
          </w14:textFill>
        </w:rPr>
      </w:pPr>
      <w:r>
        <w:rPr>
          <w:rFonts w:hint="default" w:ascii="Times New Roman" w:hAnsi="Times New Roman" w:eastAsia="SimSun" w:cs="Times New Roman"/>
          <w:i w:val="0"/>
          <w:iCs w:val="0"/>
          <w:caps w:val="0"/>
          <w:color w:val="000000"/>
          <w:spacing w:val="0"/>
          <w:sz w:val="24"/>
          <w:szCs w:val="24"/>
          <w:shd w:val="clear" w:fill="FFFFFF"/>
        </w:rPr>
        <w:t>Scott RAP, Bridgewater SG, Ashton HA. Randomized clinical trial of screening for abdominal aortic aneurysm in women. Br J Surg 2002;89:283–5.</w:t>
      </w:r>
    </w:p>
    <w:p>
      <w:pPr>
        <w:pStyle w:val="7"/>
        <w:numPr>
          <w:numId w:val="0"/>
        </w:numPr>
        <w:spacing w:after="0" w:line="480" w:lineRule="auto"/>
        <w:rPr>
          <w:rFonts w:ascii="Segoe UI" w:hAnsi="Segoe UI" w:cs="Segoe UI"/>
          <w:color w:val="333333"/>
          <w:shd w:val="clear" w:color="auto" w:fill="FFFFFF"/>
        </w:rPr>
      </w:pPr>
    </w:p>
    <w:p>
      <w:pPr>
        <w:pStyle w:val="7"/>
        <w:numPr>
          <w:numId w:val="0"/>
        </w:numPr>
        <w:spacing w:after="0" w:line="480" w:lineRule="auto"/>
        <w:rPr>
          <w:rFonts w:ascii="Segoe UI" w:hAnsi="Segoe UI" w:cs="Segoe UI"/>
          <w:color w:val="333333"/>
          <w:shd w:val="clear" w:color="auto" w:fill="FFFFFF"/>
        </w:rPr>
      </w:pPr>
    </w:p>
    <w:p>
      <w:pPr>
        <w:pStyle w:val="7"/>
        <w:numPr>
          <w:numId w:val="0"/>
        </w:numPr>
        <w:spacing w:after="0" w:line="600" w:lineRule="auto"/>
        <w:rPr>
          <w:rFonts w:ascii="Segoe UI" w:hAnsi="Segoe UI" w:cs="Segoe UI"/>
          <w:color w:val="333333"/>
          <w:shd w:val="clear" w:color="auto" w:fill="FFFFFF"/>
        </w:rPr>
      </w:pPr>
    </w:p>
    <w:p>
      <w:pPr>
        <w:pStyle w:val="7"/>
        <w:numPr>
          <w:numId w:val="0"/>
        </w:numPr>
        <w:spacing w:after="0" w:line="600" w:lineRule="auto"/>
        <w:rPr>
          <w:rFonts w:ascii="Segoe UI" w:hAnsi="Segoe UI" w:cs="Segoe UI"/>
          <w:color w:val="333333"/>
          <w:shd w:val="clear" w:color="auto" w:fill="FFFFFF"/>
        </w:rPr>
      </w:pPr>
    </w:p>
    <w:p>
      <w:pPr>
        <w:pStyle w:val="7"/>
        <w:numPr>
          <w:numId w:val="0"/>
        </w:numPr>
        <w:spacing w:after="0" w:line="480" w:lineRule="auto"/>
        <w:rPr>
          <w:rFonts w:ascii="Segoe UI" w:hAnsi="Segoe UI" w:cs="Segoe UI"/>
          <w:color w:val="333333"/>
          <w:shd w:val="clear" w:color="auto" w:fill="FFFFFF"/>
        </w:rPr>
      </w:pPr>
      <w:r>
        <w:rPr>
          <w:rFonts w:ascii="SimSun" w:hAnsi="SimSun" w:eastAsia="SimSun" w:cs="SimSun"/>
          <w:sz w:val="24"/>
          <w:szCs w:val="24"/>
        </w:rPr>
        <w:drawing>
          <wp:inline distT="0" distB="0" distL="114300" distR="114300">
            <wp:extent cx="4912360" cy="3178810"/>
            <wp:effectExtent l="0" t="0" r="10160" b="635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6"/>
                    <a:stretch>
                      <a:fillRect/>
                    </a:stretch>
                  </pic:blipFill>
                  <pic:spPr>
                    <a:xfrm>
                      <a:off x="0" y="0"/>
                      <a:ext cx="4912360" cy="3178810"/>
                    </a:xfrm>
                    <a:prstGeom prst="rect">
                      <a:avLst/>
                    </a:prstGeom>
                    <a:noFill/>
                    <a:ln w="9525">
                      <a:noFill/>
                    </a:ln>
                  </pic:spPr>
                </pic:pic>
              </a:graphicData>
            </a:graphic>
          </wp:inline>
        </w:drawing>
      </w:r>
    </w:p>
    <w:p>
      <w:pPr>
        <w:pStyle w:val="7"/>
        <w:numPr>
          <w:ilvl w:val="0"/>
          <w:numId w:val="0"/>
        </w:numPr>
        <w:spacing w:after="0" w:line="480" w:lineRule="auto"/>
        <w:rPr>
          <w:rFonts w:hint="default" w:ascii="Times New Roman" w:hAnsi="Times New Roman" w:eastAsia="SimSun" w:cs="Times New Roman"/>
          <w:sz w:val="24"/>
          <w:szCs w:val="24"/>
          <w:lang w:val="en-US"/>
        </w:rPr>
      </w:pPr>
      <w:r>
        <w:rPr>
          <w:rFonts w:hint="default" w:ascii="Times New Roman" w:hAnsi="Times New Roman" w:eastAsia="SimSun" w:cs="Times New Roman"/>
          <w:color w:val="FF0000"/>
          <w:sz w:val="24"/>
          <w:szCs w:val="24"/>
          <w:lang w:val="en-US"/>
        </w:rPr>
        <w:t>Slika 1</w:t>
      </w:r>
      <w:r>
        <w:rPr>
          <w:rFonts w:hint="default" w:ascii="Times New Roman" w:hAnsi="Times New Roman" w:eastAsia="SimSun" w:cs="Times New Roman"/>
          <w:sz w:val="24"/>
          <w:szCs w:val="24"/>
          <w:lang w:val="en-US"/>
        </w:rPr>
        <w:t>: Intraoperativni prikaz aneurizme ascendentne aorte - iz arhive autora</w:t>
      </w:r>
    </w:p>
    <w:p>
      <w:pPr>
        <w:pStyle w:val="7"/>
        <w:numPr>
          <w:numId w:val="0"/>
        </w:numPr>
        <w:spacing w:after="0" w:line="480" w:lineRule="auto"/>
        <w:rPr>
          <w:rFonts w:ascii="SimSun" w:hAnsi="SimSun" w:eastAsia="SimSun" w:cs="SimSun"/>
          <w:sz w:val="24"/>
          <w:szCs w:val="24"/>
        </w:rPr>
      </w:pPr>
    </w:p>
    <w:p>
      <w:pPr>
        <w:pStyle w:val="7"/>
        <w:numPr>
          <w:numId w:val="0"/>
        </w:numPr>
        <w:spacing w:after="0" w:line="480" w:lineRule="auto"/>
        <w:rPr>
          <w:rFonts w:ascii="Segoe UI" w:hAnsi="Segoe UI" w:cs="Segoe UI"/>
          <w:color w:val="333333"/>
          <w:shd w:val="clear" w:color="auto" w:fill="FFFFFF"/>
        </w:rPr>
      </w:pPr>
    </w:p>
    <w:p>
      <w:pPr>
        <w:pStyle w:val="7"/>
        <w:numPr>
          <w:numId w:val="0"/>
        </w:numPr>
        <w:spacing w:after="0" w:line="480" w:lineRule="auto"/>
        <w:rPr>
          <w:rFonts w:ascii="Segoe UI" w:hAnsi="Segoe UI" w:cs="Segoe UI"/>
          <w:color w:val="333333"/>
          <w:shd w:val="clear" w:color="auto" w:fill="FFFFFF"/>
        </w:rPr>
      </w:pPr>
    </w:p>
    <w:p>
      <w:pPr>
        <w:rPr>
          <w:sz w:val="24"/>
          <w:szCs w:val="24"/>
        </w:rPr>
      </w:pPr>
      <w:r>
        <w:rPr>
          <w:sz w:val="24"/>
          <w:szCs w:val="24"/>
        </w:rPr>
        <w:t xml:space="preserve"> </w:t>
      </w:r>
      <w:r>
        <w:rPr>
          <w:color w:val="FF0000"/>
          <w:sz w:val="24"/>
          <w:szCs w:val="24"/>
        </w:rPr>
        <w:t xml:space="preserve"> Tabela 1</w:t>
      </w:r>
      <w:r>
        <w:rPr>
          <w:sz w:val="24"/>
          <w:szCs w:val="24"/>
        </w:rPr>
        <w:t>: Normalni dijametri pojedinih segmenata aorte</w:t>
      </w:r>
    </w:p>
    <w:tbl>
      <w:tblPr>
        <w:tblStyle w:val="5"/>
        <w:tblpPr w:leftFromText="180" w:rightFromText="180" w:vertAnchor="text" w:horzAnchor="margin" w:tblpXSpec="center" w:tblpY="163"/>
        <w:tblOverlap w:val="never"/>
        <w:tblW w:w="5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22"/>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3422" w:type="dxa"/>
            <w:vAlign w:val="center"/>
          </w:tcPr>
          <w:p>
            <w:pPr>
              <w:spacing w:after="0" w:line="320" w:lineRule="exact"/>
              <w:jc w:val="center"/>
              <w:rPr>
                <w:rFonts w:ascii="Times New Roman" w:hAnsi="Times New Roman" w:cs="Times New Roman"/>
                <w:b/>
                <w:bCs/>
                <w:lang w:val="sr-Latn-BA"/>
              </w:rPr>
            </w:pPr>
            <w:r>
              <w:rPr>
                <w:rFonts w:ascii="Times New Roman" w:hAnsi="Times New Roman" w:cs="Times New Roman"/>
                <w:b/>
                <w:bCs/>
                <w:lang w:val="sr-Latn-BA"/>
              </w:rPr>
              <w:t>Segment aorte</w:t>
            </w:r>
          </w:p>
        </w:tc>
        <w:tc>
          <w:tcPr>
            <w:tcW w:w="2242" w:type="dxa"/>
            <w:vAlign w:val="center"/>
          </w:tcPr>
          <w:p>
            <w:pPr>
              <w:spacing w:after="0" w:line="320" w:lineRule="exact"/>
              <w:jc w:val="center"/>
              <w:rPr>
                <w:rFonts w:ascii="Times New Roman" w:hAnsi="Times New Roman" w:cs="Times New Roman"/>
                <w:b/>
                <w:lang w:val="bs-Latn-BA"/>
              </w:rPr>
            </w:pPr>
            <w:r>
              <w:rPr>
                <w:rFonts w:ascii="Times New Roman" w:hAnsi="Times New Roman" w:cs="Times New Roman"/>
                <w:b/>
                <w:lang w:val="sr-Latn-BA"/>
              </w:rPr>
              <w:t>Normalan dijametar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3422" w:type="dxa"/>
            <w:vAlign w:val="center"/>
          </w:tcPr>
          <w:p>
            <w:pPr>
              <w:spacing w:after="0" w:line="320" w:lineRule="exact"/>
              <w:jc w:val="center"/>
              <w:rPr>
                <w:rFonts w:ascii="Times New Roman" w:hAnsi="Times New Roman" w:cs="Times New Roman"/>
                <w:b/>
                <w:bCs/>
                <w:lang w:val="sr-Latn-BA"/>
              </w:rPr>
            </w:pPr>
          </w:p>
          <w:p>
            <w:pPr>
              <w:spacing w:after="0" w:line="320" w:lineRule="exact"/>
              <w:jc w:val="center"/>
              <w:rPr>
                <w:rFonts w:ascii="Times New Roman" w:hAnsi="Times New Roman" w:cs="Times New Roman"/>
                <w:b/>
                <w:bCs/>
                <w:lang w:val="sr-Latn-BA"/>
              </w:rPr>
            </w:pPr>
            <w:r>
              <w:rPr>
                <w:rFonts w:ascii="Times New Roman" w:hAnsi="Times New Roman" w:cs="Times New Roman"/>
                <w:b/>
                <w:bCs/>
                <w:lang w:val="sr-Latn-BA"/>
              </w:rPr>
              <w:t>Korijen aorte</w:t>
            </w:r>
          </w:p>
        </w:tc>
        <w:tc>
          <w:tcPr>
            <w:tcW w:w="2242" w:type="dxa"/>
            <w:vAlign w:val="center"/>
          </w:tcPr>
          <w:p>
            <w:p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rPr>
              <w:t xml:space="preserve">29-45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3422" w:type="dxa"/>
            <w:vAlign w:val="center"/>
          </w:tcPr>
          <w:p>
            <w:pPr>
              <w:spacing w:after="0" w:line="320" w:lineRule="exact"/>
              <w:jc w:val="center"/>
              <w:rPr>
                <w:rFonts w:ascii="Times New Roman" w:hAnsi="Times New Roman" w:cs="Times New Roman"/>
                <w:b/>
                <w:bCs/>
                <w:lang w:val="sr-Latn-BA"/>
              </w:rPr>
            </w:pPr>
          </w:p>
          <w:p>
            <w:pPr>
              <w:spacing w:after="0" w:line="320" w:lineRule="exact"/>
              <w:jc w:val="center"/>
              <w:rPr>
                <w:rFonts w:ascii="Times New Roman" w:hAnsi="Times New Roman" w:cs="Times New Roman"/>
                <w:b/>
                <w:bCs/>
                <w:lang w:val="sr-Latn-BA"/>
              </w:rPr>
            </w:pPr>
            <w:r>
              <w:rPr>
                <w:rFonts w:ascii="Times New Roman" w:hAnsi="Times New Roman" w:cs="Times New Roman"/>
                <w:b/>
                <w:bCs/>
                <w:lang w:val="sr-Latn-BA"/>
              </w:rPr>
              <w:t>Sinotubularni spoj</w:t>
            </w:r>
          </w:p>
        </w:tc>
        <w:tc>
          <w:tcPr>
            <w:tcW w:w="2242" w:type="dxa"/>
            <w:vAlign w:val="center"/>
          </w:tcPr>
          <w:p>
            <w:p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lang w:val="sr-Latn-BA"/>
              </w:rPr>
              <w:t xml:space="preserve">22-36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3422" w:type="dxa"/>
            <w:vAlign w:val="center"/>
          </w:tcPr>
          <w:p>
            <w:pPr>
              <w:spacing w:after="0" w:line="320" w:lineRule="exact"/>
              <w:jc w:val="center"/>
              <w:rPr>
                <w:rFonts w:ascii="Times New Roman" w:hAnsi="Times New Roman" w:cs="Times New Roman"/>
                <w:b/>
                <w:bCs/>
                <w:lang w:val="sr-Latn-BA"/>
              </w:rPr>
            </w:pPr>
            <w:r>
              <w:rPr>
                <w:rFonts w:ascii="Times New Roman" w:hAnsi="Times New Roman" w:cs="Times New Roman"/>
                <w:b/>
                <w:bCs/>
                <w:lang w:val="sr-Latn-BA"/>
              </w:rPr>
              <w:t>Ascendentna aorta</w:t>
            </w:r>
          </w:p>
        </w:tc>
        <w:tc>
          <w:tcPr>
            <w:tcW w:w="2242" w:type="dxa"/>
            <w:vAlign w:val="center"/>
          </w:tcPr>
          <w:p>
            <w:p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lang w:val="sr-Latn-BA"/>
              </w:rPr>
              <w:t>22-36</w:t>
            </w:r>
          </w:p>
        </w:tc>
      </w:tr>
    </w:tbl>
    <w:p/>
    <w:p/>
    <w:p>
      <w:pPr>
        <w:jc w:val="both"/>
      </w:pPr>
    </w:p>
    <w:p>
      <w:pPr>
        <w:jc w:val="both"/>
      </w:pPr>
    </w:p>
    <w:p>
      <w:pPr>
        <w:jc w:val="both"/>
      </w:pPr>
    </w:p>
    <w:p>
      <w:pPr>
        <w:jc w:val="both"/>
      </w:pPr>
    </w:p>
    <w:p>
      <w:pPr>
        <w:jc w:val="both"/>
      </w:pPr>
    </w:p>
    <w:p>
      <w:pPr>
        <w:jc w:val="both"/>
      </w:pPr>
    </w:p>
    <w:p>
      <w:pPr>
        <w:jc w:val="both"/>
        <w:rPr>
          <w:rFonts w:hint="default" w:ascii="Times New Roman" w:hAnsi="Times New Roman" w:cs="Times New Roman"/>
          <w:sz w:val="24"/>
          <w:szCs w:val="24"/>
        </w:rPr>
      </w:pPr>
      <w:r>
        <w:rPr>
          <w:rFonts w:hint="default" w:ascii="Times New Roman" w:hAnsi="Times New Roman" w:cs="Times New Roman"/>
          <w:color w:val="FF0000"/>
          <w:sz w:val="24"/>
          <w:szCs w:val="24"/>
        </w:rPr>
        <w:t>Tabela 2</w:t>
      </w:r>
      <w:r>
        <w:rPr>
          <w:rFonts w:hint="default" w:ascii="Times New Roman" w:hAnsi="Times New Roman" w:cs="Times New Roman"/>
          <w:sz w:val="24"/>
          <w:szCs w:val="24"/>
        </w:rPr>
        <w:t>:  Ispitivani parametri</w:t>
      </w:r>
    </w:p>
    <w:tbl>
      <w:tblPr>
        <w:tblStyle w:val="5"/>
        <w:tblpPr w:leftFromText="180" w:rightFromText="180" w:vertAnchor="text" w:horzAnchor="page" w:tblpX="2316" w:tblpY="140"/>
        <w:tblOverlap w:val="never"/>
        <w:tblW w:w="9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22"/>
        <w:gridCol w:w="2242"/>
        <w:gridCol w:w="2088"/>
        <w:gridCol w:w="1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3422" w:type="dxa"/>
            <w:vAlign w:val="center"/>
          </w:tcPr>
          <w:p>
            <w:pPr>
              <w:spacing w:after="0" w:line="320" w:lineRule="exact"/>
              <w:jc w:val="center"/>
              <w:rPr>
                <w:rFonts w:ascii="Times New Roman" w:hAnsi="Times New Roman" w:cs="Times New Roman"/>
                <w:b/>
                <w:bCs/>
                <w:lang w:val="sr-Latn-BA"/>
              </w:rPr>
            </w:pPr>
            <w:r>
              <w:rPr>
                <w:rFonts w:ascii="Times New Roman" w:hAnsi="Times New Roman" w:cs="Times New Roman"/>
                <w:b/>
                <w:bCs/>
                <w:lang w:val="sr-Latn-BA"/>
              </w:rPr>
              <w:t>Parametar</w:t>
            </w:r>
          </w:p>
        </w:tc>
        <w:tc>
          <w:tcPr>
            <w:tcW w:w="2242" w:type="dxa"/>
            <w:vAlign w:val="center"/>
          </w:tcPr>
          <w:p>
            <w:pPr>
              <w:spacing w:after="0" w:line="320" w:lineRule="exact"/>
              <w:jc w:val="center"/>
              <w:rPr>
                <w:rFonts w:ascii="Times New Roman" w:hAnsi="Times New Roman" w:cs="Times New Roman"/>
                <w:lang w:val="bs-Latn-BA"/>
              </w:rPr>
            </w:pPr>
            <w:r>
              <w:rPr>
                <w:rFonts w:ascii="Times New Roman" w:hAnsi="Times New Roman" w:cs="Times New Roman"/>
                <w:lang w:val="sr-Latn-BA"/>
              </w:rPr>
              <w:t>Pacijenti sa BAV (48)</w:t>
            </w:r>
          </w:p>
        </w:tc>
        <w:tc>
          <w:tcPr>
            <w:tcW w:w="2088" w:type="dxa"/>
            <w:vAlign w:val="center"/>
          </w:tcPr>
          <w:p>
            <w:pPr>
              <w:spacing w:after="0" w:line="320" w:lineRule="exact"/>
              <w:jc w:val="center"/>
              <w:rPr>
                <w:rFonts w:ascii="Times New Roman" w:hAnsi="Times New Roman" w:cs="Times New Roman"/>
                <w:lang w:val="sr-Latn-BA"/>
              </w:rPr>
            </w:pPr>
            <w:r>
              <w:rPr>
                <w:rFonts w:ascii="Times New Roman" w:hAnsi="Times New Roman" w:cs="Times New Roman"/>
                <w:lang w:val="sr-Latn-BA"/>
              </w:rPr>
              <w:t>Pacijenti sa trolisnom AV (42)</w:t>
            </w:r>
          </w:p>
        </w:tc>
        <w:tc>
          <w:tcPr>
            <w:tcW w:w="1783" w:type="dxa"/>
            <w:vAlign w:val="center"/>
          </w:tcPr>
          <w:p>
            <w:pPr>
              <w:spacing w:after="0" w:line="320" w:lineRule="exact"/>
              <w:jc w:val="center"/>
              <w:rPr>
                <w:rFonts w:ascii="Times New Roman" w:hAnsi="Times New Roman" w:cs="Times New Roman"/>
                <w:lang w:val="sr-Latn-BA"/>
              </w:rPr>
            </w:pPr>
            <w:r>
              <w:rPr>
                <w:rFonts w:ascii="Times New Roman" w:hAnsi="Times New Roman" w:cs="Times New Roman"/>
                <w:lang w:val="sr-Latn-BA"/>
              </w:rPr>
              <w:t>p - vrijednost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3422" w:type="dxa"/>
            <w:vAlign w:val="center"/>
          </w:tcPr>
          <w:p>
            <w:pPr>
              <w:spacing w:after="0" w:line="320" w:lineRule="exact"/>
              <w:jc w:val="center"/>
              <w:rPr>
                <w:rFonts w:ascii="Times New Roman" w:hAnsi="Times New Roman" w:cs="Times New Roman"/>
                <w:b/>
                <w:bCs/>
                <w:lang w:val="sr-Latn-BA"/>
              </w:rPr>
            </w:pPr>
          </w:p>
          <w:p>
            <w:pPr>
              <w:spacing w:after="0" w:line="320" w:lineRule="exact"/>
              <w:jc w:val="center"/>
              <w:rPr>
                <w:rFonts w:ascii="Times New Roman" w:hAnsi="Times New Roman" w:cs="Times New Roman"/>
                <w:b/>
                <w:bCs/>
                <w:lang w:val="sr-Latn-BA"/>
              </w:rPr>
            </w:pPr>
            <w:r>
              <w:rPr>
                <w:rFonts w:ascii="Times New Roman" w:hAnsi="Times New Roman" w:cs="Times New Roman"/>
                <w:b/>
                <w:bCs/>
                <w:lang w:val="sr-Latn-BA"/>
              </w:rPr>
              <w:t>Dob pacijenta (godine)</w:t>
            </w:r>
          </w:p>
          <w:p>
            <w:pPr>
              <w:spacing w:after="0" w:line="320" w:lineRule="exact"/>
              <w:jc w:val="center"/>
              <w:rPr>
                <w:rFonts w:ascii="Times New Roman" w:hAnsi="Times New Roman" w:cs="Times New Roman"/>
                <w:b/>
                <w:bCs/>
                <w:lang w:val="sr-Latn-BA"/>
              </w:rPr>
            </w:pPr>
          </w:p>
        </w:tc>
        <w:tc>
          <w:tcPr>
            <w:tcW w:w="2242" w:type="dxa"/>
            <w:vAlign w:val="center"/>
          </w:tcPr>
          <w:p>
            <w:p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rPr>
              <w:t>52±14,5</w:t>
            </w:r>
          </w:p>
        </w:tc>
        <w:tc>
          <w:tcPr>
            <w:tcW w:w="2088" w:type="dxa"/>
            <w:vAlign w:val="center"/>
          </w:tcPr>
          <w:p>
            <w:p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lang w:val="sr-Latn-BA"/>
              </w:rPr>
              <w:t>60</w:t>
            </w:r>
            <w:r>
              <w:rPr>
                <w:rFonts w:ascii="Times New Roman" w:hAnsi="Times New Roman" w:cs="Times New Roman"/>
                <w:sz w:val="24"/>
                <w:szCs w:val="24"/>
              </w:rPr>
              <w:t xml:space="preserve"> ± 15</w:t>
            </w:r>
          </w:p>
        </w:tc>
        <w:tc>
          <w:tcPr>
            <w:tcW w:w="1783" w:type="dxa"/>
            <w:vAlign w:val="center"/>
          </w:tcPr>
          <w:p>
            <w:pPr>
              <w:spacing w:after="0" w:line="320" w:lineRule="exact"/>
              <w:jc w:val="center"/>
              <w:rPr>
                <w:rFonts w:ascii="Times New Roman" w:hAnsi="Times New Roman" w:cs="Times New Roman"/>
                <w:lang w:val="sr-Latn-BA"/>
              </w:rPr>
            </w:pPr>
            <w:r>
              <w:rPr>
                <w:rFonts w:ascii="Arial" w:hAnsi="Arial" w:cs="Arial"/>
                <w:b/>
                <w:bCs/>
                <w:color w:val="202124"/>
                <w:shd w:val="clear" w:color="auto" w:fill="FFFFFF"/>
              </w:rPr>
              <w:t>≤ 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3422" w:type="dxa"/>
            <w:vAlign w:val="center"/>
          </w:tcPr>
          <w:p>
            <w:pPr>
              <w:spacing w:after="0" w:line="320" w:lineRule="exact"/>
              <w:jc w:val="center"/>
              <w:rPr>
                <w:rFonts w:ascii="Times New Roman" w:hAnsi="Times New Roman" w:cs="Times New Roman"/>
                <w:b/>
                <w:bCs/>
                <w:lang w:val="sr-Latn-BA"/>
              </w:rPr>
            </w:pPr>
          </w:p>
          <w:p>
            <w:pPr>
              <w:spacing w:after="0" w:line="320" w:lineRule="exact"/>
              <w:jc w:val="center"/>
              <w:rPr>
                <w:rFonts w:ascii="Times New Roman" w:hAnsi="Times New Roman" w:cs="Times New Roman"/>
                <w:b/>
                <w:bCs/>
                <w:lang w:val="sr-Latn-BA"/>
              </w:rPr>
            </w:pPr>
            <w:r>
              <w:rPr>
                <w:rFonts w:ascii="Times New Roman" w:hAnsi="Times New Roman" w:cs="Times New Roman"/>
                <w:b/>
                <w:bCs/>
                <w:lang w:val="sr-Latn-BA"/>
              </w:rPr>
              <w:t>Hipertenzija (br)</w:t>
            </w:r>
          </w:p>
          <w:p>
            <w:pPr>
              <w:spacing w:after="0" w:line="320" w:lineRule="exact"/>
              <w:jc w:val="center"/>
              <w:rPr>
                <w:rFonts w:ascii="Times New Roman" w:hAnsi="Times New Roman" w:cs="Times New Roman"/>
                <w:b/>
                <w:bCs/>
                <w:lang w:val="sr-Latn-BA"/>
              </w:rPr>
            </w:pPr>
          </w:p>
        </w:tc>
        <w:tc>
          <w:tcPr>
            <w:tcW w:w="2242" w:type="dxa"/>
            <w:vAlign w:val="center"/>
          </w:tcPr>
          <w:p>
            <w:p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lang w:val="sr-Latn-BA"/>
              </w:rPr>
              <w:t>30 (62,5%)</w:t>
            </w:r>
          </w:p>
        </w:tc>
        <w:tc>
          <w:tcPr>
            <w:tcW w:w="2088" w:type="dxa"/>
            <w:vAlign w:val="center"/>
          </w:tcPr>
          <w:p>
            <w:p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lang w:val="sr-Latn-BA"/>
              </w:rPr>
              <w:t>29 (69%)</w:t>
            </w:r>
          </w:p>
        </w:tc>
        <w:tc>
          <w:tcPr>
            <w:tcW w:w="1783" w:type="dxa"/>
            <w:vAlign w:val="center"/>
          </w:tcPr>
          <w:p>
            <w:pPr>
              <w:spacing w:after="0" w:line="320" w:lineRule="exact"/>
              <w:jc w:val="center"/>
              <w:rPr>
                <w:rFonts w:ascii="Times New Roman" w:hAnsi="Times New Roman" w:cs="Times New Roman"/>
                <w:lang w:val="sr-Latn-BA"/>
              </w:rPr>
            </w:pPr>
            <w:r>
              <w:rPr>
                <w:rFonts w:ascii="Arial" w:hAnsi="Arial" w:cs="Arial"/>
                <w:b/>
                <w:bCs/>
                <w:color w:val="202124"/>
                <w:shd w:val="clear" w:color="auto" w:fill="FFFFFF"/>
              </w:rPr>
              <w:t>&gt; 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3422" w:type="dxa"/>
            <w:vAlign w:val="center"/>
          </w:tcPr>
          <w:p>
            <w:pPr>
              <w:spacing w:after="0" w:line="320" w:lineRule="exact"/>
              <w:jc w:val="center"/>
              <w:rPr>
                <w:rFonts w:ascii="Times New Roman" w:hAnsi="Times New Roman" w:cs="Times New Roman"/>
                <w:b/>
                <w:bCs/>
                <w:lang w:val="sr-Latn-BA"/>
              </w:rPr>
            </w:pPr>
            <w:r>
              <w:rPr>
                <w:rFonts w:ascii="Times New Roman" w:hAnsi="Times New Roman" w:cs="Times New Roman"/>
                <w:b/>
                <w:bCs/>
                <w:lang w:val="sr-Latn-BA"/>
              </w:rPr>
              <w:t>Dijametar aorte na nivou Valsalvinih sinusa (mm)</w:t>
            </w:r>
          </w:p>
        </w:tc>
        <w:tc>
          <w:tcPr>
            <w:tcW w:w="2242" w:type="dxa"/>
            <w:vAlign w:val="center"/>
          </w:tcPr>
          <w:p>
            <w:p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lang w:val="sr-Latn-BA"/>
              </w:rPr>
              <w:t>45</w:t>
            </w:r>
            <w:r>
              <w:rPr>
                <w:rFonts w:ascii="Times New Roman" w:hAnsi="Times New Roman" w:cs="Times New Roman"/>
                <w:sz w:val="24"/>
                <w:szCs w:val="24"/>
              </w:rPr>
              <w:t xml:space="preserve"> ±6</w:t>
            </w:r>
          </w:p>
        </w:tc>
        <w:tc>
          <w:tcPr>
            <w:tcW w:w="2088" w:type="dxa"/>
            <w:vAlign w:val="center"/>
          </w:tcPr>
          <w:p>
            <w:p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lang w:val="sr-Latn-BA"/>
              </w:rPr>
              <w:t>38</w:t>
            </w:r>
            <w:r>
              <w:rPr>
                <w:rFonts w:ascii="Times New Roman" w:hAnsi="Times New Roman" w:cs="Times New Roman"/>
                <w:sz w:val="24"/>
                <w:szCs w:val="24"/>
              </w:rPr>
              <w:t xml:space="preserve"> ±5</w:t>
            </w:r>
          </w:p>
        </w:tc>
        <w:tc>
          <w:tcPr>
            <w:tcW w:w="1783" w:type="dxa"/>
            <w:vAlign w:val="center"/>
          </w:tcPr>
          <w:p>
            <w:pPr>
              <w:spacing w:after="0" w:line="320" w:lineRule="exact"/>
              <w:jc w:val="center"/>
              <w:rPr>
                <w:rFonts w:ascii="Times New Roman" w:hAnsi="Times New Roman" w:cs="Times New Roman"/>
                <w:lang w:val="sr-Latn-BA"/>
              </w:rPr>
            </w:pPr>
            <w:r>
              <w:rPr>
                <w:rFonts w:ascii="Arial" w:hAnsi="Arial" w:cs="Arial"/>
                <w:b/>
                <w:bCs/>
                <w:color w:val="202124"/>
                <w:shd w:val="clear" w:color="auto" w:fill="FFFFFF"/>
              </w:rPr>
              <w:t>≤ 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3422" w:type="dxa"/>
            <w:vAlign w:val="center"/>
          </w:tcPr>
          <w:p>
            <w:pPr>
              <w:spacing w:after="0" w:line="320" w:lineRule="exact"/>
              <w:jc w:val="center"/>
              <w:rPr>
                <w:rFonts w:ascii="Times New Roman" w:hAnsi="Times New Roman" w:cs="Times New Roman"/>
                <w:b/>
                <w:bCs/>
                <w:lang w:val="sr-Latn-BA"/>
              </w:rPr>
            </w:pPr>
            <w:r>
              <w:rPr>
                <w:rFonts w:ascii="Times New Roman" w:hAnsi="Times New Roman" w:cs="Times New Roman"/>
                <w:b/>
                <w:bCs/>
                <w:lang w:val="sr-Latn-BA"/>
              </w:rPr>
              <w:t>Dijametar sinotubularnog spoja (mm)</w:t>
            </w:r>
          </w:p>
        </w:tc>
        <w:tc>
          <w:tcPr>
            <w:tcW w:w="2242" w:type="dxa"/>
            <w:vAlign w:val="center"/>
          </w:tcPr>
          <w:p>
            <w:p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lang w:val="sr-Latn-BA"/>
              </w:rPr>
              <w:t>36</w:t>
            </w:r>
            <w:r>
              <w:rPr>
                <w:rFonts w:ascii="Times New Roman" w:hAnsi="Times New Roman" w:cs="Times New Roman"/>
                <w:sz w:val="24"/>
                <w:szCs w:val="24"/>
              </w:rPr>
              <w:t xml:space="preserve"> ±5</w:t>
            </w:r>
          </w:p>
        </w:tc>
        <w:tc>
          <w:tcPr>
            <w:tcW w:w="2088" w:type="dxa"/>
            <w:vAlign w:val="center"/>
          </w:tcPr>
          <w:p>
            <w:pPr>
              <w:pStyle w:val="6"/>
              <w:numPr>
                <w:ilvl w:val="0"/>
                <w:numId w:val="3"/>
              </w:num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rPr>
              <w:t>±5</w:t>
            </w:r>
          </w:p>
        </w:tc>
        <w:tc>
          <w:tcPr>
            <w:tcW w:w="1783" w:type="dxa"/>
            <w:vAlign w:val="center"/>
          </w:tcPr>
          <w:p>
            <w:pPr>
              <w:spacing w:after="0" w:line="320" w:lineRule="exact"/>
              <w:ind w:left="360"/>
              <w:rPr>
                <w:rFonts w:ascii="Times New Roman" w:hAnsi="Times New Roman" w:cs="Times New Roman"/>
              </w:rPr>
            </w:pPr>
            <w:r>
              <w:rPr>
                <w:rFonts w:ascii="Arial" w:hAnsi="Arial" w:cs="Arial"/>
                <w:b/>
                <w:bCs/>
                <w:color w:val="202124"/>
                <w:shd w:val="clear" w:color="auto" w:fill="FFFFFF"/>
              </w:rPr>
              <w:t xml:space="preserve">    &gt; 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3422" w:type="dxa"/>
            <w:vAlign w:val="center"/>
          </w:tcPr>
          <w:p>
            <w:pPr>
              <w:spacing w:after="0" w:line="320" w:lineRule="exact"/>
              <w:jc w:val="center"/>
              <w:rPr>
                <w:rFonts w:ascii="Times New Roman" w:hAnsi="Times New Roman" w:cs="Times New Roman"/>
                <w:b/>
                <w:bCs/>
                <w:lang w:val="sr-Latn-BA"/>
              </w:rPr>
            </w:pPr>
            <w:r>
              <w:rPr>
                <w:rFonts w:ascii="Times New Roman" w:hAnsi="Times New Roman" w:cs="Times New Roman"/>
                <w:b/>
                <w:bCs/>
                <w:lang w:val="sr-Latn-BA"/>
              </w:rPr>
              <w:t>Dijametar ascendentne aorte (mm)</w:t>
            </w:r>
          </w:p>
        </w:tc>
        <w:tc>
          <w:tcPr>
            <w:tcW w:w="2242" w:type="dxa"/>
            <w:vAlign w:val="center"/>
          </w:tcPr>
          <w:p>
            <w:p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lang w:val="sr-Latn-BA"/>
              </w:rPr>
              <w:t>36</w:t>
            </w:r>
            <w:r>
              <w:rPr>
                <w:rFonts w:ascii="Times New Roman" w:hAnsi="Times New Roman" w:cs="Times New Roman"/>
                <w:sz w:val="24"/>
                <w:szCs w:val="24"/>
              </w:rPr>
              <w:t xml:space="preserve"> ±6</w:t>
            </w:r>
          </w:p>
        </w:tc>
        <w:tc>
          <w:tcPr>
            <w:tcW w:w="2088" w:type="dxa"/>
            <w:vAlign w:val="center"/>
          </w:tcPr>
          <w:p>
            <w:pPr>
              <w:spacing w:after="0" w:line="320" w:lineRule="exact"/>
              <w:jc w:val="center"/>
              <w:rPr>
                <w:rFonts w:ascii="Times New Roman" w:hAnsi="Times New Roman" w:cs="Times New Roman"/>
                <w:sz w:val="24"/>
                <w:szCs w:val="24"/>
                <w:lang w:val="sr-Latn-BA"/>
              </w:rPr>
            </w:pPr>
            <w:r>
              <w:rPr>
                <w:rFonts w:ascii="Times New Roman" w:hAnsi="Times New Roman" w:cs="Times New Roman"/>
                <w:sz w:val="24"/>
                <w:szCs w:val="24"/>
                <w:lang w:val="sr-Latn-BA"/>
              </w:rPr>
              <w:t>36</w:t>
            </w:r>
            <w:r>
              <w:rPr>
                <w:rFonts w:ascii="Times New Roman" w:hAnsi="Times New Roman" w:cs="Times New Roman"/>
                <w:sz w:val="24"/>
                <w:szCs w:val="24"/>
              </w:rPr>
              <w:t xml:space="preserve"> ±6</w:t>
            </w:r>
          </w:p>
        </w:tc>
        <w:tc>
          <w:tcPr>
            <w:tcW w:w="1783" w:type="dxa"/>
            <w:vAlign w:val="center"/>
          </w:tcPr>
          <w:p>
            <w:pPr>
              <w:spacing w:after="0" w:line="320" w:lineRule="exact"/>
              <w:rPr>
                <w:rFonts w:ascii="Times New Roman" w:hAnsi="Times New Roman" w:cs="Times New Roman"/>
                <w:lang w:val="sr-Latn-BA"/>
              </w:rPr>
            </w:pPr>
            <w:bookmarkStart w:id="0" w:name="_Hlk94824585"/>
            <w:r>
              <w:rPr>
                <w:rFonts w:ascii="Arial" w:hAnsi="Arial" w:cs="Arial"/>
                <w:b/>
                <w:bCs/>
                <w:color w:val="202124"/>
                <w:shd w:val="clear" w:color="auto" w:fill="FFFFFF"/>
              </w:rPr>
              <w:t xml:space="preserve">          &gt; 0.05</w:t>
            </w:r>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3422" w:type="dxa"/>
            <w:vAlign w:val="center"/>
          </w:tcPr>
          <w:p>
            <w:pPr>
              <w:spacing w:after="0" w:line="320" w:lineRule="exact"/>
              <w:jc w:val="center"/>
              <w:rPr>
                <w:rFonts w:ascii="Times New Roman" w:hAnsi="Times New Roman" w:cs="Times New Roman"/>
                <w:b/>
                <w:bCs/>
                <w:lang w:val="sr-Latn-BA"/>
              </w:rPr>
            </w:pPr>
          </w:p>
          <w:p>
            <w:pPr>
              <w:spacing w:after="0" w:line="320" w:lineRule="exact"/>
              <w:jc w:val="center"/>
              <w:rPr>
                <w:rFonts w:ascii="Times New Roman" w:hAnsi="Times New Roman" w:cs="Times New Roman"/>
                <w:b/>
                <w:bCs/>
                <w:lang w:val="sr-Latn-BA"/>
              </w:rPr>
            </w:pPr>
            <w:r>
              <w:rPr>
                <w:rFonts w:ascii="Times New Roman" w:hAnsi="Times New Roman" w:cs="Times New Roman"/>
                <w:b/>
                <w:bCs/>
                <w:lang w:val="sr-Latn-BA"/>
              </w:rPr>
              <w:t>Disekcija aorte na nivou korijena aorte (br)</w:t>
            </w:r>
          </w:p>
          <w:p>
            <w:pPr>
              <w:spacing w:after="0" w:line="320" w:lineRule="exact"/>
              <w:jc w:val="center"/>
              <w:rPr>
                <w:rFonts w:ascii="Times New Roman" w:hAnsi="Times New Roman" w:cs="Times New Roman"/>
                <w:b/>
                <w:bCs/>
                <w:lang w:val="sr-Latn-BA"/>
              </w:rPr>
            </w:pPr>
          </w:p>
        </w:tc>
        <w:tc>
          <w:tcPr>
            <w:tcW w:w="2242" w:type="dxa"/>
            <w:vAlign w:val="center"/>
          </w:tcPr>
          <w:p>
            <w:pPr>
              <w:spacing w:after="0" w:line="320" w:lineRule="exact"/>
              <w:jc w:val="center"/>
              <w:rPr>
                <w:rFonts w:ascii="Times New Roman" w:hAnsi="Times New Roman" w:cs="Times New Roman"/>
                <w:lang w:val="sr-Latn-BA"/>
              </w:rPr>
            </w:pPr>
            <w:r>
              <w:rPr>
                <w:rFonts w:ascii="Times New Roman" w:hAnsi="Times New Roman" w:cs="Times New Roman"/>
                <w:lang w:val="sr-Latn-BA"/>
              </w:rPr>
              <w:t>3</w:t>
            </w:r>
          </w:p>
        </w:tc>
        <w:tc>
          <w:tcPr>
            <w:tcW w:w="2088" w:type="dxa"/>
            <w:vAlign w:val="center"/>
          </w:tcPr>
          <w:p>
            <w:pPr>
              <w:spacing w:after="0" w:line="320" w:lineRule="exact"/>
              <w:jc w:val="center"/>
              <w:rPr>
                <w:rFonts w:ascii="Times New Roman" w:hAnsi="Times New Roman" w:cs="Times New Roman"/>
                <w:lang w:val="sr-Latn-BA"/>
              </w:rPr>
            </w:pPr>
            <w:r>
              <w:rPr>
                <w:rFonts w:ascii="Times New Roman" w:hAnsi="Times New Roman" w:cs="Times New Roman"/>
                <w:lang w:val="sr-Latn-BA"/>
              </w:rPr>
              <w:t>1</w:t>
            </w:r>
          </w:p>
        </w:tc>
        <w:tc>
          <w:tcPr>
            <w:tcW w:w="1783" w:type="dxa"/>
            <w:vAlign w:val="center"/>
          </w:tcPr>
          <w:p>
            <w:pPr>
              <w:spacing w:after="0" w:line="320" w:lineRule="exact"/>
              <w:rPr>
                <w:rFonts w:ascii="Times New Roman" w:hAnsi="Times New Roman" w:cs="Times New Roman"/>
                <w:lang w:val="sr-Latn-BA"/>
              </w:rPr>
            </w:pPr>
            <w:r>
              <w:rPr>
                <w:rFonts w:ascii="Arial" w:hAnsi="Arial" w:cs="Arial"/>
                <w:b/>
                <w:bCs/>
                <w:color w:val="202124"/>
                <w:shd w:val="clear" w:color="auto" w:fill="FFFFFF"/>
              </w:rPr>
              <w:t xml:space="preserve">          &gt; 0.05</w:t>
            </w:r>
          </w:p>
        </w:tc>
      </w:tr>
    </w:tbl>
    <w:p>
      <w:pPr>
        <w:pStyle w:val="7"/>
        <w:numPr>
          <w:numId w:val="0"/>
        </w:numPr>
        <w:spacing w:after="0" w:line="480" w:lineRule="auto"/>
        <w:rPr>
          <w:rFonts w:ascii="Segoe UI" w:hAnsi="Segoe UI" w:cs="Segoe UI"/>
          <w:color w:val="333333"/>
          <w:shd w:val="clear" w:color="auto" w:fill="FFFFFF"/>
        </w:rPr>
      </w:pPr>
    </w:p>
    <w:p>
      <w:pPr>
        <w:pStyle w:val="7"/>
        <w:numPr>
          <w:numId w:val="0"/>
        </w:numPr>
        <w:spacing w:after="0" w:line="480" w:lineRule="auto"/>
        <w:rPr>
          <w:rFonts w:ascii="Segoe UI" w:hAnsi="Segoe UI" w:cs="Segoe UI"/>
          <w:color w:val="333333"/>
          <w:shd w:val="clear" w:color="auto" w:fill="FFFFFF"/>
        </w:rPr>
      </w:pPr>
    </w:p>
    <w:p/>
    <w:sectPr>
      <w:pgSz w:w="12240" w:h="15840"/>
      <w:pgMar w:top="1417" w:right="1417" w:bottom="1417" w:left="226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auto"/>
    <w:pitch w:val="default"/>
    <w:sig w:usb0="E00006FF" w:usb1="420024FF" w:usb2="02000000"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Historic">
    <w:panose1 w:val="020B0502040204020203"/>
    <w:charset w:val="00"/>
    <w:family w:val="auto"/>
    <w:pitch w:val="default"/>
    <w:sig w:usb0="800001EF" w:usb1="02000002" w:usb2="0060C080" w:usb3="00000002" w:csb0="00000001" w:csb1="40000000"/>
  </w:font>
  <w:font w:name="Sitka Display">
    <w:panose1 w:val="02000505000000020004"/>
    <w:charset w:val="00"/>
    <w:family w:val="auto"/>
    <w:pitch w:val="default"/>
    <w:sig w:usb0="A00002EF" w:usb1="4000204B"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BF340F"/>
    <w:multiLevelType w:val="singleLevel"/>
    <w:tmpl w:val="95BF340F"/>
    <w:lvl w:ilvl="0" w:tentative="0">
      <w:start w:val="1"/>
      <w:numFmt w:val="decimal"/>
      <w:suff w:val="space"/>
      <w:lvlText w:val="%1."/>
      <w:lvlJc w:val="left"/>
    </w:lvl>
  </w:abstractNum>
  <w:abstractNum w:abstractNumId="1">
    <w:nsid w:val="46CE1664"/>
    <w:multiLevelType w:val="multilevel"/>
    <w:tmpl w:val="46CE166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2E10B60"/>
    <w:multiLevelType w:val="multilevel"/>
    <w:tmpl w:val="62E10B60"/>
    <w:lvl w:ilvl="0" w:tentative="0">
      <w:start w:val="35"/>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
  <w:rsids>
    <w:rsidRoot w:val="00852EAE"/>
    <w:rsid w:val="000447FC"/>
    <w:rsid w:val="00054D5D"/>
    <w:rsid w:val="00101E6E"/>
    <w:rsid w:val="001F5583"/>
    <w:rsid w:val="002868D7"/>
    <w:rsid w:val="0049513F"/>
    <w:rsid w:val="004D61C7"/>
    <w:rsid w:val="005C386C"/>
    <w:rsid w:val="006017CA"/>
    <w:rsid w:val="00852EAE"/>
    <w:rsid w:val="00884DE5"/>
    <w:rsid w:val="0088580B"/>
    <w:rsid w:val="00936777"/>
    <w:rsid w:val="00985BE9"/>
    <w:rsid w:val="00AD4014"/>
    <w:rsid w:val="00AD4F95"/>
    <w:rsid w:val="00C86A9B"/>
    <w:rsid w:val="00C87F67"/>
    <w:rsid w:val="00C97266"/>
    <w:rsid w:val="00D32E23"/>
    <w:rsid w:val="00E110F1"/>
    <w:rsid w:val="00F6684B"/>
    <w:rsid w:val="5E0539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table" w:styleId="5">
    <w:name w:val="Table Grid"/>
    <w:basedOn w:val="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List Paragraph"/>
    <w:basedOn w:val="1"/>
    <w:qFormat/>
    <w:uiPriority w:val="34"/>
    <w:pPr>
      <w:ind w:left="720"/>
      <w:contextualSpacing/>
    </w:pPr>
  </w:style>
  <w:style w:type="paragraph" w:styleId="7">
    <w:name w:val="No Spacing"/>
    <w:qFormat/>
    <w:uiPriority w:val="1"/>
    <w:pPr>
      <w:spacing w:after="0" w:line="240"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010350-30B3-44D3-B268-A4BAD83F86CD}">
  <ds:schemaRefs/>
</ds:datastoreItem>
</file>

<file path=docProps/app.xml><?xml version="1.0" encoding="utf-8"?>
<Properties xmlns="http://schemas.openxmlformats.org/officeDocument/2006/extended-properties" xmlns:vt="http://schemas.openxmlformats.org/officeDocument/2006/docPropsVTypes">
  <Template>Normal</Template>
  <Pages>7</Pages>
  <Words>1283</Words>
  <Characters>7315</Characters>
  <Lines>60</Lines>
  <Paragraphs>17</Paragraphs>
  <TotalTime>1</TotalTime>
  <ScaleCrop>false</ScaleCrop>
  <LinksUpToDate>false</LinksUpToDate>
  <CharactersWithSpaces>8581</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2022-01-29T12:15:00Z</dcterms:created>
  <dc:creator>kacila</dc:creator>
  <cp:lastModifiedBy>User-PC</cp:lastModifiedBy>
  <dcterms:modified xsi:type="dcterms:W3CDTF">2022-02-08T20:38:26Z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0A552043992844838D04AEAF03C4041C</vt:lpwstr>
  </property>
</Properties>
</file>