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7F2D" w:rsidRDefault="00847F2D" w:rsidP="00847F2D">
      <w:pPr>
        <w:spacing w:after="0" w:line="480" w:lineRule="auto"/>
        <w:rPr>
          <w:rFonts w:ascii="Times New Roman" w:hAnsi="Times New Roman" w:cs="Times New Roman"/>
          <w:b/>
          <w:sz w:val="24"/>
          <w:szCs w:val="24"/>
        </w:rPr>
      </w:pPr>
      <w:r>
        <w:rPr>
          <w:rFonts w:ascii="Times New Roman" w:hAnsi="Times New Roman" w:cs="Times New Roman"/>
          <w:b/>
          <w:sz w:val="24"/>
          <w:szCs w:val="24"/>
        </w:rPr>
        <w:t>Univerzitet u Banjoj Luci</w:t>
      </w:r>
    </w:p>
    <w:p w:rsidR="00847F2D" w:rsidRDefault="00847F2D" w:rsidP="00847F2D">
      <w:pPr>
        <w:spacing w:after="0" w:line="480" w:lineRule="auto"/>
        <w:rPr>
          <w:rFonts w:ascii="Times New Roman" w:hAnsi="Times New Roman" w:cs="Times New Roman"/>
          <w:b/>
          <w:sz w:val="24"/>
          <w:szCs w:val="24"/>
        </w:rPr>
      </w:pPr>
      <w:r>
        <w:rPr>
          <w:rFonts w:ascii="Times New Roman" w:hAnsi="Times New Roman" w:cs="Times New Roman"/>
          <w:b/>
          <w:sz w:val="24"/>
          <w:szCs w:val="24"/>
        </w:rPr>
        <w:t xml:space="preserve">Medicinski fakultet </w:t>
      </w:r>
    </w:p>
    <w:p w:rsidR="00C24759" w:rsidRDefault="00C24759" w:rsidP="0039236D">
      <w:pPr>
        <w:spacing w:after="240" w:line="360" w:lineRule="auto"/>
        <w:rPr>
          <w:rFonts w:ascii="Times New Roman" w:hAnsi="Times New Roman" w:cs="Times New Roman"/>
          <w:b/>
          <w:sz w:val="24"/>
          <w:szCs w:val="24"/>
        </w:rPr>
      </w:pPr>
    </w:p>
    <w:p w:rsidR="00847F2D" w:rsidRDefault="00847F2D" w:rsidP="0039236D">
      <w:pPr>
        <w:spacing w:after="240" w:line="360" w:lineRule="auto"/>
        <w:rPr>
          <w:rFonts w:ascii="Times New Roman" w:hAnsi="Times New Roman" w:cs="Times New Roman"/>
          <w:b/>
          <w:sz w:val="24"/>
          <w:szCs w:val="24"/>
        </w:rPr>
      </w:pPr>
    </w:p>
    <w:p w:rsidR="00847F2D" w:rsidRPr="00847F2D" w:rsidRDefault="00847F2D" w:rsidP="0039236D">
      <w:pPr>
        <w:spacing w:after="240" w:line="360" w:lineRule="auto"/>
        <w:rPr>
          <w:rFonts w:ascii="Times New Roman" w:hAnsi="Times New Roman" w:cs="Times New Roman"/>
          <w:b/>
          <w:sz w:val="24"/>
          <w:szCs w:val="24"/>
        </w:rPr>
      </w:pPr>
    </w:p>
    <w:p w:rsidR="00C24759" w:rsidRPr="00847F2D" w:rsidRDefault="00C24759" w:rsidP="00C24759">
      <w:pPr>
        <w:spacing w:line="360" w:lineRule="auto"/>
        <w:jc w:val="center"/>
        <w:rPr>
          <w:rFonts w:ascii="Times New Roman" w:hAnsi="Times New Roman" w:cs="Times New Roman"/>
          <w:b/>
          <w:sz w:val="24"/>
          <w:szCs w:val="24"/>
        </w:rPr>
      </w:pPr>
      <w:r w:rsidRPr="00847F2D">
        <w:rPr>
          <w:rFonts w:ascii="Times New Roman" w:hAnsi="Times New Roman" w:cs="Times New Roman"/>
          <w:b/>
          <w:sz w:val="24"/>
          <w:szCs w:val="24"/>
        </w:rPr>
        <w:t>UČESTALOST I NAJČEŠĆA ETIOLOGIJA OBOSTRANE NEUROGENE PARALIZE LARINKSA</w:t>
      </w:r>
    </w:p>
    <w:p w:rsidR="00847F2D" w:rsidRDefault="00847F2D" w:rsidP="00847F2D">
      <w:pPr>
        <w:spacing w:after="0" w:line="480" w:lineRule="auto"/>
        <w:jc w:val="center"/>
        <w:rPr>
          <w:rFonts w:ascii="Times New Roman" w:hAnsi="Times New Roman" w:cs="Times New Roman"/>
          <w:b/>
          <w:bCs/>
          <w:sz w:val="24"/>
          <w:szCs w:val="24"/>
          <w:vertAlign w:val="superscript"/>
          <w:lang w:val="sr-Latn-RS"/>
        </w:rPr>
      </w:pPr>
    </w:p>
    <w:p w:rsidR="000337A2" w:rsidRDefault="000337A2" w:rsidP="00847F2D">
      <w:pPr>
        <w:spacing w:after="0" w:line="480" w:lineRule="auto"/>
        <w:jc w:val="center"/>
        <w:rPr>
          <w:rFonts w:ascii="Times New Roman" w:hAnsi="Times New Roman" w:cs="Times New Roman"/>
          <w:b/>
          <w:bCs/>
          <w:sz w:val="24"/>
          <w:szCs w:val="24"/>
          <w:vertAlign w:val="superscript"/>
          <w:lang w:val="sr-Latn-RS"/>
        </w:rPr>
      </w:pPr>
    </w:p>
    <w:p w:rsidR="000337A2" w:rsidRDefault="000337A2" w:rsidP="00847F2D">
      <w:pPr>
        <w:spacing w:after="0" w:line="480" w:lineRule="auto"/>
        <w:jc w:val="center"/>
        <w:rPr>
          <w:rFonts w:ascii="Times New Roman" w:hAnsi="Times New Roman" w:cs="Times New Roman"/>
          <w:b/>
          <w:bCs/>
          <w:sz w:val="24"/>
          <w:szCs w:val="24"/>
          <w:vertAlign w:val="superscript"/>
          <w:lang w:val="sr-Latn-RS"/>
        </w:rPr>
      </w:pPr>
    </w:p>
    <w:p w:rsidR="000337A2" w:rsidRDefault="000337A2" w:rsidP="00847F2D">
      <w:pPr>
        <w:spacing w:after="0" w:line="480" w:lineRule="auto"/>
        <w:jc w:val="center"/>
        <w:rPr>
          <w:rFonts w:ascii="Times New Roman" w:hAnsi="Times New Roman" w:cs="Times New Roman"/>
          <w:b/>
          <w:bCs/>
          <w:sz w:val="24"/>
          <w:szCs w:val="24"/>
          <w:vertAlign w:val="superscript"/>
          <w:lang w:val="sr-Latn-RS"/>
        </w:rPr>
      </w:pPr>
    </w:p>
    <w:p w:rsidR="00847F2D" w:rsidRPr="000B5D47" w:rsidRDefault="00847F2D" w:rsidP="00847F2D">
      <w:pPr>
        <w:spacing w:after="0" w:line="480" w:lineRule="auto"/>
        <w:jc w:val="center"/>
        <w:rPr>
          <w:rFonts w:ascii="Times New Roman" w:hAnsi="Times New Roman" w:cs="Times New Roman"/>
          <w:b/>
          <w:bCs/>
          <w:sz w:val="24"/>
          <w:szCs w:val="24"/>
          <w:vertAlign w:val="superscript"/>
        </w:rPr>
      </w:pPr>
    </w:p>
    <w:p w:rsidR="001C6E6E" w:rsidRDefault="001C6E6E" w:rsidP="001C6E6E">
      <w:pPr>
        <w:tabs>
          <w:tab w:val="center" w:pos="4513"/>
          <w:tab w:val="right" w:pos="9026"/>
        </w:tabs>
        <w:spacing w:after="0" w:line="480" w:lineRule="auto"/>
        <w:rPr>
          <w:rFonts w:ascii="Times New Roman" w:hAnsi="Times New Roman" w:cs="Times New Roman"/>
          <w:b/>
          <w:bCs/>
          <w:sz w:val="24"/>
          <w:szCs w:val="24"/>
        </w:rPr>
      </w:pPr>
    </w:p>
    <w:p w:rsidR="001C6E6E" w:rsidRDefault="001C6E6E" w:rsidP="001C6E6E">
      <w:pPr>
        <w:tabs>
          <w:tab w:val="center" w:pos="4513"/>
          <w:tab w:val="right" w:pos="9026"/>
        </w:tabs>
        <w:spacing w:after="0" w:line="480" w:lineRule="auto"/>
        <w:rPr>
          <w:rFonts w:ascii="Times New Roman" w:hAnsi="Times New Roman" w:cs="Times New Roman"/>
          <w:b/>
          <w:bCs/>
          <w:sz w:val="24"/>
          <w:szCs w:val="24"/>
        </w:rPr>
      </w:pPr>
    </w:p>
    <w:p w:rsidR="001C6E6E" w:rsidRDefault="001C6E6E" w:rsidP="001C6E6E">
      <w:pPr>
        <w:tabs>
          <w:tab w:val="center" w:pos="4513"/>
          <w:tab w:val="right" w:pos="9026"/>
        </w:tabs>
        <w:spacing w:after="0" w:line="480" w:lineRule="auto"/>
        <w:rPr>
          <w:rFonts w:ascii="Times New Roman" w:hAnsi="Times New Roman" w:cs="Times New Roman"/>
          <w:b/>
          <w:bCs/>
          <w:sz w:val="24"/>
          <w:szCs w:val="24"/>
        </w:rPr>
      </w:pPr>
    </w:p>
    <w:p w:rsidR="001C6E6E" w:rsidRDefault="001C6E6E" w:rsidP="001C6E6E">
      <w:pPr>
        <w:tabs>
          <w:tab w:val="center" w:pos="4513"/>
          <w:tab w:val="right" w:pos="9026"/>
        </w:tabs>
        <w:spacing w:after="0" w:line="480" w:lineRule="auto"/>
        <w:rPr>
          <w:rFonts w:ascii="Times New Roman" w:hAnsi="Times New Roman" w:cs="Times New Roman"/>
          <w:b/>
          <w:bCs/>
          <w:sz w:val="24"/>
          <w:szCs w:val="24"/>
        </w:rPr>
      </w:pPr>
    </w:p>
    <w:p w:rsidR="00920436" w:rsidRDefault="00920436" w:rsidP="001C6E6E">
      <w:pPr>
        <w:tabs>
          <w:tab w:val="center" w:pos="4513"/>
          <w:tab w:val="right" w:pos="9026"/>
        </w:tabs>
        <w:spacing w:after="0" w:line="480" w:lineRule="auto"/>
        <w:rPr>
          <w:rFonts w:ascii="Times New Roman" w:hAnsi="Times New Roman" w:cs="Times New Roman"/>
          <w:b/>
          <w:bCs/>
          <w:sz w:val="24"/>
          <w:szCs w:val="24"/>
        </w:rPr>
      </w:pPr>
    </w:p>
    <w:p w:rsidR="00920436" w:rsidRDefault="00920436" w:rsidP="001C6E6E">
      <w:pPr>
        <w:tabs>
          <w:tab w:val="center" w:pos="4513"/>
          <w:tab w:val="right" w:pos="9026"/>
        </w:tabs>
        <w:spacing w:after="0" w:line="480" w:lineRule="auto"/>
        <w:rPr>
          <w:rFonts w:ascii="Times New Roman" w:hAnsi="Times New Roman" w:cs="Times New Roman"/>
          <w:b/>
          <w:bCs/>
          <w:sz w:val="24"/>
          <w:szCs w:val="24"/>
        </w:rPr>
      </w:pPr>
    </w:p>
    <w:p w:rsidR="00920436" w:rsidRDefault="00920436" w:rsidP="001C6E6E">
      <w:pPr>
        <w:tabs>
          <w:tab w:val="center" w:pos="4513"/>
          <w:tab w:val="right" w:pos="9026"/>
        </w:tabs>
        <w:spacing w:after="0" w:line="480" w:lineRule="auto"/>
        <w:rPr>
          <w:rFonts w:ascii="Times New Roman" w:hAnsi="Times New Roman" w:cs="Times New Roman"/>
          <w:b/>
          <w:bCs/>
          <w:sz w:val="24"/>
          <w:szCs w:val="24"/>
        </w:rPr>
      </w:pPr>
    </w:p>
    <w:p w:rsidR="001C6E6E" w:rsidRDefault="001C6E6E" w:rsidP="001C6E6E">
      <w:pPr>
        <w:tabs>
          <w:tab w:val="center" w:pos="4513"/>
          <w:tab w:val="right" w:pos="9026"/>
        </w:tabs>
        <w:spacing w:after="0" w:line="480" w:lineRule="auto"/>
        <w:rPr>
          <w:rFonts w:ascii="Times New Roman" w:hAnsi="Times New Roman" w:cs="Times New Roman"/>
          <w:b/>
          <w:bCs/>
          <w:sz w:val="24"/>
          <w:szCs w:val="24"/>
        </w:rPr>
      </w:pPr>
    </w:p>
    <w:p w:rsidR="001C6E6E" w:rsidRDefault="001C6E6E" w:rsidP="001C6E6E">
      <w:pPr>
        <w:tabs>
          <w:tab w:val="center" w:pos="4513"/>
          <w:tab w:val="right" w:pos="9026"/>
        </w:tabs>
        <w:spacing w:after="0" w:line="480" w:lineRule="auto"/>
        <w:rPr>
          <w:rFonts w:ascii="Times New Roman" w:hAnsi="Times New Roman" w:cs="Times New Roman"/>
          <w:b/>
          <w:bCs/>
          <w:sz w:val="24"/>
          <w:szCs w:val="24"/>
        </w:rPr>
      </w:pPr>
    </w:p>
    <w:p w:rsidR="00847F2D" w:rsidRPr="00920436" w:rsidRDefault="0011060A" w:rsidP="0011060A">
      <w:pPr>
        <w:rPr>
          <w:rFonts w:ascii="Times New Roman" w:hAnsi="Times New Roman" w:cs="Times New Roman"/>
          <w:b/>
          <w:bCs/>
          <w:sz w:val="24"/>
          <w:szCs w:val="24"/>
        </w:rPr>
      </w:pPr>
      <w:r>
        <w:rPr>
          <w:rFonts w:ascii="Times New Roman" w:hAnsi="Times New Roman" w:cs="Times New Roman"/>
          <w:b/>
          <w:bCs/>
          <w:sz w:val="24"/>
          <w:szCs w:val="24"/>
        </w:rPr>
        <w:br w:type="page"/>
      </w:r>
    </w:p>
    <w:p w:rsidR="00847F2D" w:rsidRDefault="00847F2D" w:rsidP="00847F2D">
      <w:pPr>
        <w:jc w:val="center"/>
        <w:rPr>
          <w:rFonts w:ascii="Times New Roman" w:hAnsi="Times New Roman" w:cs="Times New Roman"/>
          <w:b/>
          <w:sz w:val="28"/>
        </w:rPr>
      </w:pPr>
    </w:p>
    <w:p w:rsidR="00C24759" w:rsidRPr="00847F2D" w:rsidRDefault="00DA2EE8" w:rsidP="00F46B04">
      <w:pPr>
        <w:spacing w:after="0" w:line="480" w:lineRule="auto"/>
        <w:rPr>
          <w:rFonts w:ascii="Times New Roman" w:hAnsi="Times New Roman" w:cs="Times New Roman"/>
          <w:b/>
          <w:sz w:val="24"/>
          <w:szCs w:val="24"/>
        </w:rPr>
      </w:pPr>
      <w:r w:rsidRPr="00847F2D">
        <w:rPr>
          <w:rFonts w:ascii="Times New Roman" w:hAnsi="Times New Roman" w:cs="Times New Roman"/>
          <w:b/>
          <w:sz w:val="24"/>
          <w:szCs w:val="24"/>
        </w:rPr>
        <w:t>Sažetak</w:t>
      </w:r>
    </w:p>
    <w:p w:rsidR="00C24759" w:rsidRDefault="00C24759" w:rsidP="00F46B04">
      <w:pPr>
        <w:widowControl w:val="0"/>
        <w:spacing w:after="0" w:line="480" w:lineRule="auto"/>
        <w:jc w:val="both"/>
        <w:rPr>
          <w:rFonts w:ascii="Times New Roman" w:hAnsi="Times New Roman" w:cs="Times New Roman"/>
          <w:sz w:val="24"/>
        </w:rPr>
      </w:pPr>
      <w:r w:rsidRPr="00B852E5">
        <w:rPr>
          <w:rFonts w:ascii="Times New Roman" w:hAnsi="Times New Roman" w:cs="Times New Roman"/>
          <w:sz w:val="24"/>
        </w:rPr>
        <w:t>Paraliza</w:t>
      </w:r>
      <w:r>
        <w:rPr>
          <w:rFonts w:ascii="Times New Roman" w:hAnsi="Times New Roman" w:cs="Times New Roman"/>
          <w:sz w:val="24"/>
        </w:rPr>
        <w:t xml:space="preserve"> </w:t>
      </w:r>
      <w:r w:rsidRPr="00B852E5">
        <w:rPr>
          <w:rFonts w:ascii="Times New Roman" w:hAnsi="Times New Roman" w:cs="Times New Roman"/>
          <w:sz w:val="24"/>
        </w:rPr>
        <w:t xml:space="preserve">larinksa </w:t>
      </w:r>
      <w:r>
        <w:rPr>
          <w:rFonts w:ascii="Times New Roman" w:hAnsi="Times New Roman" w:cs="Times New Roman"/>
          <w:sz w:val="24"/>
        </w:rPr>
        <w:t>nastaje kao posljedica oštećenja</w:t>
      </w:r>
      <w:r w:rsidRPr="00B852E5">
        <w:rPr>
          <w:rFonts w:ascii="Times New Roman" w:hAnsi="Times New Roman" w:cs="Times New Roman"/>
          <w:sz w:val="24"/>
        </w:rPr>
        <w:t xml:space="preserve"> laringealnih živaca</w:t>
      </w:r>
      <w:r>
        <w:rPr>
          <w:rFonts w:ascii="Times New Roman" w:hAnsi="Times New Roman" w:cs="Times New Roman"/>
          <w:sz w:val="24"/>
        </w:rPr>
        <w:t xml:space="preserve"> i vagusa na bilo kom nivou od kore velikog mozga do neuromuskularnog spoja</w:t>
      </w:r>
      <w:r w:rsidRPr="00B852E5">
        <w:rPr>
          <w:rFonts w:ascii="Times New Roman" w:hAnsi="Times New Roman" w:cs="Times New Roman"/>
          <w:sz w:val="24"/>
        </w:rPr>
        <w:t>.</w:t>
      </w:r>
      <w:r>
        <w:rPr>
          <w:rFonts w:ascii="Times New Roman" w:hAnsi="Times New Roman" w:cs="Times New Roman"/>
          <w:sz w:val="24"/>
        </w:rPr>
        <w:t xml:space="preserve"> </w:t>
      </w:r>
      <w:r w:rsidRPr="00B852E5">
        <w:rPr>
          <w:rFonts w:ascii="Times New Roman" w:hAnsi="Times New Roman" w:cs="Times New Roman"/>
          <w:sz w:val="24"/>
        </w:rPr>
        <w:t>To rezultira paralizom mišića grkljana, a time i paralizom mišića govorn</w:t>
      </w:r>
      <w:r>
        <w:rPr>
          <w:rFonts w:ascii="Times New Roman" w:hAnsi="Times New Roman" w:cs="Times New Roman"/>
          <w:sz w:val="24"/>
        </w:rPr>
        <w:t>og aparata.</w:t>
      </w:r>
      <w:r w:rsidRPr="00D27F9D">
        <w:rPr>
          <w:rFonts w:ascii="Times New Roman" w:hAnsi="Times New Roman" w:cs="Times New Roman"/>
          <w:sz w:val="24"/>
        </w:rPr>
        <w:t xml:space="preserve"> </w:t>
      </w:r>
      <w:r>
        <w:rPr>
          <w:rFonts w:ascii="Times New Roman" w:hAnsi="Times New Roman" w:cs="Times New Roman"/>
          <w:sz w:val="24"/>
        </w:rPr>
        <w:t>Ona može biti urođena i stečena, centralna i periferna, simptomatska i asimptomatska, jednostrana i obostrana, te reverzibilna i ireverzibilna.</w:t>
      </w:r>
      <w:r w:rsidRPr="008A366C">
        <w:rPr>
          <w:rFonts w:ascii="Times New Roman" w:hAnsi="Times New Roman" w:cs="Times New Roman"/>
          <w:sz w:val="24"/>
        </w:rPr>
        <w:t xml:space="preserve"> </w:t>
      </w:r>
      <w:r>
        <w:rPr>
          <w:rFonts w:ascii="Times New Roman" w:hAnsi="Times New Roman" w:cs="Times New Roman"/>
          <w:sz w:val="24"/>
        </w:rPr>
        <w:t xml:space="preserve">Etiologija je raznolika, a razvoj novih hirurških postupaka u terapiji tioridne žlijezde skrenuo je pažnju na neurološke poremećaje larinksa koji prate ovu hirurgiju. Manifestuje se poremećajem pet osnovnih funkcija larinksa u različitom obimu i na različite načine. Obostrana paraliza larinksa je rijetko, ali ozbiljno stanje. Najbolja terapija paralize je prevencija. </w:t>
      </w:r>
    </w:p>
    <w:p w:rsidR="00C24759" w:rsidRDefault="00C24759" w:rsidP="00F46B04">
      <w:pPr>
        <w:widowControl w:val="0"/>
        <w:spacing w:after="0" w:line="480" w:lineRule="auto"/>
        <w:jc w:val="both"/>
        <w:rPr>
          <w:rFonts w:ascii="Times New Roman" w:hAnsi="Times New Roman" w:cs="Times New Roman"/>
          <w:sz w:val="24"/>
        </w:rPr>
      </w:pPr>
      <w:r>
        <w:rPr>
          <w:rFonts w:ascii="Times New Roman" w:hAnsi="Times New Roman" w:cs="Times New Roman"/>
          <w:i/>
          <w:sz w:val="24"/>
        </w:rPr>
        <w:t xml:space="preserve">Ciljevi istraživanja: </w:t>
      </w:r>
      <w:r>
        <w:rPr>
          <w:rFonts w:ascii="Times New Roman" w:hAnsi="Times New Roman" w:cs="Times New Roman"/>
          <w:sz w:val="24"/>
        </w:rPr>
        <w:t>Ispitati učestalost obostrane nerogene paralize larinksa u odnosu na jednostranu. Ispitati učestalost obostrane neurogene paralize larinksa u odnosu na pol. Ispitati učestalost obostrane neurogene paralize larinksa u odnosu na dob. Ispitati najčešće etiološke faktore u nastanku obostrane neurogene paralize larinksa.</w:t>
      </w:r>
    </w:p>
    <w:p w:rsidR="00C24759" w:rsidRDefault="00C24759" w:rsidP="00F46B04">
      <w:pPr>
        <w:widowControl w:val="0"/>
        <w:spacing w:after="0" w:line="480" w:lineRule="auto"/>
        <w:jc w:val="both"/>
        <w:rPr>
          <w:rFonts w:ascii="Times New Roman" w:hAnsi="Times New Roman" w:cs="Times New Roman"/>
          <w:sz w:val="24"/>
        </w:rPr>
      </w:pPr>
      <w:r w:rsidRPr="008A366C">
        <w:rPr>
          <w:rFonts w:ascii="Times New Roman" w:hAnsi="Times New Roman" w:cs="Times New Roman"/>
          <w:i/>
          <w:sz w:val="24"/>
        </w:rPr>
        <w:t>Materijal i metode</w:t>
      </w:r>
      <w:r>
        <w:rPr>
          <w:rFonts w:ascii="Times New Roman" w:hAnsi="Times New Roman" w:cs="Times New Roman"/>
          <w:i/>
          <w:sz w:val="24"/>
        </w:rPr>
        <w:t xml:space="preserve">: </w:t>
      </w:r>
      <w:r>
        <w:rPr>
          <w:rFonts w:ascii="Times New Roman" w:hAnsi="Times New Roman" w:cs="Times New Roman"/>
          <w:sz w:val="24"/>
        </w:rPr>
        <w:t>Studija je obuhvatila 95 ispitanika primljenih u ambulantu na Klinici za bolesti uha, grla i nosa UKC Banja Luka u periodu od 1.1.2018. godine do 31.12.2019. godine. Za dobijanje podataka korišteni su anamnestički podaci, klinički ORL pregled i stroboskopija. Dobijeni podaci su obrađeni T testom za poređenje procenata unutar jedne grupe.</w:t>
      </w:r>
    </w:p>
    <w:p w:rsidR="00C24759" w:rsidRPr="00B76199" w:rsidRDefault="00C24759" w:rsidP="00F46B04">
      <w:pPr>
        <w:widowControl w:val="0"/>
        <w:spacing w:after="0" w:line="480" w:lineRule="auto"/>
        <w:jc w:val="both"/>
        <w:rPr>
          <w:rFonts w:ascii="Times New Roman" w:hAnsi="Times New Roman" w:cs="Times New Roman"/>
          <w:sz w:val="24"/>
        </w:rPr>
      </w:pPr>
      <w:r w:rsidRPr="008A366C">
        <w:rPr>
          <w:rFonts w:ascii="Times New Roman" w:hAnsi="Times New Roman" w:cs="Times New Roman"/>
          <w:i/>
          <w:sz w:val="24"/>
        </w:rPr>
        <w:t>Rezultati:</w:t>
      </w:r>
      <w:r>
        <w:rPr>
          <w:rFonts w:ascii="Times New Roman" w:hAnsi="Times New Roman" w:cs="Times New Roman"/>
          <w:i/>
          <w:sz w:val="24"/>
        </w:rPr>
        <w:t xml:space="preserve"> </w:t>
      </w:r>
      <w:r>
        <w:rPr>
          <w:rFonts w:ascii="Times New Roman" w:hAnsi="Times New Roman" w:cs="Times New Roman"/>
          <w:sz w:val="24"/>
        </w:rPr>
        <w:t>Obostrane neurogene paralize larinksa su dijagnostifikovane kod 22,11% ispitanika. Ženskog pola je bilo 80,95% ispitanika. Najveći broj ispitanika je starosne dobi od 55 do 64 godina. Etiološki faktor je kod 47,62% bila hirurška intervencija štitne žlijezde, u smislu tiroidektomije.</w:t>
      </w:r>
    </w:p>
    <w:p w:rsidR="00C24759" w:rsidRPr="00B76199" w:rsidRDefault="00C24759" w:rsidP="00F46B04">
      <w:pPr>
        <w:widowControl w:val="0"/>
        <w:spacing w:after="0" w:line="480" w:lineRule="auto"/>
        <w:jc w:val="both"/>
        <w:rPr>
          <w:rFonts w:ascii="Times New Roman" w:hAnsi="Times New Roman" w:cs="Times New Roman"/>
          <w:sz w:val="24"/>
        </w:rPr>
      </w:pPr>
      <w:r>
        <w:rPr>
          <w:rFonts w:ascii="Times New Roman" w:hAnsi="Times New Roman" w:cs="Times New Roman"/>
          <w:i/>
          <w:sz w:val="24"/>
        </w:rPr>
        <w:t xml:space="preserve">Zaključak: </w:t>
      </w:r>
      <w:r>
        <w:rPr>
          <w:rFonts w:ascii="Times New Roman" w:hAnsi="Times New Roman" w:cs="Times New Roman"/>
          <w:sz w:val="24"/>
        </w:rPr>
        <w:t xml:space="preserve">Obostrane neurogene paralize larinksa se javljaju rjeđe od jednostranih. </w:t>
      </w:r>
      <w:r>
        <w:rPr>
          <w:rFonts w:ascii="Times New Roman" w:hAnsi="Times New Roman" w:cs="Times New Roman"/>
          <w:sz w:val="24"/>
        </w:rPr>
        <w:lastRenderedPageBreak/>
        <w:t>Operacije štitne žlijezde su vodeći etiološki faktor nastanka obostrane neurogene paralize larinksa.</w:t>
      </w:r>
    </w:p>
    <w:p w:rsidR="00C24759" w:rsidRDefault="00C24759" w:rsidP="00F46B04">
      <w:pPr>
        <w:widowControl w:val="0"/>
        <w:spacing w:after="0" w:line="480" w:lineRule="auto"/>
        <w:jc w:val="both"/>
        <w:rPr>
          <w:rFonts w:ascii="Times New Roman" w:hAnsi="Times New Roman" w:cs="Times New Roman"/>
          <w:sz w:val="24"/>
        </w:rPr>
      </w:pPr>
      <w:r>
        <w:rPr>
          <w:rFonts w:ascii="Times New Roman" w:hAnsi="Times New Roman" w:cs="Times New Roman"/>
          <w:i/>
          <w:sz w:val="24"/>
        </w:rPr>
        <w:t>Ključne riječi:</w:t>
      </w:r>
      <w:r>
        <w:rPr>
          <w:rFonts w:ascii="Times New Roman" w:hAnsi="Times New Roman" w:cs="Times New Roman"/>
          <w:sz w:val="24"/>
        </w:rPr>
        <w:t xml:space="preserve"> paraliza larinksa, dispneja, tiroidektomija.</w:t>
      </w:r>
    </w:p>
    <w:p w:rsidR="00C24759" w:rsidRDefault="00C24759" w:rsidP="00F46B04">
      <w:pPr>
        <w:spacing w:after="0" w:line="480" w:lineRule="auto"/>
        <w:rPr>
          <w:rFonts w:ascii="Times New Roman" w:hAnsi="Times New Roman" w:cs="Times New Roman"/>
          <w:sz w:val="24"/>
        </w:rPr>
      </w:pPr>
    </w:p>
    <w:p w:rsidR="00C24759" w:rsidRPr="001C6E6E" w:rsidRDefault="00DA2EE8" w:rsidP="00F46B04">
      <w:pPr>
        <w:widowControl w:val="0"/>
        <w:spacing w:after="0" w:line="480" w:lineRule="auto"/>
        <w:rPr>
          <w:rFonts w:ascii="Times New Roman" w:hAnsi="Times New Roman" w:cs="Times New Roman"/>
          <w:b/>
          <w:sz w:val="24"/>
          <w:szCs w:val="24"/>
        </w:rPr>
      </w:pPr>
      <w:r w:rsidRPr="001C6E6E">
        <w:rPr>
          <w:rFonts w:ascii="Times New Roman" w:hAnsi="Times New Roman" w:cs="Times New Roman"/>
          <w:b/>
          <w:sz w:val="24"/>
          <w:szCs w:val="24"/>
        </w:rPr>
        <w:t>Abstract</w:t>
      </w:r>
    </w:p>
    <w:p w:rsidR="00C24759" w:rsidRDefault="00C24759" w:rsidP="00F46B04">
      <w:pPr>
        <w:widowControl w:val="0"/>
        <w:spacing w:after="0" w:line="480" w:lineRule="auto"/>
        <w:jc w:val="both"/>
        <w:rPr>
          <w:rFonts w:ascii="Times New Roman" w:hAnsi="Times New Roman" w:cs="Times New Roman"/>
          <w:sz w:val="24"/>
        </w:rPr>
      </w:pPr>
      <w:r w:rsidRPr="00D9445C">
        <w:rPr>
          <w:rFonts w:ascii="Times New Roman" w:hAnsi="Times New Roman" w:cs="Times New Roman"/>
          <w:sz w:val="24"/>
        </w:rPr>
        <w:t>Paralysis or immobility of the larynx occurs as a result of damage to the laryngeal nerves and vagus at any level from the cerebral cortex to the neuromuscular junction. This results in paralysis of the laryngeal muscles, and thus paralysis of the muscles of the speech box. It can be congenital and acquired, central and peripheral, symptomatic and asymptomatic, unilateral and bilateral, and reversible and irreversible. The etiology is diverse, and the development of new surgical procedures in the therapy of the thyroid gland has drawn attention to the neurological disorders of the larynx that accompany this surgery.</w:t>
      </w:r>
      <w:r>
        <w:rPr>
          <w:rFonts w:ascii="Times New Roman" w:hAnsi="Times New Roman" w:cs="Times New Roman"/>
          <w:sz w:val="24"/>
        </w:rPr>
        <w:t xml:space="preserve"> </w:t>
      </w:r>
      <w:r w:rsidRPr="00D9445C">
        <w:rPr>
          <w:rFonts w:ascii="Times New Roman" w:hAnsi="Times New Roman" w:cs="Times New Roman"/>
          <w:sz w:val="24"/>
        </w:rPr>
        <w:t>It is manifested by a disorder of the five basic functions of the larynx to different extents and in different ways. Bilateral laryngeal paralysis is a rare but serious condition. The best therapy for vocal cord paralysis is prevention.</w:t>
      </w:r>
    </w:p>
    <w:p w:rsidR="00C24759" w:rsidRPr="004D55A9" w:rsidRDefault="00C24759" w:rsidP="00F46B04">
      <w:pPr>
        <w:widowControl w:val="0"/>
        <w:spacing w:after="0" w:line="480" w:lineRule="auto"/>
        <w:jc w:val="both"/>
        <w:rPr>
          <w:rFonts w:ascii="Times New Roman" w:hAnsi="Times New Roman" w:cs="Times New Roman"/>
          <w:sz w:val="24"/>
        </w:rPr>
      </w:pPr>
      <w:r w:rsidRPr="004D55A9">
        <w:rPr>
          <w:rFonts w:ascii="Times New Roman" w:hAnsi="Times New Roman" w:cs="Times New Roman"/>
          <w:i/>
          <w:sz w:val="24"/>
        </w:rPr>
        <w:t>Research goals:</w:t>
      </w:r>
      <w:r w:rsidRPr="004D55A9">
        <w:rPr>
          <w:rFonts w:ascii="Times New Roman" w:hAnsi="Times New Roman" w:cs="Times New Roman"/>
          <w:sz w:val="24"/>
        </w:rPr>
        <w:t xml:space="preserve"> </w:t>
      </w:r>
      <w:r w:rsidRPr="000E680E">
        <w:rPr>
          <w:rFonts w:ascii="Times New Roman" w:hAnsi="Times New Roman" w:cs="Times New Roman"/>
          <w:sz w:val="24"/>
        </w:rPr>
        <w:t>Examine the incidence of bilateral nerogenic laryngeal paralysis relative to unilateral.</w:t>
      </w:r>
      <w:r>
        <w:rPr>
          <w:rFonts w:ascii="Times New Roman" w:hAnsi="Times New Roman" w:cs="Times New Roman"/>
          <w:sz w:val="24"/>
        </w:rPr>
        <w:t xml:space="preserve"> E</w:t>
      </w:r>
      <w:r w:rsidRPr="004D55A9">
        <w:rPr>
          <w:rFonts w:ascii="Times New Roman" w:hAnsi="Times New Roman" w:cs="Times New Roman"/>
          <w:sz w:val="24"/>
        </w:rPr>
        <w:t xml:space="preserve">xamine the frequency of bilateral neurogenic </w:t>
      </w:r>
      <w:r w:rsidRPr="000E680E">
        <w:rPr>
          <w:rFonts w:ascii="Times New Roman" w:hAnsi="Times New Roman" w:cs="Times New Roman"/>
          <w:sz w:val="24"/>
        </w:rPr>
        <w:t>laryngeal</w:t>
      </w:r>
      <w:r w:rsidRPr="004D55A9">
        <w:rPr>
          <w:rFonts w:ascii="Times New Roman" w:hAnsi="Times New Roman" w:cs="Times New Roman"/>
          <w:sz w:val="24"/>
        </w:rPr>
        <w:t xml:space="preserve"> paralysis in relation to gender. Examine the incidence of bilateral neurogenic </w:t>
      </w:r>
      <w:r w:rsidRPr="000E680E">
        <w:rPr>
          <w:rFonts w:ascii="Times New Roman" w:hAnsi="Times New Roman" w:cs="Times New Roman"/>
          <w:sz w:val="24"/>
        </w:rPr>
        <w:t xml:space="preserve">laryngeal </w:t>
      </w:r>
      <w:r w:rsidRPr="004D55A9">
        <w:rPr>
          <w:rFonts w:ascii="Times New Roman" w:hAnsi="Times New Roman" w:cs="Times New Roman"/>
          <w:sz w:val="24"/>
        </w:rPr>
        <w:t xml:space="preserve">paralysis with age. Examine the most common etiological factors in the development of bilateral neurogenic </w:t>
      </w:r>
      <w:r w:rsidRPr="000E680E">
        <w:rPr>
          <w:rFonts w:ascii="Times New Roman" w:hAnsi="Times New Roman" w:cs="Times New Roman"/>
          <w:sz w:val="24"/>
        </w:rPr>
        <w:t>laryngeal</w:t>
      </w:r>
      <w:r w:rsidRPr="004D55A9">
        <w:rPr>
          <w:rFonts w:ascii="Times New Roman" w:hAnsi="Times New Roman" w:cs="Times New Roman"/>
          <w:sz w:val="24"/>
        </w:rPr>
        <w:t xml:space="preserve"> paralysis.</w:t>
      </w:r>
    </w:p>
    <w:p w:rsidR="00C24759" w:rsidRDefault="00C24759" w:rsidP="00F46B04">
      <w:pPr>
        <w:widowControl w:val="0"/>
        <w:spacing w:after="0" w:line="480" w:lineRule="auto"/>
        <w:jc w:val="both"/>
        <w:rPr>
          <w:rFonts w:ascii="Times New Roman" w:hAnsi="Times New Roman" w:cs="Times New Roman"/>
          <w:sz w:val="24"/>
        </w:rPr>
      </w:pPr>
      <w:r w:rsidRPr="004D55A9">
        <w:rPr>
          <w:rFonts w:ascii="Times New Roman" w:hAnsi="Times New Roman" w:cs="Times New Roman"/>
          <w:i/>
          <w:sz w:val="24"/>
        </w:rPr>
        <w:t>Material and methods:</w:t>
      </w:r>
      <w:r w:rsidRPr="004D55A9">
        <w:rPr>
          <w:rFonts w:ascii="Times New Roman" w:hAnsi="Times New Roman" w:cs="Times New Roman"/>
          <w:sz w:val="24"/>
        </w:rPr>
        <w:t xml:space="preserve"> </w:t>
      </w:r>
      <w:r w:rsidRPr="00D9445C">
        <w:rPr>
          <w:rFonts w:ascii="Times New Roman" w:hAnsi="Times New Roman" w:cs="Times New Roman"/>
          <w:sz w:val="24"/>
        </w:rPr>
        <w:t>The study included 95 respondents admitted to the outpatient clinic at the Clinic for Ear, Throat and Nose Diseases of the University Medical Center Banja Luka in the period from Jan</w:t>
      </w:r>
      <w:r>
        <w:rPr>
          <w:rFonts w:ascii="Times New Roman" w:hAnsi="Times New Roman" w:cs="Times New Roman"/>
          <w:sz w:val="24"/>
        </w:rPr>
        <w:t>uary 1st, 2018. until December 31st 2019</w:t>
      </w:r>
      <w:r w:rsidRPr="00D9445C">
        <w:rPr>
          <w:rFonts w:ascii="Times New Roman" w:hAnsi="Times New Roman" w:cs="Times New Roman"/>
          <w:sz w:val="24"/>
        </w:rPr>
        <w:t xml:space="preserve">. Anamnestic data, clinical ENT examination and stroboscopy were used to obtain data. The obtained data were processed by T test to compare the percentages </w:t>
      </w:r>
      <w:r w:rsidRPr="00D9445C">
        <w:rPr>
          <w:rFonts w:ascii="Times New Roman" w:hAnsi="Times New Roman" w:cs="Times New Roman"/>
          <w:sz w:val="24"/>
        </w:rPr>
        <w:lastRenderedPageBreak/>
        <w:t>within one group.</w:t>
      </w:r>
    </w:p>
    <w:p w:rsidR="00C24759" w:rsidRPr="004D55A9" w:rsidRDefault="00C24759" w:rsidP="00F46B04">
      <w:pPr>
        <w:widowControl w:val="0"/>
        <w:spacing w:after="0" w:line="480" w:lineRule="auto"/>
        <w:jc w:val="both"/>
        <w:rPr>
          <w:rFonts w:ascii="Times New Roman" w:hAnsi="Times New Roman" w:cs="Times New Roman"/>
          <w:i/>
          <w:sz w:val="24"/>
        </w:rPr>
      </w:pPr>
      <w:r w:rsidRPr="004D55A9">
        <w:rPr>
          <w:rFonts w:ascii="Times New Roman" w:hAnsi="Times New Roman" w:cs="Times New Roman"/>
          <w:i/>
          <w:sz w:val="24"/>
        </w:rPr>
        <w:t>The results</w:t>
      </w:r>
      <w:r>
        <w:rPr>
          <w:rFonts w:ascii="Times New Roman" w:hAnsi="Times New Roman" w:cs="Times New Roman"/>
          <w:i/>
          <w:sz w:val="24"/>
        </w:rPr>
        <w:t>:</w:t>
      </w:r>
      <w:r w:rsidRPr="00D9445C">
        <w:rPr>
          <w:rFonts w:ascii="Times New Roman" w:hAnsi="Times New Roman" w:cs="Times New Roman"/>
          <w:sz w:val="24"/>
        </w:rPr>
        <w:t xml:space="preserve">  Bilateral neurogenic laryngeal paralysis was diagnosed in 22.11% of subjects. 80.95% of respondents were female. The largest number of respondents is between the ages of 55 and 64. The etiological factor in 47.62% was thyroid surgery.</w:t>
      </w:r>
      <w:r w:rsidRPr="00D9445C">
        <w:rPr>
          <w:rFonts w:ascii="Times New Roman" w:hAnsi="Times New Roman" w:cs="Times New Roman"/>
          <w:i/>
          <w:sz w:val="24"/>
        </w:rPr>
        <w:t> </w:t>
      </w:r>
    </w:p>
    <w:p w:rsidR="00C24759" w:rsidRPr="004D55A9" w:rsidRDefault="00C24759" w:rsidP="00F46B04">
      <w:pPr>
        <w:widowControl w:val="0"/>
        <w:spacing w:after="0" w:line="480" w:lineRule="auto"/>
        <w:jc w:val="both"/>
        <w:rPr>
          <w:rFonts w:ascii="Times New Roman" w:hAnsi="Times New Roman" w:cs="Times New Roman"/>
          <w:i/>
          <w:sz w:val="24"/>
        </w:rPr>
      </w:pPr>
      <w:r w:rsidRPr="004D55A9">
        <w:rPr>
          <w:rFonts w:ascii="Times New Roman" w:hAnsi="Times New Roman" w:cs="Times New Roman"/>
          <w:i/>
          <w:sz w:val="24"/>
        </w:rPr>
        <w:t>Conclusion:</w:t>
      </w:r>
      <w:r>
        <w:rPr>
          <w:rFonts w:ascii="Times New Roman" w:hAnsi="Times New Roman" w:cs="Times New Roman"/>
          <w:i/>
          <w:sz w:val="24"/>
        </w:rPr>
        <w:t xml:space="preserve"> </w:t>
      </w:r>
      <w:r w:rsidRPr="00D9445C">
        <w:rPr>
          <w:rFonts w:ascii="Times New Roman" w:hAnsi="Times New Roman" w:cs="Times New Roman"/>
          <w:i/>
          <w:sz w:val="24"/>
        </w:rPr>
        <w:t> </w:t>
      </w:r>
      <w:r w:rsidRPr="00D9445C">
        <w:rPr>
          <w:rFonts w:ascii="Times New Roman" w:hAnsi="Times New Roman" w:cs="Times New Roman"/>
          <w:sz w:val="24"/>
        </w:rPr>
        <w:t>Bilateral neurogenic paralysis of the larynx occurs less frequently than unilateral. Thyroid surgery is the leading etiological factor in the development of bilateral neurogenic laryngeal paralysis. </w:t>
      </w:r>
    </w:p>
    <w:p w:rsidR="00C24759" w:rsidRDefault="00C24759" w:rsidP="00F46B04">
      <w:pPr>
        <w:widowControl w:val="0"/>
        <w:spacing w:after="0" w:line="480" w:lineRule="auto"/>
        <w:jc w:val="both"/>
        <w:rPr>
          <w:rFonts w:ascii="Times New Roman" w:hAnsi="Times New Roman" w:cs="Times New Roman"/>
          <w:sz w:val="24"/>
        </w:rPr>
      </w:pPr>
      <w:r w:rsidRPr="004D55A9">
        <w:rPr>
          <w:rFonts w:ascii="Times New Roman" w:hAnsi="Times New Roman" w:cs="Times New Roman"/>
          <w:i/>
          <w:sz w:val="24"/>
        </w:rPr>
        <w:t>Key words:</w:t>
      </w:r>
      <w:r w:rsidRPr="00D9445C">
        <w:rPr>
          <w:rFonts w:ascii="Times New Roman" w:hAnsi="Times New Roman" w:cs="Times New Roman"/>
          <w:sz w:val="24"/>
        </w:rPr>
        <w:t xml:space="preserve"> laryngeal paralysis, dyspnea</w:t>
      </w:r>
      <w:r w:rsidR="001A2567">
        <w:rPr>
          <w:rFonts w:ascii="Times New Roman" w:hAnsi="Times New Roman" w:cs="Times New Roman"/>
          <w:sz w:val="24"/>
        </w:rPr>
        <w:t xml:space="preserve">, </w:t>
      </w:r>
      <w:r w:rsidR="001A2567" w:rsidRPr="001A2567">
        <w:rPr>
          <w:rFonts w:ascii="Times New Roman" w:hAnsi="Times New Roman" w:cs="Times New Roman"/>
          <w:sz w:val="24"/>
        </w:rPr>
        <w:t>thyroidectomy</w:t>
      </w:r>
    </w:p>
    <w:p w:rsidR="00C24759" w:rsidRPr="001C6E6E" w:rsidRDefault="006C6EB4" w:rsidP="00F46B04">
      <w:pPr>
        <w:pStyle w:val="Heading1"/>
        <w:spacing w:before="0" w:after="0" w:line="480" w:lineRule="auto"/>
        <w:ind w:left="0"/>
        <w:rPr>
          <w:sz w:val="24"/>
          <w:szCs w:val="24"/>
        </w:rPr>
      </w:pPr>
      <w:bookmarkStart w:id="0" w:name="_Toc49996508"/>
      <w:r w:rsidRPr="001C6E6E">
        <w:rPr>
          <w:sz w:val="24"/>
          <w:szCs w:val="24"/>
        </w:rPr>
        <w:t>Uvod</w:t>
      </w:r>
      <w:bookmarkEnd w:id="0"/>
    </w:p>
    <w:p w:rsidR="00C24759" w:rsidRDefault="00C24759" w:rsidP="00F46B04">
      <w:pPr>
        <w:spacing w:after="0" w:line="480" w:lineRule="auto"/>
        <w:jc w:val="both"/>
        <w:rPr>
          <w:rFonts w:ascii="Times New Roman" w:hAnsi="Times New Roman" w:cs="Times New Roman"/>
          <w:sz w:val="24"/>
        </w:rPr>
      </w:pPr>
      <w:r w:rsidRPr="00B26223">
        <w:rPr>
          <w:rFonts w:ascii="Times New Roman" w:hAnsi="Times New Roman" w:cs="Times New Roman"/>
          <w:sz w:val="24"/>
        </w:rPr>
        <w:t>Larinks</w:t>
      </w:r>
      <w:r>
        <w:rPr>
          <w:rFonts w:ascii="Times New Roman" w:hAnsi="Times New Roman" w:cs="Times New Roman"/>
          <w:sz w:val="24"/>
        </w:rPr>
        <w:t xml:space="preserve"> je neparan cijevast organ, smješten u prednjem dijelu vrata. Zbog svog položaja, anatomskih karakteristika i funkcije često se naziva i Kerberom pluća. On predstavlja jedan od funkcionalno najsavršenijih organa čovjeka, a njegova složena građa je od bitnog značaja, ne samo zbog obavljanja vitalnih funkcija, već i zbog formiranja glasa i govora koji omogućavaju komunikaciju kao jednu od najvažnijih čovjekovih oso</w:t>
      </w:r>
      <w:r w:rsidR="00E73F41">
        <w:rPr>
          <w:rFonts w:ascii="Times New Roman" w:hAnsi="Times New Roman" w:cs="Times New Roman"/>
          <w:sz w:val="24"/>
        </w:rPr>
        <w:t>bina kao intelektualnog bića. (1</w:t>
      </w:r>
      <w:r>
        <w:rPr>
          <w:rFonts w:ascii="Times New Roman" w:hAnsi="Times New Roman" w:cs="Times New Roman"/>
          <w:sz w:val="24"/>
        </w:rPr>
        <w:t>) Smješten na raskršću respiratornog i digestivnog puta, larinks obezbjeđuje pet složenih funkcija: disanje, gutanje, fonaciju, zaštitu traheobronhalno</w:t>
      </w:r>
      <w:r w:rsidR="00E73F41">
        <w:rPr>
          <w:rFonts w:ascii="Times New Roman" w:hAnsi="Times New Roman" w:cs="Times New Roman"/>
          <w:sz w:val="24"/>
        </w:rPr>
        <w:t>g stabla i fiksaciju toraksa. (2</w:t>
      </w:r>
      <w:r>
        <w:rPr>
          <w:rFonts w:ascii="Times New Roman" w:hAnsi="Times New Roman" w:cs="Times New Roman"/>
          <w:sz w:val="24"/>
        </w:rPr>
        <w:t>)</w:t>
      </w:r>
    </w:p>
    <w:p w:rsidR="00C24759" w:rsidRDefault="00C24759" w:rsidP="00F46B04">
      <w:pPr>
        <w:spacing w:after="0" w:line="480" w:lineRule="auto"/>
        <w:jc w:val="both"/>
        <w:rPr>
          <w:rFonts w:ascii="Times New Roman" w:hAnsi="Times New Roman" w:cs="Times New Roman"/>
          <w:sz w:val="24"/>
        </w:rPr>
      </w:pPr>
      <w:r>
        <w:rPr>
          <w:rFonts w:ascii="Times New Roman" w:hAnsi="Times New Roman" w:cs="Times New Roman"/>
          <w:sz w:val="24"/>
        </w:rPr>
        <w:t>Patologija larinksa, njeno istraživanje i prvi pokusaji liječenja datiraju jos od dob</w:t>
      </w:r>
      <w:r w:rsidR="00E73F41">
        <w:rPr>
          <w:rFonts w:ascii="Times New Roman" w:hAnsi="Times New Roman" w:cs="Times New Roman"/>
          <w:sz w:val="24"/>
        </w:rPr>
        <w:t>a Hiporata (460-370 g.p.n.e.) (3</w:t>
      </w:r>
      <w:r>
        <w:rPr>
          <w:rFonts w:ascii="Times New Roman" w:hAnsi="Times New Roman" w:cs="Times New Roman"/>
          <w:sz w:val="24"/>
        </w:rPr>
        <w:t xml:space="preserve">) od kada je poznato da poremećaji inervacije larinksa  imaju za posljedicu, po život opasnu, apsiraciju hrane. Skoro dvije stotine godina kasnije, Galen je prvi put opisao put povratnog laringealnog živca, od centralnog nervnog sistema, preko </w:t>
      </w:r>
      <w:r w:rsidRPr="00C64DDA">
        <w:rPr>
          <w:rFonts w:ascii="Times New Roman" w:hAnsi="Times New Roman" w:cs="Times New Roman"/>
          <w:i/>
          <w:sz w:val="24"/>
        </w:rPr>
        <w:t>n. vagusa</w:t>
      </w:r>
      <w:r>
        <w:rPr>
          <w:rFonts w:ascii="Times New Roman" w:hAnsi="Times New Roman" w:cs="Times New Roman"/>
          <w:sz w:val="24"/>
        </w:rPr>
        <w:t>, do mišića larinksa, čime demantuje dotadašnju teoriju da glas dolazi iz srca. Mnoštvo naučnika je zaslužno za današnje poznavanje anatomije, fiziologije larinksa, a posljednjih dvadeset godina klinička istraživanja su donijela značajne promjene u razumijevanju problema paralize larinksa.</w:t>
      </w:r>
    </w:p>
    <w:p w:rsidR="00C24759" w:rsidRDefault="00C24759" w:rsidP="00F46B04">
      <w:pPr>
        <w:spacing w:after="0" w:line="480" w:lineRule="auto"/>
        <w:jc w:val="both"/>
        <w:rPr>
          <w:rFonts w:ascii="Times New Roman" w:hAnsi="Times New Roman" w:cs="Times New Roman"/>
          <w:sz w:val="24"/>
        </w:rPr>
      </w:pPr>
      <w:r>
        <w:rPr>
          <w:rFonts w:ascii="Times New Roman" w:hAnsi="Times New Roman" w:cs="Times New Roman"/>
          <w:sz w:val="24"/>
        </w:rPr>
        <w:lastRenderedPageBreak/>
        <w:t>Termin paraliza, sam po sebi, označava nemogućnost pokretanja nekog dijela tijela koji najčešće nastaje kao posljedica poremaćaja inervacije. Tako će se termin paraliza larinksa odnositi na nepokretnost jedne ili obe polovine larinksa. Povećan razvoj dijagnostičkih metoda, zainteresovanost i fokusiranost ljekara na ovaj entitet dovelo je do razjašnjena mehanizama nastanka, lokalizacije, vrste i najčešće etiologije paralize larinksa. Među najčešće uzroke ubrajaju se: hirurgija štitne žlijezde, struma štitne žlijezde, povrede, neurološka oboljenja, maligni</w:t>
      </w:r>
      <w:r w:rsidR="00E73F41">
        <w:rPr>
          <w:rFonts w:ascii="Times New Roman" w:hAnsi="Times New Roman" w:cs="Times New Roman"/>
          <w:sz w:val="24"/>
        </w:rPr>
        <w:t xml:space="preserve"> tumori, idiopatske paralize. (4</w:t>
      </w:r>
      <w:r>
        <w:rPr>
          <w:rFonts w:ascii="Times New Roman" w:hAnsi="Times New Roman" w:cs="Times New Roman"/>
          <w:sz w:val="24"/>
        </w:rPr>
        <w:t>)</w:t>
      </w:r>
    </w:p>
    <w:p w:rsidR="00C24759" w:rsidRDefault="00C24759" w:rsidP="00F46B04">
      <w:pPr>
        <w:spacing w:after="0" w:line="480" w:lineRule="auto"/>
        <w:jc w:val="both"/>
        <w:rPr>
          <w:rFonts w:ascii="Times New Roman" w:hAnsi="Times New Roman" w:cs="Times New Roman"/>
          <w:sz w:val="24"/>
        </w:rPr>
      </w:pPr>
      <w:r>
        <w:rPr>
          <w:rFonts w:ascii="Times New Roman" w:hAnsi="Times New Roman" w:cs="Times New Roman"/>
          <w:sz w:val="24"/>
        </w:rPr>
        <w:t>Zbog kompleksne etiologije, učestalosti, raznolike kliničke manifestacije i dugotrajne terapije, neurogene paralize larinksa okupiraju pažnju otorinolarin</w:t>
      </w:r>
      <w:r w:rsidR="00E73F41">
        <w:rPr>
          <w:rFonts w:ascii="Times New Roman" w:hAnsi="Times New Roman" w:cs="Times New Roman"/>
          <w:sz w:val="24"/>
        </w:rPr>
        <w:t>gologa širom svijeta. (5</w:t>
      </w:r>
      <w:r>
        <w:rPr>
          <w:rFonts w:ascii="Times New Roman" w:hAnsi="Times New Roman" w:cs="Times New Roman"/>
          <w:sz w:val="24"/>
        </w:rPr>
        <w:t>) U savremenoj medicini je važnije sačuvati ili poboljšati funkciju oboljelog organa, nego što je dovoljno samo izliječiti obolje</w:t>
      </w:r>
      <w:r w:rsidR="00894239">
        <w:rPr>
          <w:rFonts w:ascii="Times New Roman" w:hAnsi="Times New Roman" w:cs="Times New Roman"/>
          <w:sz w:val="24"/>
        </w:rPr>
        <w:t xml:space="preserve">li </w:t>
      </w:r>
      <w:r w:rsidR="00E73F41">
        <w:rPr>
          <w:rFonts w:ascii="Times New Roman" w:hAnsi="Times New Roman" w:cs="Times New Roman"/>
          <w:sz w:val="24"/>
        </w:rPr>
        <w:t>organ ili organski sistem. (6, 7</w:t>
      </w:r>
      <w:r>
        <w:rPr>
          <w:rFonts w:ascii="Times New Roman" w:hAnsi="Times New Roman" w:cs="Times New Roman"/>
          <w:sz w:val="24"/>
        </w:rPr>
        <w:t>) Vodeći se načelima moderne medicine glavni cilj terapije pacijenata sa paralizom larinksa jeste uspostavljanje i obazbjeđivanje disajnog puta uz neophodno postizanje kompromisa između adekvatnog disajnog puta i zadovoljavajućeg glasa. Poremećaji kvaliteta glasa nisu samo fizički i mehanički fenomeni nego i emocionalni problemi bolesnika, koji narušavaju radnu sposobnost, socijalni život, a često utiču i na mentalno zdravlje. Iz ovoga se može izvesti zaključak da su neurogeni poremećaji larinksa multidisciplinarni problemi koji uključuju čitav tim stručnjaka s ciljem liječenja i rehabilitacije pacijenta.  Neophodno je postići sto bolji ne samo anatomski i funkcionalni oporavak, nego omogućiti socijalnu uklopivost i emocionalnu stabilnost zbog funkcije glasa koja predstavlja esencijalni faktor u ostvarivanju verbalne komunikacije i prožim</w:t>
      </w:r>
      <w:r w:rsidR="00894239">
        <w:rPr>
          <w:rFonts w:ascii="Times New Roman" w:hAnsi="Times New Roman" w:cs="Times New Roman"/>
          <w:sz w:val="24"/>
        </w:rPr>
        <w:t>a sve sfere našeg društva. (</w:t>
      </w:r>
      <w:r w:rsidR="00E73F41">
        <w:rPr>
          <w:rFonts w:ascii="Times New Roman" w:hAnsi="Times New Roman" w:cs="Times New Roman"/>
          <w:sz w:val="24"/>
        </w:rPr>
        <w:t>8, 9</w:t>
      </w:r>
      <w:r>
        <w:rPr>
          <w:rFonts w:ascii="Times New Roman" w:hAnsi="Times New Roman" w:cs="Times New Roman"/>
          <w:sz w:val="24"/>
        </w:rPr>
        <w:t>)</w:t>
      </w:r>
    </w:p>
    <w:p w:rsidR="00C24759" w:rsidRPr="00C24759" w:rsidRDefault="005F1A8D" w:rsidP="00F46B04">
      <w:pPr>
        <w:spacing w:after="0" w:line="480" w:lineRule="auto"/>
        <w:jc w:val="both"/>
        <w:rPr>
          <w:rFonts w:ascii="Times New Roman" w:hAnsi="Times New Roman" w:cs="Times New Roman"/>
          <w:sz w:val="24"/>
        </w:rPr>
      </w:pPr>
      <w:r>
        <w:rPr>
          <w:rFonts w:ascii="Times New Roman" w:hAnsi="Times New Roman" w:cs="Times New Roman"/>
          <w:sz w:val="24"/>
        </w:rPr>
        <w:t>Retrospektivna studija je odobrena od strane Etičkog komiteta Univerzitetskog Kliničkog Centra Respublike Srpske.</w:t>
      </w:r>
    </w:p>
    <w:p w:rsidR="00C24759" w:rsidRPr="0086249F" w:rsidRDefault="00C24759" w:rsidP="00F46B04">
      <w:pPr>
        <w:pStyle w:val="Heading1"/>
        <w:spacing w:before="0" w:after="0" w:line="480" w:lineRule="auto"/>
        <w:ind w:left="0"/>
        <w:rPr>
          <w:rFonts w:eastAsia="Times New Roman"/>
          <w:sz w:val="24"/>
          <w:szCs w:val="24"/>
          <w:lang w:eastAsia="sr-Latn-BA"/>
        </w:rPr>
      </w:pPr>
      <w:bookmarkStart w:id="1" w:name="_Toc49996531"/>
      <w:r w:rsidRPr="0086249F">
        <w:rPr>
          <w:rFonts w:eastAsia="Times New Roman"/>
          <w:sz w:val="24"/>
          <w:szCs w:val="24"/>
          <w:lang w:eastAsia="sr-Latn-BA"/>
        </w:rPr>
        <w:lastRenderedPageBreak/>
        <w:t>M</w:t>
      </w:r>
      <w:bookmarkEnd w:id="1"/>
      <w:r w:rsidR="001735E2">
        <w:rPr>
          <w:rFonts w:eastAsia="Times New Roman"/>
          <w:sz w:val="24"/>
          <w:szCs w:val="24"/>
          <w:lang w:eastAsia="sr-Latn-BA"/>
        </w:rPr>
        <w:t>aterijali i m</w:t>
      </w:r>
      <w:r w:rsidR="0086249F">
        <w:rPr>
          <w:rFonts w:eastAsia="Times New Roman"/>
          <w:sz w:val="24"/>
          <w:szCs w:val="24"/>
          <w:lang w:eastAsia="sr-Latn-BA"/>
        </w:rPr>
        <w:t>etode</w:t>
      </w:r>
    </w:p>
    <w:p w:rsidR="00C24759" w:rsidRDefault="00C24759" w:rsidP="00F46B04">
      <w:pPr>
        <w:spacing w:after="0" w:line="480" w:lineRule="auto"/>
        <w:jc w:val="both"/>
        <w:rPr>
          <w:rFonts w:ascii="Times New Roman" w:hAnsi="Times New Roman" w:cs="Times New Roman"/>
          <w:sz w:val="24"/>
          <w:lang w:eastAsia="sr-Latn-BA"/>
        </w:rPr>
      </w:pPr>
      <w:r w:rsidRPr="00FC3251">
        <w:rPr>
          <w:rFonts w:ascii="Times New Roman" w:hAnsi="Times New Roman" w:cs="Times New Roman"/>
          <w:sz w:val="24"/>
          <w:lang w:eastAsia="sr-Latn-BA"/>
        </w:rPr>
        <w:t>Istraživanje je sprovedeno kao retrospektivna studija kojom su obuhvaćeni pacijenti liječeni na Klinici za bolesti uha, grla i nosa Univerzitetskog klinič</w:t>
      </w:r>
      <w:r>
        <w:rPr>
          <w:rFonts w:ascii="Times New Roman" w:hAnsi="Times New Roman" w:cs="Times New Roman"/>
          <w:sz w:val="24"/>
          <w:lang w:eastAsia="sr-Latn-BA"/>
        </w:rPr>
        <w:t>kog centra Republike Srpske (UKC RS). Ova</w:t>
      </w:r>
      <w:r w:rsidRPr="00FC3251">
        <w:rPr>
          <w:rFonts w:ascii="Times New Roman" w:hAnsi="Times New Roman" w:cs="Times New Roman"/>
          <w:sz w:val="24"/>
          <w:lang w:eastAsia="sr-Latn-BA"/>
        </w:rPr>
        <w:t xml:space="preserve"> studij</w:t>
      </w:r>
      <w:r>
        <w:rPr>
          <w:rFonts w:ascii="Times New Roman" w:hAnsi="Times New Roman" w:cs="Times New Roman"/>
          <w:sz w:val="24"/>
          <w:lang w:eastAsia="sr-Latn-BA"/>
        </w:rPr>
        <w:t xml:space="preserve">a </w:t>
      </w:r>
      <w:r w:rsidRPr="00FC3251">
        <w:rPr>
          <w:rFonts w:ascii="Times New Roman" w:hAnsi="Times New Roman" w:cs="Times New Roman"/>
          <w:sz w:val="24"/>
          <w:lang w:eastAsia="sr-Latn-BA"/>
        </w:rPr>
        <w:t xml:space="preserve">je obuhvatila populaciju od 95 pacijenata čije se liječenje odvijalo u periodu od 1.1.2018. godine do 31.12.2019. godine. </w:t>
      </w:r>
    </w:p>
    <w:p w:rsidR="00C24759" w:rsidRDefault="00C24759" w:rsidP="00F46B04">
      <w:pPr>
        <w:spacing w:after="0" w:line="480" w:lineRule="auto"/>
        <w:jc w:val="both"/>
        <w:rPr>
          <w:rFonts w:ascii="Times New Roman" w:hAnsi="Times New Roman" w:cs="Times New Roman"/>
          <w:sz w:val="24"/>
          <w:lang w:eastAsia="sr-Latn-BA"/>
        </w:rPr>
      </w:pPr>
      <w:r w:rsidRPr="00474EED">
        <w:rPr>
          <w:rFonts w:ascii="Times New Roman" w:hAnsi="Times New Roman" w:cs="Times New Roman"/>
          <w:sz w:val="24"/>
          <w:lang w:eastAsia="sr-Latn-BA"/>
        </w:rPr>
        <w:t>Pacijenti su upućeni na pregled na Kliniku za bolesti uha, grla i nosa UKC RS na osnovu simptoma koje su imali – poremećaj gutanja, otežano disanje i dr. Uzimanjem anamneze dobije</w:t>
      </w:r>
      <w:r>
        <w:rPr>
          <w:rFonts w:ascii="Times New Roman" w:hAnsi="Times New Roman" w:cs="Times New Roman"/>
          <w:sz w:val="24"/>
          <w:lang w:eastAsia="sr-Latn-BA"/>
        </w:rPr>
        <w:t>n</w:t>
      </w:r>
      <w:r w:rsidRPr="00474EED">
        <w:rPr>
          <w:rFonts w:ascii="Times New Roman" w:hAnsi="Times New Roman" w:cs="Times New Roman"/>
          <w:sz w:val="24"/>
          <w:lang w:eastAsia="sr-Latn-BA"/>
        </w:rPr>
        <w:t xml:space="preserve">i su precizni podaci o hirurškim intervencijama koje su prethodile sadašnjim simptomima, kao i podaci o postojanju nekih drugih bolesti i stanja poput </w:t>
      </w:r>
      <w:r>
        <w:rPr>
          <w:rFonts w:ascii="Times New Roman" w:hAnsi="Times New Roman" w:cs="Times New Roman"/>
          <w:sz w:val="24"/>
          <w:lang w:eastAsia="sr-Latn-BA"/>
        </w:rPr>
        <w:t>dijabetesa, strume i malignih promjena štitne žlijezde.</w:t>
      </w:r>
    </w:p>
    <w:p w:rsidR="00C24759" w:rsidRDefault="00C24759" w:rsidP="00F46B04">
      <w:pPr>
        <w:spacing w:after="0" w:line="480" w:lineRule="auto"/>
        <w:jc w:val="both"/>
        <w:rPr>
          <w:rFonts w:ascii="Times New Roman" w:hAnsi="Times New Roman" w:cs="Times New Roman"/>
          <w:sz w:val="24"/>
          <w:lang w:eastAsia="sr-Latn-BA"/>
        </w:rPr>
      </w:pPr>
      <w:r>
        <w:rPr>
          <w:rFonts w:ascii="Times New Roman" w:hAnsi="Times New Roman" w:cs="Times New Roman"/>
          <w:sz w:val="24"/>
          <w:lang w:eastAsia="sr-Latn-BA"/>
        </w:rPr>
        <w:t>Nakon uzimanja anamneze pacijentima, utvrđen je lokalni ORL status koji se dobija izvođenjem ORL pregleda: otoskopije, prednje i zadnje rinoskopije, indirektne laringoskopije i pregledom vrata.</w:t>
      </w:r>
    </w:p>
    <w:p w:rsidR="00C24759" w:rsidRDefault="00C24759" w:rsidP="00F46B04">
      <w:pPr>
        <w:spacing w:after="0" w:line="480" w:lineRule="auto"/>
        <w:jc w:val="both"/>
        <w:rPr>
          <w:rFonts w:ascii="Times New Roman" w:hAnsi="Times New Roman" w:cs="Times New Roman"/>
          <w:sz w:val="24"/>
          <w:lang w:eastAsia="sr-Latn-BA"/>
        </w:rPr>
      </w:pPr>
      <w:r>
        <w:rPr>
          <w:rFonts w:ascii="Times New Roman" w:hAnsi="Times New Roman" w:cs="Times New Roman"/>
          <w:sz w:val="24"/>
          <w:lang w:eastAsia="sr-Latn-BA"/>
        </w:rPr>
        <w:t>Kod pacijenata sa sumnjom na neurogene paralize larinksa odrađena je endovideostroboskopija kojom su dobijene preciznije informacije, a zatim i postavila definitivna dijagnoza.</w:t>
      </w:r>
    </w:p>
    <w:p w:rsidR="00C24759" w:rsidRPr="00847E0D" w:rsidRDefault="00C24759" w:rsidP="00F46B04">
      <w:pPr>
        <w:spacing w:after="0" w:line="480" w:lineRule="auto"/>
        <w:jc w:val="both"/>
        <w:rPr>
          <w:rFonts w:ascii="Times New Roman" w:eastAsia="Times New Roman" w:hAnsi="Times New Roman" w:cs="Times New Roman"/>
          <w:sz w:val="24"/>
          <w:lang w:eastAsia="sr-Latn-BA"/>
        </w:rPr>
      </w:pPr>
      <w:r w:rsidRPr="00847E0D">
        <w:rPr>
          <w:rFonts w:ascii="Times New Roman" w:eastAsia="Times New Roman" w:hAnsi="Times New Roman" w:cs="Times New Roman"/>
          <w:sz w:val="24"/>
          <w:lang w:eastAsia="sr-Latn-BA"/>
        </w:rPr>
        <w:t>Analizirani podaci su prikazani kroz broj pojava i procentualnu zastupljenost. Za poređenje srednjih vrijednosti nezavisnih uzoraka korišten je T test. Vrijednosti u kojima je p&lt;0.05 uzimaju se za statistički značajne, a ukoliko je p&lt;0.01 razlika se smatra izuzetno značajnom.</w:t>
      </w:r>
    </w:p>
    <w:p w:rsidR="0039236D" w:rsidRPr="00920436" w:rsidRDefault="00C24759" w:rsidP="00F46B04">
      <w:pPr>
        <w:spacing w:after="0" w:line="480" w:lineRule="auto"/>
        <w:jc w:val="both"/>
        <w:rPr>
          <w:rFonts w:ascii="Times New Roman" w:eastAsia="Times New Roman" w:hAnsi="Times New Roman" w:cs="Times New Roman"/>
          <w:sz w:val="24"/>
          <w:lang w:eastAsia="sr-Latn-BA"/>
        </w:rPr>
      </w:pPr>
      <w:r w:rsidRPr="00847E0D">
        <w:rPr>
          <w:rFonts w:ascii="Times New Roman" w:eastAsia="Times New Roman" w:hAnsi="Times New Roman" w:cs="Times New Roman"/>
          <w:sz w:val="24"/>
          <w:lang w:eastAsia="sr-Latn-BA"/>
        </w:rPr>
        <w:t>Za statističku analizu, tabelarne i g</w:t>
      </w:r>
      <w:r>
        <w:rPr>
          <w:rFonts w:ascii="Times New Roman" w:eastAsia="Times New Roman" w:hAnsi="Times New Roman" w:cs="Times New Roman"/>
          <w:sz w:val="24"/>
          <w:lang w:eastAsia="sr-Latn-BA"/>
        </w:rPr>
        <w:t>rafičke prikaze rezultata koriš</w:t>
      </w:r>
      <w:r w:rsidRPr="00847E0D">
        <w:rPr>
          <w:rFonts w:ascii="Times New Roman" w:eastAsia="Times New Roman" w:hAnsi="Times New Roman" w:cs="Times New Roman"/>
          <w:sz w:val="24"/>
          <w:lang w:eastAsia="sr-Latn-BA"/>
        </w:rPr>
        <w:t>ten je MS Office Excel 2016.</w:t>
      </w:r>
    </w:p>
    <w:p w:rsidR="00C24759" w:rsidRPr="001735E2" w:rsidRDefault="001735E2" w:rsidP="00F46B04">
      <w:pPr>
        <w:pStyle w:val="Heading1"/>
        <w:spacing w:before="0" w:after="0" w:line="480" w:lineRule="auto"/>
        <w:ind w:left="0"/>
        <w:rPr>
          <w:sz w:val="24"/>
          <w:szCs w:val="24"/>
        </w:rPr>
      </w:pPr>
      <w:bookmarkStart w:id="2" w:name="_Toc49996535"/>
      <w:r w:rsidRPr="001735E2">
        <w:rPr>
          <w:sz w:val="24"/>
          <w:szCs w:val="24"/>
        </w:rPr>
        <w:lastRenderedPageBreak/>
        <w:t>Rezultati istraživanja</w:t>
      </w:r>
      <w:bookmarkEnd w:id="2"/>
    </w:p>
    <w:p w:rsidR="00690730" w:rsidRPr="00690730" w:rsidRDefault="00C24759" w:rsidP="00F46B04">
      <w:pPr>
        <w:spacing w:after="0" w:line="480" w:lineRule="auto"/>
        <w:jc w:val="both"/>
        <w:rPr>
          <w:rFonts w:ascii="Times New Roman" w:hAnsi="Times New Roman" w:cs="Times New Roman"/>
          <w:sz w:val="24"/>
          <w:lang w:eastAsia="sr-Latn-BA"/>
        </w:rPr>
      </w:pPr>
      <w:r w:rsidRPr="000A222B">
        <w:rPr>
          <w:rFonts w:ascii="Times New Roman" w:hAnsi="Times New Roman" w:cs="Times New Roman"/>
          <w:sz w:val="24"/>
          <w:lang w:eastAsia="sr-Latn-BA"/>
        </w:rPr>
        <w:t>U ovom istraživanju je obuhvaćeno 95 ispitanika, podjeljenih u dvije grupe - 21 sa obostranom neurogenom paralizom larinksa i 74 sa jednostranom neurogenom paralizom larinksa.</w:t>
      </w:r>
      <w:r>
        <w:rPr>
          <w:rFonts w:ascii="Times New Roman" w:hAnsi="Times New Roman" w:cs="Times New Roman"/>
          <w:sz w:val="24"/>
          <w:lang w:eastAsia="sr-Latn-BA"/>
        </w:rPr>
        <w:t xml:space="preserve"> Dobijeni statistički podaci su prikazani u tabeli (Tabela 1).</w:t>
      </w:r>
    </w:p>
    <w:p w:rsidR="00C24759" w:rsidRPr="00183AE5" w:rsidRDefault="006E3F2B" w:rsidP="00F46B04">
      <w:pPr>
        <w:pStyle w:val="Caption"/>
        <w:keepNext/>
        <w:spacing w:after="0" w:line="480" w:lineRule="auto"/>
        <w:rPr>
          <w:rFonts w:ascii="Times New Roman" w:hAnsi="Times New Roman" w:cs="Times New Roman"/>
          <w:color w:val="000000" w:themeColor="text1"/>
        </w:rPr>
      </w:pPr>
      <w:r w:rsidRPr="00DE35A0">
        <w:rPr>
          <w:rFonts w:ascii="Times New Roman" w:hAnsi="Times New Roman" w:cs="Times New Roman"/>
          <w:b/>
          <w:color w:val="000000" w:themeColor="text1"/>
        </w:rPr>
        <w:t xml:space="preserve">Tabela </w:t>
      </w:r>
      <w:r w:rsidRPr="00DE35A0">
        <w:rPr>
          <w:rFonts w:ascii="Times New Roman" w:hAnsi="Times New Roman" w:cs="Times New Roman"/>
          <w:b/>
          <w:color w:val="000000" w:themeColor="text1"/>
        </w:rPr>
        <w:fldChar w:fldCharType="begin"/>
      </w:r>
      <w:r w:rsidRPr="00DE35A0">
        <w:rPr>
          <w:rFonts w:ascii="Times New Roman" w:hAnsi="Times New Roman" w:cs="Times New Roman"/>
          <w:b/>
          <w:color w:val="000000" w:themeColor="text1"/>
        </w:rPr>
        <w:instrText xml:space="preserve"> SEQ Tabela \* ARABIC </w:instrText>
      </w:r>
      <w:r w:rsidRPr="00DE35A0">
        <w:rPr>
          <w:rFonts w:ascii="Times New Roman" w:hAnsi="Times New Roman" w:cs="Times New Roman"/>
          <w:b/>
          <w:color w:val="000000" w:themeColor="text1"/>
        </w:rPr>
        <w:fldChar w:fldCharType="separate"/>
      </w:r>
      <w:r w:rsidR="00A35694">
        <w:rPr>
          <w:rFonts w:ascii="Times New Roman" w:hAnsi="Times New Roman" w:cs="Times New Roman"/>
          <w:b/>
          <w:noProof/>
          <w:color w:val="000000" w:themeColor="text1"/>
        </w:rPr>
        <w:t>1</w:t>
      </w:r>
      <w:r w:rsidRPr="00DE35A0">
        <w:rPr>
          <w:rFonts w:ascii="Times New Roman" w:hAnsi="Times New Roman" w:cs="Times New Roman"/>
          <w:b/>
          <w:color w:val="000000" w:themeColor="text1"/>
        </w:rPr>
        <w:fldChar w:fldCharType="end"/>
      </w:r>
      <w:r w:rsidRPr="00DE35A0">
        <w:rPr>
          <w:rFonts w:ascii="Times New Roman" w:hAnsi="Times New Roman" w:cs="Times New Roman"/>
          <w:b/>
          <w:color w:val="000000" w:themeColor="text1"/>
        </w:rPr>
        <w:t>:</w:t>
      </w:r>
      <w:r w:rsidRPr="00183AE5">
        <w:rPr>
          <w:rFonts w:ascii="Times New Roman" w:hAnsi="Times New Roman" w:cs="Times New Roman"/>
          <w:color w:val="000000" w:themeColor="text1"/>
        </w:rPr>
        <w:t xml:space="preserve"> Učestalost jednostranih i obostranih neurogenih paraliza larinksa</w:t>
      </w:r>
    </w:p>
    <w:tbl>
      <w:tblPr>
        <w:tblStyle w:val="PlainTable5"/>
        <w:tblW w:w="8075" w:type="dxa"/>
        <w:tblLook w:val="04A0" w:firstRow="1" w:lastRow="0" w:firstColumn="1" w:lastColumn="0" w:noHBand="0" w:noVBand="1"/>
      </w:tblPr>
      <w:tblGrid>
        <w:gridCol w:w="2725"/>
        <w:gridCol w:w="2725"/>
        <w:gridCol w:w="2625"/>
      </w:tblGrid>
      <w:tr w:rsidR="00C24759" w:rsidTr="00B044D3">
        <w:trPr>
          <w:cnfStyle w:val="100000000000" w:firstRow="1" w:lastRow="0" w:firstColumn="0" w:lastColumn="0" w:oddVBand="0" w:evenVBand="0" w:oddHBand="0" w:evenHBand="0" w:firstRowFirstColumn="0" w:firstRowLastColumn="0" w:lastRowFirstColumn="0" w:lastRowLastColumn="0"/>
          <w:trHeight w:val="670"/>
        </w:trPr>
        <w:tc>
          <w:tcPr>
            <w:cnfStyle w:val="001000000100" w:firstRow="0" w:lastRow="0" w:firstColumn="1" w:lastColumn="0" w:oddVBand="0" w:evenVBand="0" w:oddHBand="0" w:evenHBand="0" w:firstRowFirstColumn="1" w:firstRowLastColumn="0" w:lastRowFirstColumn="0" w:lastRowLastColumn="0"/>
            <w:tcW w:w="2725" w:type="dxa"/>
            <w:vMerge w:val="restart"/>
            <w:tcBorders>
              <w:top w:val="single" w:sz="4" w:space="0" w:color="auto"/>
              <w:left w:val="single" w:sz="4" w:space="0" w:color="auto"/>
            </w:tcBorders>
          </w:tcPr>
          <w:p w:rsidR="00C24759" w:rsidRPr="00361C15" w:rsidRDefault="00C24759" w:rsidP="00F46B04">
            <w:pPr>
              <w:spacing w:line="480" w:lineRule="auto"/>
              <w:jc w:val="center"/>
              <w:rPr>
                <w:rFonts w:ascii="Times New Roman" w:hAnsi="Times New Roman" w:cs="Times New Roman"/>
                <w:sz w:val="24"/>
                <w:lang w:eastAsia="sr-Latn-BA"/>
              </w:rPr>
            </w:pPr>
          </w:p>
          <w:p w:rsidR="00C24759" w:rsidRPr="00361C15" w:rsidRDefault="00C24759" w:rsidP="00F46B04">
            <w:pPr>
              <w:spacing w:line="480" w:lineRule="auto"/>
              <w:jc w:val="center"/>
              <w:rPr>
                <w:rFonts w:ascii="Times New Roman" w:hAnsi="Times New Roman" w:cs="Times New Roman"/>
                <w:sz w:val="24"/>
                <w:lang w:eastAsia="sr-Latn-BA"/>
              </w:rPr>
            </w:pPr>
            <w:r w:rsidRPr="00361C15">
              <w:rPr>
                <w:rFonts w:ascii="Times New Roman" w:hAnsi="Times New Roman" w:cs="Times New Roman"/>
                <w:sz w:val="24"/>
                <w:lang w:eastAsia="sr-Latn-BA"/>
              </w:rPr>
              <w:t>Neurogena paraliza larinksa</w:t>
            </w:r>
          </w:p>
        </w:tc>
        <w:tc>
          <w:tcPr>
            <w:tcW w:w="5350" w:type="dxa"/>
            <w:gridSpan w:val="2"/>
            <w:tcBorders>
              <w:top w:val="single" w:sz="4" w:space="0" w:color="auto"/>
              <w:right w:val="single" w:sz="4" w:space="0" w:color="auto"/>
            </w:tcBorders>
          </w:tcPr>
          <w:p w:rsidR="00C24759" w:rsidRPr="00361C15" w:rsidRDefault="00C24759" w:rsidP="00F46B04">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lang w:eastAsia="sr-Latn-BA"/>
              </w:rPr>
            </w:pPr>
            <w:r w:rsidRPr="00361C15">
              <w:rPr>
                <w:rFonts w:ascii="Times New Roman" w:hAnsi="Times New Roman" w:cs="Times New Roman"/>
                <w:sz w:val="24"/>
                <w:lang w:eastAsia="sr-Latn-BA"/>
              </w:rPr>
              <w:t>Učestalost</w:t>
            </w:r>
          </w:p>
        </w:tc>
      </w:tr>
      <w:tr w:rsidR="00C24759" w:rsidTr="00B044D3">
        <w:trPr>
          <w:cnfStyle w:val="000000100000" w:firstRow="0" w:lastRow="0" w:firstColumn="0" w:lastColumn="0" w:oddVBand="0" w:evenVBand="0" w:oddHBand="1" w:evenHBand="0" w:firstRowFirstColumn="0" w:firstRowLastColumn="0" w:lastRowFirstColumn="0" w:lastRowLastColumn="0"/>
          <w:trHeight w:val="790"/>
        </w:trPr>
        <w:tc>
          <w:tcPr>
            <w:cnfStyle w:val="001000000000" w:firstRow="0" w:lastRow="0" w:firstColumn="1" w:lastColumn="0" w:oddVBand="0" w:evenVBand="0" w:oddHBand="0" w:evenHBand="0" w:firstRowFirstColumn="0" w:firstRowLastColumn="0" w:lastRowFirstColumn="0" w:lastRowLastColumn="0"/>
            <w:tcW w:w="2725" w:type="dxa"/>
            <w:vMerge/>
            <w:tcBorders>
              <w:left w:val="single" w:sz="4" w:space="0" w:color="auto"/>
              <w:bottom w:val="single" w:sz="4" w:space="0" w:color="auto"/>
            </w:tcBorders>
          </w:tcPr>
          <w:p w:rsidR="00C24759" w:rsidRPr="00361C15" w:rsidRDefault="00C24759" w:rsidP="00F46B04">
            <w:pPr>
              <w:spacing w:line="480" w:lineRule="auto"/>
              <w:jc w:val="both"/>
              <w:rPr>
                <w:rFonts w:ascii="Times New Roman" w:hAnsi="Times New Roman" w:cs="Times New Roman"/>
                <w:sz w:val="24"/>
                <w:lang w:eastAsia="sr-Latn-BA"/>
              </w:rPr>
            </w:pPr>
          </w:p>
        </w:tc>
        <w:tc>
          <w:tcPr>
            <w:tcW w:w="2725" w:type="dxa"/>
            <w:tcBorders>
              <w:bottom w:val="single" w:sz="4" w:space="0" w:color="auto"/>
              <w:right w:val="single" w:sz="4" w:space="0" w:color="auto"/>
            </w:tcBorders>
          </w:tcPr>
          <w:p w:rsidR="00C24759" w:rsidRPr="00361C15" w:rsidRDefault="00C24759" w:rsidP="00F46B04">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lang w:eastAsia="sr-Latn-BA"/>
              </w:rPr>
            </w:pPr>
            <w:r w:rsidRPr="00361C15">
              <w:rPr>
                <w:rFonts w:ascii="Times New Roman" w:hAnsi="Times New Roman" w:cs="Times New Roman"/>
                <w:b/>
                <w:color w:val="000000" w:themeColor="text1"/>
                <w:sz w:val="24"/>
                <w:lang w:eastAsia="sr-Latn-BA"/>
              </w:rPr>
              <w:t>Apsolutna</w:t>
            </w:r>
          </w:p>
        </w:tc>
        <w:tc>
          <w:tcPr>
            <w:tcW w:w="2625" w:type="dxa"/>
            <w:tcBorders>
              <w:left w:val="single" w:sz="4" w:space="0" w:color="auto"/>
              <w:bottom w:val="single" w:sz="4" w:space="0" w:color="auto"/>
              <w:right w:val="single" w:sz="4" w:space="0" w:color="auto"/>
            </w:tcBorders>
          </w:tcPr>
          <w:p w:rsidR="00C24759" w:rsidRPr="00361C15" w:rsidRDefault="00C24759" w:rsidP="00F46B04">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lang w:eastAsia="sr-Latn-BA"/>
              </w:rPr>
            </w:pPr>
            <w:r w:rsidRPr="00361C15">
              <w:rPr>
                <w:rFonts w:ascii="Times New Roman" w:hAnsi="Times New Roman" w:cs="Times New Roman"/>
                <w:b/>
                <w:color w:val="000000" w:themeColor="text1"/>
                <w:sz w:val="24"/>
                <w:lang w:eastAsia="sr-Latn-BA"/>
              </w:rPr>
              <w:t>Relativna</w:t>
            </w:r>
          </w:p>
        </w:tc>
      </w:tr>
      <w:tr w:rsidR="00C24759" w:rsidTr="00B044D3">
        <w:trPr>
          <w:trHeight w:val="460"/>
        </w:trPr>
        <w:tc>
          <w:tcPr>
            <w:cnfStyle w:val="001000000000" w:firstRow="0" w:lastRow="0" w:firstColumn="1" w:lastColumn="0" w:oddVBand="0" w:evenVBand="0" w:oddHBand="0" w:evenHBand="0" w:firstRowFirstColumn="0" w:firstRowLastColumn="0" w:lastRowFirstColumn="0" w:lastRowLastColumn="0"/>
            <w:tcW w:w="2725" w:type="dxa"/>
            <w:tcBorders>
              <w:top w:val="single" w:sz="4" w:space="0" w:color="auto"/>
              <w:left w:val="single" w:sz="4" w:space="0" w:color="auto"/>
            </w:tcBorders>
          </w:tcPr>
          <w:p w:rsidR="00C24759" w:rsidRPr="00BA63A4" w:rsidRDefault="00C24759" w:rsidP="00F46B04">
            <w:pPr>
              <w:spacing w:line="480" w:lineRule="auto"/>
              <w:jc w:val="center"/>
              <w:rPr>
                <w:rFonts w:ascii="Times New Roman" w:hAnsi="Times New Roman" w:cs="Times New Roman"/>
                <w:b/>
                <w:sz w:val="24"/>
                <w:lang w:eastAsia="sr-Latn-BA"/>
              </w:rPr>
            </w:pPr>
            <w:r w:rsidRPr="00BA63A4">
              <w:rPr>
                <w:rFonts w:ascii="Times New Roman" w:hAnsi="Times New Roman" w:cs="Times New Roman"/>
                <w:b/>
                <w:sz w:val="24"/>
                <w:lang w:eastAsia="sr-Latn-BA"/>
              </w:rPr>
              <w:t>Jednostrana</w:t>
            </w:r>
          </w:p>
        </w:tc>
        <w:tc>
          <w:tcPr>
            <w:tcW w:w="2725" w:type="dxa"/>
            <w:tcBorders>
              <w:top w:val="single" w:sz="4" w:space="0" w:color="auto"/>
              <w:right w:val="single" w:sz="4" w:space="0" w:color="auto"/>
            </w:tcBorders>
          </w:tcPr>
          <w:p w:rsidR="00C24759" w:rsidRPr="00FC7F03" w:rsidRDefault="00C24759" w:rsidP="00F46B0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lang w:eastAsia="sr-Latn-BA"/>
              </w:rPr>
            </w:pPr>
            <w:r w:rsidRPr="00FC7F03">
              <w:rPr>
                <w:rFonts w:ascii="Times New Roman" w:hAnsi="Times New Roman" w:cs="Times New Roman"/>
                <w:sz w:val="24"/>
                <w:lang w:eastAsia="sr-Latn-BA"/>
              </w:rPr>
              <w:t>74</w:t>
            </w:r>
          </w:p>
        </w:tc>
        <w:tc>
          <w:tcPr>
            <w:tcW w:w="2625" w:type="dxa"/>
            <w:tcBorders>
              <w:top w:val="single" w:sz="4" w:space="0" w:color="auto"/>
              <w:left w:val="single" w:sz="4" w:space="0" w:color="auto"/>
              <w:right w:val="single" w:sz="4" w:space="0" w:color="auto"/>
            </w:tcBorders>
          </w:tcPr>
          <w:p w:rsidR="00C24759" w:rsidRPr="00FC7F03" w:rsidRDefault="00C24759" w:rsidP="00F46B0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lang w:eastAsia="sr-Latn-BA"/>
              </w:rPr>
            </w:pPr>
            <w:r w:rsidRPr="00FC7F03">
              <w:rPr>
                <w:rFonts w:ascii="Times New Roman" w:hAnsi="Times New Roman" w:cs="Times New Roman"/>
                <w:sz w:val="24"/>
                <w:lang w:eastAsia="sr-Latn-BA"/>
              </w:rPr>
              <w:t>77,89%</w:t>
            </w:r>
          </w:p>
        </w:tc>
      </w:tr>
      <w:tr w:rsidR="00C24759" w:rsidTr="00B044D3">
        <w:trPr>
          <w:cnfStyle w:val="000000100000" w:firstRow="0" w:lastRow="0" w:firstColumn="0" w:lastColumn="0" w:oddVBand="0" w:evenVBand="0" w:oddHBand="1" w:evenHBand="0" w:firstRowFirstColumn="0" w:firstRowLastColumn="0" w:lastRowFirstColumn="0" w:lastRowLastColumn="0"/>
          <w:trHeight w:val="509"/>
        </w:trPr>
        <w:tc>
          <w:tcPr>
            <w:cnfStyle w:val="001000000000" w:firstRow="0" w:lastRow="0" w:firstColumn="1" w:lastColumn="0" w:oddVBand="0" w:evenVBand="0" w:oddHBand="0" w:evenHBand="0" w:firstRowFirstColumn="0" w:firstRowLastColumn="0" w:lastRowFirstColumn="0" w:lastRowLastColumn="0"/>
            <w:tcW w:w="2725" w:type="dxa"/>
            <w:tcBorders>
              <w:left w:val="single" w:sz="4" w:space="0" w:color="auto"/>
              <w:bottom w:val="single" w:sz="4" w:space="0" w:color="auto"/>
            </w:tcBorders>
          </w:tcPr>
          <w:p w:rsidR="00C24759" w:rsidRPr="00BA63A4" w:rsidRDefault="00C24759" w:rsidP="00F46B04">
            <w:pPr>
              <w:spacing w:line="480" w:lineRule="auto"/>
              <w:jc w:val="center"/>
              <w:rPr>
                <w:rFonts w:ascii="Times New Roman" w:hAnsi="Times New Roman" w:cs="Times New Roman"/>
                <w:b/>
                <w:sz w:val="24"/>
                <w:lang w:eastAsia="sr-Latn-BA"/>
              </w:rPr>
            </w:pPr>
            <w:r w:rsidRPr="00BA63A4">
              <w:rPr>
                <w:rFonts w:ascii="Times New Roman" w:hAnsi="Times New Roman" w:cs="Times New Roman"/>
                <w:b/>
                <w:sz w:val="24"/>
                <w:lang w:eastAsia="sr-Latn-BA"/>
              </w:rPr>
              <w:t>Obostrana</w:t>
            </w:r>
          </w:p>
        </w:tc>
        <w:tc>
          <w:tcPr>
            <w:tcW w:w="2725" w:type="dxa"/>
            <w:tcBorders>
              <w:bottom w:val="single" w:sz="4" w:space="0" w:color="auto"/>
              <w:right w:val="single" w:sz="4" w:space="0" w:color="auto"/>
            </w:tcBorders>
          </w:tcPr>
          <w:p w:rsidR="00C24759" w:rsidRPr="00FC7F03" w:rsidRDefault="00C24759" w:rsidP="00F46B04">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lang w:eastAsia="sr-Latn-BA"/>
              </w:rPr>
            </w:pPr>
            <w:r w:rsidRPr="00FC7F03">
              <w:rPr>
                <w:rFonts w:ascii="Times New Roman" w:hAnsi="Times New Roman" w:cs="Times New Roman"/>
                <w:sz w:val="24"/>
                <w:lang w:eastAsia="sr-Latn-BA"/>
              </w:rPr>
              <w:t>21</w:t>
            </w:r>
          </w:p>
        </w:tc>
        <w:tc>
          <w:tcPr>
            <w:tcW w:w="2625" w:type="dxa"/>
            <w:tcBorders>
              <w:left w:val="single" w:sz="4" w:space="0" w:color="auto"/>
              <w:bottom w:val="single" w:sz="4" w:space="0" w:color="auto"/>
              <w:right w:val="single" w:sz="4" w:space="0" w:color="auto"/>
            </w:tcBorders>
          </w:tcPr>
          <w:p w:rsidR="00C24759" w:rsidRPr="00FC7F03" w:rsidRDefault="00C24759" w:rsidP="00F46B04">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lang w:eastAsia="sr-Latn-BA"/>
              </w:rPr>
            </w:pPr>
            <w:r w:rsidRPr="00FC7F03">
              <w:rPr>
                <w:rFonts w:ascii="Times New Roman" w:hAnsi="Times New Roman" w:cs="Times New Roman"/>
                <w:sz w:val="24"/>
                <w:lang w:eastAsia="sr-Latn-BA"/>
              </w:rPr>
              <w:t>22,11%</w:t>
            </w:r>
          </w:p>
        </w:tc>
      </w:tr>
      <w:tr w:rsidR="00C24759" w:rsidTr="00B044D3">
        <w:trPr>
          <w:trHeight w:val="440"/>
        </w:trPr>
        <w:tc>
          <w:tcPr>
            <w:cnfStyle w:val="001000000000" w:firstRow="0" w:lastRow="0" w:firstColumn="1" w:lastColumn="0" w:oddVBand="0" w:evenVBand="0" w:oddHBand="0" w:evenHBand="0" w:firstRowFirstColumn="0" w:firstRowLastColumn="0" w:lastRowFirstColumn="0" w:lastRowLastColumn="0"/>
            <w:tcW w:w="2725" w:type="dxa"/>
            <w:tcBorders>
              <w:top w:val="single" w:sz="4" w:space="0" w:color="auto"/>
              <w:left w:val="single" w:sz="4" w:space="0" w:color="auto"/>
              <w:bottom w:val="single" w:sz="4" w:space="0" w:color="auto"/>
            </w:tcBorders>
          </w:tcPr>
          <w:p w:rsidR="00C24759" w:rsidRPr="00361C15" w:rsidRDefault="00C24759" w:rsidP="00F46B04">
            <w:pPr>
              <w:spacing w:line="480" w:lineRule="auto"/>
              <w:jc w:val="center"/>
              <w:rPr>
                <w:rFonts w:ascii="Times New Roman" w:hAnsi="Times New Roman" w:cs="Times New Roman"/>
                <w:sz w:val="24"/>
                <w:lang w:eastAsia="sr-Latn-BA"/>
              </w:rPr>
            </w:pPr>
            <w:r w:rsidRPr="00361C15">
              <w:rPr>
                <w:rFonts w:ascii="Times New Roman" w:hAnsi="Times New Roman" w:cs="Times New Roman"/>
                <w:sz w:val="24"/>
                <w:lang w:eastAsia="sr-Latn-BA"/>
              </w:rPr>
              <w:t>Ukupno</w:t>
            </w:r>
          </w:p>
        </w:tc>
        <w:tc>
          <w:tcPr>
            <w:tcW w:w="2725" w:type="dxa"/>
            <w:tcBorders>
              <w:top w:val="single" w:sz="4" w:space="0" w:color="auto"/>
              <w:bottom w:val="single" w:sz="4" w:space="0" w:color="auto"/>
              <w:right w:val="single" w:sz="4" w:space="0" w:color="auto"/>
            </w:tcBorders>
          </w:tcPr>
          <w:p w:rsidR="00C24759" w:rsidRPr="00FC7F03" w:rsidRDefault="00C24759" w:rsidP="00F46B0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lang w:eastAsia="sr-Latn-BA"/>
              </w:rPr>
            </w:pPr>
            <w:r w:rsidRPr="00FC7F03">
              <w:rPr>
                <w:rFonts w:ascii="Times New Roman" w:hAnsi="Times New Roman" w:cs="Times New Roman"/>
                <w:sz w:val="24"/>
                <w:lang w:eastAsia="sr-Latn-BA"/>
              </w:rPr>
              <w:t>95</w:t>
            </w:r>
          </w:p>
        </w:tc>
        <w:tc>
          <w:tcPr>
            <w:tcW w:w="2625" w:type="dxa"/>
            <w:tcBorders>
              <w:top w:val="single" w:sz="4" w:space="0" w:color="auto"/>
              <w:left w:val="single" w:sz="4" w:space="0" w:color="auto"/>
              <w:bottom w:val="single" w:sz="4" w:space="0" w:color="auto"/>
              <w:right w:val="single" w:sz="4" w:space="0" w:color="auto"/>
            </w:tcBorders>
          </w:tcPr>
          <w:p w:rsidR="00C24759" w:rsidRPr="00FC7F03" w:rsidRDefault="00C24759" w:rsidP="00F46B0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lang w:eastAsia="sr-Latn-BA"/>
              </w:rPr>
            </w:pPr>
            <w:r w:rsidRPr="00FC7F03">
              <w:rPr>
                <w:rFonts w:ascii="Times New Roman" w:hAnsi="Times New Roman" w:cs="Times New Roman"/>
                <w:sz w:val="24"/>
                <w:lang w:eastAsia="sr-Latn-BA"/>
              </w:rPr>
              <w:t>100%</w:t>
            </w:r>
          </w:p>
        </w:tc>
      </w:tr>
    </w:tbl>
    <w:p w:rsidR="00690730" w:rsidRPr="00690730" w:rsidRDefault="00690730" w:rsidP="00F46B04">
      <w:pPr>
        <w:spacing w:after="0" w:line="480" w:lineRule="auto"/>
      </w:pPr>
    </w:p>
    <w:p w:rsidR="00C24759" w:rsidRPr="001735E2" w:rsidRDefault="00C24759" w:rsidP="00F46B04">
      <w:pPr>
        <w:spacing w:after="0" w:line="480" w:lineRule="auto"/>
        <w:jc w:val="both"/>
        <w:rPr>
          <w:rFonts w:ascii="Times New Roman" w:hAnsi="Times New Roman" w:cs="Times New Roman"/>
          <w:sz w:val="24"/>
          <w:lang w:eastAsia="sr-Latn-BA"/>
        </w:rPr>
      </w:pPr>
      <w:r>
        <w:rPr>
          <w:rFonts w:ascii="Times New Roman" w:hAnsi="Times New Roman" w:cs="Times New Roman"/>
          <w:sz w:val="24"/>
          <w:lang w:eastAsia="sr-Latn-BA"/>
        </w:rPr>
        <w:t>Na osnovu dobijenih rezultata uočena je izuzetno značajna statistička razlika između učestalost jednostrane neurogene paralize larinksa u odnosu na obostranu, u korist jednostrane (t=3,968, p&lt;0,001).</w:t>
      </w:r>
    </w:p>
    <w:p w:rsidR="00C24759" w:rsidRDefault="00C24759" w:rsidP="00F46B04">
      <w:pPr>
        <w:spacing w:after="0" w:line="480" w:lineRule="auto"/>
        <w:jc w:val="both"/>
        <w:rPr>
          <w:rFonts w:ascii="Times New Roman" w:hAnsi="Times New Roman" w:cs="Times New Roman"/>
          <w:sz w:val="24"/>
          <w:lang w:eastAsia="sr-Latn-BA"/>
        </w:rPr>
      </w:pPr>
      <w:r>
        <w:rPr>
          <w:rFonts w:ascii="Times New Roman" w:hAnsi="Times New Roman" w:cs="Times New Roman"/>
          <w:sz w:val="24"/>
          <w:lang w:eastAsia="sr-Latn-BA"/>
        </w:rPr>
        <w:t>Od ukupno 21 obuhvaćenih ispitanika sa obostranom neurogenom paralizom larinksa, posmatrano prema polu kod 17 osoba ženskog pola dijagnostifikovano je ovo stanje, a kod 4 osobe muškog pola. Rezultati su prikazani u tabeli (Tabela 2).</w:t>
      </w:r>
    </w:p>
    <w:p w:rsidR="006E3F2B" w:rsidRPr="006E3F2B" w:rsidRDefault="006E3F2B" w:rsidP="00F46B04">
      <w:pPr>
        <w:pStyle w:val="Caption"/>
        <w:keepNext/>
        <w:tabs>
          <w:tab w:val="left" w:pos="1181"/>
          <w:tab w:val="center" w:pos="4513"/>
        </w:tabs>
        <w:spacing w:after="0" w:line="480" w:lineRule="auto"/>
        <w:rPr>
          <w:rFonts w:ascii="Times New Roman" w:hAnsi="Times New Roman" w:cs="Times New Roman"/>
          <w:color w:val="auto"/>
        </w:rPr>
      </w:pPr>
      <w:r w:rsidRPr="00DE35A0">
        <w:rPr>
          <w:rFonts w:ascii="Times New Roman" w:hAnsi="Times New Roman" w:cs="Times New Roman"/>
          <w:b/>
          <w:color w:val="auto"/>
        </w:rPr>
        <w:t xml:space="preserve">Tabela </w:t>
      </w:r>
      <w:r w:rsidRPr="00DE35A0">
        <w:rPr>
          <w:rFonts w:ascii="Times New Roman" w:hAnsi="Times New Roman" w:cs="Times New Roman"/>
          <w:b/>
          <w:color w:val="auto"/>
        </w:rPr>
        <w:fldChar w:fldCharType="begin"/>
      </w:r>
      <w:r w:rsidRPr="00DE35A0">
        <w:rPr>
          <w:rFonts w:ascii="Times New Roman" w:hAnsi="Times New Roman" w:cs="Times New Roman"/>
          <w:b/>
          <w:color w:val="auto"/>
        </w:rPr>
        <w:instrText xml:space="preserve"> SEQ Tabela \* ARABIC </w:instrText>
      </w:r>
      <w:r w:rsidRPr="00DE35A0">
        <w:rPr>
          <w:rFonts w:ascii="Times New Roman" w:hAnsi="Times New Roman" w:cs="Times New Roman"/>
          <w:b/>
          <w:color w:val="auto"/>
        </w:rPr>
        <w:fldChar w:fldCharType="separate"/>
      </w:r>
      <w:r w:rsidR="00A35694">
        <w:rPr>
          <w:rFonts w:ascii="Times New Roman" w:hAnsi="Times New Roman" w:cs="Times New Roman"/>
          <w:b/>
          <w:noProof/>
          <w:color w:val="auto"/>
        </w:rPr>
        <w:t>2</w:t>
      </w:r>
      <w:r w:rsidRPr="00DE35A0">
        <w:rPr>
          <w:rFonts w:ascii="Times New Roman" w:hAnsi="Times New Roman" w:cs="Times New Roman"/>
          <w:b/>
          <w:color w:val="auto"/>
        </w:rPr>
        <w:fldChar w:fldCharType="end"/>
      </w:r>
      <w:r w:rsidRPr="00DE35A0">
        <w:rPr>
          <w:rFonts w:ascii="Times New Roman" w:hAnsi="Times New Roman" w:cs="Times New Roman"/>
          <w:b/>
          <w:color w:val="auto"/>
        </w:rPr>
        <w:t>:</w:t>
      </w:r>
      <w:r w:rsidRPr="00183AE5">
        <w:rPr>
          <w:rFonts w:ascii="Times New Roman" w:hAnsi="Times New Roman" w:cs="Times New Roman"/>
          <w:color w:val="auto"/>
        </w:rPr>
        <w:t xml:space="preserve"> Učestalost obostrane neurogene paralize larinksa u odnosu na pol</w:t>
      </w:r>
    </w:p>
    <w:tbl>
      <w:tblPr>
        <w:tblStyle w:val="PlainTable5"/>
        <w:tblW w:w="8075" w:type="dxa"/>
        <w:tblLook w:val="04A0" w:firstRow="1" w:lastRow="0" w:firstColumn="1" w:lastColumn="0" w:noHBand="0" w:noVBand="1"/>
      </w:tblPr>
      <w:tblGrid>
        <w:gridCol w:w="2728"/>
        <w:gridCol w:w="2728"/>
        <w:gridCol w:w="2619"/>
      </w:tblGrid>
      <w:tr w:rsidR="00C24759" w:rsidTr="005F640F">
        <w:trPr>
          <w:cnfStyle w:val="100000000000" w:firstRow="1" w:lastRow="0" w:firstColumn="0" w:lastColumn="0" w:oddVBand="0" w:evenVBand="0" w:oddHBand="0" w:evenHBand="0" w:firstRowFirstColumn="0" w:firstRowLastColumn="0" w:lastRowFirstColumn="0" w:lastRowLastColumn="0"/>
          <w:trHeight w:val="515"/>
        </w:trPr>
        <w:tc>
          <w:tcPr>
            <w:cnfStyle w:val="001000000100" w:firstRow="0" w:lastRow="0" w:firstColumn="1" w:lastColumn="0" w:oddVBand="0" w:evenVBand="0" w:oddHBand="0" w:evenHBand="0" w:firstRowFirstColumn="1" w:firstRowLastColumn="0" w:lastRowFirstColumn="0" w:lastRowLastColumn="0"/>
            <w:tcW w:w="2728" w:type="dxa"/>
            <w:vMerge w:val="restart"/>
            <w:tcBorders>
              <w:top w:val="single" w:sz="4" w:space="0" w:color="auto"/>
              <w:left w:val="single" w:sz="4" w:space="0" w:color="auto"/>
              <w:right w:val="single" w:sz="4" w:space="0" w:color="auto"/>
            </w:tcBorders>
          </w:tcPr>
          <w:p w:rsidR="00C24759" w:rsidRPr="00FC7F03" w:rsidRDefault="00C24759" w:rsidP="00F46B04">
            <w:pPr>
              <w:spacing w:line="480" w:lineRule="auto"/>
              <w:jc w:val="center"/>
              <w:rPr>
                <w:rFonts w:ascii="Times New Roman" w:hAnsi="Times New Roman" w:cs="Times New Roman"/>
                <w:sz w:val="24"/>
                <w:lang w:eastAsia="sr-Latn-BA"/>
              </w:rPr>
            </w:pPr>
          </w:p>
          <w:p w:rsidR="00C24759" w:rsidRPr="00FC7F03" w:rsidRDefault="00C24759" w:rsidP="00F46B04">
            <w:pPr>
              <w:spacing w:line="480" w:lineRule="auto"/>
              <w:jc w:val="center"/>
              <w:rPr>
                <w:rFonts w:ascii="Times New Roman" w:hAnsi="Times New Roman" w:cs="Times New Roman"/>
                <w:sz w:val="24"/>
                <w:lang w:eastAsia="sr-Latn-BA"/>
              </w:rPr>
            </w:pPr>
            <w:r>
              <w:rPr>
                <w:rFonts w:ascii="Times New Roman" w:hAnsi="Times New Roman" w:cs="Times New Roman"/>
                <w:sz w:val="24"/>
                <w:lang w:eastAsia="sr-Latn-BA"/>
              </w:rPr>
              <w:t>Pol</w:t>
            </w:r>
          </w:p>
        </w:tc>
        <w:tc>
          <w:tcPr>
            <w:tcW w:w="5347" w:type="dxa"/>
            <w:gridSpan w:val="2"/>
            <w:tcBorders>
              <w:top w:val="single" w:sz="4" w:space="0" w:color="auto"/>
              <w:left w:val="single" w:sz="4" w:space="0" w:color="auto"/>
              <w:right w:val="single" w:sz="4" w:space="0" w:color="auto"/>
            </w:tcBorders>
          </w:tcPr>
          <w:p w:rsidR="00C24759" w:rsidRPr="00FC7F03" w:rsidRDefault="00C24759" w:rsidP="00F46B04">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lang w:eastAsia="sr-Latn-BA"/>
              </w:rPr>
            </w:pPr>
            <w:r w:rsidRPr="00FC7F03">
              <w:rPr>
                <w:rFonts w:ascii="Times New Roman" w:hAnsi="Times New Roman" w:cs="Times New Roman"/>
                <w:sz w:val="24"/>
                <w:lang w:eastAsia="sr-Latn-BA"/>
              </w:rPr>
              <w:t>Učestalost</w:t>
            </w:r>
          </w:p>
        </w:tc>
      </w:tr>
      <w:tr w:rsidR="00C24759" w:rsidTr="005F640F">
        <w:trPr>
          <w:cnfStyle w:val="000000100000" w:firstRow="0" w:lastRow="0" w:firstColumn="0" w:lastColumn="0" w:oddVBand="0" w:evenVBand="0" w:oddHBand="1" w:evenHBand="0" w:firstRowFirstColumn="0" w:firstRowLastColumn="0" w:lastRowFirstColumn="0" w:lastRowLastColumn="0"/>
          <w:trHeight w:val="602"/>
        </w:trPr>
        <w:tc>
          <w:tcPr>
            <w:cnfStyle w:val="001000000000" w:firstRow="0" w:lastRow="0" w:firstColumn="1" w:lastColumn="0" w:oddVBand="0" w:evenVBand="0" w:oddHBand="0" w:evenHBand="0" w:firstRowFirstColumn="0" w:firstRowLastColumn="0" w:lastRowFirstColumn="0" w:lastRowLastColumn="0"/>
            <w:tcW w:w="2728" w:type="dxa"/>
            <w:vMerge/>
            <w:tcBorders>
              <w:left w:val="single" w:sz="4" w:space="0" w:color="auto"/>
              <w:bottom w:val="single" w:sz="4" w:space="0" w:color="auto"/>
              <w:right w:val="single" w:sz="4" w:space="0" w:color="auto"/>
            </w:tcBorders>
          </w:tcPr>
          <w:p w:rsidR="00C24759" w:rsidRPr="00FC7F03" w:rsidRDefault="00C24759" w:rsidP="00F46B04">
            <w:pPr>
              <w:spacing w:line="480" w:lineRule="auto"/>
              <w:rPr>
                <w:b/>
                <w:lang w:eastAsia="sr-Latn-BA"/>
              </w:rPr>
            </w:pPr>
          </w:p>
        </w:tc>
        <w:tc>
          <w:tcPr>
            <w:tcW w:w="2728" w:type="dxa"/>
            <w:tcBorders>
              <w:left w:val="single" w:sz="4" w:space="0" w:color="auto"/>
              <w:bottom w:val="single" w:sz="4" w:space="0" w:color="auto"/>
              <w:right w:val="single" w:sz="4" w:space="0" w:color="auto"/>
            </w:tcBorders>
          </w:tcPr>
          <w:p w:rsidR="00C24759" w:rsidRPr="00FC7F03" w:rsidRDefault="00C24759" w:rsidP="00F46B04">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lang w:eastAsia="sr-Latn-BA"/>
              </w:rPr>
            </w:pPr>
            <w:r w:rsidRPr="00FC7F03">
              <w:rPr>
                <w:rFonts w:ascii="Times New Roman" w:hAnsi="Times New Roman" w:cs="Times New Roman"/>
                <w:b/>
                <w:sz w:val="24"/>
                <w:lang w:eastAsia="sr-Latn-BA"/>
              </w:rPr>
              <w:t>Apsolutna</w:t>
            </w:r>
          </w:p>
        </w:tc>
        <w:tc>
          <w:tcPr>
            <w:tcW w:w="2619" w:type="dxa"/>
            <w:tcBorders>
              <w:left w:val="single" w:sz="4" w:space="0" w:color="auto"/>
              <w:bottom w:val="single" w:sz="4" w:space="0" w:color="auto"/>
              <w:right w:val="single" w:sz="4" w:space="0" w:color="auto"/>
            </w:tcBorders>
          </w:tcPr>
          <w:p w:rsidR="00C24759" w:rsidRPr="00FC7F03" w:rsidRDefault="00C24759" w:rsidP="00F46B04">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lang w:eastAsia="sr-Latn-BA"/>
              </w:rPr>
            </w:pPr>
            <w:r w:rsidRPr="00FC7F03">
              <w:rPr>
                <w:rFonts w:ascii="Times New Roman" w:hAnsi="Times New Roman" w:cs="Times New Roman"/>
                <w:b/>
                <w:sz w:val="24"/>
                <w:lang w:eastAsia="sr-Latn-BA"/>
              </w:rPr>
              <w:t>Relativna</w:t>
            </w:r>
          </w:p>
        </w:tc>
      </w:tr>
      <w:tr w:rsidR="00C24759" w:rsidTr="005F640F">
        <w:trPr>
          <w:trHeight w:val="495"/>
        </w:trPr>
        <w:tc>
          <w:tcPr>
            <w:cnfStyle w:val="001000000000" w:firstRow="0" w:lastRow="0" w:firstColumn="1" w:lastColumn="0" w:oddVBand="0" w:evenVBand="0" w:oddHBand="0" w:evenHBand="0" w:firstRowFirstColumn="0" w:firstRowLastColumn="0" w:lastRowFirstColumn="0" w:lastRowLastColumn="0"/>
            <w:tcW w:w="2728" w:type="dxa"/>
            <w:tcBorders>
              <w:top w:val="single" w:sz="4" w:space="0" w:color="auto"/>
              <w:left w:val="single" w:sz="4" w:space="0" w:color="auto"/>
            </w:tcBorders>
          </w:tcPr>
          <w:p w:rsidR="00C24759" w:rsidRPr="00FC7F03" w:rsidRDefault="00C24759" w:rsidP="00F46B04">
            <w:pPr>
              <w:spacing w:line="480" w:lineRule="auto"/>
              <w:jc w:val="center"/>
              <w:rPr>
                <w:rFonts w:ascii="Times New Roman" w:hAnsi="Times New Roman" w:cs="Times New Roman"/>
                <w:b/>
                <w:sz w:val="24"/>
                <w:lang w:eastAsia="sr-Latn-BA"/>
              </w:rPr>
            </w:pPr>
            <w:r w:rsidRPr="00FC7F03">
              <w:rPr>
                <w:rFonts w:ascii="Times New Roman" w:hAnsi="Times New Roman" w:cs="Times New Roman"/>
                <w:b/>
                <w:sz w:val="24"/>
                <w:lang w:eastAsia="sr-Latn-BA"/>
              </w:rPr>
              <w:t>Ženski</w:t>
            </w:r>
          </w:p>
        </w:tc>
        <w:tc>
          <w:tcPr>
            <w:tcW w:w="2728" w:type="dxa"/>
            <w:tcBorders>
              <w:top w:val="single" w:sz="4" w:space="0" w:color="auto"/>
              <w:right w:val="single" w:sz="4" w:space="0" w:color="auto"/>
            </w:tcBorders>
          </w:tcPr>
          <w:p w:rsidR="00C24759" w:rsidRPr="00FC7F03" w:rsidRDefault="00C24759" w:rsidP="00F46B0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lang w:eastAsia="sr-Latn-BA"/>
              </w:rPr>
            </w:pPr>
            <w:r w:rsidRPr="00FC7F03">
              <w:rPr>
                <w:rFonts w:ascii="Times New Roman" w:hAnsi="Times New Roman" w:cs="Times New Roman"/>
                <w:sz w:val="24"/>
                <w:lang w:eastAsia="sr-Latn-BA"/>
              </w:rPr>
              <w:t>17</w:t>
            </w:r>
          </w:p>
        </w:tc>
        <w:tc>
          <w:tcPr>
            <w:tcW w:w="2619" w:type="dxa"/>
            <w:tcBorders>
              <w:top w:val="single" w:sz="4" w:space="0" w:color="auto"/>
              <w:left w:val="single" w:sz="4" w:space="0" w:color="auto"/>
              <w:right w:val="single" w:sz="4" w:space="0" w:color="auto"/>
            </w:tcBorders>
          </w:tcPr>
          <w:p w:rsidR="00C24759" w:rsidRPr="00FC7F03" w:rsidRDefault="00C24759" w:rsidP="00F46B0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lang w:eastAsia="sr-Latn-BA"/>
              </w:rPr>
            </w:pPr>
            <w:r w:rsidRPr="00FC7F03">
              <w:rPr>
                <w:rFonts w:ascii="Times New Roman" w:hAnsi="Times New Roman" w:cs="Times New Roman"/>
                <w:sz w:val="24"/>
                <w:lang w:eastAsia="sr-Latn-BA"/>
              </w:rPr>
              <w:t>80,95%</w:t>
            </w:r>
          </w:p>
        </w:tc>
      </w:tr>
      <w:tr w:rsidR="00C24759" w:rsidTr="005F640F">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728" w:type="dxa"/>
            <w:tcBorders>
              <w:left w:val="single" w:sz="4" w:space="0" w:color="auto"/>
              <w:bottom w:val="single" w:sz="4" w:space="0" w:color="auto"/>
            </w:tcBorders>
          </w:tcPr>
          <w:p w:rsidR="00C24759" w:rsidRPr="00FC7F03" w:rsidRDefault="00C24759" w:rsidP="00F46B04">
            <w:pPr>
              <w:spacing w:line="480" w:lineRule="auto"/>
              <w:jc w:val="center"/>
              <w:rPr>
                <w:rFonts w:ascii="Times New Roman" w:hAnsi="Times New Roman" w:cs="Times New Roman"/>
                <w:b/>
                <w:sz w:val="24"/>
                <w:lang w:eastAsia="sr-Latn-BA"/>
              </w:rPr>
            </w:pPr>
            <w:r w:rsidRPr="00FC7F03">
              <w:rPr>
                <w:rFonts w:ascii="Times New Roman" w:hAnsi="Times New Roman" w:cs="Times New Roman"/>
                <w:b/>
                <w:sz w:val="24"/>
                <w:lang w:eastAsia="sr-Latn-BA"/>
              </w:rPr>
              <w:t>Muški</w:t>
            </w:r>
          </w:p>
        </w:tc>
        <w:tc>
          <w:tcPr>
            <w:tcW w:w="2728" w:type="dxa"/>
            <w:tcBorders>
              <w:bottom w:val="single" w:sz="4" w:space="0" w:color="auto"/>
              <w:right w:val="single" w:sz="4" w:space="0" w:color="auto"/>
            </w:tcBorders>
          </w:tcPr>
          <w:p w:rsidR="00C24759" w:rsidRPr="00FC7F03" w:rsidRDefault="00C24759" w:rsidP="00F46B04">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lang w:eastAsia="sr-Latn-BA"/>
              </w:rPr>
            </w:pPr>
            <w:r w:rsidRPr="00FC7F03">
              <w:rPr>
                <w:rFonts w:ascii="Times New Roman" w:hAnsi="Times New Roman" w:cs="Times New Roman"/>
                <w:sz w:val="24"/>
                <w:lang w:eastAsia="sr-Latn-BA"/>
              </w:rPr>
              <w:t>4</w:t>
            </w:r>
          </w:p>
        </w:tc>
        <w:tc>
          <w:tcPr>
            <w:tcW w:w="2619" w:type="dxa"/>
            <w:tcBorders>
              <w:left w:val="single" w:sz="4" w:space="0" w:color="auto"/>
              <w:bottom w:val="single" w:sz="4" w:space="0" w:color="auto"/>
              <w:right w:val="single" w:sz="4" w:space="0" w:color="auto"/>
            </w:tcBorders>
          </w:tcPr>
          <w:p w:rsidR="00C24759" w:rsidRPr="00FC7F03" w:rsidRDefault="00C24759" w:rsidP="00F46B04">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lang w:eastAsia="sr-Latn-BA"/>
              </w:rPr>
            </w:pPr>
            <w:r w:rsidRPr="00FC7F03">
              <w:rPr>
                <w:rFonts w:ascii="Times New Roman" w:hAnsi="Times New Roman" w:cs="Times New Roman"/>
                <w:sz w:val="24"/>
                <w:lang w:eastAsia="sr-Latn-BA"/>
              </w:rPr>
              <w:t>19,05%</w:t>
            </w:r>
          </w:p>
        </w:tc>
      </w:tr>
      <w:tr w:rsidR="00C24759" w:rsidTr="005F640F">
        <w:trPr>
          <w:trHeight w:val="495"/>
        </w:trPr>
        <w:tc>
          <w:tcPr>
            <w:cnfStyle w:val="001000000000" w:firstRow="0" w:lastRow="0" w:firstColumn="1" w:lastColumn="0" w:oddVBand="0" w:evenVBand="0" w:oddHBand="0" w:evenHBand="0" w:firstRowFirstColumn="0" w:firstRowLastColumn="0" w:lastRowFirstColumn="0" w:lastRowLastColumn="0"/>
            <w:tcW w:w="2728" w:type="dxa"/>
            <w:tcBorders>
              <w:top w:val="single" w:sz="4" w:space="0" w:color="auto"/>
              <w:left w:val="single" w:sz="4" w:space="0" w:color="auto"/>
              <w:bottom w:val="single" w:sz="4" w:space="0" w:color="auto"/>
            </w:tcBorders>
          </w:tcPr>
          <w:p w:rsidR="00C24759" w:rsidRPr="00FC7F03" w:rsidRDefault="00C24759" w:rsidP="00F46B04">
            <w:pPr>
              <w:spacing w:line="480" w:lineRule="auto"/>
              <w:jc w:val="center"/>
              <w:rPr>
                <w:rFonts w:ascii="Times New Roman" w:hAnsi="Times New Roman" w:cs="Times New Roman"/>
                <w:lang w:eastAsia="sr-Latn-BA"/>
              </w:rPr>
            </w:pPr>
            <w:r w:rsidRPr="00FC7F03">
              <w:rPr>
                <w:rFonts w:ascii="Times New Roman" w:hAnsi="Times New Roman" w:cs="Times New Roman"/>
                <w:sz w:val="24"/>
                <w:lang w:eastAsia="sr-Latn-BA"/>
              </w:rPr>
              <w:t>Ukupno</w:t>
            </w:r>
          </w:p>
        </w:tc>
        <w:tc>
          <w:tcPr>
            <w:tcW w:w="2728" w:type="dxa"/>
            <w:tcBorders>
              <w:top w:val="single" w:sz="4" w:space="0" w:color="auto"/>
              <w:bottom w:val="single" w:sz="4" w:space="0" w:color="auto"/>
            </w:tcBorders>
          </w:tcPr>
          <w:p w:rsidR="00C24759" w:rsidRPr="00FC7F03" w:rsidRDefault="00C24759" w:rsidP="00F46B0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lang w:eastAsia="sr-Latn-BA"/>
              </w:rPr>
            </w:pPr>
            <w:r w:rsidRPr="00FC7F03">
              <w:rPr>
                <w:rFonts w:ascii="Times New Roman" w:hAnsi="Times New Roman" w:cs="Times New Roman"/>
                <w:sz w:val="24"/>
                <w:lang w:eastAsia="sr-Latn-BA"/>
              </w:rPr>
              <w:t>21</w:t>
            </w:r>
          </w:p>
        </w:tc>
        <w:tc>
          <w:tcPr>
            <w:tcW w:w="2619" w:type="dxa"/>
            <w:tcBorders>
              <w:top w:val="single" w:sz="4" w:space="0" w:color="auto"/>
              <w:bottom w:val="single" w:sz="4" w:space="0" w:color="auto"/>
              <w:right w:val="single" w:sz="4" w:space="0" w:color="auto"/>
            </w:tcBorders>
          </w:tcPr>
          <w:p w:rsidR="00C24759" w:rsidRPr="00FC7F03" w:rsidRDefault="00C24759" w:rsidP="00F46B0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lang w:eastAsia="sr-Latn-BA"/>
              </w:rPr>
            </w:pPr>
            <w:r w:rsidRPr="00FC7F03">
              <w:rPr>
                <w:rFonts w:ascii="Times New Roman" w:hAnsi="Times New Roman" w:cs="Times New Roman"/>
                <w:sz w:val="24"/>
                <w:lang w:eastAsia="sr-Latn-BA"/>
              </w:rPr>
              <w:t>100%</w:t>
            </w:r>
          </w:p>
        </w:tc>
      </w:tr>
    </w:tbl>
    <w:p w:rsidR="00C24759" w:rsidRDefault="00C24759" w:rsidP="00F46B04">
      <w:pPr>
        <w:spacing w:after="0" w:line="480" w:lineRule="auto"/>
        <w:ind w:firstLine="706"/>
        <w:rPr>
          <w:lang w:eastAsia="sr-Latn-BA"/>
        </w:rPr>
      </w:pPr>
    </w:p>
    <w:p w:rsidR="00204DE7" w:rsidRPr="00204DE7" w:rsidRDefault="00C24759" w:rsidP="00F46B04">
      <w:pPr>
        <w:spacing w:after="0" w:line="480" w:lineRule="auto"/>
        <w:rPr>
          <w:rFonts w:ascii="Times New Roman" w:hAnsi="Times New Roman" w:cs="Times New Roman"/>
          <w:sz w:val="24"/>
          <w:szCs w:val="24"/>
          <w:lang w:eastAsia="sr-Latn-BA"/>
        </w:rPr>
      </w:pPr>
      <w:r>
        <w:rPr>
          <w:rFonts w:ascii="Times New Roman" w:hAnsi="Times New Roman" w:cs="Times New Roman"/>
          <w:sz w:val="24"/>
          <w:szCs w:val="24"/>
          <w:lang w:eastAsia="sr-Latn-BA"/>
        </w:rPr>
        <w:lastRenderedPageBreak/>
        <w:t>Statistički značajna razlika u odnosu na pol nije uočena (t=1,546, p=0,086).</w:t>
      </w:r>
      <w:r w:rsidRPr="00F636E4">
        <w:rPr>
          <w:rFonts w:ascii="Times New Roman" w:hAnsi="Times New Roman" w:cs="Times New Roman"/>
          <w:sz w:val="24"/>
          <w:szCs w:val="24"/>
          <w:lang w:eastAsia="sr-Latn-BA"/>
        </w:rPr>
        <w:t>Prema zastupljenosti u odnosu na dob, grupu od 21og pacijenta sa obostranom neurogenom paralizom larinksa smo pod</w:t>
      </w:r>
      <w:r>
        <w:rPr>
          <w:rFonts w:ascii="Times New Roman" w:hAnsi="Times New Roman" w:cs="Times New Roman"/>
          <w:sz w:val="24"/>
          <w:szCs w:val="24"/>
          <w:lang w:eastAsia="sr-Latn-BA"/>
        </w:rPr>
        <w:t>i</w:t>
      </w:r>
      <w:r w:rsidRPr="00F636E4">
        <w:rPr>
          <w:rFonts w:ascii="Times New Roman" w:hAnsi="Times New Roman" w:cs="Times New Roman"/>
          <w:sz w:val="24"/>
          <w:szCs w:val="24"/>
          <w:lang w:eastAsia="sr-Latn-BA"/>
        </w:rPr>
        <w:t>jelili na tri grupe – 1. grup</w:t>
      </w:r>
      <w:r>
        <w:rPr>
          <w:rFonts w:ascii="Times New Roman" w:hAnsi="Times New Roman" w:cs="Times New Roman"/>
          <w:sz w:val="24"/>
          <w:szCs w:val="24"/>
          <w:lang w:eastAsia="sr-Latn-BA"/>
        </w:rPr>
        <w:t>u čine ispitanici</w:t>
      </w:r>
      <w:r w:rsidRPr="00F636E4">
        <w:rPr>
          <w:rFonts w:ascii="Times New Roman" w:hAnsi="Times New Roman" w:cs="Times New Roman"/>
          <w:sz w:val="24"/>
          <w:szCs w:val="24"/>
          <w:lang w:eastAsia="sr-Latn-BA"/>
        </w:rPr>
        <w:t xml:space="preserve"> do 54 godin</w:t>
      </w:r>
      <w:r>
        <w:rPr>
          <w:rFonts w:ascii="Times New Roman" w:hAnsi="Times New Roman" w:cs="Times New Roman"/>
          <w:sz w:val="24"/>
          <w:szCs w:val="24"/>
          <w:lang w:eastAsia="sr-Latn-BA"/>
        </w:rPr>
        <w:t>e</w:t>
      </w:r>
      <w:r w:rsidRPr="00F636E4">
        <w:rPr>
          <w:rFonts w:ascii="Times New Roman" w:hAnsi="Times New Roman" w:cs="Times New Roman"/>
          <w:sz w:val="24"/>
          <w:szCs w:val="24"/>
          <w:lang w:eastAsia="sr-Latn-BA"/>
        </w:rPr>
        <w:t xml:space="preserve"> starosti, 2. grup</w:t>
      </w:r>
      <w:r>
        <w:rPr>
          <w:rFonts w:ascii="Times New Roman" w:hAnsi="Times New Roman" w:cs="Times New Roman"/>
          <w:sz w:val="24"/>
          <w:szCs w:val="24"/>
          <w:lang w:eastAsia="sr-Latn-BA"/>
        </w:rPr>
        <w:t>u</w:t>
      </w:r>
      <w:r w:rsidRPr="00F636E4">
        <w:rPr>
          <w:rFonts w:ascii="Times New Roman" w:hAnsi="Times New Roman" w:cs="Times New Roman"/>
          <w:sz w:val="24"/>
          <w:szCs w:val="24"/>
          <w:lang w:eastAsia="sr-Latn-BA"/>
        </w:rPr>
        <w:t xml:space="preserve"> od 55 do 64 i 3. grup</w:t>
      </w:r>
      <w:r>
        <w:rPr>
          <w:rFonts w:ascii="Times New Roman" w:hAnsi="Times New Roman" w:cs="Times New Roman"/>
          <w:sz w:val="24"/>
          <w:szCs w:val="24"/>
          <w:lang w:eastAsia="sr-Latn-BA"/>
        </w:rPr>
        <w:t>u</w:t>
      </w:r>
      <w:r w:rsidRPr="00F636E4">
        <w:rPr>
          <w:rFonts w:ascii="Times New Roman" w:hAnsi="Times New Roman" w:cs="Times New Roman"/>
          <w:sz w:val="24"/>
          <w:szCs w:val="24"/>
          <w:lang w:eastAsia="sr-Latn-BA"/>
        </w:rPr>
        <w:t xml:space="preserve"> stariji od 65 godina.  Urađeno </w:t>
      </w:r>
      <w:r>
        <w:rPr>
          <w:rFonts w:ascii="Times New Roman" w:hAnsi="Times New Roman" w:cs="Times New Roman"/>
          <w:sz w:val="24"/>
          <w:szCs w:val="24"/>
          <w:lang w:eastAsia="sr-Latn-BA"/>
        </w:rPr>
        <w:t>is</w:t>
      </w:r>
      <w:r w:rsidRPr="00F636E4">
        <w:rPr>
          <w:rFonts w:ascii="Times New Roman" w:hAnsi="Times New Roman" w:cs="Times New Roman"/>
          <w:sz w:val="24"/>
          <w:szCs w:val="24"/>
          <w:lang w:eastAsia="sr-Latn-BA"/>
        </w:rPr>
        <w:t>traživanje je pokazalo da se obostrana neurogena paraliza larinksa javlja najčešće kod osoba starosti između 55 i 64 godine i to</w:t>
      </w:r>
      <w:r>
        <w:rPr>
          <w:rFonts w:ascii="Times New Roman" w:hAnsi="Times New Roman" w:cs="Times New Roman"/>
          <w:sz w:val="24"/>
          <w:szCs w:val="24"/>
          <w:lang w:eastAsia="sr-Latn-BA"/>
        </w:rPr>
        <w:t xml:space="preserve"> procentualno 42,86%. Dobijeni rezultati su prikazani u tabeli (Tabela 3).</w:t>
      </w:r>
    </w:p>
    <w:p w:rsidR="00C24759" w:rsidRPr="007E2BDC" w:rsidRDefault="006E3F2B" w:rsidP="00F46B04">
      <w:pPr>
        <w:pStyle w:val="Caption"/>
        <w:keepNext/>
        <w:spacing w:after="0" w:line="480" w:lineRule="auto"/>
        <w:rPr>
          <w:rFonts w:ascii="Times New Roman" w:hAnsi="Times New Roman" w:cs="Times New Roman"/>
          <w:color w:val="auto"/>
        </w:rPr>
      </w:pPr>
      <w:r w:rsidRPr="00DE35A0">
        <w:rPr>
          <w:rFonts w:ascii="Times New Roman" w:hAnsi="Times New Roman" w:cs="Times New Roman"/>
          <w:b/>
          <w:color w:val="auto"/>
        </w:rPr>
        <w:t xml:space="preserve">Tabela </w:t>
      </w:r>
      <w:r w:rsidRPr="00DE35A0">
        <w:rPr>
          <w:rFonts w:ascii="Times New Roman" w:hAnsi="Times New Roman" w:cs="Times New Roman"/>
          <w:b/>
          <w:color w:val="auto"/>
        </w:rPr>
        <w:fldChar w:fldCharType="begin"/>
      </w:r>
      <w:r w:rsidRPr="00DE35A0">
        <w:rPr>
          <w:rFonts w:ascii="Times New Roman" w:hAnsi="Times New Roman" w:cs="Times New Roman"/>
          <w:b/>
          <w:color w:val="auto"/>
        </w:rPr>
        <w:instrText xml:space="preserve"> SEQ Tabela \* ARABIC </w:instrText>
      </w:r>
      <w:r w:rsidRPr="00DE35A0">
        <w:rPr>
          <w:rFonts w:ascii="Times New Roman" w:hAnsi="Times New Roman" w:cs="Times New Roman"/>
          <w:b/>
          <w:color w:val="auto"/>
        </w:rPr>
        <w:fldChar w:fldCharType="separate"/>
      </w:r>
      <w:r w:rsidR="00A35694">
        <w:rPr>
          <w:rFonts w:ascii="Times New Roman" w:hAnsi="Times New Roman" w:cs="Times New Roman"/>
          <w:b/>
          <w:noProof/>
          <w:color w:val="auto"/>
        </w:rPr>
        <w:t>3</w:t>
      </w:r>
      <w:r w:rsidRPr="00DE35A0">
        <w:rPr>
          <w:rFonts w:ascii="Times New Roman" w:hAnsi="Times New Roman" w:cs="Times New Roman"/>
          <w:b/>
          <w:color w:val="auto"/>
        </w:rPr>
        <w:fldChar w:fldCharType="end"/>
      </w:r>
      <w:r w:rsidRPr="00DE35A0">
        <w:rPr>
          <w:rFonts w:ascii="Times New Roman" w:hAnsi="Times New Roman" w:cs="Times New Roman"/>
          <w:b/>
          <w:color w:val="auto"/>
        </w:rPr>
        <w:t>:</w:t>
      </w:r>
      <w:r w:rsidRPr="007E2BDC">
        <w:rPr>
          <w:rFonts w:ascii="Times New Roman" w:hAnsi="Times New Roman" w:cs="Times New Roman"/>
          <w:color w:val="auto"/>
        </w:rPr>
        <w:t>Učestalost obostrane neurogene paralize larinksa u odnosu na dob</w:t>
      </w:r>
    </w:p>
    <w:tbl>
      <w:tblPr>
        <w:tblStyle w:val="PlainTable5"/>
        <w:tblW w:w="8075" w:type="dxa"/>
        <w:tblLook w:val="04A0" w:firstRow="1" w:lastRow="0" w:firstColumn="1" w:lastColumn="0" w:noHBand="0" w:noVBand="1"/>
      </w:tblPr>
      <w:tblGrid>
        <w:gridCol w:w="2686"/>
        <w:gridCol w:w="2686"/>
        <w:gridCol w:w="2703"/>
      </w:tblGrid>
      <w:tr w:rsidR="00C24759" w:rsidTr="005F640F">
        <w:trPr>
          <w:cnfStyle w:val="100000000000" w:firstRow="1" w:lastRow="0" w:firstColumn="0" w:lastColumn="0" w:oddVBand="0" w:evenVBand="0" w:oddHBand="0" w:evenHBand="0" w:firstRowFirstColumn="0" w:firstRowLastColumn="0" w:lastRowFirstColumn="0" w:lastRowLastColumn="0"/>
          <w:trHeight w:val="463"/>
        </w:trPr>
        <w:tc>
          <w:tcPr>
            <w:cnfStyle w:val="001000000100" w:firstRow="0" w:lastRow="0" w:firstColumn="1" w:lastColumn="0" w:oddVBand="0" w:evenVBand="0" w:oddHBand="0" w:evenHBand="0" w:firstRowFirstColumn="1" w:firstRowLastColumn="0" w:lastRowFirstColumn="0" w:lastRowLastColumn="0"/>
            <w:tcW w:w="2686" w:type="dxa"/>
            <w:vMerge w:val="restart"/>
            <w:tcBorders>
              <w:top w:val="single" w:sz="4" w:space="0" w:color="auto"/>
              <w:left w:val="single" w:sz="4" w:space="0" w:color="auto"/>
              <w:right w:val="single" w:sz="4" w:space="0" w:color="auto"/>
            </w:tcBorders>
          </w:tcPr>
          <w:p w:rsidR="00C24759" w:rsidRDefault="00C24759" w:rsidP="00F46B04">
            <w:pPr>
              <w:spacing w:line="480" w:lineRule="auto"/>
              <w:jc w:val="center"/>
              <w:rPr>
                <w:rFonts w:ascii="Times New Roman" w:hAnsi="Times New Roman" w:cs="Times New Roman"/>
                <w:sz w:val="24"/>
                <w:szCs w:val="24"/>
                <w:lang w:eastAsia="sr-Latn-BA"/>
              </w:rPr>
            </w:pPr>
          </w:p>
          <w:p w:rsidR="00C24759" w:rsidRDefault="00C24759" w:rsidP="00F46B04">
            <w:pPr>
              <w:spacing w:line="480" w:lineRule="auto"/>
              <w:jc w:val="center"/>
              <w:rPr>
                <w:rFonts w:ascii="Times New Roman" w:hAnsi="Times New Roman" w:cs="Times New Roman"/>
                <w:sz w:val="24"/>
                <w:szCs w:val="24"/>
                <w:lang w:eastAsia="sr-Latn-BA"/>
              </w:rPr>
            </w:pPr>
            <w:r>
              <w:rPr>
                <w:rFonts w:ascii="Times New Roman" w:hAnsi="Times New Roman" w:cs="Times New Roman"/>
                <w:sz w:val="24"/>
                <w:szCs w:val="24"/>
                <w:lang w:eastAsia="sr-Latn-BA"/>
              </w:rPr>
              <w:t>Dob</w:t>
            </w:r>
          </w:p>
        </w:tc>
        <w:tc>
          <w:tcPr>
            <w:tcW w:w="5389" w:type="dxa"/>
            <w:gridSpan w:val="2"/>
            <w:tcBorders>
              <w:top w:val="single" w:sz="4" w:space="0" w:color="auto"/>
              <w:left w:val="single" w:sz="4" w:space="0" w:color="auto"/>
              <w:right w:val="single" w:sz="4" w:space="0" w:color="auto"/>
            </w:tcBorders>
          </w:tcPr>
          <w:p w:rsidR="00C24759" w:rsidRDefault="00C24759" w:rsidP="00F46B04">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eastAsia="sr-Latn-BA"/>
              </w:rPr>
            </w:pPr>
            <w:r>
              <w:rPr>
                <w:rFonts w:ascii="Times New Roman" w:hAnsi="Times New Roman" w:cs="Times New Roman"/>
                <w:sz w:val="24"/>
                <w:szCs w:val="24"/>
                <w:lang w:eastAsia="sr-Latn-BA"/>
              </w:rPr>
              <w:t>Učestalost</w:t>
            </w:r>
          </w:p>
        </w:tc>
      </w:tr>
      <w:tr w:rsidR="00C24759" w:rsidTr="005F640F">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686" w:type="dxa"/>
            <w:vMerge/>
            <w:tcBorders>
              <w:left w:val="single" w:sz="4" w:space="0" w:color="auto"/>
              <w:bottom w:val="single" w:sz="4" w:space="0" w:color="auto"/>
              <w:right w:val="single" w:sz="4" w:space="0" w:color="auto"/>
            </w:tcBorders>
          </w:tcPr>
          <w:p w:rsidR="00C24759" w:rsidRDefault="00C24759" w:rsidP="00F46B04">
            <w:pPr>
              <w:spacing w:line="480" w:lineRule="auto"/>
              <w:jc w:val="both"/>
              <w:rPr>
                <w:rFonts w:ascii="Times New Roman" w:hAnsi="Times New Roman" w:cs="Times New Roman"/>
                <w:sz w:val="24"/>
                <w:szCs w:val="24"/>
                <w:lang w:eastAsia="sr-Latn-BA"/>
              </w:rPr>
            </w:pPr>
          </w:p>
        </w:tc>
        <w:tc>
          <w:tcPr>
            <w:tcW w:w="2686" w:type="dxa"/>
            <w:tcBorders>
              <w:left w:val="single" w:sz="4" w:space="0" w:color="auto"/>
              <w:bottom w:val="single" w:sz="4" w:space="0" w:color="auto"/>
            </w:tcBorders>
          </w:tcPr>
          <w:p w:rsidR="00C24759" w:rsidRPr="00F636E4" w:rsidRDefault="00C24759" w:rsidP="00F46B04">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lang w:eastAsia="sr-Latn-BA"/>
              </w:rPr>
            </w:pPr>
            <w:r w:rsidRPr="00F636E4">
              <w:rPr>
                <w:rFonts w:ascii="Times New Roman" w:hAnsi="Times New Roman" w:cs="Times New Roman"/>
                <w:b/>
                <w:sz w:val="24"/>
                <w:szCs w:val="24"/>
                <w:lang w:eastAsia="sr-Latn-BA"/>
              </w:rPr>
              <w:t>Apsolutna</w:t>
            </w:r>
          </w:p>
        </w:tc>
        <w:tc>
          <w:tcPr>
            <w:tcW w:w="2703" w:type="dxa"/>
            <w:tcBorders>
              <w:bottom w:val="single" w:sz="4" w:space="0" w:color="auto"/>
              <w:right w:val="single" w:sz="4" w:space="0" w:color="auto"/>
            </w:tcBorders>
          </w:tcPr>
          <w:p w:rsidR="00C24759" w:rsidRPr="00F636E4" w:rsidRDefault="00C24759" w:rsidP="00F46B04">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lang w:eastAsia="sr-Latn-BA"/>
              </w:rPr>
            </w:pPr>
            <w:r>
              <w:rPr>
                <w:rFonts w:ascii="Times New Roman" w:hAnsi="Times New Roman" w:cs="Times New Roman"/>
                <w:b/>
                <w:sz w:val="24"/>
                <w:szCs w:val="24"/>
                <w:lang w:eastAsia="sr-Latn-BA"/>
              </w:rPr>
              <w:t>Relativna</w:t>
            </w:r>
          </w:p>
        </w:tc>
      </w:tr>
      <w:tr w:rsidR="00C24759" w:rsidTr="005F640F">
        <w:trPr>
          <w:trHeight w:val="416"/>
        </w:trPr>
        <w:tc>
          <w:tcPr>
            <w:cnfStyle w:val="001000000000" w:firstRow="0" w:lastRow="0" w:firstColumn="1" w:lastColumn="0" w:oddVBand="0" w:evenVBand="0" w:oddHBand="0" w:evenHBand="0" w:firstRowFirstColumn="0" w:firstRowLastColumn="0" w:lastRowFirstColumn="0" w:lastRowLastColumn="0"/>
            <w:tcW w:w="2686" w:type="dxa"/>
            <w:tcBorders>
              <w:top w:val="single" w:sz="4" w:space="0" w:color="auto"/>
              <w:left w:val="single" w:sz="4" w:space="0" w:color="auto"/>
            </w:tcBorders>
          </w:tcPr>
          <w:p w:rsidR="00C24759" w:rsidRPr="00F636E4" w:rsidRDefault="00C24759" w:rsidP="00F46B04">
            <w:pPr>
              <w:spacing w:line="480" w:lineRule="auto"/>
              <w:jc w:val="center"/>
              <w:rPr>
                <w:rFonts w:ascii="Times New Roman" w:hAnsi="Times New Roman" w:cs="Times New Roman"/>
                <w:b/>
                <w:sz w:val="24"/>
                <w:szCs w:val="24"/>
                <w:lang w:eastAsia="sr-Latn-BA"/>
              </w:rPr>
            </w:pPr>
            <w:r>
              <w:rPr>
                <w:rFonts w:ascii="Times New Roman" w:hAnsi="Times New Roman" w:cs="Times New Roman"/>
                <w:b/>
                <w:sz w:val="24"/>
                <w:szCs w:val="24"/>
                <w:lang w:eastAsia="sr-Latn-BA"/>
              </w:rPr>
              <w:t>Mlađi od 55 godina</w:t>
            </w:r>
          </w:p>
        </w:tc>
        <w:tc>
          <w:tcPr>
            <w:tcW w:w="2686" w:type="dxa"/>
            <w:tcBorders>
              <w:top w:val="single" w:sz="4" w:space="0" w:color="auto"/>
              <w:right w:val="single" w:sz="4" w:space="0" w:color="auto"/>
            </w:tcBorders>
          </w:tcPr>
          <w:p w:rsidR="00C24759" w:rsidRDefault="00C24759" w:rsidP="00F46B0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eastAsia="sr-Latn-BA"/>
              </w:rPr>
            </w:pPr>
            <w:r>
              <w:rPr>
                <w:rFonts w:ascii="Times New Roman" w:hAnsi="Times New Roman" w:cs="Times New Roman"/>
                <w:sz w:val="24"/>
                <w:szCs w:val="24"/>
                <w:lang w:eastAsia="sr-Latn-BA"/>
              </w:rPr>
              <w:t>6</w:t>
            </w:r>
          </w:p>
        </w:tc>
        <w:tc>
          <w:tcPr>
            <w:tcW w:w="2703" w:type="dxa"/>
            <w:tcBorders>
              <w:top w:val="single" w:sz="4" w:space="0" w:color="auto"/>
              <w:left w:val="single" w:sz="4" w:space="0" w:color="auto"/>
              <w:right w:val="single" w:sz="4" w:space="0" w:color="auto"/>
            </w:tcBorders>
          </w:tcPr>
          <w:p w:rsidR="00C24759" w:rsidRDefault="00C24759" w:rsidP="00F46B04">
            <w:pPr>
              <w:spacing w:line="480" w:lineRule="auto"/>
              <w:ind w:right="-142"/>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eastAsia="sr-Latn-BA"/>
              </w:rPr>
            </w:pPr>
            <w:r>
              <w:rPr>
                <w:rFonts w:ascii="Times New Roman" w:hAnsi="Times New Roman" w:cs="Times New Roman"/>
                <w:sz w:val="24"/>
                <w:szCs w:val="24"/>
                <w:lang w:eastAsia="sr-Latn-BA"/>
              </w:rPr>
              <w:t>28,57%</w:t>
            </w:r>
          </w:p>
        </w:tc>
      </w:tr>
      <w:tr w:rsidR="00C24759" w:rsidTr="005F640F">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2686" w:type="dxa"/>
            <w:tcBorders>
              <w:left w:val="single" w:sz="4" w:space="0" w:color="auto"/>
            </w:tcBorders>
          </w:tcPr>
          <w:p w:rsidR="00C24759" w:rsidRPr="00F636E4" w:rsidRDefault="00C24759" w:rsidP="00F46B04">
            <w:pPr>
              <w:spacing w:line="480" w:lineRule="auto"/>
              <w:jc w:val="center"/>
              <w:rPr>
                <w:rFonts w:ascii="Times New Roman" w:hAnsi="Times New Roman" w:cs="Times New Roman"/>
                <w:b/>
                <w:sz w:val="24"/>
                <w:szCs w:val="24"/>
                <w:lang w:eastAsia="sr-Latn-BA"/>
              </w:rPr>
            </w:pPr>
            <w:r w:rsidRPr="00F636E4">
              <w:rPr>
                <w:rFonts w:ascii="Times New Roman" w:hAnsi="Times New Roman" w:cs="Times New Roman"/>
                <w:b/>
                <w:sz w:val="24"/>
                <w:szCs w:val="24"/>
                <w:lang w:eastAsia="sr-Latn-BA"/>
              </w:rPr>
              <w:t>Od 55 do 64 godine</w:t>
            </w:r>
          </w:p>
        </w:tc>
        <w:tc>
          <w:tcPr>
            <w:tcW w:w="2686" w:type="dxa"/>
            <w:tcBorders>
              <w:right w:val="single" w:sz="4" w:space="0" w:color="auto"/>
            </w:tcBorders>
          </w:tcPr>
          <w:p w:rsidR="00C24759" w:rsidRDefault="00C24759" w:rsidP="00F46B04">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eastAsia="sr-Latn-BA"/>
              </w:rPr>
            </w:pPr>
            <w:r>
              <w:rPr>
                <w:rFonts w:ascii="Times New Roman" w:hAnsi="Times New Roman" w:cs="Times New Roman"/>
                <w:sz w:val="24"/>
                <w:szCs w:val="24"/>
                <w:lang w:eastAsia="sr-Latn-BA"/>
              </w:rPr>
              <w:t>9</w:t>
            </w:r>
          </w:p>
        </w:tc>
        <w:tc>
          <w:tcPr>
            <w:tcW w:w="2703" w:type="dxa"/>
            <w:tcBorders>
              <w:left w:val="single" w:sz="4" w:space="0" w:color="auto"/>
              <w:right w:val="single" w:sz="4" w:space="0" w:color="auto"/>
            </w:tcBorders>
          </w:tcPr>
          <w:p w:rsidR="00C24759" w:rsidRDefault="00C24759" w:rsidP="00F46B04">
            <w:pPr>
              <w:spacing w:line="480" w:lineRule="auto"/>
              <w:ind w:right="-142"/>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eastAsia="sr-Latn-BA"/>
              </w:rPr>
            </w:pPr>
            <w:r>
              <w:rPr>
                <w:rFonts w:ascii="Times New Roman" w:hAnsi="Times New Roman" w:cs="Times New Roman"/>
                <w:sz w:val="24"/>
                <w:szCs w:val="24"/>
                <w:lang w:eastAsia="sr-Latn-BA"/>
              </w:rPr>
              <w:t>42,86%</w:t>
            </w:r>
          </w:p>
        </w:tc>
      </w:tr>
      <w:tr w:rsidR="00C24759" w:rsidTr="005F640F">
        <w:trPr>
          <w:trHeight w:val="416"/>
        </w:trPr>
        <w:tc>
          <w:tcPr>
            <w:cnfStyle w:val="001000000000" w:firstRow="0" w:lastRow="0" w:firstColumn="1" w:lastColumn="0" w:oddVBand="0" w:evenVBand="0" w:oddHBand="0" w:evenHBand="0" w:firstRowFirstColumn="0" w:firstRowLastColumn="0" w:lastRowFirstColumn="0" w:lastRowLastColumn="0"/>
            <w:tcW w:w="2686" w:type="dxa"/>
            <w:tcBorders>
              <w:left w:val="single" w:sz="4" w:space="0" w:color="auto"/>
              <w:bottom w:val="single" w:sz="4" w:space="0" w:color="auto"/>
            </w:tcBorders>
          </w:tcPr>
          <w:p w:rsidR="00C24759" w:rsidRPr="00F636E4" w:rsidRDefault="00C24759" w:rsidP="00F46B04">
            <w:pPr>
              <w:spacing w:line="480" w:lineRule="auto"/>
              <w:jc w:val="center"/>
              <w:rPr>
                <w:rFonts w:ascii="Times New Roman" w:hAnsi="Times New Roman" w:cs="Times New Roman"/>
                <w:b/>
                <w:sz w:val="24"/>
                <w:szCs w:val="24"/>
                <w:lang w:eastAsia="sr-Latn-BA"/>
              </w:rPr>
            </w:pPr>
            <w:r>
              <w:rPr>
                <w:rFonts w:ascii="Times New Roman" w:hAnsi="Times New Roman" w:cs="Times New Roman"/>
                <w:b/>
                <w:sz w:val="24"/>
                <w:szCs w:val="24"/>
                <w:lang w:eastAsia="sr-Latn-BA"/>
              </w:rPr>
              <w:t>Stariji od 65 godina</w:t>
            </w:r>
          </w:p>
        </w:tc>
        <w:tc>
          <w:tcPr>
            <w:tcW w:w="2686" w:type="dxa"/>
            <w:tcBorders>
              <w:bottom w:val="single" w:sz="4" w:space="0" w:color="auto"/>
              <w:right w:val="single" w:sz="4" w:space="0" w:color="auto"/>
            </w:tcBorders>
          </w:tcPr>
          <w:p w:rsidR="00C24759" w:rsidRDefault="00C24759" w:rsidP="00F46B0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eastAsia="sr-Latn-BA"/>
              </w:rPr>
            </w:pPr>
            <w:r>
              <w:rPr>
                <w:rFonts w:ascii="Times New Roman" w:hAnsi="Times New Roman" w:cs="Times New Roman"/>
                <w:sz w:val="24"/>
                <w:szCs w:val="24"/>
                <w:lang w:eastAsia="sr-Latn-BA"/>
              </w:rPr>
              <w:t>6</w:t>
            </w:r>
          </w:p>
        </w:tc>
        <w:tc>
          <w:tcPr>
            <w:tcW w:w="2703" w:type="dxa"/>
            <w:tcBorders>
              <w:left w:val="single" w:sz="4" w:space="0" w:color="auto"/>
              <w:bottom w:val="single" w:sz="4" w:space="0" w:color="auto"/>
              <w:right w:val="single" w:sz="4" w:space="0" w:color="auto"/>
            </w:tcBorders>
          </w:tcPr>
          <w:p w:rsidR="00C24759" w:rsidRDefault="00C24759" w:rsidP="00F46B0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eastAsia="sr-Latn-BA"/>
              </w:rPr>
            </w:pPr>
            <w:r>
              <w:rPr>
                <w:rFonts w:ascii="Times New Roman" w:hAnsi="Times New Roman" w:cs="Times New Roman"/>
                <w:sz w:val="24"/>
                <w:szCs w:val="24"/>
                <w:lang w:eastAsia="sr-Latn-BA"/>
              </w:rPr>
              <w:t>28,57%</w:t>
            </w:r>
          </w:p>
        </w:tc>
      </w:tr>
      <w:tr w:rsidR="00C24759" w:rsidTr="005F640F">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2686" w:type="dxa"/>
            <w:tcBorders>
              <w:top w:val="single" w:sz="4" w:space="0" w:color="auto"/>
              <w:left w:val="single" w:sz="4" w:space="0" w:color="auto"/>
              <w:bottom w:val="single" w:sz="4" w:space="0" w:color="auto"/>
            </w:tcBorders>
          </w:tcPr>
          <w:p w:rsidR="00C24759" w:rsidRDefault="00C24759" w:rsidP="00F46B04">
            <w:pPr>
              <w:spacing w:line="480" w:lineRule="auto"/>
              <w:jc w:val="center"/>
              <w:rPr>
                <w:rFonts w:ascii="Times New Roman" w:hAnsi="Times New Roman" w:cs="Times New Roman"/>
                <w:sz w:val="24"/>
                <w:szCs w:val="24"/>
                <w:lang w:eastAsia="sr-Latn-BA"/>
              </w:rPr>
            </w:pPr>
            <w:r>
              <w:rPr>
                <w:rFonts w:ascii="Times New Roman" w:hAnsi="Times New Roman" w:cs="Times New Roman"/>
                <w:sz w:val="24"/>
                <w:szCs w:val="24"/>
                <w:lang w:eastAsia="sr-Latn-BA"/>
              </w:rPr>
              <w:t>Ukupno</w:t>
            </w:r>
          </w:p>
        </w:tc>
        <w:tc>
          <w:tcPr>
            <w:tcW w:w="2686" w:type="dxa"/>
            <w:tcBorders>
              <w:top w:val="single" w:sz="4" w:space="0" w:color="auto"/>
              <w:bottom w:val="single" w:sz="4" w:space="0" w:color="auto"/>
              <w:right w:val="single" w:sz="4" w:space="0" w:color="auto"/>
            </w:tcBorders>
          </w:tcPr>
          <w:p w:rsidR="00C24759" w:rsidRDefault="00C24759" w:rsidP="00F46B04">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eastAsia="sr-Latn-BA"/>
              </w:rPr>
            </w:pPr>
            <w:r>
              <w:rPr>
                <w:rFonts w:ascii="Times New Roman" w:hAnsi="Times New Roman" w:cs="Times New Roman"/>
                <w:sz w:val="24"/>
                <w:szCs w:val="24"/>
                <w:lang w:eastAsia="sr-Latn-BA"/>
              </w:rPr>
              <w:t>21</w:t>
            </w:r>
          </w:p>
        </w:tc>
        <w:tc>
          <w:tcPr>
            <w:tcW w:w="2703" w:type="dxa"/>
            <w:tcBorders>
              <w:top w:val="single" w:sz="4" w:space="0" w:color="auto"/>
              <w:left w:val="single" w:sz="4" w:space="0" w:color="auto"/>
              <w:bottom w:val="single" w:sz="4" w:space="0" w:color="auto"/>
              <w:right w:val="single" w:sz="4" w:space="0" w:color="auto"/>
            </w:tcBorders>
          </w:tcPr>
          <w:p w:rsidR="00C24759" w:rsidRDefault="00C24759" w:rsidP="00F46B04">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eastAsia="sr-Latn-BA"/>
              </w:rPr>
            </w:pPr>
            <w:r>
              <w:rPr>
                <w:rFonts w:ascii="Times New Roman" w:hAnsi="Times New Roman" w:cs="Times New Roman"/>
                <w:sz w:val="24"/>
                <w:szCs w:val="24"/>
                <w:lang w:eastAsia="sr-Latn-BA"/>
              </w:rPr>
              <w:t>100%</w:t>
            </w:r>
          </w:p>
        </w:tc>
      </w:tr>
    </w:tbl>
    <w:p w:rsidR="00C24759" w:rsidRDefault="00C24759" w:rsidP="00F46B04">
      <w:pPr>
        <w:pStyle w:val="Caption"/>
        <w:spacing w:after="0" w:line="480" w:lineRule="auto"/>
        <w:rPr>
          <w:rFonts w:ascii="Times New Roman" w:hAnsi="Times New Roman" w:cs="Times New Roman"/>
          <w:sz w:val="24"/>
          <w:szCs w:val="24"/>
          <w:lang w:eastAsia="sr-Latn-BA"/>
        </w:rPr>
      </w:pPr>
    </w:p>
    <w:p w:rsidR="00C24759" w:rsidRPr="006C6EB4" w:rsidRDefault="00C24759" w:rsidP="00F46B04">
      <w:pPr>
        <w:spacing w:after="0" w:line="480" w:lineRule="auto"/>
        <w:ind w:firstLine="706"/>
        <w:rPr>
          <w:rFonts w:ascii="Times New Roman" w:hAnsi="Times New Roman" w:cs="Times New Roman"/>
          <w:sz w:val="24"/>
          <w:szCs w:val="24"/>
          <w:lang w:eastAsia="sr-Latn-BA"/>
        </w:rPr>
      </w:pPr>
      <w:r w:rsidRPr="006C6EB4">
        <w:rPr>
          <w:rFonts w:ascii="Times New Roman" w:hAnsi="Times New Roman" w:cs="Times New Roman"/>
          <w:sz w:val="24"/>
          <w:szCs w:val="24"/>
          <w:lang w:eastAsia="sr-Latn-BA"/>
        </w:rPr>
        <w:t>Posmatrano prema starosnoj dobi pacijenata statistički značajna razlika nije uočena (t=1,467, p=0,086).</w:t>
      </w:r>
    </w:p>
    <w:p w:rsidR="00204DE7" w:rsidRDefault="00C24759" w:rsidP="00F46B04">
      <w:pPr>
        <w:spacing w:after="0" w:line="480" w:lineRule="auto"/>
        <w:jc w:val="both"/>
        <w:rPr>
          <w:rFonts w:ascii="Times New Roman" w:hAnsi="Times New Roman" w:cs="Times New Roman"/>
          <w:sz w:val="24"/>
          <w:lang w:eastAsia="sr-Latn-BA"/>
        </w:rPr>
      </w:pPr>
      <w:r>
        <w:rPr>
          <w:rFonts w:ascii="Times New Roman" w:hAnsi="Times New Roman" w:cs="Times New Roman"/>
          <w:sz w:val="24"/>
          <w:lang w:eastAsia="sr-Latn-BA"/>
        </w:rPr>
        <w:t>Istraživanje najčešće etiologije nad grupom od 21og ispitanika pokazalo je da se obostrana neurogena paraliza larinksa javlja u 47,62% slučajeva nakon totalne tiroidektomije.</w:t>
      </w:r>
      <w:r w:rsidR="005F1A8D">
        <w:rPr>
          <w:rFonts w:ascii="Times New Roman" w:hAnsi="Times New Roman" w:cs="Times New Roman"/>
          <w:sz w:val="24"/>
          <w:lang w:eastAsia="sr-Latn-BA"/>
        </w:rPr>
        <w:t xml:space="preserve"> (Tabela 4)</w:t>
      </w:r>
      <w:r>
        <w:rPr>
          <w:rFonts w:ascii="Times New Roman" w:hAnsi="Times New Roman" w:cs="Times New Roman"/>
          <w:sz w:val="24"/>
          <w:lang w:eastAsia="sr-Latn-BA"/>
        </w:rPr>
        <w:t xml:space="preserve"> Zapaženo je da je idiopatska paraliza dijagnostifikovana kod 28,81% slučajeva, a ostali etiološki faktori su zastupljeni ispod 10% pojedinačno.</w:t>
      </w:r>
      <w:r w:rsidR="005F1A8D">
        <w:rPr>
          <w:rFonts w:ascii="Times New Roman" w:hAnsi="Times New Roman" w:cs="Times New Roman"/>
          <w:sz w:val="24"/>
          <w:lang w:eastAsia="sr-Latn-BA"/>
        </w:rPr>
        <w:t xml:space="preserve"> (Dijagram 1)</w:t>
      </w:r>
    </w:p>
    <w:p w:rsidR="00F46B04" w:rsidRDefault="00F46B04" w:rsidP="00F46B04">
      <w:pPr>
        <w:spacing w:after="0" w:line="480" w:lineRule="auto"/>
        <w:jc w:val="both"/>
        <w:rPr>
          <w:rFonts w:ascii="Times New Roman" w:hAnsi="Times New Roman" w:cs="Times New Roman"/>
          <w:sz w:val="24"/>
          <w:lang w:eastAsia="sr-Latn-BA"/>
        </w:rPr>
      </w:pPr>
    </w:p>
    <w:p w:rsidR="00F46B04" w:rsidRDefault="00F46B04" w:rsidP="00F46B04">
      <w:pPr>
        <w:spacing w:after="0" w:line="480" w:lineRule="auto"/>
        <w:jc w:val="both"/>
        <w:rPr>
          <w:rFonts w:ascii="Times New Roman" w:hAnsi="Times New Roman" w:cs="Times New Roman"/>
          <w:sz w:val="24"/>
          <w:lang w:eastAsia="sr-Latn-BA"/>
        </w:rPr>
      </w:pPr>
    </w:p>
    <w:p w:rsidR="00F46B04" w:rsidRDefault="00F46B04" w:rsidP="00F46B04">
      <w:pPr>
        <w:spacing w:after="0" w:line="480" w:lineRule="auto"/>
        <w:jc w:val="both"/>
        <w:rPr>
          <w:rFonts w:ascii="Times New Roman" w:hAnsi="Times New Roman" w:cs="Times New Roman"/>
          <w:sz w:val="24"/>
          <w:lang w:eastAsia="sr-Latn-BA"/>
        </w:rPr>
      </w:pPr>
    </w:p>
    <w:tbl>
      <w:tblPr>
        <w:tblStyle w:val="PlainTable5"/>
        <w:tblpPr w:leftFromText="180" w:rightFromText="180" w:vertAnchor="page" w:horzAnchor="margin" w:tblpY="1801"/>
        <w:tblW w:w="8075" w:type="dxa"/>
        <w:tblLook w:val="04A0" w:firstRow="1" w:lastRow="0" w:firstColumn="1" w:lastColumn="0" w:noHBand="0" w:noVBand="1"/>
      </w:tblPr>
      <w:tblGrid>
        <w:gridCol w:w="2614"/>
        <w:gridCol w:w="2614"/>
        <w:gridCol w:w="2847"/>
      </w:tblGrid>
      <w:tr w:rsidR="00F46B04" w:rsidTr="00F46B04">
        <w:trPr>
          <w:cnfStyle w:val="100000000000" w:firstRow="1" w:lastRow="0" w:firstColumn="0" w:lastColumn="0" w:oddVBand="0" w:evenVBand="0" w:oddHBand="0" w:evenHBand="0" w:firstRowFirstColumn="0" w:firstRowLastColumn="0" w:lastRowFirstColumn="0" w:lastRowLastColumn="0"/>
          <w:trHeight w:val="565"/>
        </w:trPr>
        <w:tc>
          <w:tcPr>
            <w:cnfStyle w:val="001000000100" w:firstRow="0" w:lastRow="0" w:firstColumn="1" w:lastColumn="0" w:oddVBand="0" w:evenVBand="0" w:oddHBand="0" w:evenHBand="0" w:firstRowFirstColumn="1" w:firstRowLastColumn="0" w:lastRowFirstColumn="0" w:lastRowLastColumn="0"/>
            <w:tcW w:w="2614" w:type="dxa"/>
            <w:vMerge w:val="restart"/>
            <w:tcBorders>
              <w:top w:val="single" w:sz="4" w:space="0" w:color="auto"/>
              <w:left w:val="single" w:sz="4" w:space="0" w:color="auto"/>
              <w:right w:val="single" w:sz="4" w:space="0" w:color="auto"/>
            </w:tcBorders>
          </w:tcPr>
          <w:p w:rsidR="00F46B04" w:rsidRDefault="00F46B04" w:rsidP="00F46B04">
            <w:pPr>
              <w:spacing w:line="480" w:lineRule="auto"/>
              <w:jc w:val="left"/>
              <w:rPr>
                <w:rFonts w:ascii="Times New Roman" w:hAnsi="Times New Roman" w:cs="Times New Roman"/>
                <w:sz w:val="24"/>
                <w:lang w:eastAsia="sr-Latn-BA"/>
              </w:rPr>
            </w:pPr>
          </w:p>
          <w:p w:rsidR="00F46B04" w:rsidRDefault="00F46B04" w:rsidP="00F46B04">
            <w:pPr>
              <w:spacing w:line="480" w:lineRule="auto"/>
              <w:jc w:val="center"/>
              <w:rPr>
                <w:rFonts w:ascii="Times New Roman" w:hAnsi="Times New Roman" w:cs="Times New Roman"/>
                <w:sz w:val="24"/>
                <w:lang w:eastAsia="sr-Latn-BA"/>
              </w:rPr>
            </w:pPr>
            <w:r>
              <w:rPr>
                <w:rFonts w:ascii="Times New Roman" w:hAnsi="Times New Roman" w:cs="Times New Roman"/>
                <w:sz w:val="24"/>
                <w:lang w:eastAsia="sr-Latn-BA"/>
              </w:rPr>
              <w:t>Etiologija</w:t>
            </w:r>
          </w:p>
        </w:tc>
        <w:tc>
          <w:tcPr>
            <w:tcW w:w="5461" w:type="dxa"/>
            <w:gridSpan w:val="2"/>
            <w:tcBorders>
              <w:top w:val="single" w:sz="4" w:space="0" w:color="auto"/>
              <w:left w:val="single" w:sz="4" w:space="0" w:color="auto"/>
              <w:right w:val="single" w:sz="4" w:space="0" w:color="auto"/>
            </w:tcBorders>
          </w:tcPr>
          <w:p w:rsidR="00F46B04" w:rsidRDefault="00F46B04" w:rsidP="00F46B04">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lang w:eastAsia="sr-Latn-BA"/>
              </w:rPr>
            </w:pPr>
            <w:r>
              <w:rPr>
                <w:rFonts w:ascii="Times New Roman" w:hAnsi="Times New Roman" w:cs="Times New Roman"/>
                <w:sz w:val="24"/>
                <w:lang w:eastAsia="sr-Latn-BA"/>
              </w:rPr>
              <w:t>Učestalost</w:t>
            </w:r>
          </w:p>
        </w:tc>
      </w:tr>
      <w:tr w:rsidR="00F46B04" w:rsidTr="00F46B04">
        <w:trPr>
          <w:cnfStyle w:val="000000100000" w:firstRow="0" w:lastRow="0" w:firstColumn="0" w:lastColumn="0" w:oddVBand="0" w:evenVBand="0" w:oddHBand="1" w:evenHBand="0" w:firstRowFirstColumn="0" w:firstRowLastColumn="0" w:lastRowFirstColumn="0" w:lastRowLastColumn="0"/>
          <w:trHeight w:val="526"/>
        </w:trPr>
        <w:tc>
          <w:tcPr>
            <w:cnfStyle w:val="001000000000" w:firstRow="0" w:lastRow="0" w:firstColumn="1" w:lastColumn="0" w:oddVBand="0" w:evenVBand="0" w:oddHBand="0" w:evenHBand="0" w:firstRowFirstColumn="0" w:firstRowLastColumn="0" w:lastRowFirstColumn="0" w:lastRowLastColumn="0"/>
            <w:tcW w:w="2614" w:type="dxa"/>
            <w:vMerge/>
            <w:tcBorders>
              <w:left w:val="single" w:sz="4" w:space="0" w:color="auto"/>
              <w:bottom w:val="single" w:sz="4" w:space="0" w:color="auto"/>
              <w:right w:val="single" w:sz="4" w:space="0" w:color="auto"/>
            </w:tcBorders>
          </w:tcPr>
          <w:p w:rsidR="00F46B04" w:rsidRDefault="00F46B04" w:rsidP="00F46B04">
            <w:pPr>
              <w:spacing w:line="480" w:lineRule="auto"/>
              <w:jc w:val="both"/>
              <w:rPr>
                <w:rFonts w:ascii="Times New Roman" w:hAnsi="Times New Roman" w:cs="Times New Roman"/>
                <w:sz w:val="24"/>
                <w:lang w:eastAsia="sr-Latn-BA"/>
              </w:rPr>
            </w:pPr>
          </w:p>
        </w:tc>
        <w:tc>
          <w:tcPr>
            <w:tcW w:w="2614" w:type="dxa"/>
            <w:tcBorders>
              <w:left w:val="single" w:sz="4" w:space="0" w:color="auto"/>
              <w:bottom w:val="single" w:sz="4" w:space="0" w:color="auto"/>
            </w:tcBorders>
          </w:tcPr>
          <w:p w:rsidR="00F46B04" w:rsidRPr="00D83469" w:rsidRDefault="00F46B04" w:rsidP="00F46B04">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lang w:eastAsia="sr-Latn-BA"/>
              </w:rPr>
            </w:pPr>
            <w:r w:rsidRPr="00D83469">
              <w:rPr>
                <w:rFonts w:ascii="Times New Roman" w:hAnsi="Times New Roman" w:cs="Times New Roman"/>
                <w:b/>
                <w:sz w:val="24"/>
                <w:lang w:eastAsia="sr-Latn-BA"/>
              </w:rPr>
              <w:t>Apsolutna</w:t>
            </w:r>
          </w:p>
        </w:tc>
        <w:tc>
          <w:tcPr>
            <w:tcW w:w="2847" w:type="dxa"/>
            <w:tcBorders>
              <w:bottom w:val="single" w:sz="4" w:space="0" w:color="auto"/>
              <w:right w:val="single" w:sz="4" w:space="0" w:color="auto"/>
            </w:tcBorders>
          </w:tcPr>
          <w:p w:rsidR="00F46B04" w:rsidRPr="00D83469" w:rsidRDefault="00F46B04" w:rsidP="00F46B04">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lang w:eastAsia="sr-Latn-BA"/>
              </w:rPr>
            </w:pPr>
            <w:r w:rsidRPr="00D83469">
              <w:rPr>
                <w:rFonts w:ascii="Times New Roman" w:hAnsi="Times New Roman" w:cs="Times New Roman"/>
                <w:b/>
                <w:sz w:val="24"/>
                <w:lang w:eastAsia="sr-Latn-BA"/>
              </w:rPr>
              <w:t>Relativna</w:t>
            </w:r>
          </w:p>
        </w:tc>
      </w:tr>
      <w:tr w:rsidR="00F46B04" w:rsidTr="00F46B04">
        <w:trPr>
          <w:trHeight w:val="407"/>
        </w:trPr>
        <w:tc>
          <w:tcPr>
            <w:cnfStyle w:val="001000000000" w:firstRow="0" w:lastRow="0" w:firstColumn="1" w:lastColumn="0" w:oddVBand="0" w:evenVBand="0" w:oddHBand="0" w:evenHBand="0" w:firstRowFirstColumn="0" w:firstRowLastColumn="0" w:lastRowFirstColumn="0" w:lastRowLastColumn="0"/>
            <w:tcW w:w="2614" w:type="dxa"/>
            <w:tcBorders>
              <w:top w:val="single" w:sz="4" w:space="0" w:color="auto"/>
              <w:left w:val="single" w:sz="4" w:space="0" w:color="auto"/>
            </w:tcBorders>
          </w:tcPr>
          <w:p w:rsidR="00F46B04" w:rsidRPr="00124473" w:rsidRDefault="00F46B04" w:rsidP="00F46B04">
            <w:pPr>
              <w:spacing w:line="480" w:lineRule="auto"/>
              <w:jc w:val="left"/>
              <w:rPr>
                <w:rFonts w:ascii="Times New Roman" w:hAnsi="Times New Roman" w:cs="Times New Roman"/>
                <w:b/>
                <w:sz w:val="24"/>
                <w:lang w:eastAsia="sr-Latn-BA"/>
              </w:rPr>
            </w:pPr>
            <w:r w:rsidRPr="00124473">
              <w:rPr>
                <w:rFonts w:ascii="Times New Roman" w:hAnsi="Times New Roman" w:cs="Times New Roman"/>
                <w:b/>
                <w:sz w:val="24"/>
                <w:lang w:eastAsia="sr-Latn-BA"/>
              </w:rPr>
              <w:t>St post thyroidectomiam</w:t>
            </w:r>
          </w:p>
        </w:tc>
        <w:tc>
          <w:tcPr>
            <w:tcW w:w="2614" w:type="dxa"/>
            <w:tcBorders>
              <w:top w:val="single" w:sz="4" w:space="0" w:color="auto"/>
              <w:right w:val="single" w:sz="4" w:space="0" w:color="auto"/>
            </w:tcBorders>
          </w:tcPr>
          <w:p w:rsidR="00F46B04" w:rsidRDefault="00F46B04" w:rsidP="00F46B0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lang w:eastAsia="sr-Latn-BA"/>
              </w:rPr>
            </w:pPr>
            <w:r>
              <w:rPr>
                <w:rFonts w:ascii="Times New Roman" w:hAnsi="Times New Roman" w:cs="Times New Roman"/>
                <w:sz w:val="24"/>
                <w:lang w:eastAsia="sr-Latn-BA"/>
              </w:rPr>
              <w:t>10</w:t>
            </w:r>
          </w:p>
        </w:tc>
        <w:tc>
          <w:tcPr>
            <w:tcW w:w="2847" w:type="dxa"/>
            <w:tcBorders>
              <w:top w:val="single" w:sz="4" w:space="0" w:color="auto"/>
              <w:left w:val="single" w:sz="4" w:space="0" w:color="auto"/>
              <w:right w:val="single" w:sz="4" w:space="0" w:color="auto"/>
            </w:tcBorders>
          </w:tcPr>
          <w:p w:rsidR="00F46B04" w:rsidRDefault="00F46B04" w:rsidP="00F46B0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lang w:eastAsia="sr-Latn-BA"/>
              </w:rPr>
            </w:pPr>
            <w:r>
              <w:rPr>
                <w:rFonts w:ascii="Times New Roman" w:hAnsi="Times New Roman" w:cs="Times New Roman"/>
                <w:sz w:val="24"/>
                <w:lang w:eastAsia="sr-Latn-BA"/>
              </w:rPr>
              <w:t>47,62%</w:t>
            </w:r>
          </w:p>
        </w:tc>
      </w:tr>
      <w:tr w:rsidR="00F46B04" w:rsidTr="00F46B04">
        <w:trPr>
          <w:cnfStyle w:val="000000100000" w:firstRow="0" w:lastRow="0" w:firstColumn="0" w:lastColumn="0" w:oddVBand="0" w:evenVBand="0" w:oddHBand="1" w:evenHBand="0" w:firstRowFirstColumn="0" w:firstRowLastColumn="0" w:lastRowFirstColumn="0" w:lastRowLastColumn="0"/>
          <w:trHeight w:val="451"/>
        </w:trPr>
        <w:tc>
          <w:tcPr>
            <w:cnfStyle w:val="001000000000" w:firstRow="0" w:lastRow="0" w:firstColumn="1" w:lastColumn="0" w:oddVBand="0" w:evenVBand="0" w:oddHBand="0" w:evenHBand="0" w:firstRowFirstColumn="0" w:firstRowLastColumn="0" w:lastRowFirstColumn="0" w:lastRowLastColumn="0"/>
            <w:tcW w:w="2614" w:type="dxa"/>
            <w:tcBorders>
              <w:left w:val="single" w:sz="4" w:space="0" w:color="auto"/>
            </w:tcBorders>
          </w:tcPr>
          <w:p w:rsidR="00F46B04" w:rsidRPr="00124473" w:rsidRDefault="00F46B04" w:rsidP="00F46B04">
            <w:pPr>
              <w:spacing w:line="480" w:lineRule="auto"/>
              <w:jc w:val="left"/>
              <w:rPr>
                <w:rFonts w:ascii="Times New Roman" w:hAnsi="Times New Roman" w:cs="Times New Roman"/>
                <w:b/>
                <w:sz w:val="24"/>
                <w:lang w:eastAsia="sr-Latn-BA"/>
              </w:rPr>
            </w:pPr>
            <w:r w:rsidRPr="00124473">
              <w:rPr>
                <w:rFonts w:ascii="Times New Roman" w:hAnsi="Times New Roman" w:cs="Times New Roman"/>
                <w:b/>
                <w:sz w:val="24"/>
                <w:lang w:eastAsia="sr-Latn-BA"/>
              </w:rPr>
              <w:t>St post tracheotomiam</w:t>
            </w:r>
          </w:p>
        </w:tc>
        <w:tc>
          <w:tcPr>
            <w:tcW w:w="2614" w:type="dxa"/>
            <w:tcBorders>
              <w:right w:val="single" w:sz="4" w:space="0" w:color="auto"/>
            </w:tcBorders>
          </w:tcPr>
          <w:p w:rsidR="00F46B04" w:rsidRDefault="00F46B04" w:rsidP="00F46B04">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lang w:eastAsia="sr-Latn-BA"/>
              </w:rPr>
            </w:pPr>
            <w:r>
              <w:rPr>
                <w:rFonts w:ascii="Times New Roman" w:hAnsi="Times New Roman" w:cs="Times New Roman"/>
                <w:sz w:val="24"/>
                <w:lang w:eastAsia="sr-Latn-BA"/>
              </w:rPr>
              <w:t>2</w:t>
            </w:r>
          </w:p>
        </w:tc>
        <w:tc>
          <w:tcPr>
            <w:tcW w:w="2847" w:type="dxa"/>
            <w:tcBorders>
              <w:left w:val="single" w:sz="4" w:space="0" w:color="auto"/>
              <w:right w:val="single" w:sz="4" w:space="0" w:color="auto"/>
            </w:tcBorders>
          </w:tcPr>
          <w:p w:rsidR="00F46B04" w:rsidRDefault="00F46B04" w:rsidP="00F46B04">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lang w:eastAsia="sr-Latn-BA"/>
              </w:rPr>
            </w:pPr>
            <w:r>
              <w:rPr>
                <w:rFonts w:ascii="Times New Roman" w:hAnsi="Times New Roman" w:cs="Times New Roman"/>
                <w:sz w:val="24"/>
                <w:lang w:eastAsia="sr-Latn-BA"/>
              </w:rPr>
              <w:t>9,52%</w:t>
            </w:r>
          </w:p>
        </w:tc>
      </w:tr>
      <w:tr w:rsidR="00F46B04" w:rsidTr="00F46B04">
        <w:trPr>
          <w:trHeight w:val="396"/>
        </w:trPr>
        <w:tc>
          <w:tcPr>
            <w:cnfStyle w:val="001000000000" w:firstRow="0" w:lastRow="0" w:firstColumn="1" w:lastColumn="0" w:oddVBand="0" w:evenVBand="0" w:oddHBand="0" w:evenHBand="0" w:firstRowFirstColumn="0" w:firstRowLastColumn="0" w:lastRowFirstColumn="0" w:lastRowLastColumn="0"/>
            <w:tcW w:w="2614" w:type="dxa"/>
            <w:tcBorders>
              <w:left w:val="single" w:sz="4" w:space="0" w:color="auto"/>
            </w:tcBorders>
          </w:tcPr>
          <w:p w:rsidR="00F46B04" w:rsidRPr="00124473" w:rsidRDefault="00F46B04" w:rsidP="00F46B04">
            <w:pPr>
              <w:spacing w:line="480" w:lineRule="auto"/>
              <w:jc w:val="left"/>
              <w:rPr>
                <w:rFonts w:ascii="Times New Roman" w:hAnsi="Times New Roman" w:cs="Times New Roman"/>
                <w:b/>
                <w:sz w:val="24"/>
                <w:lang w:eastAsia="sr-Latn-BA"/>
              </w:rPr>
            </w:pPr>
            <w:r>
              <w:rPr>
                <w:rFonts w:ascii="Times New Roman" w:hAnsi="Times New Roman" w:cs="Times New Roman"/>
                <w:b/>
                <w:sz w:val="24"/>
                <w:lang w:eastAsia="sr-Latn-BA"/>
              </w:rPr>
              <w:t xml:space="preserve">St </w:t>
            </w:r>
            <w:r w:rsidRPr="00124473">
              <w:rPr>
                <w:rFonts w:ascii="Times New Roman" w:hAnsi="Times New Roman" w:cs="Times New Roman"/>
                <w:b/>
                <w:sz w:val="24"/>
                <w:lang w:eastAsia="sr-Latn-BA"/>
              </w:rPr>
              <w:t>post fracturam baseos cranii</w:t>
            </w:r>
          </w:p>
        </w:tc>
        <w:tc>
          <w:tcPr>
            <w:tcW w:w="2614" w:type="dxa"/>
            <w:tcBorders>
              <w:right w:val="single" w:sz="4" w:space="0" w:color="auto"/>
            </w:tcBorders>
          </w:tcPr>
          <w:p w:rsidR="00F46B04" w:rsidRPr="00124473" w:rsidRDefault="00F46B04" w:rsidP="00F46B0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lang w:eastAsia="sr-Latn-BA"/>
              </w:rPr>
            </w:pPr>
            <w:r>
              <w:rPr>
                <w:rFonts w:ascii="Times New Roman" w:hAnsi="Times New Roman" w:cs="Times New Roman"/>
                <w:sz w:val="24"/>
                <w:lang w:eastAsia="sr-Latn-BA"/>
              </w:rPr>
              <w:t>1</w:t>
            </w:r>
          </w:p>
        </w:tc>
        <w:tc>
          <w:tcPr>
            <w:tcW w:w="2847" w:type="dxa"/>
            <w:tcBorders>
              <w:left w:val="single" w:sz="4" w:space="0" w:color="auto"/>
              <w:right w:val="single" w:sz="4" w:space="0" w:color="auto"/>
            </w:tcBorders>
          </w:tcPr>
          <w:p w:rsidR="00F46B04" w:rsidRDefault="00F46B04" w:rsidP="00F46B0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lang w:eastAsia="sr-Latn-BA"/>
              </w:rPr>
            </w:pPr>
            <w:r>
              <w:rPr>
                <w:rFonts w:ascii="Times New Roman" w:hAnsi="Times New Roman" w:cs="Times New Roman"/>
                <w:sz w:val="24"/>
                <w:lang w:eastAsia="sr-Latn-BA"/>
              </w:rPr>
              <w:t>4,76%</w:t>
            </w:r>
          </w:p>
        </w:tc>
      </w:tr>
      <w:tr w:rsidR="00F46B04" w:rsidTr="00F46B04">
        <w:trPr>
          <w:cnfStyle w:val="000000100000" w:firstRow="0" w:lastRow="0" w:firstColumn="0" w:lastColumn="0" w:oddVBand="0" w:evenVBand="0" w:oddHBand="1"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2614" w:type="dxa"/>
            <w:tcBorders>
              <w:left w:val="single" w:sz="4" w:space="0" w:color="auto"/>
            </w:tcBorders>
          </w:tcPr>
          <w:p w:rsidR="00F46B04" w:rsidRPr="00124473" w:rsidRDefault="00F46B04" w:rsidP="00F46B04">
            <w:pPr>
              <w:spacing w:line="480" w:lineRule="auto"/>
              <w:jc w:val="left"/>
              <w:rPr>
                <w:rFonts w:ascii="Times New Roman" w:hAnsi="Times New Roman" w:cs="Times New Roman"/>
                <w:b/>
                <w:sz w:val="24"/>
                <w:lang w:eastAsia="sr-Latn-BA"/>
              </w:rPr>
            </w:pPr>
            <w:r w:rsidRPr="00124473">
              <w:rPr>
                <w:rFonts w:ascii="Times New Roman" w:hAnsi="Times New Roman" w:cs="Times New Roman"/>
                <w:b/>
                <w:sz w:val="24"/>
                <w:lang w:eastAsia="sr-Latn-BA"/>
              </w:rPr>
              <w:t>St post strumectomiam</w:t>
            </w:r>
          </w:p>
        </w:tc>
        <w:tc>
          <w:tcPr>
            <w:tcW w:w="2614" w:type="dxa"/>
            <w:tcBorders>
              <w:right w:val="single" w:sz="4" w:space="0" w:color="auto"/>
            </w:tcBorders>
          </w:tcPr>
          <w:p w:rsidR="00F46B04" w:rsidRDefault="00F46B04" w:rsidP="00F46B04">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lang w:eastAsia="sr-Latn-BA"/>
              </w:rPr>
            </w:pPr>
            <w:r>
              <w:rPr>
                <w:rFonts w:ascii="Times New Roman" w:hAnsi="Times New Roman" w:cs="Times New Roman"/>
                <w:sz w:val="24"/>
                <w:lang w:eastAsia="sr-Latn-BA"/>
              </w:rPr>
              <w:t>1</w:t>
            </w:r>
          </w:p>
        </w:tc>
        <w:tc>
          <w:tcPr>
            <w:tcW w:w="2847" w:type="dxa"/>
            <w:tcBorders>
              <w:left w:val="single" w:sz="4" w:space="0" w:color="auto"/>
              <w:right w:val="single" w:sz="4" w:space="0" w:color="auto"/>
            </w:tcBorders>
          </w:tcPr>
          <w:p w:rsidR="00F46B04" w:rsidRDefault="00F46B04" w:rsidP="00F46B04">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lang w:eastAsia="sr-Latn-BA"/>
              </w:rPr>
            </w:pPr>
            <w:r>
              <w:rPr>
                <w:rFonts w:ascii="Times New Roman" w:hAnsi="Times New Roman" w:cs="Times New Roman"/>
                <w:sz w:val="24"/>
                <w:lang w:eastAsia="sr-Latn-BA"/>
              </w:rPr>
              <w:t>4,76%</w:t>
            </w:r>
          </w:p>
        </w:tc>
      </w:tr>
      <w:tr w:rsidR="00F46B04" w:rsidTr="00F46B04">
        <w:trPr>
          <w:trHeight w:val="407"/>
        </w:trPr>
        <w:tc>
          <w:tcPr>
            <w:cnfStyle w:val="001000000000" w:firstRow="0" w:lastRow="0" w:firstColumn="1" w:lastColumn="0" w:oddVBand="0" w:evenVBand="0" w:oddHBand="0" w:evenHBand="0" w:firstRowFirstColumn="0" w:firstRowLastColumn="0" w:lastRowFirstColumn="0" w:lastRowLastColumn="0"/>
            <w:tcW w:w="2614" w:type="dxa"/>
            <w:tcBorders>
              <w:left w:val="single" w:sz="4" w:space="0" w:color="auto"/>
            </w:tcBorders>
          </w:tcPr>
          <w:p w:rsidR="00F46B04" w:rsidRPr="00124473" w:rsidRDefault="00F46B04" w:rsidP="00F46B04">
            <w:pPr>
              <w:spacing w:line="480" w:lineRule="auto"/>
              <w:jc w:val="left"/>
              <w:rPr>
                <w:rFonts w:ascii="Times New Roman" w:hAnsi="Times New Roman" w:cs="Times New Roman"/>
                <w:b/>
                <w:sz w:val="24"/>
                <w:lang w:eastAsia="sr-Latn-BA"/>
              </w:rPr>
            </w:pPr>
            <w:r w:rsidRPr="00124473">
              <w:rPr>
                <w:rFonts w:ascii="Times New Roman" w:hAnsi="Times New Roman" w:cs="Times New Roman"/>
                <w:b/>
                <w:sz w:val="24"/>
                <w:lang w:eastAsia="sr-Latn-BA"/>
              </w:rPr>
              <w:t>Struma štitne žlijezde</w:t>
            </w:r>
          </w:p>
        </w:tc>
        <w:tc>
          <w:tcPr>
            <w:tcW w:w="2614" w:type="dxa"/>
            <w:tcBorders>
              <w:right w:val="single" w:sz="4" w:space="0" w:color="auto"/>
            </w:tcBorders>
          </w:tcPr>
          <w:p w:rsidR="00F46B04" w:rsidRDefault="00F46B04" w:rsidP="00F46B0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lang w:eastAsia="sr-Latn-BA"/>
              </w:rPr>
            </w:pPr>
            <w:r>
              <w:rPr>
                <w:rFonts w:ascii="Times New Roman" w:hAnsi="Times New Roman" w:cs="Times New Roman"/>
                <w:sz w:val="24"/>
                <w:lang w:eastAsia="sr-Latn-BA"/>
              </w:rPr>
              <w:t>1</w:t>
            </w:r>
          </w:p>
        </w:tc>
        <w:tc>
          <w:tcPr>
            <w:tcW w:w="2847" w:type="dxa"/>
            <w:tcBorders>
              <w:left w:val="single" w:sz="4" w:space="0" w:color="auto"/>
              <w:right w:val="single" w:sz="4" w:space="0" w:color="auto"/>
            </w:tcBorders>
          </w:tcPr>
          <w:p w:rsidR="00F46B04" w:rsidRDefault="00F46B04" w:rsidP="00F46B0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lang w:eastAsia="sr-Latn-BA"/>
              </w:rPr>
            </w:pPr>
            <w:r>
              <w:rPr>
                <w:rFonts w:ascii="Times New Roman" w:hAnsi="Times New Roman" w:cs="Times New Roman"/>
                <w:sz w:val="24"/>
                <w:lang w:eastAsia="sr-Latn-BA"/>
              </w:rPr>
              <w:t>4,76%</w:t>
            </w:r>
          </w:p>
        </w:tc>
      </w:tr>
      <w:tr w:rsidR="00F46B04" w:rsidTr="00F46B04">
        <w:trPr>
          <w:cnfStyle w:val="000000100000" w:firstRow="0" w:lastRow="0" w:firstColumn="0" w:lastColumn="0" w:oddVBand="0" w:evenVBand="0" w:oddHBand="1"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2614" w:type="dxa"/>
            <w:tcBorders>
              <w:left w:val="single" w:sz="4" w:space="0" w:color="auto"/>
            </w:tcBorders>
          </w:tcPr>
          <w:p w:rsidR="00F46B04" w:rsidRPr="00124473" w:rsidRDefault="00F46B04" w:rsidP="00F46B04">
            <w:pPr>
              <w:spacing w:line="480" w:lineRule="auto"/>
              <w:jc w:val="both"/>
              <w:rPr>
                <w:rFonts w:ascii="Times New Roman" w:hAnsi="Times New Roman" w:cs="Times New Roman"/>
                <w:b/>
                <w:sz w:val="24"/>
                <w:lang w:eastAsia="sr-Latn-BA"/>
              </w:rPr>
            </w:pPr>
            <w:r w:rsidRPr="00124473">
              <w:rPr>
                <w:rFonts w:ascii="Times New Roman" w:hAnsi="Times New Roman" w:cs="Times New Roman"/>
                <w:b/>
                <w:sz w:val="24"/>
                <w:lang w:eastAsia="sr-Latn-BA"/>
              </w:rPr>
              <w:t>Hiopotireoza</w:t>
            </w:r>
          </w:p>
        </w:tc>
        <w:tc>
          <w:tcPr>
            <w:tcW w:w="2614" w:type="dxa"/>
            <w:tcBorders>
              <w:right w:val="single" w:sz="4" w:space="0" w:color="auto"/>
            </w:tcBorders>
          </w:tcPr>
          <w:p w:rsidR="00F46B04" w:rsidRDefault="00F46B04" w:rsidP="00F46B04">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lang w:eastAsia="sr-Latn-BA"/>
              </w:rPr>
            </w:pPr>
            <w:r>
              <w:rPr>
                <w:rFonts w:ascii="Times New Roman" w:hAnsi="Times New Roman" w:cs="Times New Roman"/>
                <w:sz w:val="24"/>
                <w:lang w:eastAsia="sr-Latn-BA"/>
              </w:rPr>
              <w:t>1</w:t>
            </w:r>
          </w:p>
        </w:tc>
        <w:tc>
          <w:tcPr>
            <w:tcW w:w="2847" w:type="dxa"/>
            <w:tcBorders>
              <w:left w:val="single" w:sz="4" w:space="0" w:color="auto"/>
              <w:right w:val="single" w:sz="4" w:space="0" w:color="auto"/>
            </w:tcBorders>
          </w:tcPr>
          <w:p w:rsidR="00F46B04" w:rsidRDefault="00F46B04" w:rsidP="00F46B04">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lang w:eastAsia="sr-Latn-BA"/>
              </w:rPr>
            </w:pPr>
            <w:r>
              <w:rPr>
                <w:rFonts w:ascii="Times New Roman" w:hAnsi="Times New Roman" w:cs="Times New Roman"/>
                <w:sz w:val="24"/>
                <w:lang w:eastAsia="sr-Latn-BA"/>
              </w:rPr>
              <w:t>4,76%</w:t>
            </w:r>
          </w:p>
        </w:tc>
      </w:tr>
      <w:tr w:rsidR="00F46B04" w:rsidTr="00F46B04">
        <w:trPr>
          <w:trHeight w:val="407"/>
        </w:trPr>
        <w:tc>
          <w:tcPr>
            <w:cnfStyle w:val="001000000000" w:firstRow="0" w:lastRow="0" w:firstColumn="1" w:lastColumn="0" w:oddVBand="0" w:evenVBand="0" w:oddHBand="0" w:evenHBand="0" w:firstRowFirstColumn="0" w:firstRowLastColumn="0" w:lastRowFirstColumn="0" w:lastRowLastColumn="0"/>
            <w:tcW w:w="2614" w:type="dxa"/>
            <w:tcBorders>
              <w:left w:val="single" w:sz="4" w:space="0" w:color="auto"/>
              <w:bottom w:val="single" w:sz="4" w:space="0" w:color="auto"/>
            </w:tcBorders>
          </w:tcPr>
          <w:p w:rsidR="00F46B04" w:rsidRPr="00124473" w:rsidRDefault="00F46B04" w:rsidP="00F46B04">
            <w:pPr>
              <w:spacing w:line="480" w:lineRule="auto"/>
              <w:jc w:val="both"/>
              <w:rPr>
                <w:rFonts w:ascii="Times New Roman" w:hAnsi="Times New Roman" w:cs="Times New Roman"/>
                <w:b/>
                <w:sz w:val="24"/>
                <w:lang w:eastAsia="sr-Latn-BA"/>
              </w:rPr>
            </w:pPr>
            <w:r w:rsidRPr="00124473">
              <w:rPr>
                <w:rFonts w:ascii="Times New Roman" w:hAnsi="Times New Roman" w:cs="Times New Roman"/>
                <w:b/>
                <w:sz w:val="24"/>
                <w:lang w:eastAsia="sr-Latn-BA"/>
              </w:rPr>
              <w:t>Idiopatski</w:t>
            </w:r>
          </w:p>
        </w:tc>
        <w:tc>
          <w:tcPr>
            <w:tcW w:w="2614" w:type="dxa"/>
            <w:tcBorders>
              <w:bottom w:val="single" w:sz="4" w:space="0" w:color="auto"/>
              <w:right w:val="single" w:sz="4" w:space="0" w:color="auto"/>
            </w:tcBorders>
          </w:tcPr>
          <w:p w:rsidR="00F46B04" w:rsidRDefault="00F46B04" w:rsidP="00F46B0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lang w:eastAsia="sr-Latn-BA"/>
              </w:rPr>
            </w:pPr>
            <w:r>
              <w:rPr>
                <w:rFonts w:ascii="Times New Roman" w:hAnsi="Times New Roman" w:cs="Times New Roman"/>
                <w:sz w:val="24"/>
                <w:lang w:eastAsia="sr-Latn-BA"/>
              </w:rPr>
              <w:t>5</w:t>
            </w:r>
          </w:p>
        </w:tc>
        <w:tc>
          <w:tcPr>
            <w:tcW w:w="2847" w:type="dxa"/>
            <w:tcBorders>
              <w:left w:val="single" w:sz="4" w:space="0" w:color="auto"/>
              <w:bottom w:val="single" w:sz="4" w:space="0" w:color="auto"/>
              <w:right w:val="single" w:sz="4" w:space="0" w:color="auto"/>
            </w:tcBorders>
          </w:tcPr>
          <w:p w:rsidR="00F46B04" w:rsidRDefault="00F46B04" w:rsidP="00F46B0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lang w:eastAsia="sr-Latn-BA"/>
              </w:rPr>
            </w:pPr>
            <w:r>
              <w:rPr>
                <w:rFonts w:ascii="Times New Roman" w:hAnsi="Times New Roman" w:cs="Times New Roman"/>
                <w:sz w:val="24"/>
                <w:lang w:eastAsia="sr-Latn-BA"/>
              </w:rPr>
              <w:t>28,81%</w:t>
            </w:r>
          </w:p>
        </w:tc>
      </w:tr>
      <w:tr w:rsidR="00F46B04" w:rsidTr="00F46B04">
        <w:trPr>
          <w:cnfStyle w:val="000000100000" w:firstRow="0" w:lastRow="0" w:firstColumn="0" w:lastColumn="0" w:oddVBand="0" w:evenVBand="0" w:oddHBand="1" w:evenHBand="0" w:firstRowFirstColumn="0" w:firstRowLastColumn="0" w:lastRowFirstColumn="0" w:lastRowLastColumn="0"/>
          <w:trHeight w:val="159"/>
        </w:trPr>
        <w:tc>
          <w:tcPr>
            <w:cnfStyle w:val="001000000000" w:firstRow="0" w:lastRow="0" w:firstColumn="1" w:lastColumn="0" w:oddVBand="0" w:evenVBand="0" w:oddHBand="0" w:evenHBand="0" w:firstRowFirstColumn="0" w:firstRowLastColumn="0" w:lastRowFirstColumn="0" w:lastRowLastColumn="0"/>
            <w:tcW w:w="2614" w:type="dxa"/>
            <w:tcBorders>
              <w:top w:val="single" w:sz="4" w:space="0" w:color="auto"/>
              <w:left w:val="single" w:sz="4" w:space="0" w:color="auto"/>
              <w:bottom w:val="single" w:sz="4" w:space="0" w:color="auto"/>
            </w:tcBorders>
          </w:tcPr>
          <w:p w:rsidR="00F46B04" w:rsidRDefault="00F46B04" w:rsidP="00F46B04">
            <w:pPr>
              <w:spacing w:line="480" w:lineRule="auto"/>
              <w:jc w:val="center"/>
              <w:rPr>
                <w:rFonts w:ascii="Times New Roman" w:hAnsi="Times New Roman" w:cs="Times New Roman"/>
                <w:sz w:val="24"/>
                <w:lang w:eastAsia="sr-Latn-BA"/>
              </w:rPr>
            </w:pPr>
            <w:r>
              <w:rPr>
                <w:rFonts w:ascii="Times New Roman" w:hAnsi="Times New Roman" w:cs="Times New Roman"/>
                <w:sz w:val="24"/>
                <w:lang w:eastAsia="sr-Latn-BA"/>
              </w:rPr>
              <w:t>Ukupno</w:t>
            </w:r>
          </w:p>
        </w:tc>
        <w:tc>
          <w:tcPr>
            <w:tcW w:w="2614" w:type="dxa"/>
            <w:tcBorders>
              <w:top w:val="single" w:sz="4" w:space="0" w:color="auto"/>
              <w:bottom w:val="single" w:sz="4" w:space="0" w:color="auto"/>
            </w:tcBorders>
          </w:tcPr>
          <w:p w:rsidR="00F46B04" w:rsidRPr="00124473" w:rsidRDefault="00F46B04" w:rsidP="00F46B04">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lang w:eastAsia="sr-Latn-BA"/>
              </w:rPr>
            </w:pPr>
            <w:r>
              <w:rPr>
                <w:rFonts w:ascii="Times New Roman" w:hAnsi="Times New Roman" w:cs="Times New Roman"/>
                <w:b/>
                <w:sz w:val="24"/>
                <w:lang w:eastAsia="sr-Latn-BA"/>
              </w:rPr>
              <w:t>21</w:t>
            </w:r>
          </w:p>
        </w:tc>
        <w:tc>
          <w:tcPr>
            <w:tcW w:w="2847" w:type="dxa"/>
            <w:tcBorders>
              <w:top w:val="single" w:sz="4" w:space="0" w:color="auto"/>
              <w:bottom w:val="single" w:sz="4" w:space="0" w:color="auto"/>
              <w:right w:val="single" w:sz="4" w:space="0" w:color="auto"/>
            </w:tcBorders>
          </w:tcPr>
          <w:p w:rsidR="00F46B04" w:rsidRPr="00124473" w:rsidRDefault="00F46B04" w:rsidP="00F46B04">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lang w:eastAsia="sr-Latn-BA"/>
              </w:rPr>
            </w:pPr>
            <w:r>
              <w:rPr>
                <w:rFonts w:ascii="Times New Roman" w:hAnsi="Times New Roman" w:cs="Times New Roman"/>
                <w:b/>
                <w:sz w:val="24"/>
                <w:lang w:eastAsia="sr-Latn-BA"/>
              </w:rPr>
              <w:t>100%</w:t>
            </w:r>
          </w:p>
        </w:tc>
      </w:tr>
    </w:tbl>
    <w:p w:rsidR="00F46B04" w:rsidRPr="005F640F" w:rsidRDefault="00F46B04" w:rsidP="00F46B04">
      <w:pPr>
        <w:spacing w:after="0" w:line="480" w:lineRule="auto"/>
        <w:rPr>
          <w:rFonts w:ascii="Times New Roman" w:hAnsi="Times New Roman" w:cs="Times New Roman"/>
          <w:i/>
          <w:sz w:val="18"/>
          <w:szCs w:val="18"/>
          <w:lang w:eastAsia="sr-Latn-BA"/>
        </w:rPr>
      </w:pPr>
      <w:r w:rsidRPr="005F640F">
        <w:rPr>
          <w:rFonts w:ascii="Times New Roman" w:hAnsi="Times New Roman" w:cs="Times New Roman"/>
          <w:b/>
          <w:i/>
          <w:sz w:val="18"/>
          <w:szCs w:val="18"/>
        </w:rPr>
        <w:lastRenderedPageBreak/>
        <w:t xml:space="preserve">Tabela </w:t>
      </w:r>
      <w:r w:rsidRPr="005F640F">
        <w:rPr>
          <w:rFonts w:ascii="Times New Roman" w:hAnsi="Times New Roman" w:cs="Times New Roman"/>
          <w:b/>
          <w:i/>
          <w:sz w:val="18"/>
          <w:szCs w:val="18"/>
        </w:rPr>
        <w:fldChar w:fldCharType="begin"/>
      </w:r>
      <w:r w:rsidRPr="005F640F">
        <w:rPr>
          <w:rFonts w:ascii="Times New Roman" w:hAnsi="Times New Roman" w:cs="Times New Roman"/>
          <w:b/>
          <w:i/>
          <w:sz w:val="18"/>
          <w:szCs w:val="18"/>
        </w:rPr>
        <w:instrText xml:space="preserve"> SEQ Tabela \* ARABIC </w:instrText>
      </w:r>
      <w:r w:rsidRPr="005F640F">
        <w:rPr>
          <w:rFonts w:ascii="Times New Roman" w:hAnsi="Times New Roman" w:cs="Times New Roman"/>
          <w:b/>
          <w:i/>
          <w:sz w:val="18"/>
          <w:szCs w:val="18"/>
        </w:rPr>
        <w:fldChar w:fldCharType="separate"/>
      </w:r>
      <w:r w:rsidRPr="005F640F">
        <w:rPr>
          <w:rFonts w:ascii="Times New Roman" w:hAnsi="Times New Roman" w:cs="Times New Roman"/>
          <w:b/>
          <w:i/>
          <w:noProof/>
          <w:sz w:val="18"/>
          <w:szCs w:val="18"/>
        </w:rPr>
        <w:t>4</w:t>
      </w:r>
      <w:r w:rsidRPr="005F640F">
        <w:rPr>
          <w:rFonts w:ascii="Times New Roman" w:hAnsi="Times New Roman" w:cs="Times New Roman"/>
          <w:b/>
          <w:i/>
          <w:sz w:val="18"/>
          <w:szCs w:val="18"/>
        </w:rPr>
        <w:fldChar w:fldCharType="end"/>
      </w:r>
      <w:r w:rsidRPr="005F640F">
        <w:rPr>
          <w:rFonts w:ascii="Times New Roman" w:hAnsi="Times New Roman" w:cs="Times New Roman"/>
          <w:i/>
          <w:sz w:val="18"/>
          <w:szCs w:val="18"/>
        </w:rPr>
        <w:t>: Najčešća etiologija obostranih neurogenih paraliza larinksa</w:t>
      </w:r>
    </w:p>
    <w:p w:rsidR="00C24759" w:rsidRPr="005F640F" w:rsidRDefault="003E466A" w:rsidP="00F46B04">
      <w:pPr>
        <w:spacing w:after="0" w:line="480" w:lineRule="auto"/>
        <w:jc w:val="both"/>
        <w:rPr>
          <w:rFonts w:ascii="Times New Roman" w:hAnsi="Times New Roman" w:cs="Times New Roman"/>
          <w:i/>
          <w:sz w:val="18"/>
          <w:szCs w:val="18"/>
        </w:rPr>
      </w:pPr>
      <w:r w:rsidRPr="003E466A">
        <w:rPr>
          <w:rFonts w:ascii="Times New Roman" w:hAnsi="Times New Roman" w:cs="Times New Roman"/>
          <w:i/>
          <w:noProof/>
          <w:sz w:val="18"/>
          <w:szCs w:val="18"/>
          <w:lang w:val="en-US"/>
        </w:rPr>
        <w:drawing>
          <wp:inline distT="0" distB="0" distL="0" distR="0" wp14:anchorId="00BF1ECA" wp14:editId="3F0CEEE5">
            <wp:extent cx="5158740" cy="2988038"/>
            <wp:effectExtent l="0" t="0" r="3810" b="317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Pr="003E466A">
        <w:rPr>
          <w:rFonts w:ascii="Times New Roman" w:hAnsi="Times New Roman" w:cs="Times New Roman"/>
          <w:b/>
          <w:i/>
          <w:sz w:val="18"/>
          <w:szCs w:val="18"/>
        </w:rPr>
        <w:t xml:space="preserve">Dijagram </w:t>
      </w:r>
      <w:r w:rsidRPr="003E466A">
        <w:rPr>
          <w:rFonts w:ascii="Times New Roman" w:hAnsi="Times New Roman" w:cs="Times New Roman"/>
          <w:b/>
          <w:i/>
          <w:sz w:val="18"/>
          <w:szCs w:val="18"/>
        </w:rPr>
        <w:fldChar w:fldCharType="begin"/>
      </w:r>
      <w:r w:rsidRPr="003E466A">
        <w:rPr>
          <w:rFonts w:ascii="Times New Roman" w:hAnsi="Times New Roman" w:cs="Times New Roman"/>
          <w:b/>
          <w:i/>
          <w:sz w:val="18"/>
          <w:szCs w:val="18"/>
        </w:rPr>
        <w:instrText xml:space="preserve"> SEQ Dijagram \* ARABIC </w:instrText>
      </w:r>
      <w:r w:rsidRPr="003E466A">
        <w:rPr>
          <w:rFonts w:ascii="Times New Roman" w:hAnsi="Times New Roman" w:cs="Times New Roman"/>
          <w:b/>
          <w:i/>
          <w:sz w:val="18"/>
          <w:szCs w:val="18"/>
        </w:rPr>
        <w:fldChar w:fldCharType="separate"/>
      </w:r>
      <w:r w:rsidRPr="003E466A">
        <w:rPr>
          <w:rFonts w:ascii="Times New Roman" w:hAnsi="Times New Roman" w:cs="Times New Roman"/>
          <w:b/>
          <w:i/>
          <w:noProof/>
          <w:sz w:val="18"/>
          <w:szCs w:val="18"/>
        </w:rPr>
        <w:t>1</w:t>
      </w:r>
      <w:r w:rsidRPr="003E466A">
        <w:rPr>
          <w:rFonts w:ascii="Times New Roman" w:hAnsi="Times New Roman" w:cs="Times New Roman"/>
          <w:b/>
          <w:i/>
          <w:sz w:val="18"/>
          <w:szCs w:val="18"/>
        </w:rPr>
        <w:fldChar w:fldCharType="end"/>
      </w:r>
      <w:r w:rsidRPr="003E466A">
        <w:rPr>
          <w:rFonts w:ascii="Times New Roman" w:hAnsi="Times New Roman" w:cs="Times New Roman"/>
          <w:b/>
          <w:i/>
          <w:sz w:val="18"/>
          <w:szCs w:val="18"/>
        </w:rPr>
        <w:t>:</w:t>
      </w:r>
      <w:r w:rsidRPr="003E466A">
        <w:rPr>
          <w:rFonts w:ascii="Times New Roman" w:hAnsi="Times New Roman" w:cs="Times New Roman"/>
          <w:i/>
          <w:sz w:val="18"/>
          <w:szCs w:val="18"/>
        </w:rPr>
        <w:t xml:space="preserve"> Etiologija obostra</w:t>
      </w:r>
      <w:r>
        <w:rPr>
          <w:rFonts w:ascii="Times New Roman" w:hAnsi="Times New Roman" w:cs="Times New Roman"/>
          <w:i/>
          <w:sz w:val="18"/>
          <w:szCs w:val="18"/>
        </w:rPr>
        <w:t>nih neurogenih paraliza larinksa</w:t>
      </w:r>
    </w:p>
    <w:p w:rsidR="00C24759" w:rsidRPr="001735E2" w:rsidRDefault="001735E2" w:rsidP="00F46B04">
      <w:pPr>
        <w:pStyle w:val="Heading1"/>
        <w:spacing w:before="0" w:after="0" w:line="480" w:lineRule="auto"/>
        <w:ind w:left="0"/>
        <w:rPr>
          <w:sz w:val="24"/>
          <w:szCs w:val="24"/>
          <w:lang w:eastAsia="sr-Latn-BA"/>
        </w:rPr>
      </w:pPr>
      <w:bookmarkStart w:id="3" w:name="_Toc49996540"/>
      <w:r w:rsidRPr="001735E2">
        <w:rPr>
          <w:sz w:val="24"/>
          <w:szCs w:val="24"/>
          <w:lang w:eastAsia="sr-Latn-BA"/>
        </w:rPr>
        <w:t>Diskusija</w:t>
      </w:r>
      <w:bookmarkEnd w:id="3"/>
    </w:p>
    <w:p w:rsidR="00C24759" w:rsidRDefault="00C24759" w:rsidP="00F46B04">
      <w:pPr>
        <w:spacing w:after="0" w:line="480" w:lineRule="auto"/>
        <w:jc w:val="both"/>
        <w:rPr>
          <w:rFonts w:ascii="Times New Roman" w:hAnsi="Times New Roman" w:cs="Times New Roman"/>
          <w:sz w:val="24"/>
          <w:lang w:eastAsia="sr-Latn-BA"/>
        </w:rPr>
      </w:pPr>
      <w:r>
        <w:rPr>
          <w:rFonts w:ascii="Times New Roman" w:hAnsi="Times New Roman" w:cs="Times New Roman"/>
          <w:sz w:val="24"/>
          <w:lang w:eastAsia="sr-Latn-BA"/>
        </w:rPr>
        <w:t xml:space="preserve">Obostrana neurogena paraliza larinksa predstavlja po život opasan poremećaj. Larinks, koji se naziva još i „govornim aparatom“ daje više od zvuka. On štiti disajne puteve sprečavajući da hrana, piće, pa čak i strani predmeti uđu u dušnik i donje </w:t>
      </w:r>
      <w:r>
        <w:rPr>
          <w:rFonts w:ascii="Times New Roman" w:hAnsi="Times New Roman" w:cs="Times New Roman"/>
          <w:sz w:val="24"/>
          <w:lang w:eastAsia="sr-Latn-BA"/>
        </w:rPr>
        <w:lastRenderedPageBreak/>
        <w:t>disajne puteve.</w:t>
      </w:r>
      <w:r w:rsidRPr="006945DE">
        <w:rPr>
          <w:rFonts w:ascii="Times New Roman" w:hAnsi="Times New Roman" w:cs="Times New Roman"/>
          <w:sz w:val="24"/>
          <w:lang w:eastAsia="sr-Latn-BA"/>
        </w:rPr>
        <w:t xml:space="preserve"> Aspiracija koja dovodi do teške upale pluća je rijetka, ali ozbiljna i zahtijeva hitnu medicinsku njegu.</w:t>
      </w:r>
      <w:r>
        <w:rPr>
          <w:rFonts w:ascii="Times New Roman" w:hAnsi="Times New Roman" w:cs="Times New Roman"/>
          <w:sz w:val="24"/>
          <w:lang w:eastAsia="sr-Latn-BA"/>
        </w:rPr>
        <w:t xml:space="preserve">  </w:t>
      </w:r>
      <w:r w:rsidRPr="006945DE">
        <w:rPr>
          <w:rFonts w:ascii="Times New Roman" w:hAnsi="Times New Roman" w:cs="Times New Roman"/>
          <w:sz w:val="24"/>
          <w:lang w:eastAsia="sr-Latn-BA"/>
        </w:rPr>
        <w:t xml:space="preserve">Problemi sa disanjem povezani sa paralizom glasnica mogu biti toliko blagi da </w:t>
      </w:r>
      <w:r>
        <w:rPr>
          <w:rFonts w:ascii="Times New Roman" w:hAnsi="Times New Roman" w:cs="Times New Roman"/>
          <w:sz w:val="24"/>
          <w:lang w:eastAsia="sr-Latn-BA"/>
        </w:rPr>
        <w:t>je nekada jedini simptom disfonija</w:t>
      </w:r>
      <w:r w:rsidRPr="006945DE">
        <w:rPr>
          <w:rFonts w:ascii="Times New Roman" w:hAnsi="Times New Roman" w:cs="Times New Roman"/>
          <w:sz w:val="24"/>
          <w:lang w:eastAsia="sr-Latn-BA"/>
        </w:rPr>
        <w:t xml:space="preserve"> ili mogu biti toliko ozbiljni da </w:t>
      </w:r>
      <w:r>
        <w:rPr>
          <w:rFonts w:ascii="Times New Roman" w:hAnsi="Times New Roman" w:cs="Times New Roman"/>
          <w:sz w:val="24"/>
          <w:lang w:eastAsia="sr-Latn-BA"/>
        </w:rPr>
        <w:t xml:space="preserve">predstavljaju </w:t>
      </w:r>
      <w:r w:rsidRPr="006945DE">
        <w:rPr>
          <w:rFonts w:ascii="Times New Roman" w:hAnsi="Times New Roman" w:cs="Times New Roman"/>
          <w:sz w:val="24"/>
          <w:lang w:eastAsia="sr-Latn-BA"/>
        </w:rPr>
        <w:t xml:space="preserve"> po život</w:t>
      </w:r>
      <w:r>
        <w:rPr>
          <w:rFonts w:ascii="Times New Roman" w:hAnsi="Times New Roman" w:cs="Times New Roman"/>
          <w:sz w:val="24"/>
          <w:lang w:eastAsia="sr-Latn-BA"/>
        </w:rPr>
        <w:t xml:space="preserve"> opasnu prijetnju</w:t>
      </w:r>
      <w:r w:rsidRPr="006945DE">
        <w:rPr>
          <w:rFonts w:ascii="Times New Roman" w:hAnsi="Times New Roman" w:cs="Times New Roman"/>
          <w:sz w:val="24"/>
          <w:lang w:eastAsia="sr-Latn-BA"/>
        </w:rPr>
        <w:t>.</w:t>
      </w:r>
      <w:r w:rsidR="0039236D">
        <w:rPr>
          <w:rFonts w:ascii="Times New Roman" w:hAnsi="Times New Roman" w:cs="Times New Roman"/>
          <w:sz w:val="24"/>
          <w:lang w:eastAsia="sr-Latn-BA"/>
        </w:rPr>
        <w:t xml:space="preserve"> (</w:t>
      </w:r>
      <w:r w:rsidR="00894239">
        <w:rPr>
          <w:rFonts w:ascii="Times New Roman" w:hAnsi="Times New Roman" w:cs="Times New Roman"/>
          <w:sz w:val="24"/>
          <w:lang w:eastAsia="sr-Latn-BA"/>
        </w:rPr>
        <w:t>12-</w:t>
      </w:r>
      <w:r w:rsidR="0039236D">
        <w:rPr>
          <w:rFonts w:ascii="Times New Roman" w:hAnsi="Times New Roman" w:cs="Times New Roman"/>
          <w:sz w:val="24"/>
          <w:lang w:eastAsia="sr-Latn-BA"/>
        </w:rPr>
        <w:t>1</w:t>
      </w:r>
      <w:r w:rsidR="00894239">
        <w:rPr>
          <w:rFonts w:ascii="Times New Roman" w:hAnsi="Times New Roman" w:cs="Times New Roman"/>
          <w:sz w:val="24"/>
          <w:lang w:eastAsia="sr-Latn-BA"/>
        </w:rPr>
        <w:t>5</w:t>
      </w:r>
      <w:r>
        <w:rPr>
          <w:rFonts w:ascii="Times New Roman" w:hAnsi="Times New Roman" w:cs="Times New Roman"/>
          <w:sz w:val="24"/>
          <w:lang w:eastAsia="sr-Latn-BA"/>
        </w:rPr>
        <w:t>)</w:t>
      </w:r>
      <w:r w:rsidRPr="006945DE">
        <w:rPr>
          <w:rFonts w:ascii="Times New Roman" w:hAnsi="Times New Roman" w:cs="Times New Roman"/>
          <w:sz w:val="24"/>
          <w:lang w:eastAsia="sr-Latn-BA"/>
        </w:rPr>
        <w:t xml:space="preserve">  </w:t>
      </w:r>
    </w:p>
    <w:p w:rsidR="00C24759" w:rsidRDefault="00C24759" w:rsidP="00F46B04">
      <w:pPr>
        <w:spacing w:after="0" w:line="480" w:lineRule="auto"/>
        <w:jc w:val="both"/>
        <w:rPr>
          <w:rFonts w:ascii="Times New Roman" w:hAnsi="Times New Roman" w:cs="Times New Roman"/>
          <w:sz w:val="24"/>
          <w:lang w:eastAsia="sr-Latn-BA"/>
        </w:rPr>
      </w:pPr>
      <w:r>
        <w:rPr>
          <w:rFonts w:ascii="Times New Roman" w:hAnsi="Times New Roman" w:cs="Times New Roman"/>
          <w:sz w:val="24"/>
          <w:lang w:eastAsia="sr-Latn-BA"/>
        </w:rPr>
        <w:t xml:space="preserve">Inervaciju larinksa obezbjeđuju grane X kranijalnog živca, </w:t>
      </w:r>
      <w:r>
        <w:rPr>
          <w:rFonts w:ascii="Times New Roman" w:hAnsi="Times New Roman" w:cs="Times New Roman"/>
          <w:i/>
          <w:sz w:val="24"/>
          <w:lang w:eastAsia="sr-Latn-BA"/>
        </w:rPr>
        <w:t xml:space="preserve">n. vagusa, </w:t>
      </w:r>
      <w:r>
        <w:rPr>
          <w:rFonts w:ascii="Times New Roman" w:hAnsi="Times New Roman" w:cs="Times New Roman"/>
          <w:sz w:val="24"/>
          <w:lang w:eastAsia="sr-Latn-BA"/>
        </w:rPr>
        <w:t>i to gornji laringealni živac i povratni laringealni živac. Vagus predstavlja najduži kranijalni živac, te je zbog toga podložan povredama.</w:t>
      </w:r>
      <w:r w:rsidR="00894239">
        <w:rPr>
          <w:rFonts w:ascii="Times New Roman" w:hAnsi="Times New Roman" w:cs="Times New Roman"/>
          <w:sz w:val="24"/>
          <w:lang w:eastAsia="sr-Latn-BA"/>
        </w:rPr>
        <w:t xml:space="preserve"> (8, 10, 11)</w:t>
      </w:r>
    </w:p>
    <w:p w:rsidR="00C24759" w:rsidRDefault="00C24759" w:rsidP="00F46B04">
      <w:pPr>
        <w:spacing w:after="0" w:line="480" w:lineRule="auto"/>
        <w:jc w:val="both"/>
        <w:rPr>
          <w:rFonts w:ascii="Times New Roman" w:hAnsi="Times New Roman" w:cs="Times New Roman"/>
          <w:sz w:val="24"/>
          <w:lang w:eastAsia="sr-Latn-BA"/>
        </w:rPr>
      </w:pPr>
      <w:r>
        <w:rPr>
          <w:rFonts w:ascii="Times New Roman" w:hAnsi="Times New Roman" w:cs="Times New Roman"/>
          <w:sz w:val="24"/>
          <w:lang w:eastAsia="sr-Latn-BA"/>
        </w:rPr>
        <w:t>Obostrana</w:t>
      </w:r>
      <w:r w:rsidRPr="00EA506F">
        <w:rPr>
          <w:rFonts w:ascii="Times New Roman" w:hAnsi="Times New Roman" w:cs="Times New Roman"/>
          <w:sz w:val="24"/>
          <w:lang w:eastAsia="sr-Latn-BA"/>
        </w:rPr>
        <w:t xml:space="preserve"> paraliza </w:t>
      </w:r>
      <w:r>
        <w:rPr>
          <w:rFonts w:ascii="Times New Roman" w:hAnsi="Times New Roman" w:cs="Times New Roman"/>
          <w:sz w:val="24"/>
          <w:lang w:eastAsia="sr-Latn-BA"/>
        </w:rPr>
        <w:t>larinksa</w:t>
      </w:r>
      <w:r w:rsidRPr="00EA506F">
        <w:rPr>
          <w:rFonts w:ascii="Times New Roman" w:hAnsi="Times New Roman" w:cs="Times New Roman"/>
          <w:sz w:val="24"/>
          <w:lang w:eastAsia="sr-Latn-BA"/>
        </w:rPr>
        <w:t xml:space="preserve"> se obično događ</w:t>
      </w:r>
      <w:r>
        <w:rPr>
          <w:rFonts w:ascii="Times New Roman" w:hAnsi="Times New Roman" w:cs="Times New Roman"/>
          <w:sz w:val="24"/>
          <w:lang w:eastAsia="sr-Latn-BA"/>
        </w:rPr>
        <w:t>a zbog jednog od četiri razloga: povr</w:t>
      </w:r>
      <w:r w:rsidRPr="00EA506F">
        <w:rPr>
          <w:rFonts w:ascii="Times New Roman" w:hAnsi="Times New Roman" w:cs="Times New Roman"/>
          <w:sz w:val="24"/>
          <w:lang w:eastAsia="sr-Latn-BA"/>
        </w:rPr>
        <w:t>eda živaca t</w:t>
      </w:r>
      <w:r>
        <w:rPr>
          <w:rFonts w:ascii="Times New Roman" w:hAnsi="Times New Roman" w:cs="Times New Roman"/>
          <w:sz w:val="24"/>
          <w:lang w:eastAsia="sr-Latn-BA"/>
        </w:rPr>
        <w:t>okom</w:t>
      </w:r>
      <w:r w:rsidRPr="00EA506F">
        <w:rPr>
          <w:rFonts w:ascii="Times New Roman" w:hAnsi="Times New Roman" w:cs="Times New Roman"/>
          <w:sz w:val="24"/>
          <w:lang w:eastAsia="sr-Latn-BA"/>
        </w:rPr>
        <w:t xml:space="preserve"> niza uobičajenih operacija, pritisak na živce od </w:t>
      </w:r>
      <w:r>
        <w:rPr>
          <w:rFonts w:ascii="Times New Roman" w:hAnsi="Times New Roman" w:cs="Times New Roman"/>
          <w:sz w:val="24"/>
          <w:lang w:eastAsia="sr-Latn-BA"/>
        </w:rPr>
        <w:t xml:space="preserve">strane </w:t>
      </w:r>
      <w:r w:rsidRPr="00EA506F">
        <w:rPr>
          <w:rFonts w:ascii="Times New Roman" w:hAnsi="Times New Roman" w:cs="Times New Roman"/>
          <w:sz w:val="24"/>
          <w:lang w:eastAsia="sr-Latn-BA"/>
        </w:rPr>
        <w:t>tumora koji raste pored n</w:t>
      </w:r>
      <w:r>
        <w:rPr>
          <w:rFonts w:ascii="Times New Roman" w:hAnsi="Times New Roman" w:cs="Times New Roman"/>
          <w:sz w:val="24"/>
          <w:lang w:eastAsia="sr-Latn-BA"/>
        </w:rPr>
        <w:t>jih, moždani udar i druge povr</w:t>
      </w:r>
      <w:r w:rsidRPr="00EA506F">
        <w:rPr>
          <w:rFonts w:ascii="Times New Roman" w:hAnsi="Times New Roman" w:cs="Times New Roman"/>
          <w:sz w:val="24"/>
          <w:lang w:eastAsia="sr-Latn-BA"/>
        </w:rPr>
        <w:t xml:space="preserve">ede mozga ili </w:t>
      </w:r>
      <w:r>
        <w:rPr>
          <w:rFonts w:ascii="Times New Roman" w:hAnsi="Times New Roman" w:cs="Times New Roman"/>
          <w:sz w:val="24"/>
          <w:lang w:eastAsia="sr-Latn-BA"/>
        </w:rPr>
        <w:t>infekcije koje su uglavnom virusnog porijekla.</w:t>
      </w:r>
      <w:r w:rsidR="00894239">
        <w:rPr>
          <w:rFonts w:ascii="Times New Roman" w:hAnsi="Times New Roman" w:cs="Times New Roman"/>
          <w:sz w:val="24"/>
          <w:lang w:eastAsia="sr-Latn-BA"/>
        </w:rPr>
        <w:t xml:space="preserve"> (6, 16)</w:t>
      </w:r>
      <w:r>
        <w:rPr>
          <w:rFonts w:ascii="Times New Roman" w:hAnsi="Times New Roman" w:cs="Times New Roman"/>
          <w:sz w:val="24"/>
          <w:lang w:eastAsia="sr-Latn-BA"/>
        </w:rPr>
        <w:t xml:space="preserve"> </w:t>
      </w:r>
      <w:r w:rsidRPr="00EA506F">
        <w:rPr>
          <w:rFonts w:ascii="Times New Roman" w:hAnsi="Times New Roman" w:cs="Times New Roman"/>
          <w:sz w:val="24"/>
          <w:lang w:eastAsia="sr-Latn-BA"/>
        </w:rPr>
        <w:t>Postoje</w:t>
      </w:r>
      <w:r>
        <w:rPr>
          <w:rFonts w:ascii="Times New Roman" w:hAnsi="Times New Roman" w:cs="Times New Roman"/>
          <w:sz w:val="24"/>
          <w:lang w:eastAsia="sr-Latn-BA"/>
        </w:rPr>
        <w:t xml:space="preserve"> i</w:t>
      </w:r>
      <w:r w:rsidRPr="00EA506F">
        <w:rPr>
          <w:rFonts w:ascii="Times New Roman" w:hAnsi="Times New Roman" w:cs="Times New Roman"/>
          <w:sz w:val="24"/>
          <w:lang w:eastAsia="sr-Latn-BA"/>
        </w:rPr>
        <w:t xml:space="preserve"> </w:t>
      </w:r>
      <w:r>
        <w:rPr>
          <w:rFonts w:ascii="Times New Roman" w:hAnsi="Times New Roman" w:cs="Times New Roman"/>
          <w:sz w:val="24"/>
          <w:lang w:eastAsia="sr-Latn-BA"/>
        </w:rPr>
        <w:t>drugi, ali manje uobičajeni uzroci</w:t>
      </w:r>
      <w:r w:rsidRPr="00EA506F">
        <w:rPr>
          <w:rFonts w:ascii="Times New Roman" w:hAnsi="Times New Roman" w:cs="Times New Roman"/>
          <w:sz w:val="24"/>
          <w:lang w:eastAsia="sr-Latn-BA"/>
        </w:rPr>
        <w:t>. </w:t>
      </w:r>
      <w:r>
        <w:rPr>
          <w:rFonts w:ascii="Times New Roman" w:hAnsi="Times New Roman" w:cs="Times New Roman"/>
          <w:sz w:val="24"/>
          <w:lang w:eastAsia="sr-Latn-BA"/>
        </w:rPr>
        <w:t>Uzrok</w:t>
      </w:r>
      <w:r w:rsidRPr="00EA506F">
        <w:rPr>
          <w:rFonts w:ascii="Times New Roman" w:hAnsi="Times New Roman" w:cs="Times New Roman"/>
          <w:sz w:val="24"/>
          <w:lang w:eastAsia="sr-Latn-BA"/>
        </w:rPr>
        <w:t xml:space="preserve"> paraliz</w:t>
      </w:r>
      <w:r>
        <w:rPr>
          <w:rFonts w:ascii="Times New Roman" w:hAnsi="Times New Roman" w:cs="Times New Roman"/>
          <w:sz w:val="24"/>
          <w:lang w:eastAsia="sr-Latn-BA"/>
        </w:rPr>
        <w:t>e</w:t>
      </w:r>
      <w:r w:rsidRPr="00EA506F">
        <w:rPr>
          <w:rFonts w:ascii="Times New Roman" w:hAnsi="Times New Roman" w:cs="Times New Roman"/>
          <w:sz w:val="24"/>
          <w:lang w:eastAsia="sr-Latn-BA"/>
        </w:rPr>
        <w:t xml:space="preserve"> može biti nehotice rezultat operacij</w:t>
      </w:r>
      <w:r>
        <w:rPr>
          <w:rFonts w:ascii="Times New Roman" w:hAnsi="Times New Roman" w:cs="Times New Roman"/>
          <w:sz w:val="24"/>
          <w:lang w:eastAsia="sr-Latn-BA"/>
        </w:rPr>
        <w:t>e - najčešće operacije štitne žlijezde.</w:t>
      </w:r>
      <w:r w:rsidRPr="00EA506F">
        <w:rPr>
          <w:rFonts w:ascii="Times New Roman" w:hAnsi="Times New Roman" w:cs="Times New Roman"/>
          <w:sz w:val="24"/>
          <w:lang w:eastAsia="sr-Latn-BA"/>
        </w:rPr>
        <w:t xml:space="preserve"> Još jedna okolnost koja </w:t>
      </w:r>
      <w:r>
        <w:rPr>
          <w:rFonts w:ascii="Times New Roman" w:hAnsi="Times New Roman" w:cs="Times New Roman"/>
          <w:sz w:val="24"/>
          <w:lang w:eastAsia="sr-Latn-BA"/>
        </w:rPr>
        <w:t>potencijalno dovodi do paralize larinksa, jeste oštećenje laringealnih živaca uzrokovano endotrahealnim tubusom tokom operacija.</w:t>
      </w:r>
      <w:r w:rsidRPr="00EA506F">
        <w:rPr>
          <w:rFonts w:ascii="Times New Roman" w:hAnsi="Times New Roman" w:cs="Times New Roman"/>
          <w:sz w:val="24"/>
          <w:lang w:eastAsia="sr-Latn-BA"/>
        </w:rPr>
        <w:t> </w:t>
      </w:r>
      <w:r w:rsidR="00894239">
        <w:rPr>
          <w:rFonts w:ascii="Times New Roman" w:hAnsi="Times New Roman" w:cs="Times New Roman"/>
          <w:sz w:val="24"/>
          <w:lang w:eastAsia="sr-Latn-BA"/>
        </w:rPr>
        <w:t>(11, 12</w:t>
      </w:r>
      <w:r w:rsidR="00E81283">
        <w:rPr>
          <w:rFonts w:ascii="Times New Roman" w:hAnsi="Times New Roman" w:cs="Times New Roman"/>
          <w:sz w:val="24"/>
          <w:lang w:eastAsia="sr-Latn-BA"/>
        </w:rPr>
        <w:t>, 22, 24</w:t>
      </w:r>
      <w:r w:rsidR="00894239">
        <w:rPr>
          <w:rFonts w:ascii="Times New Roman" w:hAnsi="Times New Roman" w:cs="Times New Roman"/>
          <w:sz w:val="24"/>
          <w:lang w:eastAsia="sr-Latn-BA"/>
        </w:rPr>
        <w:t xml:space="preserve">) </w:t>
      </w:r>
      <w:r w:rsidRPr="00EA506F">
        <w:rPr>
          <w:rFonts w:ascii="Times New Roman" w:hAnsi="Times New Roman" w:cs="Times New Roman"/>
          <w:sz w:val="24"/>
          <w:lang w:eastAsia="sr-Latn-BA"/>
        </w:rPr>
        <w:t xml:space="preserve">U slučajevima paralize kod osoba koje nisu imale operaciju ili </w:t>
      </w:r>
      <w:r>
        <w:rPr>
          <w:rFonts w:ascii="Times New Roman" w:hAnsi="Times New Roman" w:cs="Times New Roman"/>
          <w:sz w:val="24"/>
          <w:lang w:eastAsia="sr-Latn-BA"/>
        </w:rPr>
        <w:t>endotrahealni tubus</w:t>
      </w:r>
      <w:r w:rsidRPr="00EA506F">
        <w:rPr>
          <w:rFonts w:ascii="Times New Roman" w:hAnsi="Times New Roman" w:cs="Times New Roman"/>
          <w:sz w:val="24"/>
          <w:lang w:eastAsia="sr-Latn-BA"/>
        </w:rPr>
        <w:t xml:space="preserve">, tumori su </w:t>
      </w:r>
      <w:r>
        <w:rPr>
          <w:rFonts w:ascii="Times New Roman" w:hAnsi="Times New Roman" w:cs="Times New Roman"/>
          <w:sz w:val="24"/>
          <w:lang w:eastAsia="sr-Latn-BA"/>
        </w:rPr>
        <w:t>bitan etiološki faktor</w:t>
      </w:r>
      <w:r w:rsidRPr="00EA506F">
        <w:rPr>
          <w:rFonts w:ascii="Times New Roman" w:hAnsi="Times New Roman" w:cs="Times New Roman"/>
          <w:sz w:val="24"/>
          <w:lang w:eastAsia="sr-Latn-BA"/>
        </w:rPr>
        <w:t>, sa posljedicama po zdravlje koje dosežu daleko više od glasa</w:t>
      </w:r>
      <w:r>
        <w:rPr>
          <w:rFonts w:ascii="Times New Roman" w:hAnsi="Times New Roman" w:cs="Times New Roman"/>
          <w:sz w:val="24"/>
          <w:lang w:eastAsia="sr-Latn-BA"/>
        </w:rPr>
        <w:t xml:space="preserve">. </w:t>
      </w:r>
      <w:r w:rsidRPr="00EA506F">
        <w:rPr>
          <w:rFonts w:ascii="Times New Roman" w:hAnsi="Times New Roman" w:cs="Times New Roman"/>
          <w:sz w:val="24"/>
          <w:lang w:eastAsia="sr-Latn-BA"/>
        </w:rPr>
        <w:t xml:space="preserve">U nekim slučajevima nije pronađen razlog paralize </w:t>
      </w:r>
      <w:r>
        <w:rPr>
          <w:rFonts w:ascii="Times New Roman" w:hAnsi="Times New Roman" w:cs="Times New Roman"/>
          <w:sz w:val="24"/>
          <w:lang w:eastAsia="sr-Latn-BA"/>
        </w:rPr>
        <w:t>larinksa</w:t>
      </w:r>
      <w:r w:rsidRPr="00EA506F">
        <w:rPr>
          <w:rFonts w:ascii="Times New Roman" w:hAnsi="Times New Roman" w:cs="Times New Roman"/>
          <w:sz w:val="24"/>
          <w:lang w:eastAsia="sr-Latn-BA"/>
        </w:rPr>
        <w:t>, čak i nakon odgovarajućih radioloških ispitivanja. </w:t>
      </w:r>
      <w:r>
        <w:rPr>
          <w:rFonts w:ascii="Times New Roman" w:hAnsi="Times New Roman" w:cs="Times New Roman"/>
          <w:sz w:val="24"/>
          <w:lang w:eastAsia="sr-Latn-BA"/>
        </w:rPr>
        <w:t xml:space="preserve">Te paralize </w:t>
      </w:r>
      <w:r w:rsidRPr="00EA506F">
        <w:rPr>
          <w:rFonts w:ascii="Times New Roman" w:hAnsi="Times New Roman" w:cs="Times New Roman"/>
          <w:sz w:val="24"/>
          <w:lang w:eastAsia="sr-Latn-BA"/>
        </w:rPr>
        <w:t>se nazivaju idiopatskim i obično se pripisuju virusnoj upali.</w:t>
      </w:r>
      <w:r w:rsidR="00894239">
        <w:rPr>
          <w:rFonts w:ascii="Times New Roman" w:hAnsi="Times New Roman" w:cs="Times New Roman"/>
          <w:sz w:val="24"/>
          <w:lang w:eastAsia="sr-Latn-BA"/>
        </w:rPr>
        <w:t xml:space="preserve"> (</w:t>
      </w:r>
      <w:r w:rsidR="00E81283">
        <w:rPr>
          <w:rFonts w:ascii="Times New Roman" w:hAnsi="Times New Roman" w:cs="Times New Roman"/>
          <w:sz w:val="24"/>
          <w:lang w:eastAsia="sr-Latn-BA"/>
        </w:rPr>
        <w:t>17-19</w:t>
      </w:r>
      <w:r w:rsidR="00894239">
        <w:rPr>
          <w:rFonts w:ascii="Times New Roman" w:hAnsi="Times New Roman" w:cs="Times New Roman"/>
          <w:sz w:val="24"/>
          <w:lang w:eastAsia="sr-Latn-BA"/>
        </w:rPr>
        <w:t>)</w:t>
      </w:r>
      <w:r w:rsidRPr="00EA506F">
        <w:rPr>
          <w:rFonts w:ascii="Times New Roman" w:hAnsi="Times New Roman" w:cs="Times New Roman"/>
          <w:sz w:val="24"/>
          <w:lang w:eastAsia="sr-Latn-BA"/>
        </w:rPr>
        <w:t> </w:t>
      </w:r>
      <w:r>
        <w:rPr>
          <w:rFonts w:ascii="Times New Roman" w:hAnsi="Times New Roman" w:cs="Times New Roman"/>
          <w:sz w:val="24"/>
          <w:lang w:eastAsia="sr-Latn-BA"/>
        </w:rPr>
        <w:t>Teško se dokazuju</w:t>
      </w:r>
      <w:r w:rsidRPr="00EA506F">
        <w:rPr>
          <w:rFonts w:ascii="Times New Roman" w:hAnsi="Times New Roman" w:cs="Times New Roman"/>
          <w:sz w:val="24"/>
          <w:lang w:eastAsia="sr-Latn-BA"/>
        </w:rPr>
        <w:t>, pa je važno shvatiti da je ovo samo pretpostavka.</w:t>
      </w:r>
    </w:p>
    <w:p w:rsidR="00C24759" w:rsidRDefault="00C24759" w:rsidP="00F46B04">
      <w:pPr>
        <w:spacing w:after="0" w:line="480" w:lineRule="auto"/>
        <w:jc w:val="both"/>
        <w:rPr>
          <w:rFonts w:ascii="Times New Roman" w:hAnsi="Times New Roman" w:cs="Times New Roman"/>
          <w:sz w:val="24"/>
          <w:lang w:eastAsia="sr-Latn-BA"/>
        </w:rPr>
      </w:pPr>
      <w:r w:rsidRPr="00EA506F">
        <w:rPr>
          <w:rFonts w:ascii="Times New Roman" w:hAnsi="Times New Roman" w:cs="Times New Roman"/>
          <w:sz w:val="24"/>
          <w:lang w:eastAsia="sr-Latn-BA"/>
        </w:rPr>
        <w:t xml:space="preserve"> Pronalaženje uzroka </w:t>
      </w:r>
      <w:r>
        <w:rPr>
          <w:rFonts w:ascii="Times New Roman" w:hAnsi="Times New Roman" w:cs="Times New Roman"/>
          <w:sz w:val="24"/>
          <w:lang w:eastAsia="sr-Latn-BA"/>
        </w:rPr>
        <w:t>paralize larinksa</w:t>
      </w:r>
      <w:r w:rsidRPr="00EA506F">
        <w:rPr>
          <w:rFonts w:ascii="Times New Roman" w:hAnsi="Times New Roman" w:cs="Times New Roman"/>
          <w:sz w:val="24"/>
          <w:lang w:eastAsia="sr-Latn-BA"/>
        </w:rPr>
        <w:t xml:space="preserve"> može biti jednostavno - kao u slučaju kad simptomi počinju odmah nakon operacije </w:t>
      </w:r>
      <w:r>
        <w:rPr>
          <w:rFonts w:ascii="Times New Roman" w:hAnsi="Times New Roman" w:cs="Times New Roman"/>
          <w:sz w:val="24"/>
          <w:lang w:eastAsia="sr-Latn-BA"/>
        </w:rPr>
        <w:t>štitne žlijezde</w:t>
      </w:r>
      <w:r w:rsidRPr="00EA506F">
        <w:rPr>
          <w:rFonts w:ascii="Times New Roman" w:hAnsi="Times New Roman" w:cs="Times New Roman"/>
          <w:sz w:val="24"/>
          <w:lang w:eastAsia="sr-Latn-BA"/>
        </w:rPr>
        <w:t xml:space="preserve"> - ili vrlo izazovno. </w:t>
      </w:r>
      <w:r>
        <w:rPr>
          <w:rFonts w:ascii="Times New Roman" w:hAnsi="Times New Roman" w:cs="Times New Roman"/>
          <w:sz w:val="24"/>
          <w:lang w:eastAsia="sr-Latn-BA"/>
        </w:rPr>
        <w:t>Uzimanje detaljne anamneze</w:t>
      </w:r>
      <w:r w:rsidRPr="00EA506F">
        <w:rPr>
          <w:rFonts w:ascii="Times New Roman" w:hAnsi="Times New Roman" w:cs="Times New Roman"/>
          <w:sz w:val="24"/>
          <w:lang w:eastAsia="sr-Latn-BA"/>
        </w:rPr>
        <w:t xml:space="preserve"> najvažniji je element </w:t>
      </w:r>
      <w:r>
        <w:rPr>
          <w:rFonts w:ascii="Times New Roman" w:hAnsi="Times New Roman" w:cs="Times New Roman"/>
          <w:sz w:val="24"/>
          <w:lang w:eastAsia="sr-Latn-BA"/>
        </w:rPr>
        <w:t>dijagnostifikovanja ovog stanja</w:t>
      </w:r>
      <w:r w:rsidRPr="00EA506F">
        <w:rPr>
          <w:rFonts w:ascii="Times New Roman" w:hAnsi="Times New Roman" w:cs="Times New Roman"/>
          <w:sz w:val="24"/>
          <w:lang w:eastAsia="sr-Latn-BA"/>
        </w:rPr>
        <w:t xml:space="preserve">, uz pomoć </w:t>
      </w:r>
      <w:r>
        <w:rPr>
          <w:rFonts w:ascii="Times New Roman" w:hAnsi="Times New Roman" w:cs="Times New Roman"/>
          <w:sz w:val="24"/>
          <w:lang w:eastAsia="sr-Latn-BA"/>
        </w:rPr>
        <w:t>ostalih odgovarajućih metoda</w:t>
      </w:r>
      <w:r w:rsidRPr="00EA506F">
        <w:rPr>
          <w:rFonts w:ascii="Times New Roman" w:hAnsi="Times New Roman" w:cs="Times New Roman"/>
          <w:sz w:val="24"/>
          <w:lang w:eastAsia="sr-Latn-BA"/>
        </w:rPr>
        <w:t>. Dijagnoza idiopatske paralize glasnica može se postaviti tek nakon što budu uklonjene sve druge mogućnosti. </w:t>
      </w:r>
    </w:p>
    <w:p w:rsidR="00C24759" w:rsidRDefault="00C24759" w:rsidP="00F46B04">
      <w:pPr>
        <w:spacing w:after="0" w:line="480" w:lineRule="auto"/>
        <w:jc w:val="both"/>
        <w:rPr>
          <w:rFonts w:ascii="Times New Roman" w:hAnsi="Times New Roman" w:cs="Times New Roman"/>
          <w:sz w:val="24"/>
          <w:lang w:eastAsia="sr-Latn-BA"/>
        </w:rPr>
      </w:pPr>
      <w:r>
        <w:rPr>
          <w:rFonts w:ascii="Times New Roman" w:hAnsi="Times New Roman" w:cs="Times New Roman"/>
          <w:sz w:val="24"/>
          <w:lang w:eastAsia="sr-Latn-BA"/>
        </w:rPr>
        <w:lastRenderedPageBreak/>
        <w:t xml:space="preserve">U retrospektivnoj studiji koju smo sproveli na grupi od 95 ispitanika sa neurogenom paralizom larinksa pokazalo se da je učestalost jednostranih paraliza značajno veća u odnosu na obostrane. Relativna učestalost jednostranih neurogenih paraliza larinksa iznosi 77,89% u donosu na obostrane čija je učestalost  22,11%. Ova razlika se podudara sa prospektivnom studijom koju su radili </w:t>
      </w:r>
      <w:r w:rsidR="00894239" w:rsidRPr="000073B0">
        <w:rPr>
          <w:rFonts w:ascii="Times New Roman" w:hAnsi="Times New Roman" w:cs="Times New Roman"/>
          <w:sz w:val="24"/>
          <w:szCs w:val="24"/>
        </w:rPr>
        <w:t>Thorpe R</w:t>
      </w:r>
      <w:r w:rsidR="00E81283">
        <w:rPr>
          <w:rFonts w:ascii="Times New Roman" w:hAnsi="Times New Roman" w:cs="Times New Roman"/>
          <w:sz w:val="24"/>
          <w:szCs w:val="24"/>
        </w:rPr>
        <w:t xml:space="preserve">. </w:t>
      </w:r>
      <w:r w:rsidR="00894239" w:rsidRPr="000073B0">
        <w:rPr>
          <w:rFonts w:ascii="Times New Roman" w:hAnsi="Times New Roman" w:cs="Times New Roman"/>
          <w:sz w:val="24"/>
          <w:szCs w:val="24"/>
        </w:rPr>
        <w:t>K</w:t>
      </w:r>
      <w:r w:rsidR="00E81283">
        <w:rPr>
          <w:rFonts w:ascii="Times New Roman" w:hAnsi="Times New Roman" w:cs="Times New Roman"/>
          <w:sz w:val="24"/>
          <w:szCs w:val="24"/>
        </w:rPr>
        <w:t>.</w:t>
      </w:r>
      <w:r w:rsidR="00894239">
        <w:rPr>
          <w:rFonts w:ascii="Times New Roman" w:hAnsi="Times New Roman" w:cs="Times New Roman"/>
          <w:sz w:val="24"/>
          <w:lang w:eastAsia="sr-Latn-BA"/>
        </w:rPr>
        <w:t xml:space="preserve"> </w:t>
      </w:r>
      <w:r>
        <w:rPr>
          <w:rFonts w:ascii="Times New Roman" w:hAnsi="Times New Roman" w:cs="Times New Roman"/>
          <w:sz w:val="24"/>
          <w:lang w:eastAsia="sr-Latn-BA"/>
        </w:rPr>
        <w:t xml:space="preserve">i saradnici i studijom </w:t>
      </w:r>
      <w:r w:rsidR="00894239" w:rsidRPr="000073B0">
        <w:rPr>
          <w:rFonts w:ascii="Times New Roman" w:hAnsi="Times New Roman" w:cs="Times New Roman"/>
          <w:sz w:val="24"/>
          <w:szCs w:val="24"/>
        </w:rPr>
        <w:t>Abdelhamid M</w:t>
      </w:r>
      <w:r w:rsidR="00E81283">
        <w:rPr>
          <w:rFonts w:ascii="Times New Roman" w:hAnsi="Times New Roman" w:cs="Times New Roman"/>
          <w:sz w:val="24"/>
          <w:szCs w:val="24"/>
        </w:rPr>
        <w:t xml:space="preserve">. </w:t>
      </w:r>
      <w:r w:rsidR="00894239" w:rsidRPr="000073B0">
        <w:rPr>
          <w:rFonts w:ascii="Times New Roman" w:hAnsi="Times New Roman" w:cs="Times New Roman"/>
          <w:sz w:val="24"/>
          <w:szCs w:val="24"/>
        </w:rPr>
        <w:t>A</w:t>
      </w:r>
      <w:r w:rsidR="00E81283">
        <w:rPr>
          <w:rFonts w:ascii="Times New Roman" w:hAnsi="Times New Roman" w:cs="Times New Roman"/>
          <w:sz w:val="24"/>
          <w:szCs w:val="24"/>
        </w:rPr>
        <w:t>.</w:t>
      </w:r>
      <w:r>
        <w:rPr>
          <w:rFonts w:ascii="Times New Roman" w:hAnsi="Times New Roman" w:cs="Times New Roman"/>
          <w:sz w:val="24"/>
          <w:lang w:eastAsia="sr-Latn-BA"/>
        </w:rPr>
        <w:t xml:space="preserve"> i saradnika u kojoj je 74% ispitanika dijagnostifikovano sa jednostranom neurogenom paralizom larinksa. (2</w:t>
      </w:r>
      <w:r w:rsidR="0039236D">
        <w:rPr>
          <w:rFonts w:ascii="Times New Roman" w:hAnsi="Times New Roman" w:cs="Times New Roman"/>
          <w:sz w:val="24"/>
          <w:lang w:eastAsia="sr-Latn-BA"/>
        </w:rPr>
        <w:t>0, 21</w:t>
      </w:r>
      <w:r>
        <w:rPr>
          <w:rFonts w:ascii="Times New Roman" w:hAnsi="Times New Roman" w:cs="Times New Roman"/>
          <w:sz w:val="24"/>
          <w:lang w:eastAsia="sr-Latn-BA"/>
        </w:rPr>
        <w:t>)</w:t>
      </w:r>
    </w:p>
    <w:p w:rsidR="00C24759" w:rsidRDefault="00C24759" w:rsidP="00F46B04">
      <w:pPr>
        <w:spacing w:after="0" w:line="480" w:lineRule="auto"/>
        <w:jc w:val="both"/>
        <w:rPr>
          <w:rFonts w:ascii="Times New Roman" w:hAnsi="Times New Roman" w:cs="Times New Roman"/>
          <w:sz w:val="24"/>
          <w:lang w:eastAsia="sr-Latn-BA"/>
        </w:rPr>
      </w:pPr>
      <w:r>
        <w:rPr>
          <w:rFonts w:ascii="Times New Roman" w:hAnsi="Times New Roman" w:cs="Times New Roman"/>
          <w:sz w:val="24"/>
          <w:lang w:eastAsia="sr-Latn-BA"/>
        </w:rPr>
        <w:t xml:space="preserve">U odnosu na pol, došli smo do zaključka da je obostrana neurogena paraliza larinksa češća kod ženskog pola i to skoro četiri puta, ali zbog male grupe ispitanika od svega 21og pacijenta statistička razlika nije značajna. Ova razlika u učestalosti kod polova se pripisuje učestalijim bolestima  štitne žlijezde kod žene, pa tim i češćim hirurškim zahvatima na istoj. U svojoj doktorskoj disertaciji, </w:t>
      </w:r>
      <w:r>
        <w:rPr>
          <w:rFonts w:ascii="Times New Roman" w:hAnsi="Times New Roman" w:cs="Times New Roman"/>
          <w:i/>
          <w:sz w:val="24"/>
          <w:lang w:eastAsia="sr-Latn-BA"/>
        </w:rPr>
        <w:t xml:space="preserve">Klinička studija kvaliteta života pacijenata sa neurogenim paralizama larinksa, </w:t>
      </w:r>
      <w:r>
        <w:rPr>
          <w:rFonts w:ascii="Times New Roman" w:hAnsi="Times New Roman" w:cs="Times New Roman"/>
          <w:sz w:val="24"/>
          <w:lang w:eastAsia="sr-Latn-BA"/>
        </w:rPr>
        <w:t>Gnjatićeva navodi da su  paralize larinksa dva puta češće kod ženske populacije. (2)</w:t>
      </w:r>
    </w:p>
    <w:p w:rsidR="00C24759" w:rsidRDefault="00C24759" w:rsidP="00F46B04">
      <w:pPr>
        <w:spacing w:after="0" w:line="480" w:lineRule="auto"/>
        <w:jc w:val="both"/>
        <w:rPr>
          <w:rFonts w:ascii="Times New Roman" w:hAnsi="Times New Roman" w:cs="Times New Roman"/>
          <w:sz w:val="24"/>
          <w:lang w:eastAsia="sr-Latn-BA"/>
        </w:rPr>
      </w:pPr>
      <w:r>
        <w:rPr>
          <w:rFonts w:ascii="Times New Roman" w:hAnsi="Times New Roman" w:cs="Times New Roman"/>
          <w:sz w:val="24"/>
          <w:lang w:eastAsia="sr-Latn-BA"/>
        </w:rPr>
        <w:t xml:space="preserve">Naša studija je pokazala da se obostrana neurogena paraliza larinksa češće javlja u populaciji od 55te do 64te godine, relativna učestalost 42,86%. Zastupljenost ove paralize je podjednaka kod grupe pacijenata mlađih od 55 godina i grupe u kojoj su pacijenti stariji od 65 godina, a relativna učestalost iznosi po 28,57% pojedinačno. Ovi podaci se poklapaju sa mnogobrojnim studijama, među kojima je i </w:t>
      </w:r>
      <w:r w:rsidR="002857B6" w:rsidRPr="000073B0">
        <w:rPr>
          <w:rFonts w:ascii="Times New Roman" w:hAnsi="Times New Roman" w:cs="Times New Roman"/>
          <w:sz w:val="24"/>
          <w:szCs w:val="24"/>
        </w:rPr>
        <w:t xml:space="preserve">Biswas </w:t>
      </w:r>
      <w:r w:rsidR="002857B6">
        <w:rPr>
          <w:rFonts w:ascii="Times New Roman" w:hAnsi="Times New Roman" w:cs="Times New Roman"/>
          <w:sz w:val="24"/>
          <w:lang w:eastAsia="sr-Latn-BA"/>
        </w:rPr>
        <w:t>studija iz 2022</w:t>
      </w:r>
      <w:r>
        <w:rPr>
          <w:rFonts w:ascii="Times New Roman" w:hAnsi="Times New Roman" w:cs="Times New Roman"/>
          <w:sz w:val="24"/>
          <w:lang w:eastAsia="sr-Latn-BA"/>
        </w:rPr>
        <w:t xml:space="preserve">. godine u kojoj je učestvovalo </w:t>
      </w:r>
      <w:r w:rsidR="00894239">
        <w:rPr>
          <w:rFonts w:ascii="Times New Roman" w:hAnsi="Times New Roman" w:cs="Times New Roman"/>
          <w:sz w:val="24"/>
          <w:lang w:eastAsia="sr-Latn-BA"/>
        </w:rPr>
        <w:t>300</w:t>
      </w:r>
      <w:r>
        <w:rPr>
          <w:rFonts w:ascii="Times New Roman" w:hAnsi="Times New Roman" w:cs="Times New Roman"/>
          <w:sz w:val="24"/>
          <w:lang w:eastAsia="sr-Latn-BA"/>
        </w:rPr>
        <w:t xml:space="preserve"> pacijenata, a kojom je prikazano da se paralize larinksa javljaju najčešće u dobi od 55te do 60te godine</w:t>
      </w:r>
      <w:r w:rsidR="002035AC">
        <w:rPr>
          <w:rFonts w:ascii="Times New Roman" w:hAnsi="Times New Roman" w:cs="Times New Roman"/>
          <w:sz w:val="24"/>
          <w:lang w:eastAsia="sr-Latn-BA"/>
        </w:rPr>
        <w:t xml:space="preserve"> života. (23</w:t>
      </w:r>
      <w:r>
        <w:rPr>
          <w:rFonts w:ascii="Times New Roman" w:hAnsi="Times New Roman" w:cs="Times New Roman"/>
          <w:sz w:val="24"/>
          <w:lang w:eastAsia="sr-Latn-BA"/>
        </w:rPr>
        <w:t>)</w:t>
      </w:r>
    </w:p>
    <w:p w:rsidR="00C24759" w:rsidRDefault="00C24759" w:rsidP="00F46B04">
      <w:pPr>
        <w:spacing w:after="0" w:line="480" w:lineRule="auto"/>
        <w:jc w:val="both"/>
        <w:rPr>
          <w:rFonts w:ascii="Times New Roman" w:hAnsi="Times New Roman" w:cs="Times New Roman"/>
          <w:sz w:val="24"/>
          <w:lang w:eastAsia="sr-Latn-BA"/>
        </w:rPr>
      </w:pPr>
      <w:r>
        <w:rPr>
          <w:rFonts w:ascii="Times New Roman" w:hAnsi="Times New Roman" w:cs="Times New Roman"/>
          <w:sz w:val="24"/>
          <w:lang w:eastAsia="sr-Latn-BA"/>
        </w:rPr>
        <w:t xml:space="preserve">Vodeći etiološki faktor u nastanku obostrane neurogene paralize larinksa jeste hirurgija štitne žlijezde. U grupi od 21og ispitanika, totalnu tiroidektomiju kao uzrok nastanka paralize je imalo 10 ispitanika, što predstavlja skoro polovinu, tačnije 47,62%. Zatim, kod 28,81% ispitanika uzrok paralize je nepoznat. Grupa turskih </w:t>
      </w:r>
      <w:r>
        <w:rPr>
          <w:rFonts w:ascii="Times New Roman" w:hAnsi="Times New Roman" w:cs="Times New Roman"/>
          <w:sz w:val="24"/>
          <w:lang w:eastAsia="sr-Latn-BA"/>
        </w:rPr>
        <w:lastRenderedPageBreak/>
        <w:t>autora je u svojoj studiji</w:t>
      </w:r>
      <w:r w:rsidRPr="00FC3E58">
        <w:t xml:space="preserve"> </w:t>
      </w:r>
      <w:r w:rsidRPr="00FC3E58">
        <w:rPr>
          <w:rFonts w:ascii="Times New Roman" w:hAnsi="Times New Roman" w:cs="Times New Roman"/>
          <w:i/>
          <w:sz w:val="24"/>
          <w:lang w:eastAsia="sr-Latn-BA"/>
        </w:rPr>
        <w:t>Vocal cord paralysis: What matters between idiopathic and non-idiopathic cases?</w:t>
      </w:r>
      <w:r>
        <w:rPr>
          <w:rFonts w:ascii="Times New Roman" w:hAnsi="Times New Roman" w:cs="Times New Roman"/>
          <w:sz w:val="24"/>
          <w:lang w:eastAsia="sr-Latn-BA"/>
        </w:rPr>
        <w:t xml:space="preserve"> prikazala da se idiopatska paraliza larinksa javila kod 31,5% ispitanika, što se uk</w:t>
      </w:r>
      <w:r w:rsidR="00FC04FE">
        <w:rPr>
          <w:rFonts w:ascii="Times New Roman" w:hAnsi="Times New Roman" w:cs="Times New Roman"/>
          <w:sz w:val="24"/>
          <w:lang w:eastAsia="sr-Latn-BA"/>
        </w:rPr>
        <w:t>lapa sa našim istraživanjem. (25</w:t>
      </w:r>
      <w:r>
        <w:rPr>
          <w:rFonts w:ascii="Times New Roman" w:hAnsi="Times New Roman" w:cs="Times New Roman"/>
          <w:sz w:val="24"/>
          <w:lang w:eastAsia="sr-Latn-BA"/>
        </w:rPr>
        <w:t xml:space="preserve">) Osim tiroidektomije, uzroci obostrane neurogene paralize larinksa su i traheotomija, struma štitne žlijezde i prelomi baze lobanje nastali usljed povrede. </w:t>
      </w:r>
    </w:p>
    <w:p w:rsidR="000337A2" w:rsidRDefault="00C24759" w:rsidP="00F46B04">
      <w:pPr>
        <w:spacing w:after="0" w:line="480" w:lineRule="auto"/>
        <w:jc w:val="both"/>
        <w:rPr>
          <w:rFonts w:ascii="Times New Roman" w:hAnsi="Times New Roman" w:cs="Times New Roman"/>
          <w:sz w:val="24"/>
          <w:lang w:eastAsia="sr-Latn-BA"/>
        </w:rPr>
      </w:pPr>
      <w:r>
        <w:rPr>
          <w:rFonts w:ascii="Times New Roman" w:hAnsi="Times New Roman" w:cs="Times New Roman"/>
          <w:sz w:val="24"/>
          <w:lang w:eastAsia="sr-Latn-BA"/>
        </w:rPr>
        <w:t>Chen i saradnici, istraživajući etiološke faktore nastanka paraliza larinksa, su 2007. godine publifikovali restrospektivnu studiju, kojom prikazuju da je vodeći etiološki faktor paraliza larinska hirurgija vratnih struktura, relativne učestalosti 40,2%, od čega polovina otpada na hirurgiju štitne žlijezde. U njihovoj studiji neoplazme (najčešće karcinomi pluća) su uzročnici 29,9% paraliza, idiopatska paraliza larinksa se javila kod 10.7% isp</w:t>
      </w:r>
      <w:r w:rsidR="0039236D">
        <w:rPr>
          <w:rFonts w:ascii="Times New Roman" w:hAnsi="Times New Roman" w:cs="Times New Roman"/>
          <w:sz w:val="24"/>
          <w:lang w:eastAsia="sr-Latn-BA"/>
        </w:rPr>
        <w:t>itanika, a traumatska kod 8%. (2</w:t>
      </w:r>
      <w:r w:rsidR="00FC04FE">
        <w:rPr>
          <w:rFonts w:ascii="Times New Roman" w:hAnsi="Times New Roman" w:cs="Times New Roman"/>
          <w:sz w:val="24"/>
          <w:lang w:eastAsia="sr-Latn-BA"/>
        </w:rPr>
        <w:t>6</w:t>
      </w:r>
      <w:r>
        <w:rPr>
          <w:rFonts w:ascii="Times New Roman" w:hAnsi="Times New Roman" w:cs="Times New Roman"/>
          <w:sz w:val="24"/>
          <w:lang w:eastAsia="sr-Latn-BA"/>
        </w:rPr>
        <w:t xml:space="preserve">) S druge strane </w:t>
      </w:r>
      <w:r w:rsidR="002035AC">
        <w:rPr>
          <w:rFonts w:ascii="Times New Roman" w:hAnsi="Times New Roman" w:cs="Times New Roman"/>
          <w:sz w:val="24"/>
          <w:szCs w:val="24"/>
        </w:rPr>
        <w:t>de Almeida</w:t>
      </w:r>
      <w:r>
        <w:rPr>
          <w:rFonts w:ascii="Times New Roman" w:hAnsi="Times New Roman" w:cs="Times New Roman"/>
          <w:sz w:val="24"/>
          <w:lang w:eastAsia="sr-Latn-BA"/>
        </w:rPr>
        <w:t xml:space="preserve"> i saradnici su u svom istraživanju došli do zaključka da se paraliza larinksa u većem broju javlja usljed neoplazmi i nehirurških trauma, nego kao posljedi</w:t>
      </w:r>
      <w:r w:rsidR="0039236D">
        <w:rPr>
          <w:rFonts w:ascii="Times New Roman" w:hAnsi="Times New Roman" w:cs="Times New Roman"/>
          <w:sz w:val="24"/>
          <w:lang w:eastAsia="sr-Latn-BA"/>
        </w:rPr>
        <w:t>ca hirurgije štitne žlijezde. (2</w:t>
      </w:r>
      <w:r w:rsidR="00FC04FE">
        <w:rPr>
          <w:rFonts w:ascii="Times New Roman" w:hAnsi="Times New Roman" w:cs="Times New Roman"/>
          <w:sz w:val="24"/>
          <w:lang w:eastAsia="sr-Latn-BA"/>
        </w:rPr>
        <w:t>7</w:t>
      </w:r>
      <w:r>
        <w:rPr>
          <w:rFonts w:ascii="Times New Roman" w:hAnsi="Times New Roman" w:cs="Times New Roman"/>
          <w:sz w:val="24"/>
          <w:lang w:eastAsia="sr-Latn-BA"/>
        </w:rPr>
        <w:t>)</w:t>
      </w:r>
    </w:p>
    <w:p w:rsidR="00C24759" w:rsidRPr="000B5D47" w:rsidRDefault="006C6EB4" w:rsidP="00F46B04">
      <w:pPr>
        <w:spacing w:after="0" w:line="480" w:lineRule="auto"/>
        <w:rPr>
          <w:rFonts w:ascii="Times New Roman" w:hAnsi="Times New Roman" w:cs="Times New Roman"/>
          <w:b/>
          <w:lang w:eastAsia="sr-Latn-BA"/>
        </w:rPr>
      </w:pPr>
      <w:bookmarkStart w:id="4" w:name="_Toc49996545"/>
      <w:r w:rsidRPr="000B5D47">
        <w:rPr>
          <w:rFonts w:ascii="Times New Roman" w:hAnsi="Times New Roman" w:cs="Times New Roman"/>
          <w:b/>
          <w:sz w:val="24"/>
          <w:szCs w:val="24"/>
          <w:lang w:eastAsia="sr-Latn-BA"/>
        </w:rPr>
        <w:t>Zaključak</w:t>
      </w:r>
      <w:bookmarkEnd w:id="4"/>
    </w:p>
    <w:p w:rsidR="00C24759" w:rsidRDefault="00C24759" w:rsidP="00F46B04">
      <w:pPr>
        <w:spacing w:after="0" w:line="480" w:lineRule="auto"/>
        <w:jc w:val="both"/>
        <w:rPr>
          <w:rFonts w:ascii="Times New Roman" w:hAnsi="Times New Roman" w:cs="Times New Roman"/>
          <w:sz w:val="24"/>
          <w:lang w:eastAsia="sr-Latn-BA"/>
        </w:rPr>
      </w:pPr>
      <w:r>
        <w:rPr>
          <w:rFonts w:ascii="Times New Roman" w:hAnsi="Times New Roman" w:cs="Times New Roman"/>
          <w:sz w:val="24"/>
          <w:lang w:eastAsia="sr-Latn-BA"/>
        </w:rPr>
        <w:t>Retrospektivnom studijom presjeka nad pacijentima sa neurogenim paralizama larinksa došli smo do sljedećih zaključaka</w:t>
      </w:r>
    </w:p>
    <w:p w:rsidR="00C24759" w:rsidRDefault="00C24759" w:rsidP="00F46B04">
      <w:pPr>
        <w:spacing w:after="0" w:line="480" w:lineRule="auto"/>
        <w:ind w:firstLine="706"/>
        <w:jc w:val="both"/>
        <w:rPr>
          <w:rFonts w:ascii="Times New Roman" w:hAnsi="Times New Roman" w:cs="Times New Roman"/>
          <w:sz w:val="24"/>
          <w:lang w:eastAsia="sr-Latn-BA"/>
        </w:rPr>
      </w:pPr>
      <w:r>
        <w:rPr>
          <w:rFonts w:ascii="Times New Roman" w:hAnsi="Times New Roman" w:cs="Times New Roman"/>
          <w:sz w:val="24"/>
          <w:lang w:eastAsia="sr-Latn-BA"/>
        </w:rPr>
        <w:t xml:space="preserve">1. Obostana neurogena paraliza larinksa se javlja rjeđe u odnosu na jednostrane, a dobijeni rezultati </w:t>
      </w:r>
      <w:r w:rsidR="00EB1CA5">
        <w:rPr>
          <w:rFonts w:ascii="Times New Roman" w:hAnsi="Times New Roman" w:cs="Times New Roman"/>
          <w:sz w:val="24"/>
          <w:lang w:eastAsia="sr-Latn-BA"/>
        </w:rPr>
        <w:t>su pokazali izuzetnu statističku</w:t>
      </w:r>
      <w:r>
        <w:rPr>
          <w:rFonts w:ascii="Times New Roman" w:hAnsi="Times New Roman" w:cs="Times New Roman"/>
          <w:sz w:val="24"/>
          <w:lang w:eastAsia="sr-Latn-BA"/>
        </w:rPr>
        <w:t xml:space="preserve"> značajnost.</w:t>
      </w:r>
    </w:p>
    <w:p w:rsidR="00C24759" w:rsidRDefault="00C24759" w:rsidP="00F46B04">
      <w:pPr>
        <w:spacing w:after="0" w:line="480" w:lineRule="auto"/>
        <w:ind w:firstLine="706"/>
        <w:jc w:val="both"/>
        <w:rPr>
          <w:rFonts w:ascii="Times New Roman" w:hAnsi="Times New Roman" w:cs="Times New Roman"/>
          <w:sz w:val="24"/>
          <w:lang w:eastAsia="sr-Latn-BA"/>
        </w:rPr>
      </w:pPr>
      <w:r>
        <w:rPr>
          <w:rFonts w:ascii="Times New Roman" w:hAnsi="Times New Roman" w:cs="Times New Roman"/>
          <w:sz w:val="24"/>
          <w:lang w:eastAsia="sr-Latn-BA"/>
        </w:rPr>
        <w:t>2. U grupi od 21og ispitanika, obostrana paraliza larinksa se češće javila kod ženskog pola, ali nakon sprovedenih statističkih analiza ova razlika nije pokazala značajnost</w:t>
      </w:r>
      <w:r w:rsidR="005C4C4A">
        <w:rPr>
          <w:rFonts w:ascii="Times New Roman" w:hAnsi="Times New Roman" w:cs="Times New Roman"/>
          <w:sz w:val="24"/>
          <w:lang w:eastAsia="sr-Latn-BA"/>
        </w:rPr>
        <w:t>.</w:t>
      </w:r>
    </w:p>
    <w:p w:rsidR="00EB1CA5" w:rsidRDefault="00EB1CA5" w:rsidP="00F46B04">
      <w:pPr>
        <w:spacing w:after="0" w:line="480" w:lineRule="auto"/>
        <w:ind w:firstLine="706"/>
        <w:jc w:val="both"/>
        <w:rPr>
          <w:rFonts w:ascii="Times New Roman" w:hAnsi="Times New Roman" w:cs="Times New Roman"/>
          <w:sz w:val="24"/>
          <w:lang w:eastAsia="sr-Latn-BA"/>
        </w:rPr>
      </w:pPr>
      <w:r>
        <w:rPr>
          <w:rFonts w:ascii="Times New Roman" w:hAnsi="Times New Roman" w:cs="Times New Roman"/>
          <w:sz w:val="24"/>
          <w:lang w:eastAsia="sr-Latn-BA"/>
        </w:rPr>
        <w:t>3. Obostrana neurogena paraliza larinksa se javlja najčešće kod populacije između 55. i 64. godine života.</w:t>
      </w:r>
    </w:p>
    <w:p w:rsidR="000337A2" w:rsidRDefault="00EB1CA5" w:rsidP="00F46B04">
      <w:pPr>
        <w:spacing w:after="0" w:line="480" w:lineRule="auto"/>
        <w:ind w:firstLine="706"/>
        <w:jc w:val="both"/>
        <w:rPr>
          <w:rFonts w:ascii="Times New Roman" w:hAnsi="Times New Roman" w:cs="Times New Roman"/>
          <w:sz w:val="24"/>
          <w:lang w:eastAsia="sr-Latn-BA"/>
        </w:rPr>
      </w:pPr>
      <w:r>
        <w:rPr>
          <w:rFonts w:ascii="Times New Roman" w:hAnsi="Times New Roman" w:cs="Times New Roman"/>
          <w:sz w:val="24"/>
          <w:lang w:eastAsia="sr-Latn-BA"/>
        </w:rPr>
        <w:lastRenderedPageBreak/>
        <w:t>4</w:t>
      </w:r>
      <w:r w:rsidR="00C24759">
        <w:rPr>
          <w:rFonts w:ascii="Times New Roman" w:hAnsi="Times New Roman" w:cs="Times New Roman"/>
          <w:sz w:val="24"/>
          <w:lang w:eastAsia="sr-Latn-BA"/>
        </w:rPr>
        <w:t>. Vodeći etiološki faktor u nastanku obostrane neurogene paralize larinksa jeste hirurgija štitne žlijezde.</w:t>
      </w:r>
    </w:p>
    <w:p w:rsidR="000337A2" w:rsidRDefault="000337A2" w:rsidP="00F46B04">
      <w:pPr>
        <w:spacing w:after="0" w:line="480" w:lineRule="auto"/>
        <w:rPr>
          <w:rFonts w:ascii="Times New Roman" w:hAnsi="Times New Roman" w:cs="Times New Roman"/>
          <w:sz w:val="24"/>
          <w:lang w:eastAsia="sr-Latn-BA"/>
        </w:rPr>
      </w:pPr>
      <w:r>
        <w:rPr>
          <w:rFonts w:ascii="Times New Roman" w:hAnsi="Times New Roman" w:cs="Times New Roman"/>
          <w:sz w:val="24"/>
          <w:lang w:eastAsia="sr-Latn-BA"/>
        </w:rPr>
        <w:br w:type="page"/>
      </w:r>
    </w:p>
    <w:p w:rsidR="000337A2" w:rsidRDefault="000337A2" w:rsidP="00F46B04">
      <w:pPr>
        <w:spacing w:after="0" w:line="480" w:lineRule="auto"/>
        <w:ind w:firstLine="706"/>
        <w:jc w:val="both"/>
        <w:rPr>
          <w:rFonts w:ascii="Times New Roman" w:hAnsi="Times New Roman" w:cs="Times New Roman"/>
          <w:sz w:val="24"/>
          <w:lang w:eastAsia="sr-Latn-BA"/>
        </w:rPr>
      </w:pPr>
    </w:p>
    <w:p w:rsidR="00C24759" w:rsidRPr="001735E2" w:rsidRDefault="001735E2" w:rsidP="00F46B04">
      <w:pPr>
        <w:pStyle w:val="Heading1"/>
        <w:spacing w:before="0" w:after="0" w:line="480" w:lineRule="auto"/>
        <w:ind w:left="0"/>
        <w:rPr>
          <w:sz w:val="24"/>
          <w:szCs w:val="24"/>
          <w:lang w:eastAsia="sr-Latn-BA"/>
        </w:rPr>
      </w:pPr>
      <w:bookmarkStart w:id="5" w:name="_Toc49996546"/>
      <w:r w:rsidRPr="001735E2">
        <w:rPr>
          <w:sz w:val="24"/>
          <w:szCs w:val="24"/>
          <w:lang w:eastAsia="sr-Latn-BA"/>
        </w:rPr>
        <w:t>Literatura</w:t>
      </w:r>
      <w:bookmarkEnd w:id="5"/>
    </w:p>
    <w:sdt>
      <w:sdtPr>
        <w:rPr>
          <w:rFonts w:asciiTheme="minorHAnsi" w:eastAsiaTheme="minorHAnsi" w:hAnsiTheme="minorHAnsi" w:cstheme="minorBidi"/>
          <w:b w:val="0"/>
          <w:color w:val="auto"/>
          <w:sz w:val="22"/>
          <w:szCs w:val="22"/>
        </w:rPr>
        <w:id w:val="-1734924301"/>
        <w:docPartObj>
          <w:docPartGallery w:val="Bibliographies"/>
          <w:docPartUnique/>
        </w:docPartObj>
      </w:sdtPr>
      <w:sdtEndPr/>
      <w:sdtContent>
        <w:p w:rsidR="00C24759" w:rsidRDefault="00C24759" w:rsidP="00F46B04">
          <w:pPr>
            <w:pStyle w:val="Heading1"/>
            <w:spacing w:before="0" w:after="0" w:line="480" w:lineRule="auto"/>
            <w:ind w:left="0"/>
          </w:pPr>
        </w:p>
        <w:p w:rsidR="00C24759" w:rsidRPr="003877F0" w:rsidRDefault="00C24759" w:rsidP="00F46B04">
          <w:pPr>
            <w:pStyle w:val="Bibliography"/>
            <w:numPr>
              <w:ilvl w:val="0"/>
              <w:numId w:val="25"/>
            </w:numPr>
            <w:spacing w:after="0" w:line="480" w:lineRule="auto"/>
            <w:rPr>
              <w:rFonts w:ascii="Times New Roman" w:hAnsi="Times New Roman" w:cs="Times New Roman"/>
              <w:noProof/>
              <w:sz w:val="24"/>
              <w:szCs w:val="24"/>
            </w:rPr>
          </w:pPr>
          <w:r w:rsidRPr="003877F0">
            <w:rPr>
              <w:rFonts w:ascii="Times New Roman" w:hAnsi="Times New Roman" w:cs="Times New Roman"/>
              <w:noProof/>
              <w:sz w:val="24"/>
              <w:szCs w:val="24"/>
            </w:rPr>
            <w:t xml:space="preserve">Đukić, B. </w:t>
          </w:r>
          <w:r w:rsidRPr="003877F0">
            <w:rPr>
              <w:rFonts w:ascii="Times New Roman" w:hAnsi="Times New Roman" w:cs="Times New Roman"/>
              <w:i/>
              <w:iCs/>
              <w:noProof/>
              <w:sz w:val="24"/>
              <w:szCs w:val="24"/>
            </w:rPr>
            <w:t>Paralize glasnica.</w:t>
          </w:r>
          <w:r w:rsidRPr="003877F0">
            <w:rPr>
              <w:rFonts w:ascii="Times New Roman" w:hAnsi="Times New Roman" w:cs="Times New Roman"/>
              <w:noProof/>
              <w:sz w:val="24"/>
              <w:szCs w:val="24"/>
            </w:rPr>
            <w:t xml:space="preserve"> Beograd: Partenon 2013</w:t>
          </w:r>
          <w:r w:rsidR="00B56BCD">
            <w:rPr>
              <w:rFonts w:ascii="Times New Roman" w:hAnsi="Times New Roman" w:cs="Times New Roman"/>
              <w:noProof/>
              <w:sz w:val="24"/>
              <w:szCs w:val="24"/>
            </w:rPr>
            <w:t>, 145-189</w:t>
          </w:r>
        </w:p>
        <w:p w:rsidR="00C24759" w:rsidRPr="003877F0" w:rsidRDefault="00C24759" w:rsidP="00F46B04">
          <w:pPr>
            <w:pStyle w:val="Bibliography"/>
            <w:numPr>
              <w:ilvl w:val="0"/>
              <w:numId w:val="25"/>
            </w:numPr>
            <w:spacing w:after="0" w:line="480" w:lineRule="auto"/>
            <w:jc w:val="both"/>
            <w:rPr>
              <w:rFonts w:ascii="Times New Roman" w:hAnsi="Times New Roman" w:cs="Times New Roman"/>
              <w:noProof/>
              <w:sz w:val="24"/>
              <w:szCs w:val="24"/>
            </w:rPr>
          </w:pPr>
          <w:r w:rsidRPr="003877F0">
            <w:rPr>
              <w:rFonts w:ascii="Times New Roman" w:hAnsi="Times New Roman" w:cs="Times New Roman"/>
              <w:noProof/>
              <w:sz w:val="24"/>
              <w:szCs w:val="24"/>
            </w:rPr>
            <w:t xml:space="preserve"> Gnjatić M</w:t>
          </w:r>
          <w:r w:rsidRPr="00CE690F">
            <w:rPr>
              <w:rFonts w:ascii="Times New Roman" w:hAnsi="Times New Roman" w:cs="Times New Roman"/>
              <w:noProof/>
              <w:sz w:val="24"/>
              <w:szCs w:val="24"/>
            </w:rPr>
            <w:t xml:space="preserve">. </w:t>
          </w:r>
          <w:r w:rsidRPr="00CE690F">
            <w:rPr>
              <w:rFonts w:ascii="Times New Roman" w:hAnsi="Times New Roman" w:cs="Times New Roman"/>
              <w:i/>
              <w:iCs/>
              <w:noProof/>
              <w:sz w:val="24"/>
              <w:szCs w:val="24"/>
            </w:rPr>
            <w:t>Klinička studija kvaliteta života pacijenata sa neurogenim paralizama larinksa.</w:t>
          </w:r>
          <w:r w:rsidRPr="00CE690F">
            <w:rPr>
              <w:rFonts w:ascii="Times New Roman" w:hAnsi="Times New Roman" w:cs="Times New Roman"/>
              <w:noProof/>
              <w:sz w:val="24"/>
              <w:szCs w:val="24"/>
            </w:rPr>
            <w:t xml:space="preserve"> Banja Luka: Medicinski fakultet Banja Luka 2012</w:t>
          </w:r>
          <w:r w:rsidR="00B56BCD">
            <w:rPr>
              <w:rFonts w:ascii="Times New Roman" w:hAnsi="Times New Roman" w:cs="Times New Roman"/>
              <w:noProof/>
              <w:sz w:val="24"/>
              <w:szCs w:val="24"/>
            </w:rPr>
            <w:t>, 56-78</w:t>
          </w:r>
        </w:p>
        <w:p w:rsidR="00C24759" w:rsidRPr="003877F0" w:rsidRDefault="00C24759" w:rsidP="00F46B04">
          <w:pPr>
            <w:pStyle w:val="Bibliography"/>
            <w:numPr>
              <w:ilvl w:val="0"/>
              <w:numId w:val="25"/>
            </w:numPr>
            <w:spacing w:after="0" w:line="480" w:lineRule="auto"/>
            <w:rPr>
              <w:rFonts w:ascii="Times New Roman" w:hAnsi="Times New Roman" w:cs="Times New Roman"/>
              <w:noProof/>
              <w:sz w:val="24"/>
              <w:szCs w:val="24"/>
            </w:rPr>
          </w:pPr>
          <w:r w:rsidRPr="00CE690F">
            <w:rPr>
              <w:rFonts w:ascii="Times New Roman" w:hAnsi="Times New Roman" w:cs="Times New Roman"/>
              <w:noProof/>
              <w:sz w:val="24"/>
              <w:szCs w:val="24"/>
            </w:rPr>
            <w:t xml:space="preserve"> Spremo, S., Špirić, S., Špirić, P., Travar, D., &amp; Gnjatić, M. </w:t>
          </w:r>
          <w:r w:rsidRPr="00CE690F">
            <w:rPr>
              <w:rFonts w:ascii="Times New Roman" w:hAnsi="Times New Roman" w:cs="Times New Roman"/>
              <w:i/>
              <w:iCs/>
              <w:noProof/>
              <w:sz w:val="24"/>
              <w:szCs w:val="24"/>
            </w:rPr>
            <w:t>Praktikum iz otorinolaringologije za studente medicine i stomatologije.</w:t>
          </w:r>
          <w:r w:rsidRPr="00CE690F">
            <w:rPr>
              <w:rFonts w:ascii="Times New Roman" w:hAnsi="Times New Roman" w:cs="Times New Roman"/>
              <w:noProof/>
              <w:sz w:val="24"/>
              <w:szCs w:val="24"/>
            </w:rPr>
            <w:t xml:space="preserve"> Banja Luka: Univerzitet u Banjoj Luci, Medicinski fakultet 2017</w:t>
          </w:r>
          <w:r w:rsidR="00B56BCD">
            <w:rPr>
              <w:rFonts w:ascii="Times New Roman" w:hAnsi="Times New Roman" w:cs="Times New Roman"/>
              <w:noProof/>
              <w:sz w:val="24"/>
              <w:szCs w:val="24"/>
            </w:rPr>
            <w:t>, 23-67</w:t>
          </w:r>
        </w:p>
        <w:p w:rsidR="00C24759" w:rsidRPr="003877F0" w:rsidRDefault="00C24759" w:rsidP="00F46B04">
          <w:pPr>
            <w:pStyle w:val="Bibliography"/>
            <w:numPr>
              <w:ilvl w:val="0"/>
              <w:numId w:val="25"/>
            </w:numPr>
            <w:spacing w:after="0" w:line="480" w:lineRule="auto"/>
            <w:rPr>
              <w:rFonts w:ascii="Times New Roman" w:hAnsi="Times New Roman" w:cs="Times New Roman"/>
              <w:noProof/>
              <w:sz w:val="24"/>
              <w:szCs w:val="24"/>
            </w:rPr>
          </w:pPr>
          <w:r w:rsidRPr="00CE690F">
            <w:rPr>
              <w:rFonts w:ascii="Times New Roman" w:hAnsi="Times New Roman" w:cs="Times New Roman"/>
              <w:noProof/>
              <w:sz w:val="24"/>
              <w:szCs w:val="24"/>
            </w:rPr>
            <w:t xml:space="preserve">Gnjatić, M. </w:t>
          </w:r>
          <w:r w:rsidRPr="00CE690F">
            <w:rPr>
              <w:rFonts w:ascii="Times New Roman" w:hAnsi="Times New Roman" w:cs="Times New Roman"/>
              <w:i/>
              <w:iCs/>
              <w:noProof/>
              <w:sz w:val="24"/>
              <w:szCs w:val="24"/>
            </w:rPr>
            <w:t>Promuklost kao simptom bolesti larinksa.</w:t>
          </w:r>
          <w:r w:rsidRPr="00CE690F">
            <w:rPr>
              <w:rFonts w:ascii="Times New Roman" w:hAnsi="Times New Roman" w:cs="Times New Roman"/>
              <w:noProof/>
              <w:sz w:val="24"/>
              <w:szCs w:val="24"/>
            </w:rPr>
            <w:t xml:space="preserve"> Banja Luka: Univerzitet u Banjoj Luci, Medicinski fakultet 2018</w:t>
          </w:r>
          <w:r w:rsidR="00B56BCD">
            <w:rPr>
              <w:rFonts w:ascii="Times New Roman" w:hAnsi="Times New Roman" w:cs="Times New Roman"/>
              <w:noProof/>
              <w:sz w:val="24"/>
              <w:szCs w:val="24"/>
            </w:rPr>
            <w:t>, 49-79</w:t>
          </w:r>
        </w:p>
        <w:p w:rsidR="00C24759" w:rsidRPr="003877F0" w:rsidRDefault="00C24759" w:rsidP="00F46B04">
          <w:pPr>
            <w:pStyle w:val="Bibliography"/>
            <w:numPr>
              <w:ilvl w:val="0"/>
              <w:numId w:val="25"/>
            </w:numPr>
            <w:spacing w:after="0" w:line="480" w:lineRule="auto"/>
            <w:rPr>
              <w:rFonts w:ascii="Times New Roman" w:hAnsi="Times New Roman" w:cs="Times New Roman"/>
              <w:noProof/>
              <w:sz w:val="24"/>
              <w:szCs w:val="24"/>
            </w:rPr>
          </w:pPr>
          <w:r w:rsidRPr="00CE690F">
            <w:rPr>
              <w:rFonts w:ascii="Times New Roman" w:hAnsi="Times New Roman" w:cs="Times New Roman"/>
              <w:noProof/>
              <w:sz w:val="24"/>
              <w:szCs w:val="24"/>
            </w:rPr>
            <w:t xml:space="preserve"> Jovanović, S., Jeličić, N. </w:t>
          </w:r>
          <w:r w:rsidRPr="00CE690F">
            <w:rPr>
              <w:rFonts w:ascii="Times New Roman" w:hAnsi="Times New Roman" w:cs="Times New Roman"/>
              <w:i/>
              <w:iCs/>
              <w:noProof/>
              <w:sz w:val="24"/>
              <w:szCs w:val="24"/>
            </w:rPr>
            <w:t>Anatomija čoveka: glava i vrat za studente medicine.</w:t>
          </w:r>
          <w:r w:rsidRPr="00CE690F">
            <w:rPr>
              <w:rFonts w:ascii="Times New Roman" w:hAnsi="Times New Roman" w:cs="Times New Roman"/>
              <w:noProof/>
              <w:sz w:val="24"/>
              <w:szCs w:val="24"/>
            </w:rPr>
            <w:t xml:space="preserve"> Beograd: Savremena administracija 2004</w:t>
          </w:r>
          <w:r w:rsidR="00B56BCD">
            <w:rPr>
              <w:rFonts w:ascii="Times New Roman" w:hAnsi="Times New Roman" w:cs="Times New Roman"/>
              <w:noProof/>
              <w:sz w:val="24"/>
              <w:szCs w:val="24"/>
            </w:rPr>
            <w:t>, 253-398</w:t>
          </w:r>
        </w:p>
        <w:p w:rsidR="00C24759" w:rsidRPr="00B56BCD" w:rsidRDefault="00C24759" w:rsidP="00F46B04">
          <w:pPr>
            <w:pStyle w:val="Bibliography"/>
            <w:numPr>
              <w:ilvl w:val="0"/>
              <w:numId w:val="25"/>
            </w:numPr>
            <w:spacing w:after="0" w:line="480" w:lineRule="auto"/>
            <w:rPr>
              <w:rFonts w:ascii="Times New Roman" w:hAnsi="Times New Roman" w:cs="Times New Roman"/>
              <w:noProof/>
              <w:sz w:val="24"/>
              <w:szCs w:val="24"/>
              <w:lang w:val="en-US"/>
            </w:rPr>
          </w:pPr>
          <w:r w:rsidRPr="00CE690F">
            <w:rPr>
              <w:rFonts w:ascii="Times New Roman" w:hAnsi="Times New Roman" w:cs="Times New Roman"/>
              <w:noProof/>
              <w:sz w:val="24"/>
              <w:szCs w:val="24"/>
            </w:rPr>
            <w:t xml:space="preserve">Rubin, D.A.; Ackah-Herman, D.J.; Sataloff, T.R.;. </w:t>
          </w:r>
          <w:r w:rsidRPr="00CE690F">
            <w:rPr>
              <w:rFonts w:ascii="Times New Roman" w:hAnsi="Times New Roman" w:cs="Times New Roman"/>
              <w:i/>
              <w:iCs/>
              <w:noProof/>
              <w:sz w:val="24"/>
              <w:szCs w:val="24"/>
            </w:rPr>
            <w:t>Neurolaryngologic Evaluation of the Performer.</w:t>
          </w:r>
          <w:r w:rsidRPr="00CE690F">
            <w:rPr>
              <w:rFonts w:ascii="Times New Roman" w:hAnsi="Times New Roman" w:cs="Times New Roman"/>
              <w:noProof/>
              <w:sz w:val="24"/>
              <w:szCs w:val="24"/>
            </w:rPr>
            <w:t xml:space="preserve"> Otolaryngol Clin N Am: The Professional Voice 2007</w:t>
          </w:r>
          <w:r w:rsidR="0037728F">
            <w:rPr>
              <w:rFonts w:ascii="Times New Roman" w:hAnsi="Times New Roman" w:cs="Times New Roman"/>
              <w:noProof/>
              <w:sz w:val="24"/>
              <w:szCs w:val="24"/>
            </w:rPr>
            <w:t xml:space="preserve">. </w:t>
          </w:r>
          <w:r w:rsidR="00B56BCD" w:rsidRPr="00B56BCD">
            <w:rPr>
              <w:rFonts w:ascii="Times New Roman" w:hAnsi="Times New Roman" w:cs="Times New Roman"/>
              <w:noProof/>
              <w:sz w:val="24"/>
              <w:szCs w:val="24"/>
              <w:lang w:val="en-US"/>
            </w:rPr>
            <w:t>PMID: 17765691</w:t>
          </w:r>
          <w:r w:rsidR="00B56BCD">
            <w:rPr>
              <w:rFonts w:ascii="Times New Roman" w:hAnsi="Times New Roman" w:cs="Times New Roman"/>
              <w:noProof/>
              <w:sz w:val="24"/>
              <w:szCs w:val="24"/>
              <w:lang w:val="en-US"/>
            </w:rPr>
            <w:t xml:space="preserve"> </w:t>
          </w:r>
          <w:r w:rsidR="00B56BCD" w:rsidRPr="00B56BCD">
            <w:rPr>
              <w:rFonts w:ascii="Times New Roman" w:hAnsi="Times New Roman" w:cs="Times New Roman"/>
              <w:noProof/>
              <w:sz w:val="24"/>
              <w:szCs w:val="24"/>
              <w:lang w:val="en-US"/>
            </w:rPr>
            <w:t>DOI: </w:t>
          </w:r>
          <w:hyperlink r:id="rId9" w:tgtFrame="_blank" w:history="1">
            <w:r w:rsidR="00B56BCD" w:rsidRPr="00B56BCD">
              <w:rPr>
                <w:rStyle w:val="Hyperlink"/>
                <w:rFonts w:ascii="Times New Roman" w:hAnsi="Times New Roman" w:cs="Times New Roman"/>
                <w:noProof/>
                <w:sz w:val="24"/>
                <w:szCs w:val="24"/>
                <w:lang w:val="en-US"/>
              </w:rPr>
              <w:t>10.1016/j.otc.2007.05.005</w:t>
            </w:r>
          </w:hyperlink>
        </w:p>
        <w:p w:rsidR="00C24759" w:rsidRPr="00B56BCD" w:rsidRDefault="00C24759" w:rsidP="00F46B04">
          <w:pPr>
            <w:pStyle w:val="Bibliography"/>
            <w:numPr>
              <w:ilvl w:val="0"/>
              <w:numId w:val="25"/>
            </w:numPr>
            <w:spacing w:after="0" w:line="480" w:lineRule="auto"/>
            <w:rPr>
              <w:rFonts w:ascii="Times New Roman" w:hAnsi="Times New Roman" w:cs="Times New Roman"/>
              <w:noProof/>
              <w:sz w:val="24"/>
              <w:szCs w:val="24"/>
              <w:lang w:val="en-US"/>
            </w:rPr>
          </w:pPr>
          <w:r w:rsidRPr="00CE690F">
            <w:rPr>
              <w:rFonts w:ascii="Times New Roman" w:hAnsi="Times New Roman" w:cs="Times New Roman"/>
              <w:noProof/>
              <w:sz w:val="24"/>
              <w:szCs w:val="24"/>
            </w:rPr>
            <w:t xml:space="preserve">Schultz , G.M.; Varga, M.; Jeffires, K.;  </w:t>
          </w:r>
          <w:r w:rsidRPr="00CE690F">
            <w:rPr>
              <w:rFonts w:ascii="Times New Roman" w:hAnsi="Times New Roman" w:cs="Times New Roman"/>
              <w:i/>
              <w:iCs/>
              <w:noProof/>
              <w:sz w:val="24"/>
              <w:szCs w:val="24"/>
            </w:rPr>
            <w:t>Funkcional Neuroanatomy of human vocalization.</w:t>
          </w:r>
          <w:r w:rsidRPr="00CE690F">
            <w:rPr>
              <w:rFonts w:ascii="Times New Roman" w:hAnsi="Times New Roman" w:cs="Times New Roman"/>
              <w:noProof/>
              <w:sz w:val="24"/>
              <w:szCs w:val="24"/>
            </w:rPr>
            <w:t xml:space="preserve"> Cereb Cortex 2005</w:t>
          </w:r>
          <w:r w:rsidR="00B56BCD">
            <w:rPr>
              <w:rFonts w:ascii="Times New Roman" w:hAnsi="Times New Roman" w:cs="Times New Roman"/>
              <w:noProof/>
              <w:sz w:val="24"/>
              <w:szCs w:val="24"/>
            </w:rPr>
            <w:t xml:space="preserve">. </w:t>
          </w:r>
          <w:r w:rsidR="00B56BCD" w:rsidRPr="00B56BCD">
            <w:rPr>
              <w:rFonts w:ascii="Times New Roman" w:hAnsi="Times New Roman" w:cs="Times New Roman"/>
              <w:noProof/>
              <w:sz w:val="24"/>
              <w:szCs w:val="24"/>
              <w:lang w:val="en-US"/>
            </w:rPr>
            <w:t>PMID: 15746003</w:t>
          </w:r>
          <w:r w:rsidR="00B56BCD">
            <w:rPr>
              <w:rFonts w:ascii="Times New Roman" w:hAnsi="Times New Roman" w:cs="Times New Roman"/>
              <w:noProof/>
              <w:sz w:val="24"/>
              <w:szCs w:val="24"/>
              <w:lang w:val="en-US"/>
            </w:rPr>
            <w:t xml:space="preserve"> </w:t>
          </w:r>
          <w:r w:rsidR="00B56BCD" w:rsidRPr="00B56BCD">
            <w:rPr>
              <w:rFonts w:ascii="Times New Roman" w:hAnsi="Times New Roman" w:cs="Times New Roman"/>
              <w:noProof/>
              <w:sz w:val="24"/>
              <w:szCs w:val="24"/>
              <w:lang w:val="en-US"/>
            </w:rPr>
            <w:t>DOI: </w:t>
          </w:r>
          <w:hyperlink r:id="rId10" w:tgtFrame="_blank" w:history="1">
            <w:r w:rsidR="00B56BCD" w:rsidRPr="00B56BCD">
              <w:rPr>
                <w:rStyle w:val="Hyperlink"/>
                <w:rFonts w:ascii="Times New Roman" w:hAnsi="Times New Roman" w:cs="Times New Roman"/>
                <w:noProof/>
                <w:sz w:val="24"/>
                <w:szCs w:val="24"/>
                <w:lang w:val="en-US"/>
              </w:rPr>
              <w:t>10.1093/cercor/bhi061</w:t>
            </w:r>
          </w:hyperlink>
        </w:p>
        <w:p w:rsidR="00C24759" w:rsidRPr="003877F0" w:rsidRDefault="00C24759" w:rsidP="00F46B04">
          <w:pPr>
            <w:pStyle w:val="Bibliography"/>
            <w:numPr>
              <w:ilvl w:val="0"/>
              <w:numId w:val="25"/>
            </w:numPr>
            <w:spacing w:after="0" w:line="480" w:lineRule="auto"/>
            <w:rPr>
              <w:rFonts w:ascii="Times New Roman" w:hAnsi="Times New Roman" w:cs="Times New Roman"/>
              <w:noProof/>
              <w:sz w:val="24"/>
              <w:szCs w:val="24"/>
            </w:rPr>
          </w:pPr>
          <w:r w:rsidRPr="00CE690F">
            <w:rPr>
              <w:rFonts w:ascii="Times New Roman" w:hAnsi="Times New Roman" w:cs="Times New Roman"/>
              <w:noProof/>
              <w:sz w:val="24"/>
              <w:szCs w:val="24"/>
            </w:rPr>
            <w:t xml:space="preserve">Jiang, J. </w:t>
          </w:r>
          <w:r w:rsidRPr="00CE690F">
            <w:rPr>
              <w:rFonts w:ascii="Times New Roman" w:hAnsi="Times New Roman" w:cs="Times New Roman"/>
              <w:i/>
              <w:iCs/>
              <w:noProof/>
              <w:sz w:val="24"/>
              <w:szCs w:val="24"/>
            </w:rPr>
            <w:t xml:space="preserve">Physiology of Voice Production: How Does the Voice Work, in Benninger S.M., Murry T. </w:t>
          </w:r>
          <w:r w:rsidRPr="00CE690F">
            <w:rPr>
              <w:rFonts w:ascii="Times New Roman" w:hAnsi="Times New Roman" w:cs="Times New Roman"/>
              <w:noProof/>
              <w:sz w:val="24"/>
              <w:szCs w:val="24"/>
            </w:rPr>
            <w:t>San Diego: The Preformers Voice. Plural Publishing 2006</w:t>
          </w:r>
        </w:p>
        <w:p w:rsidR="00C24759" w:rsidRPr="0039236D" w:rsidRDefault="00C24759" w:rsidP="00F46B04">
          <w:pPr>
            <w:pStyle w:val="ListParagraph"/>
            <w:numPr>
              <w:ilvl w:val="0"/>
              <w:numId w:val="25"/>
            </w:numPr>
            <w:spacing w:after="0" w:line="480" w:lineRule="auto"/>
            <w:rPr>
              <w:rFonts w:ascii="Times New Roman" w:hAnsi="Times New Roman" w:cs="Times New Roman"/>
              <w:sz w:val="24"/>
              <w:szCs w:val="24"/>
            </w:rPr>
          </w:pPr>
          <w:r w:rsidRPr="003877F0">
            <w:rPr>
              <w:rFonts w:ascii="Times New Roman" w:hAnsi="Times New Roman" w:cs="Times New Roman"/>
              <w:sz w:val="24"/>
              <w:szCs w:val="24"/>
            </w:rPr>
            <w:t xml:space="preserve"> Đukić B. V., Stanković P., </w:t>
          </w:r>
          <w:r w:rsidRPr="003877F0">
            <w:rPr>
              <w:rFonts w:ascii="Times New Roman" w:hAnsi="Times New Roman" w:cs="Times New Roman"/>
              <w:i/>
              <w:sz w:val="24"/>
              <w:szCs w:val="24"/>
            </w:rPr>
            <w:t xml:space="preserve">Klinička anatomija i fiziologija. Otorinolaringologija i maksilofacijalna   hirurgija. </w:t>
          </w:r>
          <w:r w:rsidRPr="003877F0">
            <w:rPr>
              <w:rFonts w:ascii="Times New Roman" w:hAnsi="Times New Roman" w:cs="Times New Roman"/>
              <w:sz w:val="24"/>
              <w:szCs w:val="24"/>
            </w:rPr>
            <w:t>Beograd, Univerzitet u Beogradu, medicinski fakultet, 2004, 142-147</w:t>
          </w:r>
        </w:p>
        <w:p w:rsidR="00C24759" w:rsidRPr="00130764" w:rsidRDefault="00C24759" w:rsidP="00F46B04">
          <w:pPr>
            <w:pStyle w:val="ListParagraph"/>
            <w:numPr>
              <w:ilvl w:val="0"/>
              <w:numId w:val="25"/>
            </w:numPr>
            <w:spacing w:after="0" w:line="480" w:lineRule="auto"/>
            <w:rPr>
              <w:rFonts w:ascii="Times New Roman" w:hAnsi="Times New Roman" w:cs="Times New Roman"/>
              <w:sz w:val="24"/>
              <w:szCs w:val="24"/>
              <w:lang w:val="en-US"/>
            </w:rPr>
          </w:pPr>
          <w:r w:rsidRPr="003877F0">
            <w:rPr>
              <w:rFonts w:ascii="Times New Roman" w:hAnsi="Times New Roman" w:cs="Times New Roman"/>
              <w:sz w:val="24"/>
              <w:szCs w:val="24"/>
            </w:rPr>
            <w:lastRenderedPageBreak/>
            <w:t xml:space="preserve">Il'cheva E.A., Shoakova E. A., Roi T. A. et all., </w:t>
          </w:r>
          <w:r w:rsidRPr="003877F0">
            <w:rPr>
              <w:rFonts w:ascii="Times New Roman" w:hAnsi="Times New Roman" w:cs="Times New Roman"/>
              <w:i/>
              <w:sz w:val="24"/>
              <w:szCs w:val="24"/>
            </w:rPr>
            <w:t xml:space="preserve">Spacific features of laryngeal paresis following surgical treatment of diffuse toxic goiter ( a prospective longitudinal passive study). </w:t>
          </w:r>
          <w:r w:rsidRPr="003877F0">
            <w:rPr>
              <w:rFonts w:ascii="Times New Roman" w:hAnsi="Times New Roman" w:cs="Times New Roman"/>
              <w:sz w:val="24"/>
              <w:szCs w:val="24"/>
            </w:rPr>
            <w:t>Vestn Otorinolaringol 2011</w:t>
          </w:r>
          <w:r w:rsidR="00130764">
            <w:rPr>
              <w:rFonts w:ascii="Times New Roman" w:hAnsi="Times New Roman" w:cs="Times New Roman"/>
              <w:sz w:val="24"/>
              <w:szCs w:val="24"/>
            </w:rPr>
            <w:t xml:space="preserve">. </w:t>
          </w:r>
          <w:r w:rsidR="00130764" w:rsidRPr="00130764">
            <w:rPr>
              <w:rFonts w:ascii="Times New Roman" w:hAnsi="Times New Roman" w:cs="Times New Roman"/>
              <w:sz w:val="24"/>
              <w:szCs w:val="24"/>
              <w:lang w:val="en-US"/>
            </w:rPr>
            <w:t>PMID: 21720295</w:t>
          </w:r>
        </w:p>
        <w:p w:rsidR="00C24759" w:rsidRPr="00130764" w:rsidRDefault="00C24759" w:rsidP="00F46B04">
          <w:pPr>
            <w:pStyle w:val="ListParagraph"/>
            <w:numPr>
              <w:ilvl w:val="0"/>
              <w:numId w:val="25"/>
            </w:numPr>
            <w:spacing w:after="0" w:line="480" w:lineRule="auto"/>
            <w:rPr>
              <w:rFonts w:ascii="Times New Roman" w:hAnsi="Times New Roman" w:cs="Times New Roman"/>
              <w:sz w:val="24"/>
              <w:szCs w:val="24"/>
              <w:lang w:val="en-US"/>
            </w:rPr>
          </w:pPr>
          <w:r w:rsidRPr="003877F0">
            <w:rPr>
              <w:rFonts w:ascii="Times New Roman" w:hAnsi="Times New Roman" w:cs="Times New Roman"/>
              <w:sz w:val="24"/>
              <w:szCs w:val="24"/>
            </w:rPr>
            <w:t xml:space="preserve">Marie J. P., Keghian J., Mendel I. i saradnici; </w:t>
          </w:r>
          <w:r w:rsidRPr="003877F0">
            <w:rPr>
              <w:rFonts w:ascii="Times New Roman" w:hAnsi="Times New Roman" w:cs="Times New Roman"/>
              <w:i/>
              <w:sz w:val="24"/>
              <w:szCs w:val="24"/>
            </w:rPr>
            <w:t xml:space="preserve">Postintubation vocal cord paralysis the viral hypothesis. </w:t>
          </w:r>
          <w:r w:rsidRPr="003877F0">
            <w:rPr>
              <w:rFonts w:ascii="Times New Roman" w:hAnsi="Times New Roman" w:cs="Times New Roman"/>
              <w:sz w:val="24"/>
              <w:szCs w:val="24"/>
            </w:rPr>
            <w:t>Eur Arch otorhinolaryngol, 2001; 258: 285-6</w:t>
          </w:r>
          <w:r w:rsidR="00130764">
            <w:rPr>
              <w:rFonts w:ascii="Times New Roman" w:hAnsi="Times New Roman" w:cs="Times New Roman"/>
              <w:sz w:val="24"/>
              <w:szCs w:val="24"/>
            </w:rPr>
            <w:t xml:space="preserve">. </w:t>
          </w:r>
          <w:r w:rsidR="00130764" w:rsidRPr="00130764">
            <w:rPr>
              <w:rFonts w:ascii="Times New Roman" w:hAnsi="Times New Roman" w:cs="Times New Roman"/>
              <w:sz w:val="24"/>
              <w:szCs w:val="24"/>
              <w:lang w:val="en-US"/>
            </w:rPr>
            <w:t>PMID: 11583467</w:t>
          </w:r>
          <w:r w:rsidR="00130764">
            <w:rPr>
              <w:rFonts w:ascii="Times New Roman" w:hAnsi="Times New Roman" w:cs="Times New Roman"/>
              <w:sz w:val="24"/>
              <w:szCs w:val="24"/>
              <w:lang w:val="en-US"/>
            </w:rPr>
            <w:t xml:space="preserve"> </w:t>
          </w:r>
          <w:r w:rsidR="00130764" w:rsidRPr="00130764">
            <w:rPr>
              <w:rFonts w:ascii="Times New Roman" w:hAnsi="Times New Roman" w:cs="Times New Roman"/>
              <w:sz w:val="24"/>
              <w:szCs w:val="24"/>
              <w:lang w:val="en-US"/>
            </w:rPr>
            <w:t>DOI: </w:t>
          </w:r>
          <w:hyperlink r:id="rId11" w:tgtFrame="_blank" w:history="1">
            <w:r w:rsidR="00130764" w:rsidRPr="00130764">
              <w:rPr>
                <w:rStyle w:val="Hyperlink"/>
                <w:rFonts w:ascii="Times New Roman" w:hAnsi="Times New Roman" w:cs="Times New Roman"/>
                <w:sz w:val="24"/>
                <w:szCs w:val="24"/>
                <w:lang w:val="en-US"/>
              </w:rPr>
              <w:t>10.1007/s004050100357</w:t>
            </w:r>
          </w:hyperlink>
        </w:p>
        <w:p w:rsidR="0041019F" w:rsidRPr="0041019F" w:rsidRDefault="00130764" w:rsidP="00F46B04">
          <w:pPr>
            <w:pStyle w:val="ListParagraph"/>
            <w:numPr>
              <w:ilvl w:val="0"/>
              <w:numId w:val="25"/>
            </w:numPr>
            <w:spacing w:after="0" w:line="480" w:lineRule="auto"/>
            <w:rPr>
              <w:rStyle w:val="Hyperlink"/>
              <w:rFonts w:ascii="Times New Roman" w:hAnsi="Times New Roman" w:cs="Times New Roman"/>
              <w:color w:val="auto"/>
              <w:sz w:val="24"/>
              <w:szCs w:val="24"/>
              <w:u w:val="none"/>
            </w:rPr>
          </w:pPr>
          <w:r w:rsidRPr="00130764">
            <w:rPr>
              <w:rFonts w:ascii="Times New Roman" w:hAnsi="Times New Roman" w:cs="Times New Roman"/>
              <w:sz w:val="24"/>
              <w:szCs w:val="24"/>
            </w:rPr>
            <w:t xml:space="preserve">Taşlı H, Kara U, Gökgöz MC, Aydın Ü. </w:t>
          </w:r>
          <w:r w:rsidRPr="0041019F">
            <w:rPr>
              <w:rFonts w:ascii="Times New Roman" w:hAnsi="Times New Roman" w:cs="Times New Roman"/>
              <w:i/>
              <w:sz w:val="24"/>
              <w:szCs w:val="24"/>
            </w:rPr>
            <w:t>Vocal Cord Paralysis Following Endotracheal Intubation</w:t>
          </w:r>
          <w:r w:rsidRPr="00130764">
            <w:rPr>
              <w:rFonts w:ascii="Times New Roman" w:hAnsi="Times New Roman" w:cs="Times New Roman"/>
              <w:sz w:val="24"/>
              <w:szCs w:val="24"/>
            </w:rPr>
            <w:t>. </w:t>
          </w:r>
          <w:r w:rsidRPr="00130764">
            <w:rPr>
              <w:rFonts w:ascii="Times New Roman" w:hAnsi="Times New Roman" w:cs="Times New Roman"/>
              <w:i/>
              <w:iCs/>
              <w:sz w:val="24"/>
              <w:szCs w:val="24"/>
            </w:rPr>
            <w:t>Turk J Anaesthesiol Reanim</w:t>
          </w:r>
          <w:r w:rsidRPr="00130764">
            <w:rPr>
              <w:rFonts w:ascii="Times New Roman" w:hAnsi="Times New Roman" w:cs="Times New Roman"/>
              <w:sz w:val="24"/>
              <w:szCs w:val="24"/>
            </w:rPr>
            <w:t xml:space="preserve">. 2017;45(5):321-322. </w:t>
          </w:r>
          <w:r w:rsidR="00BB4EE6">
            <w:rPr>
              <w:rFonts w:ascii="Helvetica" w:hAnsi="Helvetica" w:cs="Helvetica"/>
              <w:color w:val="212121"/>
              <w:shd w:val="clear" w:color="auto" w:fill="FFFFFF"/>
            </w:rPr>
            <w:t>doi: </w:t>
          </w:r>
          <w:hyperlink r:id="rId12" w:tgtFrame="_blank" w:history="1">
            <w:r w:rsidR="00BB4EE6">
              <w:rPr>
                <w:rStyle w:val="Hyperlink"/>
                <w:rFonts w:ascii="Helvetica" w:hAnsi="Helvetica" w:cs="Helvetica"/>
                <w:color w:val="376FAA"/>
                <w:shd w:val="clear" w:color="auto" w:fill="FFFFFF"/>
              </w:rPr>
              <w:t>10.5152/TJAR.2017.91297</w:t>
            </w:r>
          </w:hyperlink>
        </w:p>
        <w:p w:rsidR="0041019F" w:rsidRPr="0041019F" w:rsidRDefault="0041019F" w:rsidP="00F46B04">
          <w:pPr>
            <w:pStyle w:val="ListParagraph"/>
            <w:numPr>
              <w:ilvl w:val="0"/>
              <w:numId w:val="25"/>
            </w:numPr>
            <w:spacing w:after="0" w:line="480" w:lineRule="auto"/>
            <w:rPr>
              <w:rStyle w:val="identifier"/>
              <w:rFonts w:ascii="Times New Roman" w:hAnsi="Times New Roman" w:cs="Times New Roman"/>
              <w:sz w:val="24"/>
              <w:szCs w:val="24"/>
            </w:rPr>
          </w:pPr>
          <w:r w:rsidRPr="0041019F">
            <w:rPr>
              <w:rFonts w:ascii="Times New Roman" w:hAnsi="Times New Roman" w:cs="Times New Roman"/>
              <w:sz w:val="24"/>
              <w:szCs w:val="24"/>
            </w:rPr>
            <w:t xml:space="preserve">Jayachandran NV, Agrawal S, Rajasekhar L, Narsimulu G. </w:t>
          </w:r>
          <w:r w:rsidRPr="0041019F">
            <w:rPr>
              <w:rFonts w:ascii="Times New Roman" w:hAnsi="Times New Roman" w:cs="Times New Roman"/>
              <w:i/>
              <w:sz w:val="24"/>
              <w:szCs w:val="24"/>
            </w:rPr>
            <w:t>Bilateral vocal cord palsy as a manifestation of systemic lupus erythematosus</w:t>
          </w:r>
          <w:r w:rsidRPr="0041019F">
            <w:rPr>
              <w:rFonts w:ascii="Times New Roman" w:hAnsi="Times New Roman" w:cs="Times New Roman"/>
              <w:sz w:val="24"/>
              <w:szCs w:val="24"/>
            </w:rPr>
            <w:t>. </w:t>
          </w:r>
          <w:r w:rsidRPr="0041019F">
            <w:rPr>
              <w:rFonts w:ascii="Times New Roman" w:hAnsi="Times New Roman" w:cs="Times New Roman"/>
              <w:i/>
              <w:iCs/>
              <w:sz w:val="24"/>
              <w:szCs w:val="24"/>
            </w:rPr>
            <w:t>Lupus</w:t>
          </w:r>
          <w:r w:rsidRPr="0041019F">
            <w:rPr>
              <w:rFonts w:ascii="Times New Roman" w:hAnsi="Times New Roman" w:cs="Times New Roman"/>
              <w:sz w:val="24"/>
              <w:szCs w:val="24"/>
            </w:rPr>
            <w:t xml:space="preserve">. 2010;19(1):109-110. </w:t>
          </w:r>
          <w:r w:rsidRPr="0041019F">
            <w:rPr>
              <w:rStyle w:val="id-label"/>
              <w:rFonts w:ascii="Segoe UI" w:hAnsi="Segoe UI" w:cs="Segoe UI"/>
              <w:color w:val="212121"/>
            </w:rPr>
            <w:t>DOI: </w:t>
          </w:r>
          <w:hyperlink r:id="rId13" w:tgtFrame="_blank" w:history="1">
            <w:r w:rsidRPr="0041019F">
              <w:rPr>
                <w:rStyle w:val="Hyperlink"/>
                <w:rFonts w:ascii="Segoe UI" w:hAnsi="Segoe UI" w:cs="Segoe UI"/>
                <w:color w:val="0071BC"/>
              </w:rPr>
              <w:t>10.1177/0961203309106762</w:t>
            </w:r>
          </w:hyperlink>
        </w:p>
        <w:p w:rsidR="0041019F" w:rsidRPr="0041019F" w:rsidRDefault="0041019F" w:rsidP="00F46B04">
          <w:pPr>
            <w:pStyle w:val="ListParagraph"/>
            <w:numPr>
              <w:ilvl w:val="0"/>
              <w:numId w:val="25"/>
            </w:numPr>
            <w:spacing w:after="0" w:line="480" w:lineRule="auto"/>
            <w:rPr>
              <w:rFonts w:ascii="Times New Roman" w:hAnsi="Times New Roman" w:cs="Times New Roman"/>
              <w:sz w:val="24"/>
              <w:szCs w:val="24"/>
            </w:rPr>
          </w:pPr>
          <w:r w:rsidRPr="0041019F">
            <w:rPr>
              <w:rFonts w:ascii="Times New Roman" w:hAnsi="Times New Roman" w:cs="Times New Roman"/>
              <w:sz w:val="24"/>
              <w:szCs w:val="24"/>
            </w:rPr>
            <w:t xml:space="preserve">Watanabe K, Hagiya K, Inomata S, Miyabe M, Tanaka M, Mizutani T. </w:t>
          </w:r>
          <w:r w:rsidRPr="0041019F">
            <w:rPr>
              <w:rFonts w:ascii="Times New Roman" w:hAnsi="Times New Roman" w:cs="Times New Roman"/>
              <w:i/>
              <w:sz w:val="24"/>
              <w:szCs w:val="24"/>
            </w:rPr>
            <w:t>Bilateral vocal cord paralysis in a patient with chronic renal failure associated with Alport syndrome</w:t>
          </w:r>
          <w:r w:rsidRPr="0041019F">
            <w:rPr>
              <w:rFonts w:ascii="Times New Roman" w:hAnsi="Times New Roman" w:cs="Times New Roman"/>
              <w:sz w:val="24"/>
              <w:szCs w:val="24"/>
            </w:rPr>
            <w:t>. </w:t>
          </w:r>
          <w:r w:rsidRPr="0041019F">
            <w:rPr>
              <w:rFonts w:ascii="Times New Roman" w:hAnsi="Times New Roman" w:cs="Times New Roman"/>
              <w:i/>
              <w:iCs/>
              <w:sz w:val="24"/>
              <w:szCs w:val="24"/>
            </w:rPr>
            <w:t>J Anesth</w:t>
          </w:r>
          <w:r w:rsidRPr="0041019F">
            <w:rPr>
              <w:rFonts w:ascii="Times New Roman" w:hAnsi="Times New Roman" w:cs="Times New Roman"/>
              <w:sz w:val="24"/>
              <w:szCs w:val="24"/>
            </w:rPr>
            <w:t xml:space="preserve">. 2010;24(3):472-475. </w:t>
          </w:r>
          <w:r w:rsidRPr="0041019F">
            <w:rPr>
              <w:rStyle w:val="id-label"/>
              <w:rFonts w:ascii="Segoe UI" w:hAnsi="Segoe UI" w:cs="Segoe UI"/>
              <w:color w:val="212121"/>
            </w:rPr>
            <w:t>DOI: </w:t>
          </w:r>
          <w:hyperlink r:id="rId14" w:tgtFrame="_blank" w:history="1">
            <w:r w:rsidRPr="0041019F">
              <w:rPr>
                <w:rStyle w:val="Hyperlink"/>
                <w:rFonts w:ascii="Segoe UI" w:hAnsi="Segoe UI" w:cs="Segoe UI"/>
                <w:color w:val="0071BC"/>
              </w:rPr>
              <w:t>10.1007/s00540-010-0903-8</w:t>
            </w:r>
          </w:hyperlink>
        </w:p>
        <w:p w:rsidR="00C24759" w:rsidRPr="003877F0" w:rsidRDefault="00C24759" w:rsidP="00F46B04">
          <w:pPr>
            <w:pStyle w:val="ListParagraph"/>
            <w:numPr>
              <w:ilvl w:val="0"/>
              <w:numId w:val="25"/>
            </w:numPr>
            <w:spacing w:after="0" w:line="480" w:lineRule="auto"/>
            <w:rPr>
              <w:rFonts w:ascii="Times New Roman" w:hAnsi="Times New Roman" w:cs="Times New Roman"/>
              <w:sz w:val="24"/>
              <w:szCs w:val="24"/>
            </w:rPr>
          </w:pPr>
          <w:r w:rsidRPr="003877F0">
            <w:rPr>
              <w:rFonts w:ascii="Times New Roman" w:hAnsi="Times New Roman" w:cs="Times New Roman"/>
              <w:sz w:val="24"/>
              <w:szCs w:val="24"/>
            </w:rPr>
            <w:t xml:space="preserve">Jin Y. H. i saradnici; </w:t>
          </w:r>
          <w:r w:rsidRPr="003877F0">
            <w:rPr>
              <w:rFonts w:ascii="Times New Roman" w:hAnsi="Times New Roman" w:cs="Times New Roman"/>
              <w:i/>
              <w:sz w:val="24"/>
              <w:szCs w:val="24"/>
            </w:rPr>
            <w:t xml:space="preserve">Isolated bilateral vocal cord paralysis with intermediate syndrome after organophosphate poisoning. </w:t>
          </w:r>
          <w:r w:rsidRPr="003877F0">
            <w:rPr>
              <w:rFonts w:ascii="Times New Roman" w:hAnsi="Times New Roman" w:cs="Times New Roman"/>
              <w:sz w:val="24"/>
              <w:szCs w:val="24"/>
            </w:rPr>
            <w:t>Clin Toxicol Philadelphia, 2008; 46(5): 482-4</w:t>
          </w:r>
        </w:p>
        <w:p w:rsidR="00C24759" w:rsidRPr="003877F0" w:rsidRDefault="00C24759" w:rsidP="00F46B04">
          <w:pPr>
            <w:pStyle w:val="ListParagraph"/>
            <w:numPr>
              <w:ilvl w:val="0"/>
              <w:numId w:val="25"/>
            </w:numPr>
            <w:spacing w:after="0" w:line="480" w:lineRule="auto"/>
            <w:rPr>
              <w:rFonts w:ascii="Times New Roman" w:hAnsi="Times New Roman" w:cs="Times New Roman"/>
              <w:sz w:val="24"/>
              <w:szCs w:val="24"/>
            </w:rPr>
          </w:pPr>
          <w:r w:rsidRPr="003877F0">
            <w:rPr>
              <w:rFonts w:ascii="Times New Roman" w:hAnsi="Times New Roman" w:cs="Times New Roman"/>
              <w:sz w:val="24"/>
              <w:szCs w:val="24"/>
            </w:rPr>
            <w:t xml:space="preserve">Green R. i saradnici; </w:t>
          </w:r>
          <w:r w:rsidRPr="003877F0">
            <w:rPr>
              <w:rFonts w:ascii="Times New Roman" w:hAnsi="Times New Roman" w:cs="Times New Roman"/>
              <w:i/>
              <w:sz w:val="24"/>
              <w:szCs w:val="24"/>
            </w:rPr>
            <w:t xml:space="preserve">Vitamin B12 deficiency: an unusual cause of vocal fold palsy. </w:t>
          </w:r>
          <w:r w:rsidRPr="003877F0">
            <w:rPr>
              <w:rFonts w:ascii="Times New Roman" w:hAnsi="Times New Roman" w:cs="Times New Roman"/>
              <w:sz w:val="24"/>
              <w:szCs w:val="24"/>
            </w:rPr>
            <w:t>J Laryngol Otol. 2011; 125 (12): 1309-11</w:t>
          </w:r>
        </w:p>
        <w:p w:rsidR="00BC0A6E" w:rsidRPr="00BC0A6E" w:rsidRDefault="00BB4EE6" w:rsidP="00F46B04">
          <w:pPr>
            <w:pStyle w:val="ListParagraph"/>
            <w:numPr>
              <w:ilvl w:val="0"/>
              <w:numId w:val="25"/>
            </w:numPr>
            <w:spacing w:after="0" w:line="480" w:lineRule="auto"/>
            <w:rPr>
              <w:rStyle w:val="Hyperlink"/>
              <w:rFonts w:ascii="Times New Roman" w:hAnsi="Times New Roman" w:cs="Times New Roman"/>
              <w:color w:val="auto"/>
              <w:sz w:val="24"/>
              <w:szCs w:val="24"/>
              <w:u w:val="none"/>
            </w:rPr>
          </w:pPr>
          <w:r w:rsidRPr="00BB4EE6">
            <w:rPr>
              <w:rFonts w:ascii="Times New Roman" w:hAnsi="Times New Roman" w:cs="Times New Roman"/>
              <w:sz w:val="24"/>
              <w:szCs w:val="24"/>
            </w:rPr>
            <w:t xml:space="preserve">Di Bartolomeo S, Alunno A, Carubbi F. </w:t>
          </w:r>
          <w:r w:rsidRPr="00BC0A6E">
            <w:rPr>
              <w:rFonts w:ascii="Times New Roman" w:hAnsi="Times New Roman" w:cs="Times New Roman"/>
              <w:i/>
              <w:sz w:val="24"/>
              <w:szCs w:val="24"/>
            </w:rPr>
            <w:t>Respiratory Manifestations in Systemic Lupus Erythematosus. Pharmaceuticals (Basel).</w:t>
          </w:r>
          <w:r w:rsidRPr="00BB4EE6">
            <w:rPr>
              <w:rFonts w:ascii="Times New Roman" w:hAnsi="Times New Roman" w:cs="Times New Roman"/>
              <w:sz w:val="24"/>
              <w:szCs w:val="24"/>
            </w:rPr>
            <w:t xml:space="preserve"> 2021;14(3):276. 2021 Mar 18. </w:t>
          </w:r>
          <w:r>
            <w:rPr>
              <w:rFonts w:ascii="Helvetica" w:hAnsi="Helvetica" w:cs="Helvetica"/>
              <w:color w:val="212121"/>
              <w:shd w:val="clear" w:color="auto" w:fill="FFFFFF"/>
            </w:rPr>
            <w:t>PMID: </w:t>
          </w:r>
          <w:hyperlink r:id="rId15" w:history="1">
            <w:r>
              <w:rPr>
                <w:rStyle w:val="Hyperlink"/>
                <w:rFonts w:ascii="Helvetica" w:hAnsi="Helvetica" w:cs="Helvetica"/>
                <w:color w:val="205493"/>
                <w:shd w:val="clear" w:color="auto" w:fill="FFFFFF"/>
              </w:rPr>
              <w:t>33803847</w:t>
            </w:r>
          </w:hyperlink>
          <w:r>
            <w:t xml:space="preserve">, </w:t>
          </w:r>
          <w:r w:rsidRPr="00BB4EE6">
            <w:rPr>
              <w:rFonts w:ascii="Helvetica" w:hAnsi="Helvetica" w:cs="Helvetica"/>
              <w:color w:val="212121"/>
              <w:shd w:val="clear" w:color="auto" w:fill="FFFFFF"/>
            </w:rPr>
            <w:t>doi: </w:t>
          </w:r>
          <w:hyperlink r:id="rId16" w:history="1">
            <w:r w:rsidRPr="00BB4EE6">
              <w:rPr>
                <w:rStyle w:val="Hyperlink"/>
                <w:rFonts w:ascii="Helvetica" w:hAnsi="Helvetica" w:cs="Helvetica"/>
                <w:shd w:val="clear" w:color="auto" w:fill="FFFFFF"/>
              </w:rPr>
              <w:t>10.3390/ph14030276</w:t>
            </w:r>
          </w:hyperlink>
        </w:p>
        <w:p w:rsidR="00BC0A6E" w:rsidRPr="00BC0A6E" w:rsidRDefault="00C24759" w:rsidP="00F46B04">
          <w:pPr>
            <w:pStyle w:val="ListParagraph"/>
            <w:numPr>
              <w:ilvl w:val="0"/>
              <w:numId w:val="25"/>
            </w:numPr>
            <w:spacing w:after="0" w:line="480" w:lineRule="auto"/>
            <w:rPr>
              <w:rStyle w:val="identifier"/>
              <w:rFonts w:ascii="Times New Roman" w:hAnsi="Times New Roman" w:cs="Times New Roman"/>
              <w:sz w:val="24"/>
              <w:szCs w:val="24"/>
            </w:rPr>
          </w:pPr>
          <w:r w:rsidRPr="00BC0A6E">
            <w:rPr>
              <w:rFonts w:ascii="Times New Roman" w:hAnsi="Times New Roman" w:cs="Times New Roman"/>
              <w:sz w:val="24"/>
              <w:szCs w:val="24"/>
            </w:rPr>
            <w:lastRenderedPageBreak/>
            <w:t xml:space="preserve">Seyed Toutounchi SJ, Eydi M, Golzari SE, Ghaffari MR, Parvizian N. </w:t>
          </w:r>
          <w:r w:rsidRPr="00BC0A6E">
            <w:rPr>
              <w:rFonts w:ascii="Times New Roman" w:hAnsi="Times New Roman" w:cs="Times New Roman"/>
              <w:i/>
              <w:sz w:val="24"/>
              <w:szCs w:val="24"/>
            </w:rPr>
            <w:t>Vocal cord paralysis and its etiologies: a prospective study.</w:t>
          </w:r>
          <w:r w:rsidRPr="00BC0A6E">
            <w:rPr>
              <w:rFonts w:ascii="Times New Roman" w:hAnsi="Times New Roman" w:cs="Times New Roman"/>
              <w:sz w:val="24"/>
              <w:szCs w:val="24"/>
            </w:rPr>
            <w:t xml:space="preserve"> J Cardiovasc Thorac Res. 2014;6(1):47-50. </w:t>
          </w:r>
          <w:r w:rsidR="00BC0A6E" w:rsidRPr="00BC0A6E">
            <w:rPr>
              <w:rStyle w:val="id-label"/>
              <w:rFonts w:ascii="Segoe UI" w:hAnsi="Segoe UI" w:cs="Segoe UI"/>
              <w:color w:val="212121"/>
            </w:rPr>
            <w:t>PMID: </w:t>
          </w:r>
          <w:r w:rsidR="00BC0A6E" w:rsidRPr="00BC0A6E">
            <w:rPr>
              <w:rStyle w:val="Strong"/>
              <w:rFonts w:ascii="Segoe UI" w:hAnsi="Segoe UI" w:cs="Segoe UI"/>
              <w:b w:val="0"/>
              <w:bCs w:val="0"/>
              <w:color w:val="212121"/>
            </w:rPr>
            <w:t>24753832</w:t>
          </w:r>
          <w:r w:rsidR="00BC0A6E" w:rsidRPr="00BC0A6E">
            <w:rPr>
              <w:rFonts w:ascii="Segoe UI" w:hAnsi="Segoe UI" w:cs="Segoe UI"/>
              <w:color w:val="212121"/>
              <w:lang w:val="en-US"/>
            </w:rPr>
            <w:t xml:space="preserve">. </w:t>
          </w:r>
          <w:r w:rsidR="00BC0A6E" w:rsidRPr="00BC0A6E">
            <w:rPr>
              <w:rStyle w:val="id-label"/>
              <w:rFonts w:ascii="Segoe UI" w:hAnsi="Segoe UI" w:cs="Segoe UI"/>
              <w:color w:val="212121"/>
            </w:rPr>
            <w:t>PMCID: </w:t>
          </w:r>
          <w:hyperlink r:id="rId17" w:tgtFrame="_blank" w:history="1">
            <w:r w:rsidR="00BC0A6E" w:rsidRPr="00BC0A6E">
              <w:rPr>
                <w:rStyle w:val="Hyperlink"/>
                <w:rFonts w:ascii="Segoe UI" w:hAnsi="Segoe UI" w:cs="Segoe UI"/>
                <w:color w:val="0071BC"/>
              </w:rPr>
              <w:t>PMC3992732</w:t>
            </w:r>
          </w:hyperlink>
          <w:r w:rsidR="00BC0A6E" w:rsidRPr="00BC0A6E">
            <w:rPr>
              <w:rFonts w:ascii="Segoe UI" w:hAnsi="Segoe UI" w:cs="Segoe UI"/>
              <w:color w:val="212121"/>
            </w:rPr>
            <w:t xml:space="preserve">. </w:t>
          </w:r>
          <w:r w:rsidR="00BC0A6E" w:rsidRPr="00BC0A6E">
            <w:rPr>
              <w:rStyle w:val="id-label"/>
              <w:rFonts w:ascii="Segoe UI" w:hAnsi="Segoe UI" w:cs="Segoe UI"/>
              <w:color w:val="212121"/>
            </w:rPr>
            <w:t>DOI: </w:t>
          </w:r>
          <w:hyperlink r:id="rId18" w:tgtFrame="_blank" w:history="1">
            <w:r w:rsidR="00BC0A6E" w:rsidRPr="00BC0A6E">
              <w:rPr>
                <w:rStyle w:val="Hyperlink"/>
                <w:rFonts w:ascii="Segoe UI" w:hAnsi="Segoe UI" w:cs="Segoe UI"/>
                <w:color w:val="0071BC"/>
              </w:rPr>
              <w:t>10.5681/jcvtr.2014.009</w:t>
            </w:r>
          </w:hyperlink>
        </w:p>
        <w:p w:rsidR="000073B0" w:rsidRPr="000073B0" w:rsidRDefault="00BC0A6E" w:rsidP="00F46B04">
          <w:pPr>
            <w:pStyle w:val="ListParagraph"/>
            <w:numPr>
              <w:ilvl w:val="0"/>
              <w:numId w:val="25"/>
            </w:numPr>
            <w:spacing w:after="0" w:line="480" w:lineRule="auto"/>
            <w:rPr>
              <w:rStyle w:val="identifier"/>
              <w:rFonts w:ascii="Times New Roman" w:hAnsi="Times New Roman" w:cs="Times New Roman"/>
              <w:sz w:val="24"/>
              <w:szCs w:val="24"/>
            </w:rPr>
          </w:pPr>
          <w:r w:rsidRPr="00BC0A6E">
            <w:rPr>
              <w:rFonts w:ascii="Segoe UI" w:hAnsi="Segoe UI" w:cs="Segoe UI"/>
              <w:color w:val="212121"/>
              <w:shd w:val="clear" w:color="auto" w:fill="FFFFFF"/>
            </w:rPr>
            <w:t xml:space="preserve">Ruggiero R, Docimo G, Bosco A, et al. </w:t>
          </w:r>
          <w:r w:rsidRPr="00BC0A6E">
            <w:rPr>
              <w:rFonts w:ascii="Segoe UI" w:hAnsi="Segoe UI" w:cs="Segoe UI"/>
              <w:i/>
              <w:color w:val="212121"/>
              <w:shd w:val="clear" w:color="auto" w:fill="FFFFFF"/>
            </w:rPr>
            <w:t>Update on sutureless thyroidectomy</w:t>
          </w:r>
          <w:r w:rsidRPr="00BC0A6E">
            <w:rPr>
              <w:rFonts w:ascii="Segoe UI" w:hAnsi="Segoe UI" w:cs="Segoe UI"/>
              <w:color w:val="212121"/>
              <w:shd w:val="clear" w:color="auto" w:fill="FFFFFF"/>
            </w:rPr>
            <w:t>. </w:t>
          </w:r>
          <w:r w:rsidRPr="00BC0A6E">
            <w:rPr>
              <w:rFonts w:ascii="Segoe UI" w:hAnsi="Segoe UI" w:cs="Segoe UI"/>
              <w:i/>
              <w:iCs/>
              <w:color w:val="212121"/>
              <w:shd w:val="clear" w:color="auto" w:fill="FFFFFF"/>
            </w:rPr>
            <w:t>G Chir</w:t>
          </w:r>
          <w:r w:rsidRPr="00BC0A6E">
            <w:rPr>
              <w:rFonts w:ascii="Segoe UI" w:hAnsi="Segoe UI" w:cs="Segoe UI"/>
              <w:color w:val="212121"/>
              <w:shd w:val="clear" w:color="auto" w:fill="FFFFFF"/>
            </w:rPr>
            <w:t xml:space="preserve">. 2018;39(1):45-50. </w:t>
          </w:r>
          <w:r w:rsidRPr="00BC0A6E">
            <w:rPr>
              <w:rStyle w:val="id-label"/>
              <w:rFonts w:ascii="Segoe UI" w:hAnsi="Segoe UI" w:cs="Segoe UI"/>
              <w:color w:val="212121"/>
            </w:rPr>
            <w:t>PMID: </w:t>
          </w:r>
          <w:r w:rsidRPr="00BC0A6E">
            <w:rPr>
              <w:rStyle w:val="Strong"/>
              <w:rFonts w:ascii="Segoe UI" w:hAnsi="Segoe UI" w:cs="Segoe UI"/>
              <w:b w:val="0"/>
              <w:bCs w:val="0"/>
              <w:color w:val="212121"/>
            </w:rPr>
            <w:t>29549681</w:t>
          </w:r>
          <w:r w:rsidRPr="00BC0A6E">
            <w:rPr>
              <w:rFonts w:ascii="Segoe UI" w:hAnsi="Segoe UI" w:cs="Segoe UI"/>
              <w:color w:val="212121"/>
              <w:lang w:val="en-US"/>
            </w:rPr>
            <w:t xml:space="preserve">. </w:t>
          </w:r>
          <w:r w:rsidRPr="00BC0A6E">
            <w:rPr>
              <w:rStyle w:val="id-label"/>
              <w:rFonts w:ascii="Segoe UI" w:hAnsi="Segoe UI" w:cs="Segoe UI"/>
              <w:color w:val="212121"/>
            </w:rPr>
            <w:t>PMCID: </w:t>
          </w:r>
          <w:hyperlink r:id="rId19" w:tgtFrame="_blank" w:history="1">
            <w:r w:rsidRPr="00BC0A6E">
              <w:rPr>
                <w:rStyle w:val="Hyperlink"/>
                <w:rFonts w:ascii="Segoe UI" w:hAnsi="Segoe UI" w:cs="Segoe UI"/>
                <w:color w:val="0071BC"/>
              </w:rPr>
              <w:t>PMC5902144</w:t>
            </w:r>
          </w:hyperlink>
          <w:r w:rsidR="000073B0">
            <w:rPr>
              <w:rFonts w:ascii="Segoe UI" w:hAnsi="Segoe UI" w:cs="Segoe UI"/>
              <w:color w:val="212121"/>
            </w:rPr>
            <w:t xml:space="preserve">. </w:t>
          </w:r>
          <w:r w:rsidRPr="00BC0A6E">
            <w:rPr>
              <w:rStyle w:val="id-label"/>
              <w:rFonts w:ascii="Segoe UI" w:hAnsi="Segoe UI" w:cs="Segoe UI"/>
              <w:color w:val="212121"/>
            </w:rPr>
            <w:t>DOI: </w:t>
          </w:r>
          <w:hyperlink r:id="rId20" w:tgtFrame="_blank" w:history="1">
            <w:r w:rsidRPr="00BC0A6E">
              <w:rPr>
                <w:rStyle w:val="Hyperlink"/>
                <w:rFonts w:ascii="Segoe UI" w:hAnsi="Segoe UI" w:cs="Segoe UI"/>
                <w:color w:val="0071BC"/>
              </w:rPr>
              <w:t>10.11138/gchir/2018.39.1.045</w:t>
            </w:r>
          </w:hyperlink>
        </w:p>
        <w:p w:rsidR="000073B0" w:rsidRPr="000073B0" w:rsidRDefault="00894239" w:rsidP="00F46B04">
          <w:pPr>
            <w:pStyle w:val="ListParagraph"/>
            <w:numPr>
              <w:ilvl w:val="0"/>
              <w:numId w:val="25"/>
            </w:numPr>
            <w:spacing w:after="0" w:line="480" w:lineRule="auto"/>
            <w:rPr>
              <w:rStyle w:val="identifier"/>
              <w:rFonts w:ascii="Times New Roman" w:hAnsi="Times New Roman" w:cs="Times New Roman"/>
              <w:sz w:val="24"/>
              <w:szCs w:val="24"/>
            </w:rPr>
          </w:pPr>
          <w:r>
            <w:rPr>
              <w:rFonts w:ascii="Times New Roman" w:hAnsi="Times New Roman" w:cs="Times New Roman"/>
              <w:sz w:val="24"/>
              <w:szCs w:val="24"/>
            </w:rPr>
            <w:t xml:space="preserve"> </w:t>
          </w:r>
          <w:r w:rsidR="000073B0" w:rsidRPr="000073B0">
            <w:rPr>
              <w:rFonts w:ascii="Times New Roman" w:hAnsi="Times New Roman" w:cs="Times New Roman"/>
              <w:sz w:val="24"/>
              <w:szCs w:val="24"/>
            </w:rPr>
            <w:t>, Kanotra SP</w:t>
          </w:r>
          <w:r w:rsidR="000073B0" w:rsidRPr="000073B0">
            <w:rPr>
              <w:rFonts w:ascii="Times New Roman" w:hAnsi="Times New Roman" w:cs="Times New Roman"/>
              <w:i/>
              <w:sz w:val="24"/>
              <w:szCs w:val="24"/>
            </w:rPr>
            <w:t>. Surgical Management of Bilateral Vocal Fold Paralysis in Children: A Systematic Review and Meta-analysis</w:t>
          </w:r>
          <w:r w:rsidR="000073B0" w:rsidRPr="000073B0">
            <w:rPr>
              <w:rFonts w:ascii="Times New Roman" w:hAnsi="Times New Roman" w:cs="Times New Roman"/>
              <w:sz w:val="24"/>
              <w:szCs w:val="24"/>
            </w:rPr>
            <w:t>. </w:t>
          </w:r>
          <w:r w:rsidR="000073B0" w:rsidRPr="000073B0">
            <w:rPr>
              <w:rFonts w:ascii="Times New Roman" w:hAnsi="Times New Roman" w:cs="Times New Roman"/>
              <w:i/>
              <w:iCs/>
              <w:sz w:val="24"/>
              <w:szCs w:val="24"/>
            </w:rPr>
            <w:t>Otolaryngol Head Neck Surg</w:t>
          </w:r>
          <w:r w:rsidR="000073B0" w:rsidRPr="000073B0">
            <w:rPr>
              <w:rFonts w:ascii="Times New Roman" w:hAnsi="Times New Roman" w:cs="Times New Roman"/>
              <w:sz w:val="24"/>
              <w:szCs w:val="24"/>
            </w:rPr>
            <w:t xml:space="preserve">. 2021;164(2):255-263. </w:t>
          </w:r>
          <w:r w:rsidR="000073B0" w:rsidRPr="000073B0">
            <w:rPr>
              <w:rStyle w:val="id-label"/>
              <w:rFonts w:ascii="Segoe UI" w:hAnsi="Segoe UI" w:cs="Segoe UI"/>
              <w:color w:val="212121"/>
            </w:rPr>
            <w:t>PMID: </w:t>
          </w:r>
          <w:r w:rsidR="000073B0" w:rsidRPr="000073B0">
            <w:rPr>
              <w:rStyle w:val="Strong"/>
              <w:rFonts w:ascii="Segoe UI" w:hAnsi="Segoe UI" w:cs="Segoe UI"/>
              <w:b w:val="0"/>
              <w:bCs w:val="0"/>
              <w:color w:val="212121"/>
            </w:rPr>
            <w:t>32689890</w:t>
          </w:r>
          <w:r w:rsidR="000073B0" w:rsidRPr="000073B0">
            <w:rPr>
              <w:rFonts w:ascii="Segoe UI" w:hAnsi="Segoe UI" w:cs="Segoe UI"/>
              <w:color w:val="212121"/>
              <w:lang w:val="en-US"/>
            </w:rPr>
            <w:t xml:space="preserve">. </w:t>
          </w:r>
          <w:r w:rsidR="000073B0" w:rsidRPr="000073B0">
            <w:rPr>
              <w:rStyle w:val="id-label"/>
              <w:rFonts w:ascii="Segoe UI" w:hAnsi="Segoe UI" w:cs="Segoe UI"/>
              <w:color w:val="212121"/>
            </w:rPr>
            <w:t>DOI: </w:t>
          </w:r>
          <w:hyperlink r:id="rId21" w:tgtFrame="_blank" w:history="1">
            <w:r w:rsidR="000073B0" w:rsidRPr="000073B0">
              <w:rPr>
                <w:rStyle w:val="Hyperlink"/>
                <w:rFonts w:ascii="Segoe UI" w:hAnsi="Segoe UI" w:cs="Segoe UI"/>
                <w:color w:val="0071BC"/>
              </w:rPr>
              <w:t>10.1177/0194599820944892</w:t>
            </w:r>
          </w:hyperlink>
        </w:p>
        <w:p w:rsidR="000073B0" w:rsidRPr="000073B0" w:rsidRDefault="000073B0" w:rsidP="00F46B04">
          <w:pPr>
            <w:pStyle w:val="ListParagraph"/>
            <w:numPr>
              <w:ilvl w:val="0"/>
              <w:numId w:val="25"/>
            </w:numPr>
            <w:spacing w:after="0" w:line="480" w:lineRule="auto"/>
            <w:rPr>
              <w:rStyle w:val="identifier"/>
              <w:rFonts w:ascii="Times New Roman" w:hAnsi="Times New Roman" w:cs="Times New Roman"/>
              <w:sz w:val="24"/>
              <w:szCs w:val="24"/>
            </w:rPr>
          </w:pPr>
          <w:r w:rsidRPr="000073B0">
            <w:rPr>
              <w:rFonts w:ascii="Times New Roman" w:hAnsi="Times New Roman" w:cs="Times New Roman"/>
              <w:sz w:val="24"/>
              <w:szCs w:val="24"/>
            </w:rPr>
            <w:t>Abdelhamid MA, El-Badrawy A, Eldin OA, Hady AFA, Yousef A</w:t>
          </w:r>
          <w:r w:rsidRPr="000073B0">
            <w:rPr>
              <w:rFonts w:ascii="Times New Roman" w:hAnsi="Times New Roman" w:cs="Times New Roman"/>
              <w:i/>
              <w:sz w:val="24"/>
              <w:szCs w:val="24"/>
            </w:rPr>
            <w:t>. A comparative study of laser posterior cordotomy and combined laser posterior cordotomy with suture lateralization in bilateral vocal cords abductor paralysis.</w:t>
          </w:r>
          <w:r w:rsidRPr="000073B0">
            <w:rPr>
              <w:rFonts w:ascii="Times New Roman" w:hAnsi="Times New Roman" w:cs="Times New Roman"/>
              <w:sz w:val="24"/>
              <w:szCs w:val="24"/>
            </w:rPr>
            <w:t> </w:t>
          </w:r>
          <w:r w:rsidRPr="000073B0">
            <w:rPr>
              <w:rFonts w:ascii="Times New Roman" w:hAnsi="Times New Roman" w:cs="Times New Roman"/>
              <w:i/>
              <w:iCs/>
              <w:sz w:val="24"/>
              <w:szCs w:val="24"/>
            </w:rPr>
            <w:t>Am J Otolaryngol</w:t>
          </w:r>
          <w:r w:rsidRPr="000073B0">
            <w:rPr>
              <w:rFonts w:ascii="Times New Roman" w:hAnsi="Times New Roman" w:cs="Times New Roman"/>
              <w:sz w:val="24"/>
              <w:szCs w:val="24"/>
            </w:rPr>
            <w:t xml:space="preserve">. 2022;43(2):103334. </w:t>
          </w:r>
          <w:r w:rsidRPr="000073B0">
            <w:rPr>
              <w:rStyle w:val="id-label"/>
              <w:rFonts w:ascii="Segoe UI" w:hAnsi="Segoe UI" w:cs="Segoe UI"/>
              <w:color w:val="212121"/>
            </w:rPr>
            <w:t>PMID: </w:t>
          </w:r>
          <w:r w:rsidRPr="000073B0">
            <w:rPr>
              <w:rStyle w:val="Strong"/>
              <w:rFonts w:ascii="Segoe UI" w:hAnsi="Segoe UI" w:cs="Segoe UI"/>
              <w:b w:val="0"/>
              <w:bCs w:val="0"/>
              <w:color w:val="212121"/>
            </w:rPr>
            <w:t>34954585</w:t>
          </w:r>
          <w:r w:rsidRPr="000073B0">
            <w:rPr>
              <w:rFonts w:ascii="Segoe UI" w:hAnsi="Segoe UI" w:cs="Segoe UI"/>
              <w:color w:val="212121"/>
              <w:lang w:val="en-US"/>
            </w:rPr>
            <w:t xml:space="preserve">. </w:t>
          </w:r>
          <w:r w:rsidRPr="000073B0">
            <w:rPr>
              <w:rStyle w:val="id-label"/>
              <w:rFonts w:ascii="Segoe UI" w:hAnsi="Segoe UI" w:cs="Segoe UI"/>
              <w:color w:val="212121"/>
            </w:rPr>
            <w:t>DOI: </w:t>
          </w:r>
          <w:hyperlink r:id="rId22" w:tgtFrame="_blank" w:history="1">
            <w:r w:rsidRPr="000073B0">
              <w:rPr>
                <w:rStyle w:val="Hyperlink"/>
                <w:rFonts w:ascii="Segoe UI" w:hAnsi="Segoe UI" w:cs="Segoe UI"/>
                <w:color w:val="0071BC"/>
              </w:rPr>
              <w:t>10.1016/j.amjoto.2021.103334</w:t>
            </w:r>
          </w:hyperlink>
        </w:p>
        <w:p w:rsidR="000073B0" w:rsidRPr="000073B0" w:rsidRDefault="000073B0" w:rsidP="00F46B04">
          <w:pPr>
            <w:pStyle w:val="ListParagraph"/>
            <w:numPr>
              <w:ilvl w:val="0"/>
              <w:numId w:val="25"/>
            </w:numPr>
            <w:spacing w:after="0" w:line="480" w:lineRule="auto"/>
            <w:rPr>
              <w:rFonts w:ascii="Times New Roman" w:hAnsi="Times New Roman" w:cs="Times New Roman"/>
              <w:sz w:val="24"/>
              <w:szCs w:val="24"/>
            </w:rPr>
          </w:pPr>
          <w:r w:rsidRPr="000073B0">
            <w:rPr>
              <w:rFonts w:ascii="Times New Roman" w:hAnsi="Times New Roman" w:cs="Times New Roman"/>
              <w:sz w:val="24"/>
              <w:szCs w:val="24"/>
            </w:rPr>
            <w:t>Pardal-Refoyo JL, Ochoa-Sangrador C</w:t>
          </w:r>
          <w:r w:rsidRPr="000073B0">
            <w:rPr>
              <w:rFonts w:ascii="Times New Roman" w:hAnsi="Times New Roman" w:cs="Times New Roman"/>
              <w:i/>
              <w:sz w:val="24"/>
              <w:szCs w:val="24"/>
            </w:rPr>
            <w:t>. Bilateral recurrent laryngeal nerve injury in total thyroidectomy with or without intraoperative neuromonitoring. Systematic review and meta-analysis.</w:t>
          </w:r>
          <w:r w:rsidRPr="000073B0">
            <w:rPr>
              <w:rFonts w:ascii="Times New Roman" w:hAnsi="Times New Roman" w:cs="Times New Roman"/>
              <w:sz w:val="24"/>
              <w:szCs w:val="24"/>
            </w:rPr>
            <w:t> </w:t>
          </w:r>
          <w:r w:rsidRPr="000073B0">
            <w:rPr>
              <w:rFonts w:ascii="Times New Roman" w:hAnsi="Times New Roman" w:cs="Times New Roman"/>
              <w:i/>
              <w:iCs/>
              <w:sz w:val="24"/>
              <w:szCs w:val="24"/>
            </w:rPr>
            <w:t>Acta Otorrinolaringol Esp</w:t>
          </w:r>
          <w:r w:rsidRPr="000073B0">
            <w:rPr>
              <w:rFonts w:ascii="Times New Roman" w:hAnsi="Times New Roman" w:cs="Times New Roman"/>
              <w:sz w:val="24"/>
              <w:szCs w:val="24"/>
            </w:rPr>
            <w:t xml:space="preserve">. 2016;67(2):66-74. </w:t>
          </w:r>
          <w:r w:rsidRPr="000073B0">
            <w:rPr>
              <w:rStyle w:val="id-label"/>
              <w:rFonts w:ascii="Segoe UI" w:hAnsi="Segoe UI" w:cs="Segoe UI"/>
              <w:color w:val="212121"/>
            </w:rPr>
            <w:t>PMID: </w:t>
          </w:r>
          <w:r w:rsidRPr="000073B0">
            <w:rPr>
              <w:rStyle w:val="Strong"/>
              <w:rFonts w:ascii="Segoe UI" w:hAnsi="Segoe UI" w:cs="Segoe UI"/>
              <w:b w:val="0"/>
              <w:bCs w:val="0"/>
              <w:color w:val="212121"/>
            </w:rPr>
            <w:t>26025358</w:t>
          </w:r>
          <w:r w:rsidRPr="000073B0">
            <w:rPr>
              <w:rFonts w:ascii="Segoe UI" w:hAnsi="Segoe UI" w:cs="Segoe UI"/>
              <w:color w:val="212121"/>
              <w:lang w:val="en-US"/>
            </w:rPr>
            <w:t xml:space="preserve">. </w:t>
          </w:r>
          <w:r w:rsidRPr="000073B0">
            <w:rPr>
              <w:rStyle w:val="id-label"/>
              <w:rFonts w:ascii="Segoe UI" w:hAnsi="Segoe UI" w:cs="Segoe UI"/>
              <w:color w:val="212121"/>
            </w:rPr>
            <w:t>DOI: </w:t>
          </w:r>
          <w:hyperlink r:id="rId23" w:tgtFrame="_blank" w:history="1">
            <w:r w:rsidRPr="000073B0">
              <w:rPr>
                <w:rStyle w:val="Hyperlink"/>
                <w:rFonts w:ascii="Segoe UI" w:hAnsi="Segoe UI" w:cs="Segoe UI"/>
                <w:color w:val="0071BC"/>
              </w:rPr>
              <w:t>10.1016/j.otorri.2015.02.001</w:t>
            </w:r>
          </w:hyperlink>
        </w:p>
        <w:p w:rsidR="000073B0" w:rsidRDefault="000073B0" w:rsidP="00F46B04">
          <w:pPr>
            <w:pStyle w:val="ListParagraph"/>
            <w:numPr>
              <w:ilvl w:val="0"/>
              <w:numId w:val="25"/>
            </w:numPr>
            <w:spacing w:after="0" w:line="480" w:lineRule="auto"/>
            <w:rPr>
              <w:rFonts w:ascii="Times New Roman" w:hAnsi="Times New Roman" w:cs="Times New Roman"/>
              <w:sz w:val="24"/>
              <w:szCs w:val="24"/>
            </w:rPr>
          </w:pPr>
          <w:r w:rsidRPr="000073B0">
            <w:rPr>
              <w:rFonts w:ascii="Times New Roman" w:hAnsi="Times New Roman" w:cs="Times New Roman"/>
              <w:sz w:val="24"/>
              <w:szCs w:val="24"/>
            </w:rPr>
            <w:t>Biswas SS, Hossain MM, Mahbub S, Razib SF</w:t>
          </w:r>
          <w:r w:rsidRPr="000073B0">
            <w:rPr>
              <w:rFonts w:ascii="Times New Roman" w:hAnsi="Times New Roman" w:cs="Times New Roman"/>
              <w:i/>
              <w:sz w:val="24"/>
              <w:szCs w:val="24"/>
            </w:rPr>
            <w:t>. Routine Exposure Versus Non-Exposure of Recurrent Laryngeal Nerve during Thyroid Surgery: Our Experience of 300 Cases. </w:t>
          </w:r>
          <w:r w:rsidRPr="000073B0">
            <w:rPr>
              <w:rFonts w:ascii="Times New Roman" w:hAnsi="Times New Roman" w:cs="Times New Roman"/>
              <w:i/>
              <w:iCs/>
              <w:sz w:val="24"/>
              <w:szCs w:val="24"/>
            </w:rPr>
            <w:t>Mymensingh Med J</w:t>
          </w:r>
          <w:r w:rsidRPr="000073B0">
            <w:rPr>
              <w:rFonts w:ascii="Times New Roman" w:hAnsi="Times New Roman" w:cs="Times New Roman"/>
              <w:sz w:val="24"/>
              <w:szCs w:val="24"/>
            </w:rPr>
            <w:t>. 2022;31(1):154-160.</w:t>
          </w:r>
          <w:r>
            <w:rPr>
              <w:rFonts w:ascii="Times New Roman" w:hAnsi="Times New Roman" w:cs="Times New Roman"/>
              <w:sz w:val="24"/>
              <w:szCs w:val="24"/>
            </w:rPr>
            <w:t xml:space="preserve"> </w:t>
          </w:r>
        </w:p>
        <w:p w:rsidR="000073B0" w:rsidRPr="000073B0" w:rsidRDefault="000073B0" w:rsidP="00F46B04">
          <w:pPr>
            <w:pStyle w:val="ListParagraph"/>
            <w:numPr>
              <w:ilvl w:val="0"/>
              <w:numId w:val="25"/>
            </w:numPr>
            <w:spacing w:after="0" w:line="480" w:lineRule="auto"/>
            <w:rPr>
              <w:rFonts w:ascii="Times New Roman" w:hAnsi="Times New Roman" w:cs="Times New Roman"/>
              <w:sz w:val="24"/>
              <w:szCs w:val="24"/>
            </w:rPr>
          </w:pPr>
          <w:r w:rsidRPr="000073B0">
            <w:rPr>
              <w:rFonts w:ascii="Times New Roman" w:hAnsi="Times New Roman" w:cs="Times New Roman"/>
              <w:sz w:val="24"/>
              <w:szCs w:val="24"/>
            </w:rPr>
            <w:t>Aires MM, Marinho CB, Vasconcelos SJ</w:t>
          </w:r>
          <w:r w:rsidRPr="002035AC">
            <w:rPr>
              <w:rFonts w:ascii="Times New Roman" w:hAnsi="Times New Roman" w:cs="Times New Roman"/>
              <w:i/>
              <w:sz w:val="24"/>
              <w:szCs w:val="24"/>
            </w:rPr>
            <w:t>. Surgical interventions for pediatric unilateral vocal fold paralysis: A systematic review and meta-analysis</w:t>
          </w:r>
          <w:r w:rsidRPr="000073B0">
            <w:rPr>
              <w:rFonts w:ascii="Times New Roman" w:hAnsi="Times New Roman" w:cs="Times New Roman"/>
              <w:sz w:val="24"/>
              <w:szCs w:val="24"/>
            </w:rPr>
            <w:t>. </w:t>
          </w:r>
          <w:r w:rsidRPr="000073B0">
            <w:rPr>
              <w:rFonts w:ascii="Times New Roman" w:hAnsi="Times New Roman" w:cs="Times New Roman"/>
              <w:i/>
              <w:iCs/>
              <w:sz w:val="24"/>
              <w:szCs w:val="24"/>
            </w:rPr>
            <w:t xml:space="preserve">Int J </w:t>
          </w:r>
          <w:r w:rsidRPr="000073B0">
            <w:rPr>
              <w:rFonts w:ascii="Times New Roman" w:hAnsi="Times New Roman" w:cs="Times New Roman"/>
              <w:i/>
              <w:iCs/>
              <w:sz w:val="24"/>
              <w:szCs w:val="24"/>
            </w:rPr>
            <w:lastRenderedPageBreak/>
            <w:t>Pediatr Otorhinolaryngol</w:t>
          </w:r>
          <w:r w:rsidRPr="000073B0">
            <w:rPr>
              <w:rFonts w:ascii="Times New Roman" w:hAnsi="Times New Roman" w:cs="Times New Roman"/>
              <w:sz w:val="24"/>
              <w:szCs w:val="24"/>
            </w:rPr>
            <w:t xml:space="preserve">. 2021;141:110553. </w:t>
          </w:r>
          <w:r w:rsidRPr="000073B0">
            <w:rPr>
              <w:rStyle w:val="id-label"/>
              <w:rFonts w:ascii="Segoe UI" w:hAnsi="Segoe UI" w:cs="Segoe UI"/>
              <w:color w:val="212121"/>
            </w:rPr>
            <w:t>PMID: </w:t>
          </w:r>
          <w:r w:rsidRPr="000073B0">
            <w:rPr>
              <w:rStyle w:val="Strong"/>
              <w:rFonts w:ascii="Segoe UI" w:hAnsi="Segoe UI" w:cs="Segoe UI"/>
              <w:b w:val="0"/>
              <w:bCs w:val="0"/>
              <w:color w:val="212121"/>
            </w:rPr>
            <w:t>33333340</w:t>
          </w:r>
          <w:r w:rsidRPr="000073B0">
            <w:rPr>
              <w:rFonts w:ascii="Segoe UI" w:hAnsi="Segoe UI" w:cs="Segoe UI"/>
              <w:color w:val="212121"/>
              <w:lang w:val="en-US"/>
            </w:rPr>
            <w:t xml:space="preserve">. </w:t>
          </w:r>
          <w:r w:rsidRPr="000073B0">
            <w:rPr>
              <w:rStyle w:val="id-label"/>
              <w:rFonts w:ascii="Segoe UI" w:hAnsi="Segoe UI" w:cs="Segoe UI"/>
              <w:color w:val="212121"/>
            </w:rPr>
            <w:t>DOI: </w:t>
          </w:r>
          <w:hyperlink r:id="rId24" w:tgtFrame="_blank" w:history="1">
            <w:r w:rsidRPr="000073B0">
              <w:rPr>
                <w:rStyle w:val="Hyperlink"/>
                <w:rFonts w:ascii="Segoe UI" w:hAnsi="Segoe UI" w:cs="Segoe UI"/>
                <w:color w:val="0071BC"/>
              </w:rPr>
              <w:t>10.1016/j.ijporl.2020.110553</w:t>
            </w:r>
          </w:hyperlink>
        </w:p>
        <w:p w:rsidR="00954134" w:rsidRPr="00954134" w:rsidRDefault="00954134" w:rsidP="00954134">
          <w:pPr>
            <w:pStyle w:val="ListParagraph"/>
            <w:numPr>
              <w:ilvl w:val="0"/>
              <w:numId w:val="25"/>
            </w:numPr>
            <w:spacing w:after="0" w:line="480" w:lineRule="auto"/>
            <w:rPr>
              <w:rFonts w:ascii="Times New Roman" w:hAnsi="Times New Roman" w:cs="Times New Roman"/>
              <w:sz w:val="24"/>
              <w:szCs w:val="24"/>
            </w:rPr>
          </w:pPr>
          <w:r w:rsidRPr="002035AC">
            <w:rPr>
              <w:rFonts w:ascii="Times New Roman" w:hAnsi="Times New Roman" w:cs="Times New Roman"/>
              <w:sz w:val="24"/>
              <w:szCs w:val="24"/>
            </w:rPr>
            <w:t>Özbal Koç AE, Türkoğlu SB, Erol O, Erbek S. Vocal cord paralysis:</w:t>
          </w:r>
          <w:r w:rsidRPr="002035AC">
            <w:rPr>
              <w:rFonts w:ascii="Times New Roman" w:hAnsi="Times New Roman" w:cs="Times New Roman"/>
              <w:i/>
              <w:sz w:val="24"/>
              <w:szCs w:val="24"/>
            </w:rPr>
            <w:t xml:space="preserve"> What matters between idiopathic and non-idiopathic cases?</w:t>
          </w:r>
          <w:r w:rsidRPr="002035AC">
            <w:rPr>
              <w:rFonts w:ascii="Times New Roman" w:hAnsi="Times New Roman" w:cs="Times New Roman"/>
              <w:sz w:val="24"/>
              <w:szCs w:val="24"/>
            </w:rPr>
            <w:t xml:space="preserve">. Kulak Burun Bogaz Ihtis Derg. 2016;26(4):228-233. </w:t>
          </w:r>
          <w:r w:rsidRPr="002035AC">
            <w:rPr>
              <w:rStyle w:val="id-label"/>
              <w:rFonts w:ascii="Segoe UI" w:hAnsi="Segoe UI" w:cs="Segoe UI"/>
              <w:color w:val="212121"/>
            </w:rPr>
            <w:t>PMID: </w:t>
          </w:r>
          <w:r w:rsidRPr="002035AC">
            <w:rPr>
              <w:rStyle w:val="Strong"/>
              <w:rFonts w:ascii="Segoe UI" w:hAnsi="Segoe UI" w:cs="Segoe UI"/>
              <w:b w:val="0"/>
              <w:bCs w:val="0"/>
              <w:color w:val="212121"/>
            </w:rPr>
            <w:t>27405079</w:t>
          </w:r>
          <w:r w:rsidRPr="002035AC">
            <w:rPr>
              <w:rFonts w:ascii="Segoe UI" w:hAnsi="Segoe UI" w:cs="Segoe UI"/>
              <w:color w:val="212121"/>
              <w:lang w:val="en-US"/>
            </w:rPr>
            <w:t xml:space="preserve">. </w:t>
          </w:r>
          <w:r w:rsidRPr="002035AC">
            <w:rPr>
              <w:rStyle w:val="id-label"/>
              <w:rFonts w:ascii="Segoe UI" w:hAnsi="Segoe UI" w:cs="Segoe UI"/>
              <w:color w:val="212121"/>
            </w:rPr>
            <w:t>DOI: </w:t>
          </w:r>
          <w:hyperlink r:id="rId25" w:tgtFrame="_blank" w:history="1">
            <w:r w:rsidRPr="002035AC">
              <w:rPr>
                <w:rStyle w:val="Hyperlink"/>
                <w:rFonts w:ascii="Segoe UI" w:hAnsi="Segoe UI" w:cs="Segoe UI"/>
                <w:color w:val="0071BC"/>
              </w:rPr>
              <w:t>10.5606/kbbihtisas.2016.03185</w:t>
            </w:r>
          </w:hyperlink>
        </w:p>
        <w:p w:rsidR="00FC04FE" w:rsidRDefault="00FC04FE" w:rsidP="00FC04FE">
          <w:pPr>
            <w:pStyle w:val="ListParagraph"/>
            <w:numPr>
              <w:ilvl w:val="0"/>
              <w:numId w:val="25"/>
            </w:numPr>
            <w:spacing w:after="0" w:line="480" w:lineRule="auto"/>
            <w:rPr>
              <w:rFonts w:ascii="Times New Roman" w:hAnsi="Times New Roman" w:cs="Times New Roman"/>
              <w:sz w:val="24"/>
              <w:szCs w:val="24"/>
            </w:rPr>
          </w:pPr>
          <w:r w:rsidRPr="003877F0">
            <w:rPr>
              <w:rFonts w:ascii="Times New Roman" w:hAnsi="Times New Roman" w:cs="Times New Roman"/>
              <w:sz w:val="24"/>
              <w:szCs w:val="24"/>
            </w:rPr>
            <w:t>Chen HC, Jen YM, Wang CH, Lee JC, Lin YS.</w:t>
          </w:r>
          <w:r w:rsidRPr="003877F0">
            <w:rPr>
              <w:rFonts w:ascii="Times New Roman" w:hAnsi="Times New Roman" w:cs="Times New Roman"/>
              <w:i/>
              <w:sz w:val="24"/>
              <w:szCs w:val="24"/>
            </w:rPr>
            <w:t xml:space="preserve"> Etiology of vocal cord paralysis.</w:t>
          </w:r>
          <w:r w:rsidRPr="003877F0">
            <w:rPr>
              <w:rFonts w:ascii="Times New Roman" w:hAnsi="Times New Roman" w:cs="Times New Roman"/>
              <w:sz w:val="24"/>
              <w:szCs w:val="24"/>
            </w:rPr>
            <w:t xml:space="preserve"> ORL J Otorhinolaryngol Relat Spec. 2007;69(3):167-171. doi:10.1159/000099226</w:t>
          </w:r>
        </w:p>
        <w:p w:rsidR="00954134" w:rsidRPr="00954134" w:rsidRDefault="00954134" w:rsidP="00954134">
          <w:pPr>
            <w:pStyle w:val="ListParagraph"/>
            <w:numPr>
              <w:ilvl w:val="0"/>
              <w:numId w:val="25"/>
            </w:numPr>
            <w:spacing w:after="0" w:line="480" w:lineRule="auto"/>
            <w:rPr>
              <w:rFonts w:ascii="Times New Roman" w:hAnsi="Times New Roman" w:cs="Times New Roman"/>
              <w:sz w:val="24"/>
              <w:szCs w:val="24"/>
            </w:rPr>
          </w:pPr>
          <w:r w:rsidRPr="000073B0">
            <w:rPr>
              <w:rFonts w:ascii="Times New Roman" w:hAnsi="Times New Roman" w:cs="Times New Roman"/>
              <w:sz w:val="24"/>
              <w:szCs w:val="24"/>
            </w:rPr>
            <w:t>de Almeida RBS, Costa CC, Lamounier E Silva Duarte P, et al. Surgical Treatment Applied to Bilateral Vocal Fold Paralysis in Adults: Systematic Review [published online ahead of print, 2021 Jan 16]. </w:t>
          </w:r>
          <w:r w:rsidRPr="000073B0">
            <w:rPr>
              <w:rFonts w:ascii="Times New Roman" w:hAnsi="Times New Roman" w:cs="Times New Roman"/>
              <w:i/>
              <w:iCs/>
              <w:sz w:val="24"/>
              <w:szCs w:val="24"/>
            </w:rPr>
            <w:t>J Voice</w:t>
          </w:r>
          <w:r w:rsidRPr="000073B0">
            <w:rPr>
              <w:rFonts w:ascii="Times New Roman" w:hAnsi="Times New Roman" w:cs="Times New Roman"/>
              <w:sz w:val="24"/>
              <w:szCs w:val="24"/>
            </w:rPr>
            <w:t>. 2021;S0892-1997(20)30444-6. doi:10.1016/j.jvoice.2020.11.018</w:t>
          </w:r>
        </w:p>
        <w:p w:rsidR="00472F11" w:rsidRPr="00FC04FE" w:rsidRDefault="00A31312" w:rsidP="00FC04FE">
          <w:pPr>
            <w:spacing w:after="0" w:line="480" w:lineRule="auto"/>
            <w:rPr>
              <w:rFonts w:ascii="Times New Roman" w:hAnsi="Times New Roman" w:cs="Times New Roman"/>
              <w:sz w:val="24"/>
              <w:szCs w:val="24"/>
            </w:rPr>
          </w:pPr>
        </w:p>
      </w:sdtContent>
    </w:sdt>
    <w:bookmarkStart w:id="6" w:name="_GoBack" w:displacedByCustomXml="prev"/>
    <w:bookmarkEnd w:id="6" w:displacedByCustomXml="prev"/>
    <w:sectPr w:rsidR="00472F11" w:rsidRPr="00FC04FE" w:rsidSect="00B044D3">
      <w:footerReference w:type="default" r:id="rId26"/>
      <w:footerReference w:type="first" r:id="rId27"/>
      <w:pgSz w:w="11906" w:h="16838"/>
      <w:pgMar w:top="1440" w:right="1440" w:bottom="1440" w:left="2268" w:header="720" w:footer="720" w:gutter="0"/>
      <w:pgNumType w:start="0" w:chapStyle="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1312" w:rsidRDefault="00A31312">
      <w:pPr>
        <w:spacing w:after="0" w:line="240" w:lineRule="auto"/>
      </w:pPr>
      <w:r>
        <w:separator/>
      </w:r>
    </w:p>
  </w:endnote>
  <w:endnote w:type="continuationSeparator" w:id="0">
    <w:p w:rsidR="00A31312" w:rsidRDefault="00A313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25368464"/>
      <w:docPartObj>
        <w:docPartGallery w:val="Page Numbers (Bottom of Page)"/>
        <w:docPartUnique/>
      </w:docPartObj>
    </w:sdtPr>
    <w:sdtEndPr>
      <w:rPr>
        <w:noProof/>
      </w:rPr>
    </w:sdtEndPr>
    <w:sdtContent>
      <w:p w:rsidR="00D57579" w:rsidRDefault="005F1A8D">
        <w:pPr>
          <w:pStyle w:val="Footer"/>
          <w:jc w:val="right"/>
        </w:pPr>
        <w:r>
          <w:fldChar w:fldCharType="begin"/>
        </w:r>
        <w:r>
          <w:instrText xml:space="preserve"> PAGE   \* MERGEFORMAT </w:instrText>
        </w:r>
        <w:r>
          <w:fldChar w:fldCharType="separate"/>
        </w:r>
        <w:r w:rsidR="00954134">
          <w:rPr>
            <w:noProof/>
          </w:rPr>
          <w:t>16</w:t>
        </w:r>
        <w:r>
          <w:rPr>
            <w:noProof/>
          </w:rPr>
          <w:fldChar w:fldCharType="end"/>
        </w:r>
      </w:p>
    </w:sdtContent>
  </w:sdt>
  <w:p w:rsidR="00D57579" w:rsidRDefault="00A3131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7579" w:rsidRDefault="00A31312">
    <w:pPr>
      <w:pStyle w:val="Footer"/>
      <w:jc w:val="right"/>
    </w:pPr>
  </w:p>
  <w:p w:rsidR="00D57579" w:rsidRDefault="00A3131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1312" w:rsidRDefault="00A31312">
      <w:pPr>
        <w:spacing w:after="0" w:line="240" w:lineRule="auto"/>
      </w:pPr>
      <w:r>
        <w:separator/>
      </w:r>
    </w:p>
  </w:footnote>
  <w:footnote w:type="continuationSeparator" w:id="0">
    <w:p w:rsidR="00A31312" w:rsidRDefault="00A313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2B22"/>
    <w:multiLevelType w:val="hybridMultilevel"/>
    <w:tmpl w:val="DD0CB160"/>
    <w:lvl w:ilvl="0" w:tplc="181A0011">
      <w:start w:val="1"/>
      <w:numFmt w:val="decimal"/>
      <w:lvlText w:val="%1)"/>
      <w:lvlJc w:val="left"/>
      <w:pPr>
        <w:ind w:left="1080" w:hanging="360"/>
      </w:pPr>
    </w:lvl>
    <w:lvl w:ilvl="1" w:tplc="181A0019" w:tentative="1">
      <w:start w:val="1"/>
      <w:numFmt w:val="lowerLetter"/>
      <w:lvlText w:val="%2."/>
      <w:lvlJc w:val="left"/>
      <w:pPr>
        <w:ind w:left="1800" w:hanging="360"/>
      </w:pPr>
    </w:lvl>
    <w:lvl w:ilvl="2" w:tplc="181A001B" w:tentative="1">
      <w:start w:val="1"/>
      <w:numFmt w:val="lowerRoman"/>
      <w:lvlText w:val="%3."/>
      <w:lvlJc w:val="right"/>
      <w:pPr>
        <w:ind w:left="2520" w:hanging="180"/>
      </w:pPr>
    </w:lvl>
    <w:lvl w:ilvl="3" w:tplc="181A000F" w:tentative="1">
      <w:start w:val="1"/>
      <w:numFmt w:val="decimal"/>
      <w:lvlText w:val="%4."/>
      <w:lvlJc w:val="left"/>
      <w:pPr>
        <w:ind w:left="3240" w:hanging="360"/>
      </w:pPr>
    </w:lvl>
    <w:lvl w:ilvl="4" w:tplc="181A0019" w:tentative="1">
      <w:start w:val="1"/>
      <w:numFmt w:val="lowerLetter"/>
      <w:lvlText w:val="%5."/>
      <w:lvlJc w:val="left"/>
      <w:pPr>
        <w:ind w:left="3960" w:hanging="360"/>
      </w:pPr>
    </w:lvl>
    <w:lvl w:ilvl="5" w:tplc="181A001B" w:tentative="1">
      <w:start w:val="1"/>
      <w:numFmt w:val="lowerRoman"/>
      <w:lvlText w:val="%6."/>
      <w:lvlJc w:val="right"/>
      <w:pPr>
        <w:ind w:left="4680" w:hanging="180"/>
      </w:pPr>
    </w:lvl>
    <w:lvl w:ilvl="6" w:tplc="181A000F" w:tentative="1">
      <w:start w:val="1"/>
      <w:numFmt w:val="decimal"/>
      <w:lvlText w:val="%7."/>
      <w:lvlJc w:val="left"/>
      <w:pPr>
        <w:ind w:left="5400" w:hanging="360"/>
      </w:pPr>
    </w:lvl>
    <w:lvl w:ilvl="7" w:tplc="181A0019" w:tentative="1">
      <w:start w:val="1"/>
      <w:numFmt w:val="lowerLetter"/>
      <w:lvlText w:val="%8."/>
      <w:lvlJc w:val="left"/>
      <w:pPr>
        <w:ind w:left="6120" w:hanging="360"/>
      </w:pPr>
    </w:lvl>
    <w:lvl w:ilvl="8" w:tplc="181A001B" w:tentative="1">
      <w:start w:val="1"/>
      <w:numFmt w:val="lowerRoman"/>
      <w:lvlText w:val="%9."/>
      <w:lvlJc w:val="right"/>
      <w:pPr>
        <w:ind w:left="6840" w:hanging="180"/>
      </w:pPr>
    </w:lvl>
  </w:abstractNum>
  <w:abstractNum w:abstractNumId="1">
    <w:nsid w:val="0649525A"/>
    <w:multiLevelType w:val="hybridMultilevel"/>
    <w:tmpl w:val="127ED18A"/>
    <w:lvl w:ilvl="0" w:tplc="181A000F">
      <w:start w:val="1"/>
      <w:numFmt w:val="decimal"/>
      <w:lvlText w:val="%1."/>
      <w:lvlJc w:val="left"/>
      <w:pPr>
        <w:ind w:left="720" w:hanging="360"/>
      </w:p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2">
    <w:nsid w:val="0738165C"/>
    <w:multiLevelType w:val="multilevel"/>
    <w:tmpl w:val="EC74C758"/>
    <w:lvl w:ilvl="0">
      <w:start w:val="3"/>
      <w:numFmt w:val="decimal"/>
      <w:lvlText w:val="%1.0"/>
      <w:lvlJc w:val="left"/>
      <w:pPr>
        <w:ind w:left="1501" w:hanging="375"/>
      </w:pPr>
      <w:rPr>
        <w:rFonts w:hint="default"/>
      </w:rPr>
    </w:lvl>
    <w:lvl w:ilvl="1">
      <w:start w:val="1"/>
      <w:numFmt w:val="decimal"/>
      <w:lvlText w:val="%1.%2"/>
      <w:lvlJc w:val="left"/>
      <w:pPr>
        <w:ind w:left="2209" w:hanging="375"/>
      </w:pPr>
      <w:rPr>
        <w:rFonts w:hint="default"/>
      </w:rPr>
    </w:lvl>
    <w:lvl w:ilvl="2">
      <w:start w:val="1"/>
      <w:numFmt w:val="decimal"/>
      <w:lvlText w:val="%1.%2.%3"/>
      <w:lvlJc w:val="left"/>
      <w:pPr>
        <w:ind w:left="3262" w:hanging="720"/>
      </w:pPr>
      <w:rPr>
        <w:rFonts w:hint="default"/>
      </w:rPr>
    </w:lvl>
    <w:lvl w:ilvl="3">
      <w:start w:val="1"/>
      <w:numFmt w:val="decimal"/>
      <w:lvlText w:val="%1.%2.%3.%4"/>
      <w:lvlJc w:val="left"/>
      <w:pPr>
        <w:ind w:left="4330" w:hanging="1080"/>
      </w:pPr>
      <w:rPr>
        <w:rFonts w:hint="default"/>
      </w:rPr>
    </w:lvl>
    <w:lvl w:ilvl="4">
      <w:start w:val="1"/>
      <w:numFmt w:val="decimal"/>
      <w:lvlText w:val="%1.%2.%3.%4.%5"/>
      <w:lvlJc w:val="left"/>
      <w:pPr>
        <w:ind w:left="5038" w:hanging="1080"/>
      </w:pPr>
      <w:rPr>
        <w:rFonts w:hint="default"/>
      </w:rPr>
    </w:lvl>
    <w:lvl w:ilvl="5">
      <w:start w:val="1"/>
      <w:numFmt w:val="decimal"/>
      <w:lvlText w:val="%1.%2.%3.%4.%5.%6"/>
      <w:lvlJc w:val="left"/>
      <w:pPr>
        <w:ind w:left="6106" w:hanging="1440"/>
      </w:pPr>
      <w:rPr>
        <w:rFonts w:hint="default"/>
      </w:rPr>
    </w:lvl>
    <w:lvl w:ilvl="6">
      <w:start w:val="1"/>
      <w:numFmt w:val="decimal"/>
      <w:lvlText w:val="%1.%2.%3.%4.%5.%6.%7"/>
      <w:lvlJc w:val="left"/>
      <w:pPr>
        <w:ind w:left="6814" w:hanging="1440"/>
      </w:pPr>
      <w:rPr>
        <w:rFonts w:hint="default"/>
      </w:rPr>
    </w:lvl>
    <w:lvl w:ilvl="7">
      <w:start w:val="1"/>
      <w:numFmt w:val="decimal"/>
      <w:lvlText w:val="%1.%2.%3.%4.%5.%6.%7.%8"/>
      <w:lvlJc w:val="left"/>
      <w:pPr>
        <w:ind w:left="7882" w:hanging="1800"/>
      </w:pPr>
      <w:rPr>
        <w:rFonts w:hint="default"/>
      </w:rPr>
    </w:lvl>
    <w:lvl w:ilvl="8">
      <w:start w:val="1"/>
      <w:numFmt w:val="decimal"/>
      <w:lvlText w:val="%1.%2.%3.%4.%5.%6.%7.%8.%9"/>
      <w:lvlJc w:val="left"/>
      <w:pPr>
        <w:ind w:left="8950" w:hanging="2160"/>
      </w:pPr>
      <w:rPr>
        <w:rFonts w:hint="default"/>
      </w:rPr>
    </w:lvl>
  </w:abstractNum>
  <w:abstractNum w:abstractNumId="3">
    <w:nsid w:val="0771215B"/>
    <w:multiLevelType w:val="multilevel"/>
    <w:tmpl w:val="8E6E8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AA3D8D"/>
    <w:multiLevelType w:val="hybridMultilevel"/>
    <w:tmpl w:val="F7C835DA"/>
    <w:lvl w:ilvl="0" w:tplc="181A0001">
      <w:start w:val="1"/>
      <w:numFmt w:val="bullet"/>
      <w:lvlText w:val=""/>
      <w:lvlJc w:val="left"/>
      <w:pPr>
        <w:ind w:left="720" w:hanging="360"/>
      </w:pPr>
      <w:rPr>
        <w:rFonts w:ascii="Symbol" w:hAnsi="Symbol"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abstractNum w:abstractNumId="5">
    <w:nsid w:val="0AAF1D7A"/>
    <w:multiLevelType w:val="hybridMultilevel"/>
    <w:tmpl w:val="1F7E7952"/>
    <w:lvl w:ilvl="0" w:tplc="181A000F">
      <w:start w:val="1"/>
      <w:numFmt w:val="decimal"/>
      <w:lvlText w:val="%1."/>
      <w:lvlJc w:val="left"/>
      <w:pPr>
        <w:ind w:left="1426" w:hanging="360"/>
      </w:pPr>
    </w:lvl>
    <w:lvl w:ilvl="1" w:tplc="181A0019" w:tentative="1">
      <w:start w:val="1"/>
      <w:numFmt w:val="lowerLetter"/>
      <w:lvlText w:val="%2."/>
      <w:lvlJc w:val="left"/>
      <w:pPr>
        <w:ind w:left="2146" w:hanging="360"/>
      </w:pPr>
    </w:lvl>
    <w:lvl w:ilvl="2" w:tplc="181A001B" w:tentative="1">
      <w:start w:val="1"/>
      <w:numFmt w:val="lowerRoman"/>
      <w:lvlText w:val="%3."/>
      <w:lvlJc w:val="right"/>
      <w:pPr>
        <w:ind w:left="2866" w:hanging="180"/>
      </w:pPr>
    </w:lvl>
    <w:lvl w:ilvl="3" w:tplc="181A000F" w:tentative="1">
      <w:start w:val="1"/>
      <w:numFmt w:val="decimal"/>
      <w:lvlText w:val="%4."/>
      <w:lvlJc w:val="left"/>
      <w:pPr>
        <w:ind w:left="3586" w:hanging="360"/>
      </w:pPr>
    </w:lvl>
    <w:lvl w:ilvl="4" w:tplc="181A0019" w:tentative="1">
      <w:start w:val="1"/>
      <w:numFmt w:val="lowerLetter"/>
      <w:lvlText w:val="%5."/>
      <w:lvlJc w:val="left"/>
      <w:pPr>
        <w:ind w:left="4306" w:hanging="360"/>
      </w:pPr>
    </w:lvl>
    <w:lvl w:ilvl="5" w:tplc="181A001B" w:tentative="1">
      <w:start w:val="1"/>
      <w:numFmt w:val="lowerRoman"/>
      <w:lvlText w:val="%6."/>
      <w:lvlJc w:val="right"/>
      <w:pPr>
        <w:ind w:left="5026" w:hanging="180"/>
      </w:pPr>
    </w:lvl>
    <w:lvl w:ilvl="6" w:tplc="181A000F" w:tentative="1">
      <w:start w:val="1"/>
      <w:numFmt w:val="decimal"/>
      <w:lvlText w:val="%7."/>
      <w:lvlJc w:val="left"/>
      <w:pPr>
        <w:ind w:left="5746" w:hanging="360"/>
      </w:pPr>
    </w:lvl>
    <w:lvl w:ilvl="7" w:tplc="181A0019" w:tentative="1">
      <w:start w:val="1"/>
      <w:numFmt w:val="lowerLetter"/>
      <w:lvlText w:val="%8."/>
      <w:lvlJc w:val="left"/>
      <w:pPr>
        <w:ind w:left="6466" w:hanging="360"/>
      </w:pPr>
    </w:lvl>
    <w:lvl w:ilvl="8" w:tplc="181A001B" w:tentative="1">
      <w:start w:val="1"/>
      <w:numFmt w:val="lowerRoman"/>
      <w:lvlText w:val="%9."/>
      <w:lvlJc w:val="right"/>
      <w:pPr>
        <w:ind w:left="7186" w:hanging="180"/>
      </w:pPr>
    </w:lvl>
  </w:abstractNum>
  <w:abstractNum w:abstractNumId="6">
    <w:nsid w:val="0CC7654A"/>
    <w:multiLevelType w:val="multilevel"/>
    <w:tmpl w:val="1E005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33B73ED"/>
    <w:multiLevelType w:val="multilevel"/>
    <w:tmpl w:val="47668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4D31CCA"/>
    <w:multiLevelType w:val="hybridMultilevel"/>
    <w:tmpl w:val="43A47B30"/>
    <w:lvl w:ilvl="0" w:tplc="181A000F">
      <w:start w:val="1"/>
      <w:numFmt w:val="decimal"/>
      <w:lvlText w:val="%1."/>
      <w:lvlJc w:val="left"/>
      <w:pPr>
        <w:ind w:left="1426" w:hanging="360"/>
      </w:pPr>
    </w:lvl>
    <w:lvl w:ilvl="1" w:tplc="181A0019" w:tentative="1">
      <w:start w:val="1"/>
      <w:numFmt w:val="lowerLetter"/>
      <w:lvlText w:val="%2."/>
      <w:lvlJc w:val="left"/>
      <w:pPr>
        <w:ind w:left="2146" w:hanging="360"/>
      </w:pPr>
    </w:lvl>
    <w:lvl w:ilvl="2" w:tplc="181A001B" w:tentative="1">
      <w:start w:val="1"/>
      <w:numFmt w:val="lowerRoman"/>
      <w:lvlText w:val="%3."/>
      <w:lvlJc w:val="right"/>
      <w:pPr>
        <w:ind w:left="2866" w:hanging="180"/>
      </w:pPr>
    </w:lvl>
    <w:lvl w:ilvl="3" w:tplc="181A000F" w:tentative="1">
      <w:start w:val="1"/>
      <w:numFmt w:val="decimal"/>
      <w:lvlText w:val="%4."/>
      <w:lvlJc w:val="left"/>
      <w:pPr>
        <w:ind w:left="3586" w:hanging="360"/>
      </w:pPr>
    </w:lvl>
    <w:lvl w:ilvl="4" w:tplc="181A0019" w:tentative="1">
      <w:start w:val="1"/>
      <w:numFmt w:val="lowerLetter"/>
      <w:lvlText w:val="%5."/>
      <w:lvlJc w:val="left"/>
      <w:pPr>
        <w:ind w:left="4306" w:hanging="360"/>
      </w:pPr>
    </w:lvl>
    <w:lvl w:ilvl="5" w:tplc="181A001B" w:tentative="1">
      <w:start w:val="1"/>
      <w:numFmt w:val="lowerRoman"/>
      <w:lvlText w:val="%6."/>
      <w:lvlJc w:val="right"/>
      <w:pPr>
        <w:ind w:left="5026" w:hanging="180"/>
      </w:pPr>
    </w:lvl>
    <w:lvl w:ilvl="6" w:tplc="181A000F" w:tentative="1">
      <w:start w:val="1"/>
      <w:numFmt w:val="decimal"/>
      <w:lvlText w:val="%7."/>
      <w:lvlJc w:val="left"/>
      <w:pPr>
        <w:ind w:left="5746" w:hanging="360"/>
      </w:pPr>
    </w:lvl>
    <w:lvl w:ilvl="7" w:tplc="181A0019" w:tentative="1">
      <w:start w:val="1"/>
      <w:numFmt w:val="lowerLetter"/>
      <w:lvlText w:val="%8."/>
      <w:lvlJc w:val="left"/>
      <w:pPr>
        <w:ind w:left="6466" w:hanging="360"/>
      </w:pPr>
    </w:lvl>
    <w:lvl w:ilvl="8" w:tplc="181A001B" w:tentative="1">
      <w:start w:val="1"/>
      <w:numFmt w:val="lowerRoman"/>
      <w:lvlText w:val="%9."/>
      <w:lvlJc w:val="right"/>
      <w:pPr>
        <w:ind w:left="7186" w:hanging="180"/>
      </w:pPr>
    </w:lvl>
  </w:abstractNum>
  <w:abstractNum w:abstractNumId="9">
    <w:nsid w:val="1A0C7459"/>
    <w:multiLevelType w:val="multilevel"/>
    <w:tmpl w:val="7BAA9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DAB6AC9"/>
    <w:multiLevelType w:val="multilevel"/>
    <w:tmpl w:val="F0FA4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6793766"/>
    <w:multiLevelType w:val="multilevel"/>
    <w:tmpl w:val="1FDA4ED4"/>
    <w:lvl w:ilvl="0">
      <w:start w:val="1"/>
      <w:numFmt w:val="decimal"/>
      <w:lvlText w:val="%1)"/>
      <w:lvlJc w:val="left"/>
      <w:pPr>
        <w:ind w:left="720" w:hanging="360"/>
      </w:pPr>
    </w:lvl>
    <w:lvl w:ilvl="1">
      <w:start w:val="1"/>
      <w:numFmt w:val="decimal"/>
      <w:isLgl/>
      <w:lvlText w:val="%1.%2"/>
      <w:lvlJc w:val="left"/>
      <w:pPr>
        <w:ind w:left="1073" w:hanging="540"/>
      </w:pPr>
      <w:rPr>
        <w:rFonts w:hint="default"/>
      </w:rPr>
    </w:lvl>
    <w:lvl w:ilvl="2">
      <w:start w:val="2"/>
      <w:numFmt w:val="decimal"/>
      <w:isLgl/>
      <w:lvlText w:val="%1.%2.%3"/>
      <w:lvlJc w:val="left"/>
      <w:pPr>
        <w:ind w:left="1426" w:hanging="720"/>
      </w:pPr>
      <w:rPr>
        <w:rFonts w:hint="default"/>
      </w:rPr>
    </w:lvl>
    <w:lvl w:ilvl="3">
      <w:start w:val="1"/>
      <w:numFmt w:val="decimal"/>
      <w:lvlText w:val="%4)"/>
      <w:lvlJc w:val="left"/>
      <w:pPr>
        <w:ind w:left="1599" w:hanging="720"/>
      </w:pPr>
      <w:rPr>
        <w:rFonts w:hint="default"/>
      </w:rPr>
    </w:lvl>
    <w:lvl w:ilvl="4">
      <w:start w:val="1"/>
      <w:numFmt w:val="decimal"/>
      <w:isLgl/>
      <w:lvlText w:val="%1.%2.%3.%4.%5"/>
      <w:lvlJc w:val="left"/>
      <w:pPr>
        <w:ind w:left="2132" w:hanging="1080"/>
      </w:pPr>
      <w:rPr>
        <w:rFonts w:hint="default"/>
      </w:rPr>
    </w:lvl>
    <w:lvl w:ilvl="5">
      <w:start w:val="1"/>
      <w:numFmt w:val="decimal"/>
      <w:isLgl/>
      <w:lvlText w:val="%1.%2.%3.%4.%5.%6"/>
      <w:lvlJc w:val="left"/>
      <w:pPr>
        <w:ind w:left="2305" w:hanging="1080"/>
      </w:pPr>
      <w:rPr>
        <w:rFonts w:hint="default"/>
      </w:rPr>
    </w:lvl>
    <w:lvl w:ilvl="6">
      <w:start w:val="1"/>
      <w:numFmt w:val="decimal"/>
      <w:isLgl/>
      <w:lvlText w:val="%1.%2.%3.%4.%5.%6.%7"/>
      <w:lvlJc w:val="left"/>
      <w:pPr>
        <w:ind w:left="2838" w:hanging="1440"/>
      </w:pPr>
      <w:rPr>
        <w:rFonts w:hint="default"/>
      </w:rPr>
    </w:lvl>
    <w:lvl w:ilvl="7">
      <w:start w:val="1"/>
      <w:numFmt w:val="decimal"/>
      <w:isLgl/>
      <w:lvlText w:val="%1.%2.%3.%4.%5.%6.%7.%8"/>
      <w:lvlJc w:val="left"/>
      <w:pPr>
        <w:ind w:left="3011" w:hanging="1440"/>
      </w:pPr>
      <w:rPr>
        <w:rFonts w:hint="default"/>
      </w:rPr>
    </w:lvl>
    <w:lvl w:ilvl="8">
      <w:start w:val="1"/>
      <w:numFmt w:val="decimal"/>
      <w:isLgl/>
      <w:lvlText w:val="%1.%2.%3.%4.%5.%6.%7.%8.%9"/>
      <w:lvlJc w:val="left"/>
      <w:pPr>
        <w:ind w:left="3544" w:hanging="1800"/>
      </w:pPr>
      <w:rPr>
        <w:rFonts w:hint="default"/>
      </w:rPr>
    </w:lvl>
  </w:abstractNum>
  <w:abstractNum w:abstractNumId="12">
    <w:nsid w:val="28061AF1"/>
    <w:multiLevelType w:val="hybridMultilevel"/>
    <w:tmpl w:val="6CE28366"/>
    <w:lvl w:ilvl="0" w:tplc="181A000F">
      <w:start w:val="1"/>
      <w:numFmt w:val="decimal"/>
      <w:lvlText w:val="%1."/>
      <w:lvlJc w:val="left"/>
      <w:pPr>
        <w:ind w:left="1426" w:hanging="360"/>
      </w:pPr>
    </w:lvl>
    <w:lvl w:ilvl="1" w:tplc="181A0019" w:tentative="1">
      <w:start w:val="1"/>
      <w:numFmt w:val="lowerLetter"/>
      <w:lvlText w:val="%2."/>
      <w:lvlJc w:val="left"/>
      <w:pPr>
        <w:ind w:left="2146" w:hanging="360"/>
      </w:pPr>
    </w:lvl>
    <w:lvl w:ilvl="2" w:tplc="181A001B" w:tentative="1">
      <w:start w:val="1"/>
      <w:numFmt w:val="lowerRoman"/>
      <w:lvlText w:val="%3."/>
      <w:lvlJc w:val="right"/>
      <w:pPr>
        <w:ind w:left="2866" w:hanging="180"/>
      </w:pPr>
    </w:lvl>
    <w:lvl w:ilvl="3" w:tplc="181A000F" w:tentative="1">
      <w:start w:val="1"/>
      <w:numFmt w:val="decimal"/>
      <w:lvlText w:val="%4."/>
      <w:lvlJc w:val="left"/>
      <w:pPr>
        <w:ind w:left="3586" w:hanging="360"/>
      </w:pPr>
    </w:lvl>
    <w:lvl w:ilvl="4" w:tplc="181A0019" w:tentative="1">
      <w:start w:val="1"/>
      <w:numFmt w:val="lowerLetter"/>
      <w:lvlText w:val="%5."/>
      <w:lvlJc w:val="left"/>
      <w:pPr>
        <w:ind w:left="4306" w:hanging="360"/>
      </w:pPr>
    </w:lvl>
    <w:lvl w:ilvl="5" w:tplc="181A001B" w:tentative="1">
      <w:start w:val="1"/>
      <w:numFmt w:val="lowerRoman"/>
      <w:lvlText w:val="%6."/>
      <w:lvlJc w:val="right"/>
      <w:pPr>
        <w:ind w:left="5026" w:hanging="180"/>
      </w:pPr>
    </w:lvl>
    <w:lvl w:ilvl="6" w:tplc="181A000F" w:tentative="1">
      <w:start w:val="1"/>
      <w:numFmt w:val="decimal"/>
      <w:lvlText w:val="%7."/>
      <w:lvlJc w:val="left"/>
      <w:pPr>
        <w:ind w:left="5746" w:hanging="360"/>
      </w:pPr>
    </w:lvl>
    <w:lvl w:ilvl="7" w:tplc="181A0019" w:tentative="1">
      <w:start w:val="1"/>
      <w:numFmt w:val="lowerLetter"/>
      <w:lvlText w:val="%8."/>
      <w:lvlJc w:val="left"/>
      <w:pPr>
        <w:ind w:left="6466" w:hanging="360"/>
      </w:pPr>
    </w:lvl>
    <w:lvl w:ilvl="8" w:tplc="181A001B" w:tentative="1">
      <w:start w:val="1"/>
      <w:numFmt w:val="lowerRoman"/>
      <w:lvlText w:val="%9."/>
      <w:lvlJc w:val="right"/>
      <w:pPr>
        <w:ind w:left="7186" w:hanging="180"/>
      </w:pPr>
    </w:lvl>
  </w:abstractNum>
  <w:abstractNum w:abstractNumId="13">
    <w:nsid w:val="281028A8"/>
    <w:multiLevelType w:val="hybridMultilevel"/>
    <w:tmpl w:val="FB56C9AE"/>
    <w:lvl w:ilvl="0" w:tplc="181A0001">
      <w:start w:val="1"/>
      <w:numFmt w:val="bullet"/>
      <w:lvlText w:val=""/>
      <w:lvlJc w:val="left"/>
      <w:pPr>
        <w:ind w:left="1426" w:hanging="360"/>
      </w:pPr>
      <w:rPr>
        <w:rFonts w:ascii="Symbol" w:hAnsi="Symbol" w:hint="default"/>
      </w:rPr>
    </w:lvl>
    <w:lvl w:ilvl="1" w:tplc="181A0003" w:tentative="1">
      <w:start w:val="1"/>
      <w:numFmt w:val="bullet"/>
      <w:lvlText w:val="o"/>
      <w:lvlJc w:val="left"/>
      <w:pPr>
        <w:ind w:left="2146" w:hanging="360"/>
      </w:pPr>
      <w:rPr>
        <w:rFonts w:ascii="Courier New" w:hAnsi="Courier New" w:cs="Courier New" w:hint="default"/>
      </w:rPr>
    </w:lvl>
    <w:lvl w:ilvl="2" w:tplc="181A0005" w:tentative="1">
      <w:start w:val="1"/>
      <w:numFmt w:val="bullet"/>
      <w:lvlText w:val=""/>
      <w:lvlJc w:val="left"/>
      <w:pPr>
        <w:ind w:left="2866" w:hanging="360"/>
      </w:pPr>
      <w:rPr>
        <w:rFonts w:ascii="Wingdings" w:hAnsi="Wingdings" w:hint="default"/>
      </w:rPr>
    </w:lvl>
    <w:lvl w:ilvl="3" w:tplc="181A0001" w:tentative="1">
      <w:start w:val="1"/>
      <w:numFmt w:val="bullet"/>
      <w:lvlText w:val=""/>
      <w:lvlJc w:val="left"/>
      <w:pPr>
        <w:ind w:left="3586" w:hanging="360"/>
      </w:pPr>
      <w:rPr>
        <w:rFonts w:ascii="Symbol" w:hAnsi="Symbol" w:hint="default"/>
      </w:rPr>
    </w:lvl>
    <w:lvl w:ilvl="4" w:tplc="181A0003" w:tentative="1">
      <w:start w:val="1"/>
      <w:numFmt w:val="bullet"/>
      <w:lvlText w:val="o"/>
      <w:lvlJc w:val="left"/>
      <w:pPr>
        <w:ind w:left="4306" w:hanging="360"/>
      </w:pPr>
      <w:rPr>
        <w:rFonts w:ascii="Courier New" w:hAnsi="Courier New" w:cs="Courier New" w:hint="default"/>
      </w:rPr>
    </w:lvl>
    <w:lvl w:ilvl="5" w:tplc="181A0005" w:tentative="1">
      <w:start w:val="1"/>
      <w:numFmt w:val="bullet"/>
      <w:lvlText w:val=""/>
      <w:lvlJc w:val="left"/>
      <w:pPr>
        <w:ind w:left="5026" w:hanging="360"/>
      </w:pPr>
      <w:rPr>
        <w:rFonts w:ascii="Wingdings" w:hAnsi="Wingdings" w:hint="default"/>
      </w:rPr>
    </w:lvl>
    <w:lvl w:ilvl="6" w:tplc="181A0001" w:tentative="1">
      <w:start w:val="1"/>
      <w:numFmt w:val="bullet"/>
      <w:lvlText w:val=""/>
      <w:lvlJc w:val="left"/>
      <w:pPr>
        <w:ind w:left="5746" w:hanging="360"/>
      </w:pPr>
      <w:rPr>
        <w:rFonts w:ascii="Symbol" w:hAnsi="Symbol" w:hint="default"/>
      </w:rPr>
    </w:lvl>
    <w:lvl w:ilvl="7" w:tplc="181A0003" w:tentative="1">
      <w:start w:val="1"/>
      <w:numFmt w:val="bullet"/>
      <w:lvlText w:val="o"/>
      <w:lvlJc w:val="left"/>
      <w:pPr>
        <w:ind w:left="6466" w:hanging="360"/>
      </w:pPr>
      <w:rPr>
        <w:rFonts w:ascii="Courier New" w:hAnsi="Courier New" w:cs="Courier New" w:hint="default"/>
      </w:rPr>
    </w:lvl>
    <w:lvl w:ilvl="8" w:tplc="181A0005" w:tentative="1">
      <w:start w:val="1"/>
      <w:numFmt w:val="bullet"/>
      <w:lvlText w:val=""/>
      <w:lvlJc w:val="left"/>
      <w:pPr>
        <w:ind w:left="7186" w:hanging="360"/>
      </w:pPr>
      <w:rPr>
        <w:rFonts w:ascii="Wingdings" w:hAnsi="Wingdings" w:hint="default"/>
      </w:rPr>
    </w:lvl>
  </w:abstractNum>
  <w:abstractNum w:abstractNumId="14">
    <w:nsid w:val="29A027E8"/>
    <w:multiLevelType w:val="hybridMultilevel"/>
    <w:tmpl w:val="389E97B2"/>
    <w:lvl w:ilvl="0" w:tplc="181A000F">
      <w:start w:val="1"/>
      <w:numFmt w:val="decimal"/>
      <w:lvlText w:val="%1."/>
      <w:lvlJc w:val="left"/>
      <w:pPr>
        <w:ind w:left="1426" w:hanging="360"/>
      </w:pPr>
    </w:lvl>
    <w:lvl w:ilvl="1" w:tplc="181A0019" w:tentative="1">
      <w:start w:val="1"/>
      <w:numFmt w:val="lowerLetter"/>
      <w:lvlText w:val="%2."/>
      <w:lvlJc w:val="left"/>
      <w:pPr>
        <w:ind w:left="2146" w:hanging="360"/>
      </w:pPr>
    </w:lvl>
    <w:lvl w:ilvl="2" w:tplc="181A001B" w:tentative="1">
      <w:start w:val="1"/>
      <w:numFmt w:val="lowerRoman"/>
      <w:lvlText w:val="%3."/>
      <w:lvlJc w:val="right"/>
      <w:pPr>
        <w:ind w:left="2866" w:hanging="180"/>
      </w:pPr>
    </w:lvl>
    <w:lvl w:ilvl="3" w:tplc="181A000F" w:tentative="1">
      <w:start w:val="1"/>
      <w:numFmt w:val="decimal"/>
      <w:lvlText w:val="%4."/>
      <w:lvlJc w:val="left"/>
      <w:pPr>
        <w:ind w:left="3586" w:hanging="360"/>
      </w:pPr>
    </w:lvl>
    <w:lvl w:ilvl="4" w:tplc="181A0019" w:tentative="1">
      <w:start w:val="1"/>
      <w:numFmt w:val="lowerLetter"/>
      <w:lvlText w:val="%5."/>
      <w:lvlJc w:val="left"/>
      <w:pPr>
        <w:ind w:left="4306" w:hanging="360"/>
      </w:pPr>
    </w:lvl>
    <w:lvl w:ilvl="5" w:tplc="181A001B" w:tentative="1">
      <w:start w:val="1"/>
      <w:numFmt w:val="lowerRoman"/>
      <w:lvlText w:val="%6."/>
      <w:lvlJc w:val="right"/>
      <w:pPr>
        <w:ind w:left="5026" w:hanging="180"/>
      </w:pPr>
    </w:lvl>
    <w:lvl w:ilvl="6" w:tplc="181A000F" w:tentative="1">
      <w:start w:val="1"/>
      <w:numFmt w:val="decimal"/>
      <w:lvlText w:val="%7."/>
      <w:lvlJc w:val="left"/>
      <w:pPr>
        <w:ind w:left="5746" w:hanging="360"/>
      </w:pPr>
    </w:lvl>
    <w:lvl w:ilvl="7" w:tplc="181A0019" w:tentative="1">
      <w:start w:val="1"/>
      <w:numFmt w:val="lowerLetter"/>
      <w:lvlText w:val="%8."/>
      <w:lvlJc w:val="left"/>
      <w:pPr>
        <w:ind w:left="6466" w:hanging="360"/>
      </w:pPr>
    </w:lvl>
    <w:lvl w:ilvl="8" w:tplc="181A001B" w:tentative="1">
      <w:start w:val="1"/>
      <w:numFmt w:val="lowerRoman"/>
      <w:lvlText w:val="%9."/>
      <w:lvlJc w:val="right"/>
      <w:pPr>
        <w:ind w:left="7186" w:hanging="180"/>
      </w:pPr>
    </w:lvl>
  </w:abstractNum>
  <w:abstractNum w:abstractNumId="15">
    <w:nsid w:val="3351778A"/>
    <w:multiLevelType w:val="multilevel"/>
    <w:tmpl w:val="6D34F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4CB7B08"/>
    <w:multiLevelType w:val="multilevel"/>
    <w:tmpl w:val="1DF0F188"/>
    <w:lvl w:ilvl="0">
      <w:start w:val="1"/>
      <w:numFmt w:val="decimal"/>
      <w:lvlText w:val="%1."/>
      <w:lvlJc w:val="left"/>
      <w:pPr>
        <w:ind w:left="720" w:hanging="360"/>
      </w:pPr>
      <w:rPr>
        <w:rFonts w:hint="default"/>
        <w:sz w:val="24"/>
      </w:rPr>
    </w:lvl>
    <w:lvl w:ilvl="1">
      <w:start w:val="1"/>
      <w:numFmt w:val="bullet"/>
      <w:lvlText w:val=""/>
      <w:lvlJc w:val="left"/>
      <w:pPr>
        <w:ind w:left="1126" w:hanging="420"/>
      </w:pPr>
      <w:rPr>
        <w:rFonts w:ascii="Symbol" w:hAnsi="Symbol" w:hint="default"/>
      </w:rPr>
    </w:lvl>
    <w:lvl w:ilvl="2">
      <w:start w:val="1"/>
      <w:numFmt w:val="decimal"/>
      <w:isLgl/>
      <w:lvlText w:val="%1.%2.%3"/>
      <w:lvlJc w:val="left"/>
      <w:pPr>
        <w:ind w:left="1772" w:hanging="720"/>
      </w:pPr>
      <w:rPr>
        <w:rFonts w:hint="default"/>
      </w:rPr>
    </w:lvl>
    <w:lvl w:ilvl="3">
      <w:start w:val="1"/>
      <w:numFmt w:val="decimal"/>
      <w:isLgl/>
      <w:lvlText w:val="%1.%2.%3.%4"/>
      <w:lvlJc w:val="left"/>
      <w:pPr>
        <w:ind w:left="2118" w:hanging="720"/>
      </w:pPr>
      <w:rPr>
        <w:rFonts w:hint="default"/>
      </w:rPr>
    </w:lvl>
    <w:lvl w:ilvl="4">
      <w:start w:val="1"/>
      <w:numFmt w:val="decimal"/>
      <w:isLgl/>
      <w:lvlText w:val="%1.%2.%3.%4.%5"/>
      <w:lvlJc w:val="left"/>
      <w:pPr>
        <w:ind w:left="2824" w:hanging="1080"/>
      </w:pPr>
      <w:rPr>
        <w:rFonts w:hint="default"/>
      </w:rPr>
    </w:lvl>
    <w:lvl w:ilvl="5">
      <w:start w:val="1"/>
      <w:numFmt w:val="decimal"/>
      <w:isLgl/>
      <w:lvlText w:val="%1.%2.%3.%4.%5.%6"/>
      <w:lvlJc w:val="left"/>
      <w:pPr>
        <w:ind w:left="3170" w:hanging="1080"/>
      </w:pPr>
      <w:rPr>
        <w:rFonts w:hint="default"/>
      </w:rPr>
    </w:lvl>
    <w:lvl w:ilvl="6">
      <w:start w:val="1"/>
      <w:numFmt w:val="decimal"/>
      <w:isLgl/>
      <w:lvlText w:val="%1.%2.%3.%4.%5.%6.%7"/>
      <w:lvlJc w:val="left"/>
      <w:pPr>
        <w:ind w:left="3876" w:hanging="1440"/>
      </w:pPr>
      <w:rPr>
        <w:rFonts w:hint="default"/>
      </w:rPr>
    </w:lvl>
    <w:lvl w:ilvl="7">
      <w:start w:val="1"/>
      <w:numFmt w:val="decimal"/>
      <w:isLgl/>
      <w:lvlText w:val="%1.%2.%3.%4.%5.%6.%7.%8"/>
      <w:lvlJc w:val="left"/>
      <w:pPr>
        <w:ind w:left="4222" w:hanging="1440"/>
      </w:pPr>
      <w:rPr>
        <w:rFonts w:hint="default"/>
      </w:rPr>
    </w:lvl>
    <w:lvl w:ilvl="8">
      <w:start w:val="1"/>
      <w:numFmt w:val="decimal"/>
      <w:isLgl/>
      <w:lvlText w:val="%1.%2.%3.%4.%5.%6.%7.%8.%9"/>
      <w:lvlJc w:val="left"/>
      <w:pPr>
        <w:ind w:left="4928" w:hanging="1800"/>
      </w:pPr>
      <w:rPr>
        <w:rFonts w:hint="default"/>
      </w:rPr>
    </w:lvl>
  </w:abstractNum>
  <w:abstractNum w:abstractNumId="17">
    <w:nsid w:val="35A71197"/>
    <w:multiLevelType w:val="hybridMultilevel"/>
    <w:tmpl w:val="ED569DCE"/>
    <w:lvl w:ilvl="0" w:tplc="181A0011">
      <w:start w:val="1"/>
      <w:numFmt w:val="decimal"/>
      <w:lvlText w:val="%1)"/>
      <w:lvlJc w:val="left"/>
      <w:pPr>
        <w:ind w:left="2146" w:hanging="360"/>
      </w:pPr>
    </w:lvl>
    <w:lvl w:ilvl="1" w:tplc="181A0019" w:tentative="1">
      <w:start w:val="1"/>
      <w:numFmt w:val="lowerLetter"/>
      <w:lvlText w:val="%2."/>
      <w:lvlJc w:val="left"/>
      <w:pPr>
        <w:ind w:left="2866" w:hanging="360"/>
      </w:pPr>
    </w:lvl>
    <w:lvl w:ilvl="2" w:tplc="181A001B" w:tentative="1">
      <w:start w:val="1"/>
      <w:numFmt w:val="lowerRoman"/>
      <w:lvlText w:val="%3."/>
      <w:lvlJc w:val="right"/>
      <w:pPr>
        <w:ind w:left="3586" w:hanging="180"/>
      </w:pPr>
    </w:lvl>
    <w:lvl w:ilvl="3" w:tplc="181A000F" w:tentative="1">
      <w:start w:val="1"/>
      <w:numFmt w:val="decimal"/>
      <w:lvlText w:val="%4."/>
      <w:lvlJc w:val="left"/>
      <w:pPr>
        <w:ind w:left="4306" w:hanging="360"/>
      </w:pPr>
    </w:lvl>
    <w:lvl w:ilvl="4" w:tplc="181A0019" w:tentative="1">
      <w:start w:val="1"/>
      <w:numFmt w:val="lowerLetter"/>
      <w:lvlText w:val="%5."/>
      <w:lvlJc w:val="left"/>
      <w:pPr>
        <w:ind w:left="5026" w:hanging="360"/>
      </w:pPr>
    </w:lvl>
    <w:lvl w:ilvl="5" w:tplc="181A001B" w:tentative="1">
      <w:start w:val="1"/>
      <w:numFmt w:val="lowerRoman"/>
      <w:lvlText w:val="%6."/>
      <w:lvlJc w:val="right"/>
      <w:pPr>
        <w:ind w:left="5746" w:hanging="180"/>
      </w:pPr>
    </w:lvl>
    <w:lvl w:ilvl="6" w:tplc="181A000F" w:tentative="1">
      <w:start w:val="1"/>
      <w:numFmt w:val="decimal"/>
      <w:lvlText w:val="%7."/>
      <w:lvlJc w:val="left"/>
      <w:pPr>
        <w:ind w:left="6466" w:hanging="360"/>
      </w:pPr>
    </w:lvl>
    <w:lvl w:ilvl="7" w:tplc="181A0019" w:tentative="1">
      <w:start w:val="1"/>
      <w:numFmt w:val="lowerLetter"/>
      <w:lvlText w:val="%8."/>
      <w:lvlJc w:val="left"/>
      <w:pPr>
        <w:ind w:left="7186" w:hanging="360"/>
      </w:pPr>
    </w:lvl>
    <w:lvl w:ilvl="8" w:tplc="181A001B" w:tentative="1">
      <w:start w:val="1"/>
      <w:numFmt w:val="lowerRoman"/>
      <w:lvlText w:val="%9."/>
      <w:lvlJc w:val="right"/>
      <w:pPr>
        <w:ind w:left="7906" w:hanging="180"/>
      </w:pPr>
    </w:lvl>
  </w:abstractNum>
  <w:abstractNum w:abstractNumId="18">
    <w:nsid w:val="35C86625"/>
    <w:multiLevelType w:val="hybridMultilevel"/>
    <w:tmpl w:val="EAD6B14C"/>
    <w:lvl w:ilvl="0" w:tplc="181A000F">
      <w:start w:val="1"/>
      <w:numFmt w:val="decimal"/>
      <w:lvlText w:val="%1."/>
      <w:lvlJc w:val="left"/>
      <w:pPr>
        <w:ind w:left="1426" w:hanging="360"/>
      </w:pPr>
    </w:lvl>
    <w:lvl w:ilvl="1" w:tplc="181A0019" w:tentative="1">
      <w:start w:val="1"/>
      <w:numFmt w:val="lowerLetter"/>
      <w:lvlText w:val="%2."/>
      <w:lvlJc w:val="left"/>
      <w:pPr>
        <w:ind w:left="2146" w:hanging="360"/>
      </w:pPr>
    </w:lvl>
    <w:lvl w:ilvl="2" w:tplc="181A001B" w:tentative="1">
      <w:start w:val="1"/>
      <w:numFmt w:val="lowerRoman"/>
      <w:lvlText w:val="%3."/>
      <w:lvlJc w:val="right"/>
      <w:pPr>
        <w:ind w:left="2866" w:hanging="180"/>
      </w:pPr>
    </w:lvl>
    <w:lvl w:ilvl="3" w:tplc="181A000F" w:tentative="1">
      <w:start w:val="1"/>
      <w:numFmt w:val="decimal"/>
      <w:lvlText w:val="%4."/>
      <w:lvlJc w:val="left"/>
      <w:pPr>
        <w:ind w:left="3586" w:hanging="360"/>
      </w:pPr>
    </w:lvl>
    <w:lvl w:ilvl="4" w:tplc="181A0019" w:tentative="1">
      <w:start w:val="1"/>
      <w:numFmt w:val="lowerLetter"/>
      <w:lvlText w:val="%5."/>
      <w:lvlJc w:val="left"/>
      <w:pPr>
        <w:ind w:left="4306" w:hanging="360"/>
      </w:pPr>
    </w:lvl>
    <w:lvl w:ilvl="5" w:tplc="181A001B" w:tentative="1">
      <w:start w:val="1"/>
      <w:numFmt w:val="lowerRoman"/>
      <w:lvlText w:val="%6."/>
      <w:lvlJc w:val="right"/>
      <w:pPr>
        <w:ind w:left="5026" w:hanging="180"/>
      </w:pPr>
    </w:lvl>
    <w:lvl w:ilvl="6" w:tplc="181A000F" w:tentative="1">
      <w:start w:val="1"/>
      <w:numFmt w:val="decimal"/>
      <w:lvlText w:val="%7."/>
      <w:lvlJc w:val="left"/>
      <w:pPr>
        <w:ind w:left="5746" w:hanging="360"/>
      </w:pPr>
    </w:lvl>
    <w:lvl w:ilvl="7" w:tplc="181A0019" w:tentative="1">
      <w:start w:val="1"/>
      <w:numFmt w:val="lowerLetter"/>
      <w:lvlText w:val="%8."/>
      <w:lvlJc w:val="left"/>
      <w:pPr>
        <w:ind w:left="6466" w:hanging="360"/>
      </w:pPr>
    </w:lvl>
    <w:lvl w:ilvl="8" w:tplc="181A001B" w:tentative="1">
      <w:start w:val="1"/>
      <w:numFmt w:val="lowerRoman"/>
      <w:lvlText w:val="%9."/>
      <w:lvlJc w:val="right"/>
      <w:pPr>
        <w:ind w:left="7186" w:hanging="180"/>
      </w:pPr>
    </w:lvl>
  </w:abstractNum>
  <w:abstractNum w:abstractNumId="19">
    <w:nsid w:val="36C573C7"/>
    <w:multiLevelType w:val="hybridMultilevel"/>
    <w:tmpl w:val="B83C58DA"/>
    <w:lvl w:ilvl="0" w:tplc="181A0001">
      <w:start w:val="1"/>
      <w:numFmt w:val="bullet"/>
      <w:lvlText w:val=""/>
      <w:lvlJc w:val="left"/>
      <w:pPr>
        <w:ind w:left="720" w:hanging="360"/>
      </w:pPr>
      <w:rPr>
        <w:rFonts w:ascii="Symbol" w:hAnsi="Symbol"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abstractNum w:abstractNumId="20">
    <w:nsid w:val="36FC2F94"/>
    <w:multiLevelType w:val="multilevel"/>
    <w:tmpl w:val="B816C682"/>
    <w:lvl w:ilvl="0">
      <w:start w:val="1"/>
      <w:numFmt w:val="decimal"/>
      <w:lvlText w:val="%1."/>
      <w:lvlJc w:val="left"/>
      <w:pPr>
        <w:ind w:left="720" w:hanging="360"/>
      </w:pPr>
      <w:rPr>
        <w:rFonts w:hint="default"/>
      </w:rPr>
    </w:lvl>
    <w:lvl w:ilvl="1">
      <w:start w:val="1"/>
      <w:numFmt w:val="bullet"/>
      <w:lvlText w:val=""/>
      <w:lvlJc w:val="left"/>
      <w:pPr>
        <w:ind w:left="1126" w:hanging="420"/>
      </w:pPr>
      <w:rPr>
        <w:rFonts w:ascii="Symbol" w:hAnsi="Symbol" w:hint="default"/>
      </w:rPr>
    </w:lvl>
    <w:lvl w:ilvl="2">
      <w:start w:val="1"/>
      <w:numFmt w:val="decimal"/>
      <w:isLgl/>
      <w:lvlText w:val="%1.%2.%3"/>
      <w:lvlJc w:val="left"/>
      <w:pPr>
        <w:ind w:left="1772" w:hanging="720"/>
      </w:pPr>
      <w:rPr>
        <w:rFonts w:hint="default"/>
      </w:rPr>
    </w:lvl>
    <w:lvl w:ilvl="3">
      <w:start w:val="1"/>
      <w:numFmt w:val="decimal"/>
      <w:isLgl/>
      <w:lvlText w:val="%1.%2.%3.%4"/>
      <w:lvlJc w:val="left"/>
      <w:pPr>
        <w:ind w:left="2118" w:hanging="720"/>
      </w:pPr>
      <w:rPr>
        <w:rFonts w:hint="default"/>
      </w:rPr>
    </w:lvl>
    <w:lvl w:ilvl="4">
      <w:start w:val="1"/>
      <w:numFmt w:val="decimal"/>
      <w:isLgl/>
      <w:lvlText w:val="%1.%2.%3.%4.%5"/>
      <w:lvlJc w:val="left"/>
      <w:pPr>
        <w:ind w:left="2824" w:hanging="1080"/>
      </w:pPr>
      <w:rPr>
        <w:rFonts w:hint="default"/>
      </w:rPr>
    </w:lvl>
    <w:lvl w:ilvl="5">
      <w:start w:val="1"/>
      <w:numFmt w:val="decimal"/>
      <w:isLgl/>
      <w:lvlText w:val="%1.%2.%3.%4.%5.%6"/>
      <w:lvlJc w:val="left"/>
      <w:pPr>
        <w:ind w:left="3170" w:hanging="1080"/>
      </w:pPr>
      <w:rPr>
        <w:rFonts w:hint="default"/>
      </w:rPr>
    </w:lvl>
    <w:lvl w:ilvl="6">
      <w:start w:val="1"/>
      <w:numFmt w:val="decimal"/>
      <w:isLgl/>
      <w:lvlText w:val="%1.%2.%3.%4.%5.%6.%7"/>
      <w:lvlJc w:val="left"/>
      <w:pPr>
        <w:ind w:left="3876" w:hanging="1440"/>
      </w:pPr>
      <w:rPr>
        <w:rFonts w:hint="default"/>
      </w:rPr>
    </w:lvl>
    <w:lvl w:ilvl="7">
      <w:start w:val="1"/>
      <w:numFmt w:val="decimal"/>
      <w:isLgl/>
      <w:lvlText w:val="%1.%2.%3.%4.%5.%6.%7.%8"/>
      <w:lvlJc w:val="left"/>
      <w:pPr>
        <w:ind w:left="4222" w:hanging="1440"/>
      </w:pPr>
      <w:rPr>
        <w:rFonts w:hint="default"/>
      </w:rPr>
    </w:lvl>
    <w:lvl w:ilvl="8">
      <w:start w:val="1"/>
      <w:numFmt w:val="decimal"/>
      <w:isLgl/>
      <w:lvlText w:val="%1.%2.%3.%4.%5.%6.%7.%8.%9"/>
      <w:lvlJc w:val="left"/>
      <w:pPr>
        <w:ind w:left="4928" w:hanging="1800"/>
      </w:pPr>
      <w:rPr>
        <w:rFonts w:hint="default"/>
      </w:rPr>
    </w:lvl>
  </w:abstractNum>
  <w:abstractNum w:abstractNumId="21">
    <w:nsid w:val="386D77DB"/>
    <w:multiLevelType w:val="hybridMultilevel"/>
    <w:tmpl w:val="9BA477D2"/>
    <w:lvl w:ilvl="0" w:tplc="181A000F">
      <w:start w:val="1"/>
      <w:numFmt w:val="decimal"/>
      <w:lvlText w:val="%1."/>
      <w:lvlJc w:val="left"/>
      <w:pPr>
        <w:ind w:left="720" w:hanging="360"/>
      </w:p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22">
    <w:nsid w:val="3CFF5364"/>
    <w:multiLevelType w:val="multilevel"/>
    <w:tmpl w:val="B4163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D1D341F"/>
    <w:multiLevelType w:val="hybridMultilevel"/>
    <w:tmpl w:val="75D61A76"/>
    <w:lvl w:ilvl="0" w:tplc="181A000F">
      <w:start w:val="1"/>
      <w:numFmt w:val="decimal"/>
      <w:lvlText w:val="%1."/>
      <w:lvlJc w:val="left"/>
      <w:pPr>
        <w:ind w:left="720" w:hanging="360"/>
      </w:p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24">
    <w:nsid w:val="402C078D"/>
    <w:multiLevelType w:val="multilevel"/>
    <w:tmpl w:val="DC124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8523F1C"/>
    <w:multiLevelType w:val="hybridMultilevel"/>
    <w:tmpl w:val="CC068D5C"/>
    <w:lvl w:ilvl="0" w:tplc="181A0001">
      <w:start w:val="1"/>
      <w:numFmt w:val="bullet"/>
      <w:lvlText w:val=""/>
      <w:lvlJc w:val="left"/>
      <w:pPr>
        <w:ind w:left="1426" w:hanging="360"/>
      </w:pPr>
      <w:rPr>
        <w:rFonts w:ascii="Symbol" w:hAnsi="Symbol" w:hint="default"/>
      </w:rPr>
    </w:lvl>
    <w:lvl w:ilvl="1" w:tplc="181A0003" w:tentative="1">
      <w:start w:val="1"/>
      <w:numFmt w:val="bullet"/>
      <w:lvlText w:val="o"/>
      <w:lvlJc w:val="left"/>
      <w:pPr>
        <w:ind w:left="2146" w:hanging="360"/>
      </w:pPr>
      <w:rPr>
        <w:rFonts w:ascii="Courier New" w:hAnsi="Courier New" w:cs="Courier New" w:hint="default"/>
      </w:rPr>
    </w:lvl>
    <w:lvl w:ilvl="2" w:tplc="181A0005" w:tentative="1">
      <w:start w:val="1"/>
      <w:numFmt w:val="bullet"/>
      <w:lvlText w:val=""/>
      <w:lvlJc w:val="left"/>
      <w:pPr>
        <w:ind w:left="2866" w:hanging="360"/>
      </w:pPr>
      <w:rPr>
        <w:rFonts w:ascii="Wingdings" w:hAnsi="Wingdings" w:hint="default"/>
      </w:rPr>
    </w:lvl>
    <w:lvl w:ilvl="3" w:tplc="181A0001" w:tentative="1">
      <w:start w:val="1"/>
      <w:numFmt w:val="bullet"/>
      <w:lvlText w:val=""/>
      <w:lvlJc w:val="left"/>
      <w:pPr>
        <w:ind w:left="3586" w:hanging="360"/>
      </w:pPr>
      <w:rPr>
        <w:rFonts w:ascii="Symbol" w:hAnsi="Symbol" w:hint="default"/>
      </w:rPr>
    </w:lvl>
    <w:lvl w:ilvl="4" w:tplc="181A0003" w:tentative="1">
      <w:start w:val="1"/>
      <w:numFmt w:val="bullet"/>
      <w:lvlText w:val="o"/>
      <w:lvlJc w:val="left"/>
      <w:pPr>
        <w:ind w:left="4306" w:hanging="360"/>
      </w:pPr>
      <w:rPr>
        <w:rFonts w:ascii="Courier New" w:hAnsi="Courier New" w:cs="Courier New" w:hint="default"/>
      </w:rPr>
    </w:lvl>
    <w:lvl w:ilvl="5" w:tplc="181A0005" w:tentative="1">
      <w:start w:val="1"/>
      <w:numFmt w:val="bullet"/>
      <w:lvlText w:val=""/>
      <w:lvlJc w:val="left"/>
      <w:pPr>
        <w:ind w:left="5026" w:hanging="360"/>
      </w:pPr>
      <w:rPr>
        <w:rFonts w:ascii="Wingdings" w:hAnsi="Wingdings" w:hint="default"/>
      </w:rPr>
    </w:lvl>
    <w:lvl w:ilvl="6" w:tplc="181A0001" w:tentative="1">
      <w:start w:val="1"/>
      <w:numFmt w:val="bullet"/>
      <w:lvlText w:val=""/>
      <w:lvlJc w:val="left"/>
      <w:pPr>
        <w:ind w:left="5746" w:hanging="360"/>
      </w:pPr>
      <w:rPr>
        <w:rFonts w:ascii="Symbol" w:hAnsi="Symbol" w:hint="default"/>
      </w:rPr>
    </w:lvl>
    <w:lvl w:ilvl="7" w:tplc="181A0003" w:tentative="1">
      <w:start w:val="1"/>
      <w:numFmt w:val="bullet"/>
      <w:lvlText w:val="o"/>
      <w:lvlJc w:val="left"/>
      <w:pPr>
        <w:ind w:left="6466" w:hanging="360"/>
      </w:pPr>
      <w:rPr>
        <w:rFonts w:ascii="Courier New" w:hAnsi="Courier New" w:cs="Courier New" w:hint="default"/>
      </w:rPr>
    </w:lvl>
    <w:lvl w:ilvl="8" w:tplc="181A0005" w:tentative="1">
      <w:start w:val="1"/>
      <w:numFmt w:val="bullet"/>
      <w:lvlText w:val=""/>
      <w:lvlJc w:val="left"/>
      <w:pPr>
        <w:ind w:left="7186" w:hanging="360"/>
      </w:pPr>
      <w:rPr>
        <w:rFonts w:ascii="Wingdings" w:hAnsi="Wingdings" w:hint="default"/>
      </w:rPr>
    </w:lvl>
  </w:abstractNum>
  <w:abstractNum w:abstractNumId="26">
    <w:nsid w:val="4944797A"/>
    <w:multiLevelType w:val="hybridMultilevel"/>
    <w:tmpl w:val="0288527E"/>
    <w:lvl w:ilvl="0" w:tplc="E0E8E6E8">
      <w:start w:val="1"/>
      <w:numFmt w:val="decimal"/>
      <w:lvlText w:val="%1."/>
      <w:lvlJc w:val="left"/>
      <w:pPr>
        <w:ind w:left="1390" w:hanging="360"/>
      </w:pPr>
      <w:rPr>
        <w:rFonts w:hint="default"/>
      </w:rPr>
    </w:lvl>
    <w:lvl w:ilvl="1" w:tplc="04090019" w:tentative="1">
      <w:start w:val="1"/>
      <w:numFmt w:val="lowerLetter"/>
      <w:lvlText w:val="%2."/>
      <w:lvlJc w:val="left"/>
      <w:pPr>
        <w:ind w:left="2110" w:hanging="360"/>
      </w:pPr>
    </w:lvl>
    <w:lvl w:ilvl="2" w:tplc="0409001B" w:tentative="1">
      <w:start w:val="1"/>
      <w:numFmt w:val="lowerRoman"/>
      <w:lvlText w:val="%3."/>
      <w:lvlJc w:val="right"/>
      <w:pPr>
        <w:ind w:left="2830" w:hanging="180"/>
      </w:pPr>
    </w:lvl>
    <w:lvl w:ilvl="3" w:tplc="0409000F" w:tentative="1">
      <w:start w:val="1"/>
      <w:numFmt w:val="decimal"/>
      <w:lvlText w:val="%4."/>
      <w:lvlJc w:val="left"/>
      <w:pPr>
        <w:ind w:left="3550" w:hanging="360"/>
      </w:pPr>
    </w:lvl>
    <w:lvl w:ilvl="4" w:tplc="04090019" w:tentative="1">
      <w:start w:val="1"/>
      <w:numFmt w:val="lowerLetter"/>
      <w:lvlText w:val="%5."/>
      <w:lvlJc w:val="left"/>
      <w:pPr>
        <w:ind w:left="4270" w:hanging="360"/>
      </w:pPr>
    </w:lvl>
    <w:lvl w:ilvl="5" w:tplc="0409001B" w:tentative="1">
      <w:start w:val="1"/>
      <w:numFmt w:val="lowerRoman"/>
      <w:lvlText w:val="%6."/>
      <w:lvlJc w:val="right"/>
      <w:pPr>
        <w:ind w:left="4990" w:hanging="180"/>
      </w:pPr>
    </w:lvl>
    <w:lvl w:ilvl="6" w:tplc="0409000F" w:tentative="1">
      <w:start w:val="1"/>
      <w:numFmt w:val="decimal"/>
      <w:lvlText w:val="%7."/>
      <w:lvlJc w:val="left"/>
      <w:pPr>
        <w:ind w:left="5710" w:hanging="360"/>
      </w:pPr>
    </w:lvl>
    <w:lvl w:ilvl="7" w:tplc="04090019" w:tentative="1">
      <w:start w:val="1"/>
      <w:numFmt w:val="lowerLetter"/>
      <w:lvlText w:val="%8."/>
      <w:lvlJc w:val="left"/>
      <w:pPr>
        <w:ind w:left="6430" w:hanging="360"/>
      </w:pPr>
    </w:lvl>
    <w:lvl w:ilvl="8" w:tplc="0409001B" w:tentative="1">
      <w:start w:val="1"/>
      <w:numFmt w:val="lowerRoman"/>
      <w:lvlText w:val="%9."/>
      <w:lvlJc w:val="right"/>
      <w:pPr>
        <w:ind w:left="7150" w:hanging="180"/>
      </w:pPr>
    </w:lvl>
  </w:abstractNum>
  <w:abstractNum w:abstractNumId="27">
    <w:nsid w:val="50174FA9"/>
    <w:multiLevelType w:val="hybridMultilevel"/>
    <w:tmpl w:val="A6BAD082"/>
    <w:lvl w:ilvl="0" w:tplc="181A0001">
      <w:start w:val="1"/>
      <w:numFmt w:val="bullet"/>
      <w:lvlText w:val=""/>
      <w:lvlJc w:val="left"/>
      <w:pPr>
        <w:ind w:left="720" w:hanging="360"/>
      </w:pPr>
      <w:rPr>
        <w:rFonts w:ascii="Symbol" w:hAnsi="Symbol"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abstractNum w:abstractNumId="28">
    <w:nsid w:val="52B24C4C"/>
    <w:multiLevelType w:val="hybridMultilevel"/>
    <w:tmpl w:val="33BC27EE"/>
    <w:lvl w:ilvl="0" w:tplc="181A000F">
      <w:start w:val="1"/>
      <w:numFmt w:val="decimal"/>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29">
    <w:nsid w:val="57D12B96"/>
    <w:multiLevelType w:val="hybridMultilevel"/>
    <w:tmpl w:val="AD52BB0C"/>
    <w:lvl w:ilvl="0" w:tplc="181A0001">
      <w:start w:val="1"/>
      <w:numFmt w:val="bullet"/>
      <w:lvlText w:val=""/>
      <w:lvlJc w:val="left"/>
      <w:pPr>
        <w:ind w:left="720" w:hanging="360"/>
      </w:pPr>
      <w:rPr>
        <w:rFonts w:ascii="Symbol" w:hAnsi="Symbol"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abstractNum w:abstractNumId="30">
    <w:nsid w:val="5B31241F"/>
    <w:multiLevelType w:val="multilevel"/>
    <w:tmpl w:val="D9F8A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EFF170F"/>
    <w:multiLevelType w:val="multilevel"/>
    <w:tmpl w:val="181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6669113E"/>
    <w:multiLevelType w:val="hybridMultilevel"/>
    <w:tmpl w:val="6F8CB336"/>
    <w:lvl w:ilvl="0" w:tplc="181A0001">
      <w:start w:val="1"/>
      <w:numFmt w:val="bullet"/>
      <w:lvlText w:val=""/>
      <w:lvlJc w:val="left"/>
      <w:pPr>
        <w:ind w:left="1426" w:hanging="360"/>
      </w:pPr>
      <w:rPr>
        <w:rFonts w:ascii="Symbol" w:hAnsi="Symbol" w:hint="default"/>
      </w:rPr>
    </w:lvl>
    <w:lvl w:ilvl="1" w:tplc="181A0003" w:tentative="1">
      <w:start w:val="1"/>
      <w:numFmt w:val="bullet"/>
      <w:lvlText w:val="o"/>
      <w:lvlJc w:val="left"/>
      <w:pPr>
        <w:ind w:left="2146" w:hanging="360"/>
      </w:pPr>
      <w:rPr>
        <w:rFonts w:ascii="Courier New" w:hAnsi="Courier New" w:cs="Courier New" w:hint="default"/>
      </w:rPr>
    </w:lvl>
    <w:lvl w:ilvl="2" w:tplc="181A0005" w:tentative="1">
      <w:start w:val="1"/>
      <w:numFmt w:val="bullet"/>
      <w:lvlText w:val=""/>
      <w:lvlJc w:val="left"/>
      <w:pPr>
        <w:ind w:left="2866" w:hanging="360"/>
      </w:pPr>
      <w:rPr>
        <w:rFonts w:ascii="Wingdings" w:hAnsi="Wingdings" w:hint="default"/>
      </w:rPr>
    </w:lvl>
    <w:lvl w:ilvl="3" w:tplc="181A0001" w:tentative="1">
      <w:start w:val="1"/>
      <w:numFmt w:val="bullet"/>
      <w:lvlText w:val=""/>
      <w:lvlJc w:val="left"/>
      <w:pPr>
        <w:ind w:left="3586" w:hanging="360"/>
      </w:pPr>
      <w:rPr>
        <w:rFonts w:ascii="Symbol" w:hAnsi="Symbol" w:hint="default"/>
      </w:rPr>
    </w:lvl>
    <w:lvl w:ilvl="4" w:tplc="181A0003" w:tentative="1">
      <w:start w:val="1"/>
      <w:numFmt w:val="bullet"/>
      <w:lvlText w:val="o"/>
      <w:lvlJc w:val="left"/>
      <w:pPr>
        <w:ind w:left="4306" w:hanging="360"/>
      </w:pPr>
      <w:rPr>
        <w:rFonts w:ascii="Courier New" w:hAnsi="Courier New" w:cs="Courier New" w:hint="default"/>
      </w:rPr>
    </w:lvl>
    <w:lvl w:ilvl="5" w:tplc="181A0005" w:tentative="1">
      <w:start w:val="1"/>
      <w:numFmt w:val="bullet"/>
      <w:lvlText w:val=""/>
      <w:lvlJc w:val="left"/>
      <w:pPr>
        <w:ind w:left="5026" w:hanging="360"/>
      </w:pPr>
      <w:rPr>
        <w:rFonts w:ascii="Wingdings" w:hAnsi="Wingdings" w:hint="default"/>
      </w:rPr>
    </w:lvl>
    <w:lvl w:ilvl="6" w:tplc="181A0001" w:tentative="1">
      <w:start w:val="1"/>
      <w:numFmt w:val="bullet"/>
      <w:lvlText w:val=""/>
      <w:lvlJc w:val="left"/>
      <w:pPr>
        <w:ind w:left="5746" w:hanging="360"/>
      </w:pPr>
      <w:rPr>
        <w:rFonts w:ascii="Symbol" w:hAnsi="Symbol" w:hint="default"/>
      </w:rPr>
    </w:lvl>
    <w:lvl w:ilvl="7" w:tplc="181A0003" w:tentative="1">
      <w:start w:val="1"/>
      <w:numFmt w:val="bullet"/>
      <w:lvlText w:val="o"/>
      <w:lvlJc w:val="left"/>
      <w:pPr>
        <w:ind w:left="6466" w:hanging="360"/>
      </w:pPr>
      <w:rPr>
        <w:rFonts w:ascii="Courier New" w:hAnsi="Courier New" w:cs="Courier New" w:hint="default"/>
      </w:rPr>
    </w:lvl>
    <w:lvl w:ilvl="8" w:tplc="181A0005" w:tentative="1">
      <w:start w:val="1"/>
      <w:numFmt w:val="bullet"/>
      <w:lvlText w:val=""/>
      <w:lvlJc w:val="left"/>
      <w:pPr>
        <w:ind w:left="7186" w:hanging="360"/>
      </w:pPr>
      <w:rPr>
        <w:rFonts w:ascii="Wingdings" w:hAnsi="Wingdings" w:hint="default"/>
      </w:rPr>
    </w:lvl>
  </w:abstractNum>
  <w:abstractNum w:abstractNumId="33">
    <w:nsid w:val="67D22BF0"/>
    <w:multiLevelType w:val="multilevel"/>
    <w:tmpl w:val="BAACF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4B773B9"/>
    <w:multiLevelType w:val="hybridMultilevel"/>
    <w:tmpl w:val="ACDE64D0"/>
    <w:lvl w:ilvl="0" w:tplc="181A0001">
      <w:start w:val="1"/>
      <w:numFmt w:val="bullet"/>
      <w:lvlText w:val=""/>
      <w:lvlJc w:val="left"/>
      <w:pPr>
        <w:ind w:left="720" w:hanging="360"/>
      </w:pPr>
      <w:rPr>
        <w:rFonts w:ascii="Symbol" w:hAnsi="Symbol"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abstractNum w:abstractNumId="35">
    <w:nsid w:val="75173F54"/>
    <w:multiLevelType w:val="multilevel"/>
    <w:tmpl w:val="633EB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7A716C4"/>
    <w:multiLevelType w:val="multilevel"/>
    <w:tmpl w:val="470AC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CF646C5"/>
    <w:multiLevelType w:val="multilevel"/>
    <w:tmpl w:val="8AEE6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D336763"/>
    <w:multiLevelType w:val="hybridMultilevel"/>
    <w:tmpl w:val="159AF30A"/>
    <w:lvl w:ilvl="0" w:tplc="181A0001">
      <w:start w:val="1"/>
      <w:numFmt w:val="bullet"/>
      <w:lvlText w:val=""/>
      <w:lvlJc w:val="left"/>
      <w:pPr>
        <w:ind w:left="1426" w:hanging="360"/>
      </w:pPr>
      <w:rPr>
        <w:rFonts w:ascii="Symbol" w:hAnsi="Symbol" w:hint="default"/>
      </w:rPr>
    </w:lvl>
    <w:lvl w:ilvl="1" w:tplc="181A0003" w:tentative="1">
      <w:start w:val="1"/>
      <w:numFmt w:val="bullet"/>
      <w:lvlText w:val="o"/>
      <w:lvlJc w:val="left"/>
      <w:pPr>
        <w:ind w:left="2146" w:hanging="360"/>
      </w:pPr>
      <w:rPr>
        <w:rFonts w:ascii="Courier New" w:hAnsi="Courier New" w:cs="Courier New" w:hint="default"/>
      </w:rPr>
    </w:lvl>
    <w:lvl w:ilvl="2" w:tplc="181A0005" w:tentative="1">
      <w:start w:val="1"/>
      <w:numFmt w:val="bullet"/>
      <w:lvlText w:val=""/>
      <w:lvlJc w:val="left"/>
      <w:pPr>
        <w:ind w:left="2866" w:hanging="360"/>
      </w:pPr>
      <w:rPr>
        <w:rFonts w:ascii="Wingdings" w:hAnsi="Wingdings" w:hint="default"/>
      </w:rPr>
    </w:lvl>
    <w:lvl w:ilvl="3" w:tplc="181A0001" w:tentative="1">
      <w:start w:val="1"/>
      <w:numFmt w:val="bullet"/>
      <w:lvlText w:val=""/>
      <w:lvlJc w:val="left"/>
      <w:pPr>
        <w:ind w:left="3586" w:hanging="360"/>
      </w:pPr>
      <w:rPr>
        <w:rFonts w:ascii="Symbol" w:hAnsi="Symbol" w:hint="default"/>
      </w:rPr>
    </w:lvl>
    <w:lvl w:ilvl="4" w:tplc="181A0003" w:tentative="1">
      <w:start w:val="1"/>
      <w:numFmt w:val="bullet"/>
      <w:lvlText w:val="o"/>
      <w:lvlJc w:val="left"/>
      <w:pPr>
        <w:ind w:left="4306" w:hanging="360"/>
      </w:pPr>
      <w:rPr>
        <w:rFonts w:ascii="Courier New" w:hAnsi="Courier New" w:cs="Courier New" w:hint="default"/>
      </w:rPr>
    </w:lvl>
    <w:lvl w:ilvl="5" w:tplc="181A0005" w:tentative="1">
      <w:start w:val="1"/>
      <w:numFmt w:val="bullet"/>
      <w:lvlText w:val=""/>
      <w:lvlJc w:val="left"/>
      <w:pPr>
        <w:ind w:left="5026" w:hanging="360"/>
      </w:pPr>
      <w:rPr>
        <w:rFonts w:ascii="Wingdings" w:hAnsi="Wingdings" w:hint="default"/>
      </w:rPr>
    </w:lvl>
    <w:lvl w:ilvl="6" w:tplc="181A0001" w:tentative="1">
      <w:start w:val="1"/>
      <w:numFmt w:val="bullet"/>
      <w:lvlText w:val=""/>
      <w:lvlJc w:val="left"/>
      <w:pPr>
        <w:ind w:left="5746" w:hanging="360"/>
      </w:pPr>
      <w:rPr>
        <w:rFonts w:ascii="Symbol" w:hAnsi="Symbol" w:hint="default"/>
      </w:rPr>
    </w:lvl>
    <w:lvl w:ilvl="7" w:tplc="181A0003" w:tentative="1">
      <w:start w:val="1"/>
      <w:numFmt w:val="bullet"/>
      <w:lvlText w:val="o"/>
      <w:lvlJc w:val="left"/>
      <w:pPr>
        <w:ind w:left="6466" w:hanging="360"/>
      </w:pPr>
      <w:rPr>
        <w:rFonts w:ascii="Courier New" w:hAnsi="Courier New" w:cs="Courier New" w:hint="default"/>
      </w:rPr>
    </w:lvl>
    <w:lvl w:ilvl="8" w:tplc="181A0005" w:tentative="1">
      <w:start w:val="1"/>
      <w:numFmt w:val="bullet"/>
      <w:lvlText w:val=""/>
      <w:lvlJc w:val="left"/>
      <w:pPr>
        <w:ind w:left="7186" w:hanging="360"/>
      </w:pPr>
      <w:rPr>
        <w:rFonts w:ascii="Wingdings" w:hAnsi="Wingdings" w:hint="default"/>
      </w:rPr>
    </w:lvl>
  </w:abstractNum>
  <w:num w:numId="1">
    <w:abstractNumId w:val="28"/>
  </w:num>
  <w:num w:numId="2">
    <w:abstractNumId w:val="20"/>
  </w:num>
  <w:num w:numId="3">
    <w:abstractNumId w:val="23"/>
  </w:num>
  <w:num w:numId="4">
    <w:abstractNumId w:val="34"/>
  </w:num>
  <w:num w:numId="5">
    <w:abstractNumId w:val="11"/>
  </w:num>
  <w:num w:numId="6">
    <w:abstractNumId w:val="0"/>
  </w:num>
  <w:num w:numId="7">
    <w:abstractNumId w:val="17"/>
  </w:num>
  <w:num w:numId="8">
    <w:abstractNumId w:val="12"/>
  </w:num>
  <w:num w:numId="9">
    <w:abstractNumId w:val="5"/>
  </w:num>
  <w:num w:numId="10">
    <w:abstractNumId w:val="27"/>
  </w:num>
  <w:num w:numId="11">
    <w:abstractNumId w:val="16"/>
  </w:num>
  <w:num w:numId="12">
    <w:abstractNumId w:val="2"/>
  </w:num>
  <w:num w:numId="13">
    <w:abstractNumId w:val="38"/>
  </w:num>
  <w:num w:numId="14">
    <w:abstractNumId w:val="19"/>
  </w:num>
  <w:num w:numId="15">
    <w:abstractNumId w:val="18"/>
  </w:num>
  <w:num w:numId="16">
    <w:abstractNumId w:val="21"/>
  </w:num>
  <w:num w:numId="17">
    <w:abstractNumId w:val="29"/>
  </w:num>
  <w:num w:numId="18">
    <w:abstractNumId w:val="8"/>
  </w:num>
  <w:num w:numId="19">
    <w:abstractNumId w:val="4"/>
  </w:num>
  <w:num w:numId="20">
    <w:abstractNumId w:val="14"/>
  </w:num>
  <w:num w:numId="21">
    <w:abstractNumId w:val="32"/>
  </w:num>
  <w:num w:numId="22">
    <w:abstractNumId w:val="13"/>
  </w:num>
  <w:num w:numId="23">
    <w:abstractNumId w:val="25"/>
  </w:num>
  <w:num w:numId="24">
    <w:abstractNumId w:val="1"/>
  </w:num>
  <w:num w:numId="25">
    <w:abstractNumId w:val="31"/>
  </w:num>
  <w:num w:numId="26">
    <w:abstractNumId w:val="30"/>
  </w:num>
  <w:num w:numId="27">
    <w:abstractNumId w:val="22"/>
  </w:num>
  <w:num w:numId="28">
    <w:abstractNumId w:val="7"/>
  </w:num>
  <w:num w:numId="29">
    <w:abstractNumId w:val="24"/>
  </w:num>
  <w:num w:numId="30">
    <w:abstractNumId w:val="26"/>
  </w:num>
  <w:num w:numId="31">
    <w:abstractNumId w:val="9"/>
  </w:num>
  <w:num w:numId="32">
    <w:abstractNumId w:val="6"/>
  </w:num>
  <w:num w:numId="33">
    <w:abstractNumId w:val="10"/>
  </w:num>
  <w:num w:numId="34">
    <w:abstractNumId w:val="35"/>
  </w:num>
  <w:num w:numId="35">
    <w:abstractNumId w:val="37"/>
  </w:num>
  <w:num w:numId="36">
    <w:abstractNumId w:val="3"/>
  </w:num>
  <w:num w:numId="37">
    <w:abstractNumId w:val="33"/>
  </w:num>
  <w:num w:numId="38">
    <w:abstractNumId w:val="15"/>
  </w:num>
  <w:num w:numId="3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4759"/>
    <w:rsid w:val="000073B0"/>
    <w:rsid w:val="000337A2"/>
    <w:rsid w:val="000B5D47"/>
    <w:rsid w:val="0011060A"/>
    <w:rsid w:val="00130764"/>
    <w:rsid w:val="001735E2"/>
    <w:rsid w:val="001A2567"/>
    <w:rsid w:val="001C6E6E"/>
    <w:rsid w:val="002035AC"/>
    <w:rsid w:val="00204DE7"/>
    <w:rsid w:val="002857B6"/>
    <w:rsid w:val="002A0690"/>
    <w:rsid w:val="0037728F"/>
    <w:rsid w:val="0039236D"/>
    <w:rsid w:val="003D4BF3"/>
    <w:rsid w:val="003E466A"/>
    <w:rsid w:val="003F2C10"/>
    <w:rsid w:val="0041019F"/>
    <w:rsid w:val="00472F11"/>
    <w:rsid w:val="00490E31"/>
    <w:rsid w:val="004B6AA2"/>
    <w:rsid w:val="005A79FF"/>
    <w:rsid w:val="005B5512"/>
    <w:rsid w:val="005C4C4A"/>
    <w:rsid w:val="005F1A8D"/>
    <w:rsid w:val="005F640F"/>
    <w:rsid w:val="00690730"/>
    <w:rsid w:val="006C6EB4"/>
    <w:rsid w:val="006E3F2B"/>
    <w:rsid w:val="00735280"/>
    <w:rsid w:val="007B3590"/>
    <w:rsid w:val="00847F2D"/>
    <w:rsid w:val="0086249F"/>
    <w:rsid w:val="00894239"/>
    <w:rsid w:val="00920436"/>
    <w:rsid w:val="00954134"/>
    <w:rsid w:val="0095461A"/>
    <w:rsid w:val="0096740A"/>
    <w:rsid w:val="00A31312"/>
    <w:rsid w:val="00A35694"/>
    <w:rsid w:val="00A66B0E"/>
    <w:rsid w:val="00AA5CAD"/>
    <w:rsid w:val="00B00FDC"/>
    <w:rsid w:val="00B044D3"/>
    <w:rsid w:val="00B56BCD"/>
    <w:rsid w:val="00BB4EE6"/>
    <w:rsid w:val="00BC0A6E"/>
    <w:rsid w:val="00C24420"/>
    <w:rsid w:val="00C24759"/>
    <w:rsid w:val="00C32DD1"/>
    <w:rsid w:val="00C7737F"/>
    <w:rsid w:val="00CA330B"/>
    <w:rsid w:val="00CE2DB3"/>
    <w:rsid w:val="00DA2EE8"/>
    <w:rsid w:val="00E034AC"/>
    <w:rsid w:val="00E73F41"/>
    <w:rsid w:val="00E81283"/>
    <w:rsid w:val="00EB1CA5"/>
    <w:rsid w:val="00EF1300"/>
    <w:rsid w:val="00F05732"/>
    <w:rsid w:val="00F15131"/>
    <w:rsid w:val="00F3278F"/>
    <w:rsid w:val="00F43D2D"/>
    <w:rsid w:val="00F46B04"/>
    <w:rsid w:val="00F8530D"/>
    <w:rsid w:val="00FC04FE"/>
    <w:rsid w:val="00FD30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B9E5586-EB3E-4BDF-9985-C8AB995F0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59"/>
    <w:rPr>
      <w:lang w:val="sr-Latn-BA"/>
    </w:rPr>
  </w:style>
  <w:style w:type="paragraph" w:styleId="Heading1">
    <w:name w:val="heading 1"/>
    <w:basedOn w:val="Normal"/>
    <w:next w:val="Normal"/>
    <w:link w:val="Heading1Char"/>
    <w:uiPriority w:val="9"/>
    <w:qFormat/>
    <w:rsid w:val="00C24759"/>
    <w:pPr>
      <w:keepNext/>
      <w:keepLines/>
      <w:spacing w:before="240" w:after="240" w:line="240" w:lineRule="auto"/>
      <w:ind w:left="708"/>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C24759"/>
    <w:pPr>
      <w:keepNext/>
      <w:keepLines/>
      <w:spacing w:before="280" w:after="240"/>
      <w:ind w:left="708"/>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C24759"/>
    <w:pPr>
      <w:keepNext/>
      <w:keepLines/>
      <w:spacing w:before="280" w:after="240"/>
      <w:ind w:left="708"/>
      <w:outlineLvl w:val="2"/>
    </w:pPr>
    <w:rPr>
      <w:rFonts w:ascii="Times New Roman" w:eastAsiaTheme="majorEastAsia" w:hAnsi="Times New Roman" w:cstheme="majorBidi"/>
      <w:b/>
      <w:color w:val="000000" w:themeColor="text1"/>
      <w:sz w:val="24"/>
      <w:szCs w:val="24"/>
    </w:rPr>
  </w:style>
  <w:style w:type="paragraph" w:styleId="Heading4">
    <w:name w:val="heading 4"/>
    <w:basedOn w:val="Normal"/>
    <w:next w:val="Normal"/>
    <w:link w:val="Heading4Char"/>
    <w:uiPriority w:val="9"/>
    <w:unhideWhenUsed/>
    <w:qFormat/>
    <w:rsid w:val="00C24759"/>
    <w:pPr>
      <w:keepNext/>
      <w:keepLines/>
      <w:spacing w:before="160" w:after="120"/>
      <w:ind w:left="708"/>
      <w:outlineLvl w:val="3"/>
    </w:pPr>
    <w:rPr>
      <w:rFonts w:ascii="Times New Roman" w:eastAsiaTheme="majorEastAsia" w:hAnsi="Times New Roman" w:cstheme="majorBidi"/>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4759"/>
    <w:rPr>
      <w:rFonts w:ascii="Times New Roman" w:eastAsiaTheme="majorEastAsia" w:hAnsi="Times New Roman" w:cstheme="majorBidi"/>
      <w:b/>
      <w:color w:val="000000" w:themeColor="text1"/>
      <w:sz w:val="28"/>
      <w:szCs w:val="32"/>
      <w:lang w:val="sr-Latn-BA"/>
    </w:rPr>
  </w:style>
  <w:style w:type="character" w:customStyle="1" w:styleId="Heading2Char">
    <w:name w:val="Heading 2 Char"/>
    <w:basedOn w:val="DefaultParagraphFont"/>
    <w:link w:val="Heading2"/>
    <w:uiPriority w:val="9"/>
    <w:rsid w:val="00C24759"/>
    <w:rPr>
      <w:rFonts w:ascii="Times New Roman" w:eastAsiaTheme="majorEastAsia" w:hAnsi="Times New Roman" w:cstheme="majorBidi"/>
      <w:b/>
      <w:sz w:val="24"/>
      <w:szCs w:val="26"/>
      <w:lang w:val="sr-Latn-BA"/>
    </w:rPr>
  </w:style>
  <w:style w:type="character" w:customStyle="1" w:styleId="Heading3Char">
    <w:name w:val="Heading 3 Char"/>
    <w:basedOn w:val="DefaultParagraphFont"/>
    <w:link w:val="Heading3"/>
    <w:uiPriority w:val="9"/>
    <w:rsid w:val="00C24759"/>
    <w:rPr>
      <w:rFonts w:ascii="Times New Roman" w:eastAsiaTheme="majorEastAsia" w:hAnsi="Times New Roman" w:cstheme="majorBidi"/>
      <w:b/>
      <w:color w:val="000000" w:themeColor="text1"/>
      <w:sz w:val="24"/>
      <w:szCs w:val="24"/>
      <w:lang w:val="sr-Latn-BA"/>
    </w:rPr>
  </w:style>
  <w:style w:type="character" w:customStyle="1" w:styleId="Heading4Char">
    <w:name w:val="Heading 4 Char"/>
    <w:basedOn w:val="DefaultParagraphFont"/>
    <w:link w:val="Heading4"/>
    <w:uiPriority w:val="9"/>
    <w:rsid w:val="00C24759"/>
    <w:rPr>
      <w:rFonts w:ascii="Times New Roman" w:eastAsiaTheme="majorEastAsia" w:hAnsi="Times New Roman" w:cstheme="majorBidi"/>
      <w:iCs/>
      <w:sz w:val="24"/>
      <w:lang w:val="sr-Latn-BA"/>
    </w:rPr>
  </w:style>
  <w:style w:type="paragraph" w:styleId="ListParagraph">
    <w:name w:val="List Paragraph"/>
    <w:basedOn w:val="Normal"/>
    <w:uiPriority w:val="34"/>
    <w:qFormat/>
    <w:rsid w:val="00C24759"/>
    <w:pPr>
      <w:ind w:left="720"/>
      <w:contextualSpacing/>
    </w:pPr>
  </w:style>
  <w:style w:type="paragraph" w:styleId="HTMLPreformatted">
    <w:name w:val="HTML Preformatted"/>
    <w:basedOn w:val="Normal"/>
    <w:link w:val="HTMLPreformattedChar"/>
    <w:uiPriority w:val="99"/>
    <w:unhideWhenUsed/>
    <w:rsid w:val="00C24759"/>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C24759"/>
    <w:rPr>
      <w:rFonts w:ascii="Consolas" w:hAnsi="Consolas"/>
      <w:sz w:val="20"/>
      <w:szCs w:val="20"/>
      <w:lang w:val="sr-Latn-BA"/>
    </w:rPr>
  </w:style>
  <w:style w:type="character" w:styleId="CommentReference">
    <w:name w:val="annotation reference"/>
    <w:basedOn w:val="DefaultParagraphFont"/>
    <w:uiPriority w:val="99"/>
    <w:semiHidden/>
    <w:unhideWhenUsed/>
    <w:rsid w:val="00C24759"/>
    <w:rPr>
      <w:sz w:val="16"/>
      <w:szCs w:val="16"/>
    </w:rPr>
  </w:style>
  <w:style w:type="paragraph" w:styleId="CommentText">
    <w:name w:val="annotation text"/>
    <w:basedOn w:val="Normal"/>
    <w:link w:val="CommentTextChar"/>
    <w:uiPriority w:val="99"/>
    <w:semiHidden/>
    <w:unhideWhenUsed/>
    <w:rsid w:val="00C24759"/>
    <w:pPr>
      <w:spacing w:line="240" w:lineRule="auto"/>
    </w:pPr>
    <w:rPr>
      <w:sz w:val="20"/>
      <w:szCs w:val="20"/>
    </w:rPr>
  </w:style>
  <w:style w:type="character" w:customStyle="1" w:styleId="CommentTextChar">
    <w:name w:val="Comment Text Char"/>
    <w:basedOn w:val="DefaultParagraphFont"/>
    <w:link w:val="CommentText"/>
    <w:uiPriority w:val="99"/>
    <w:semiHidden/>
    <w:rsid w:val="00C24759"/>
    <w:rPr>
      <w:sz w:val="20"/>
      <w:szCs w:val="20"/>
      <w:lang w:val="sr-Latn-BA"/>
    </w:rPr>
  </w:style>
  <w:style w:type="paragraph" w:styleId="CommentSubject">
    <w:name w:val="annotation subject"/>
    <w:basedOn w:val="CommentText"/>
    <w:next w:val="CommentText"/>
    <w:link w:val="CommentSubjectChar"/>
    <w:uiPriority w:val="99"/>
    <w:semiHidden/>
    <w:unhideWhenUsed/>
    <w:rsid w:val="00C24759"/>
    <w:rPr>
      <w:b/>
      <w:bCs/>
    </w:rPr>
  </w:style>
  <w:style w:type="character" w:customStyle="1" w:styleId="CommentSubjectChar">
    <w:name w:val="Comment Subject Char"/>
    <w:basedOn w:val="CommentTextChar"/>
    <w:link w:val="CommentSubject"/>
    <w:uiPriority w:val="99"/>
    <w:semiHidden/>
    <w:rsid w:val="00C24759"/>
    <w:rPr>
      <w:b/>
      <w:bCs/>
      <w:sz w:val="20"/>
      <w:szCs w:val="20"/>
      <w:lang w:val="sr-Latn-BA"/>
    </w:rPr>
  </w:style>
  <w:style w:type="paragraph" w:styleId="BalloonText">
    <w:name w:val="Balloon Text"/>
    <w:basedOn w:val="Normal"/>
    <w:link w:val="BalloonTextChar"/>
    <w:uiPriority w:val="99"/>
    <w:semiHidden/>
    <w:unhideWhenUsed/>
    <w:rsid w:val="00C247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4759"/>
    <w:rPr>
      <w:rFonts w:ascii="Segoe UI" w:hAnsi="Segoe UI" w:cs="Segoe UI"/>
      <w:sz w:val="18"/>
      <w:szCs w:val="18"/>
      <w:lang w:val="sr-Latn-BA"/>
    </w:rPr>
  </w:style>
  <w:style w:type="paragraph" w:styleId="Caption">
    <w:name w:val="caption"/>
    <w:basedOn w:val="Normal"/>
    <w:next w:val="Normal"/>
    <w:uiPriority w:val="35"/>
    <w:unhideWhenUsed/>
    <w:qFormat/>
    <w:rsid w:val="00C24759"/>
    <w:pPr>
      <w:spacing w:after="200" w:line="240" w:lineRule="auto"/>
    </w:pPr>
    <w:rPr>
      <w:i/>
      <w:iCs/>
      <w:color w:val="44546A" w:themeColor="text2"/>
      <w:sz w:val="18"/>
      <w:szCs w:val="18"/>
    </w:rPr>
  </w:style>
  <w:style w:type="character" w:styleId="Hyperlink">
    <w:name w:val="Hyperlink"/>
    <w:basedOn w:val="DefaultParagraphFont"/>
    <w:uiPriority w:val="99"/>
    <w:unhideWhenUsed/>
    <w:rsid w:val="00C24759"/>
    <w:rPr>
      <w:color w:val="0563C1" w:themeColor="hyperlink"/>
      <w:u w:val="single"/>
    </w:rPr>
  </w:style>
  <w:style w:type="paragraph" w:styleId="TOCHeading">
    <w:name w:val="TOC Heading"/>
    <w:basedOn w:val="Heading1"/>
    <w:next w:val="Normal"/>
    <w:uiPriority w:val="39"/>
    <w:unhideWhenUsed/>
    <w:qFormat/>
    <w:rsid w:val="00C24759"/>
    <w:pPr>
      <w:outlineLvl w:val="9"/>
    </w:pPr>
    <w:rPr>
      <w:lang w:val="en-US"/>
    </w:rPr>
  </w:style>
  <w:style w:type="table" w:styleId="TableGrid">
    <w:name w:val="Table Grid"/>
    <w:basedOn w:val="TableNormal"/>
    <w:uiPriority w:val="39"/>
    <w:rsid w:val="00C24759"/>
    <w:pPr>
      <w:spacing w:after="0" w:line="240" w:lineRule="auto"/>
    </w:pPr>
    <w:rPr>
      <w:lang w:val="sr-Latn-B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5Dark-Accent6">
    <w:name w:val="Grid Table 5 Dark Accent 6"/>
    <w:basedOn w:val="TableNormal"/>
    <w:uiPriority w:val="50"/>
    <w:rsid w:val="00C24759"/>
    <w:pPr>
      <w:spacing w:after="0" w:line="240" w:lineRule="auto"/>
    </w:pPr>
    <w:rPr>
      <w:lang w:val="sr-Latn-BA"/>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Accent6">
    <w:name w:val="Grid Table 6 Colorful Accent 6"/>
    <w:basedOn w:val="TableNormal"/>
    <w:uiPriority w:val="51"/>
    <w:rsid w:val="00C24759"/>
    <w:pPr>
      <w:spacing w:after="0" w:line="240" w:lineRule="auto"/>
    </w:pPr>
    <w:rPr>
      <w:color w:val="538135" w:themeColor="accent6" w:themeShade="BF"/>
      <w:lang w:val="sr-Latn-BA"/>
    </w:r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6">
    <w:name w:val="Grid Table 4 Accent 6"/>
    <w:basedOn w:val="TableNormal"/>
    <w:uiPriority w:val="49"/>
    <w:rsid w:val="00C24759"/>
    <w:pPr>
      <w:spacing w:after="0" w:line="240" w:lineRule="auto"/>
    </w:pPr>
    <w:rPr>
      <w:lang w:val="sr-Latn-BA"/>
    </w:r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PlainTable5">
    <w:name w:val="Plain Table 5"/>
    <w:basedOn w:val="TableNormal"/>
    <w:uiPriority w:val="45"/>
    <w:rsid w:val="00C24759"/>
    <w:pPr>
      <w:spacing w:after="0" w:line="240" w:lineRule="auto"/>
    </w:pPr>
    <w:rPr>
      <w:lang w:val="sr-Latn-BA"/>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C24759"/>
    <w:pPr>
      <w:spacing w:after="0" w:line="240" w:lineRule="auto"/>
    </w:pPr>
    <w:rPr>
      <w:lang w:val="sr-Latn-BA"/>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PlaceholderText">
    <w:name w:val="Placeholder Text"/>
    <w:basedOn w:val="DefaultParagraphFont"/>
    <w:uiPriority w:val="99"/>
    <w:semiHidden/>
    <w:rsid w:val="00C24759"/>
    <w:rPr>
      <w:color w:val="808080"/>
    </w:rPr>
  </w:style>
  <w:style w:type="paragraph" w:styleId="FootnoteText">
    <w:name w:val="footnote text"/>
    <w:basedOn w:val="Normal"/>
    <w:link w:val="FootnoteTextChar"/>
    <w:uiPriority w:val="99"/>
    <w:semiHidden/>
    <w:unhideWhenUsed/>
    <w:rsid w:val="00C2475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24759"/>
    <w:rPr>
      <w:sz w:val="20"/>
      <w:szCs w:val="20"/>
      <w:lang w:val="sr-Latn-BA"/>
    </w:rPr>
  </w:style>
  <w:style w:type="character" w:styleId="FootnoteReference">
    <w:name w:val="footnote reference"/>
    <w:basedOn w:val="DefaultParagraphFont"/>
    <w:uiPriority w:val="99"/>
    <w:semiHidden/>
    <w:unhideWhenUsed/>
    <w:rsid w:val="00C24759"/>
    <w:rPr>
      <w:vertAlign w:val="superscript"/>
    </w:rPr>
  </w:style>
  <w:style w:type="paragraph" w:styleId="Bibliography">
    <w:name w:val="Bibliography"/>
    <w:basedOn w:val="Normal"/>
    <w:next w:val="Normal"/>
    <w:uiPriority w:val="37"/>
    <w:unhideWhenUsed/>
    <w:rsid w:val="00C24759"/>
  </w:style>
  <w:style w:type="paragraph" w:styleId="TOC1">
    <w:name w:val="toc 1"/>
    <w:basedOn w:val="Normal"/>
    <w:next w:val="Normal"/>
    <w:autoRedefine/>
    <w:uiPriority w:val="39"/>
    <w:unhideWhenUsed/>
    <w:rsid w:val="00C24759"/>
    <w:pPr>
      <w:spacing w:after="100"/>
    </w:pPr>
  </w:style>
  <w:style w:type="paragraph" w:styleId="TOC2">
    <w:name w:val="toc 2"/>
    <w:basedOn w:val="Normal"/>
    <w:next w:val="Normal"/>
    <w:autoRedefine/>
    <w:uiPriority w:val="39"/>
    <w:unhideWhenUsed/>
    <w:rsid w:val="00C24759"/>
    <w:pPr>
      <w:spacing w:after="100"/>
      <w:ind w:left="220"/>
    </w:pPr>
  </w:style>
  <w:style w:type="paragraph" w:styleId="TOC3">
    <w:name w:val="toc 3"/>
    <w:basedOn w:val="Normal"/>
    <w:next w:val="Normal"/>
    <w:autoRedefine/>
    <w:uiPriority w:val="39"/>
    <w:unhideWhenUsed/>
    <w:rsid w:val="00C24759"/>
    <w:pPr>
      <w:spacing w:after="100"/>
      <w:ind w:left="440"/>
    </w:pPr>
  </w:style>
  <w:style w:type="paragraph" w:styleId="Header">
    <w:name w:val="header"/>
    <w:basedOn w:val="Normal"/>
    <w:link w:val="HeaderChar"/>
    <w:uiPriority w:val="99"/>
    <w:unhideWhenUsed/>
    <w:rsid w:val="00C247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4759"/>
    <w:rPr>
      <w:lang w:val="sr-Latn-BA"/>
    </w:rPr>
  </w:style>
  <w:style w:type="paragraph" w:styleId="Footer">
    <w:name w:val="footer"/>
    <w:basedOn w:val="Normal"/>
    <w:link w:val="FooterChar"/>
    <w:uiPriority w:val="99"/>
    <w:unhideWhenUsed/>
    <w:rsid w:val="00C247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4759"/>
    <w:rPr>
      <w:lang w:val="sr-Latn-BA"/>
    </w:rPr>
  </w:style>
  <w:style w:type="character" w:customStyle="1" w:styleId="identifier">
    <w:name w:val="identifier"/>
    <w:basedOn w:val="DefaultParagraphFont"/>
    <w:rsid w:val="0041019F"/>
  </w:style>
  <w:style w:type="character" w:customStyle="1" w:styleId="id-label">
    <w:name w:val="id-label"/>
    <w:basedOn w:val="DefaultParagraphFont"/>
    <w:rsid w:val="0041019F"/>
  </w:style>
  <w:style w:type="character" w:styleId="Strong">
    <w:name w:val="Strong"/>
    <w:basedOn w:val="DefaultParagraphFont"/>
    <w:uiPriority w:val="22"/>
    <w:qFormat/>
    <w:rsid w:val="00BC0A6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71184">
      <w:bodyDiv w:val="1"/>
      <w:marLeft w:val="0"/>
      <w:marRight w:val="0"/>
      <w:marTop w:val="0"/>
      <w:marBottom w:val="0"/>
      <w:divBdr>
        <w:top w:val="none" w:sz="0" w:space="0" w:color="auto"/>
        <w:left w:val="none" w:sz="0" w:space="0" w:color="auto"/>
        <w:bottom w:val="none" w:sz="0" w:space="0" w:color="auto"/>
        <w:right w:val="none" w:sz="0" w:space="0" w:color="auto"/>
      </w:divBdr>
    </w:div>
    <w:div w:id="66416776">
      <w:bodyDiv w:val="1"/>
      <w:marLeft w:val="0"/>
      <w:marRight w:val="0"/>
      <w:marTop w:val="0"/>
      <w:marBottom w:val="0"/>
      <w:divBdr>
        <w:top w:val="none" w:sz="0" w:space="0" w:color="auto"/>
        <w:left w:val="none" w:sz="0" w:space="0" w:color="auto"/>
        <w:bottom w:val="none" w:sz="0" w:space="0" w:color="auto"/>
        <w:right w:val="none" w:sz="0" w:space="0" w:color="auto"/>
      </w:divBdr>
    </w:div>
    <w:div w:id="117073168">
      <w:bodyDiv w:val="1"/>
      <w:marLeft w:val="0"/>
      <w:marRight w:val="0"/>
      <w:marTop w:val="0"/>
      <w:marBottom w:val="0"/>
      <w:divBdr>
        <w:top w:val="none" w:sz="0" w:space="0" w:color="auto"/>
        <w:left w:val="none" w:sz="0" w:space="0" w:color="auto"/>
        <w:bottom w:val="none" w:sz="0" w:space="0" w:color="auto"/>
        <w:right w:val="none" w:sz="0" w:space="0" w:color="auto"/>
      </w:divBdr>
    </w:div>
    <w:div w:id="169420002">
      <w:bodyDiv w:val="1"/>
      <w:marLeft w:val="0"/>
      <w:marRight w:val="0"/>
      <w:marTop w:val="0"/>
      <w:marBottom w:val="0"/>
      <w:divBdr>
        <w:top w:val="none" w:sz="0" w:space="0" w:color="auto"/>
        <w:left w:val="none" w:sz="0" w:space="0" w:color="auto"/>
        <w:bottom w:val="none" w:sz="0" w:space="0" w:color="auto"/>
        <w:right w:val="none" w:sz="0" w:space="0" w:color="auto"/>
      </w:divBdr>
    </w:div>
    <w:div w:id="171382763">
      <w:bodyDiv w:val="1"/>
      <w:marLeft w:val="0"/>
      <w:marRight w:val="0"/>
      <w:marTop w:val="0"/>
      <w:marBottom w:val="0"/>
      <w:divBdr>
        <w:top w:val="none" w:sz="0" w:space="0" w:color="auto"/>
        <w:left w:val="none" w:sz="0" w:space="0" w:color="auto"/>
        <w:bottom w:val="none" w:sz="0" w:space="0" w:color="auto"/>
        <w:right w:val="none" w:sz="0" w:space="0" w:color="auto"/>
      </w:divBdr>
    </w:div>
    <w:div w:id="280770104">
      <w:bodyDiv w:val="1"/>
      <w:marLeft w:val="0"/>
      <w:marRight w:val="0"/>
      <w:marTop w:val="0"/>
      <w:marBottom w:val="0"/>
      <w:divBdr>
        <w:top w:val="none" w:sz="0" w:space="0" w:color="auto"/>
        <w:left w:val="none" w:sz="0" w:space="0" w:color="auto"/>
        <w:bottom w:val="none" w:sz="0" w:space="0" w:color="auto"/>
        <w:right w:val="none" w:sz="0" w:space="0" w:color="auto"/>
      </w:divBdr>
      <w:divsChild>
        <w:div w:id="1861158395">
          <w:marLeft w:val="0"/>
          <w:marRight w:val="0"/>
          <w:marTop w:val="0"/>
          <w:marBottom w:val="0"/>
          <w:divBdr>
            <w:top w:val="none" w:sz="0" w:space="0" w:color="auto"/>
            <w:left w:val="none" w:sz="0" w:space="0" w:color="auto"/>
            <w:bottom w:val="none" w:sz="0" w:space="0" w:color="auto"/>
            <w:right w:val="none" w:sz="0" w:space="0" w:color="auto"/>
          </w:divBdr>
        </w:div>
      </w:divsChild>
    </w:div>
    <w:div w:id="371657537">
      <w:bodyDiv w:val="1"/>
      <w:marLeft w:val="0"/>
      <w:marRight w:val="0"/>
      <w:marTop w:val="0"/>
      <w:marBottom w:val="0"/>
      <w:divBdr>
        <w:top w:val="none" w:sz="0" w:space="0" w:color="auto"/>
        <w:left w:val="none" w:sz="0" w:space="0" w:color="auto"/>
        <w:bottom w:val="none" w:sz="0" w:space="0" w:color="auto"/>
        <w:right w:val="none" w:sz="0" w:space="0" w:color="auto"/>
      </w:divBdr>
    </w:div>
    <w:div w:id="409470420">
      <w:bodyDiv w:val="1"/>
      <w:marLeft w:val="0"/>
      <w:marRight w:val="0"/>
      <w:marTop w:val="0"/>
      <w:marBottom w:val="0"/>
      <w:divBdr>
        <w:top w:val="none" w:sz="0" w:space="0" w:color="auto"/>
        <w:left w:val="none" w:sz="0" w:space="0" w:color="auto"/>
        <w:bottom w:val="none" w:sz="0" w:space="0" w:color="auto"/>
        <w:right w:val="none" w:sz="0" w:space="0" w:color="auto"/>
      </w:divBdr>
    </w:div>
    <w:div w:id="477382873">
      <w:bodyDiv w:val="1"/>
      <w:marLeft w:val="0"/>
      <w:marRight w:val="0"/>
      <w:marTop w:val="0"/>
      <w:marBottom w:val="0"/>
      <w:divBdr>
        <w:top w:val="none" w:sz="0" w:space="0" w:color="auto"/>
        <w:left w:val="none" w:sz="0" w:space="0" w:color="auto"/>
        <w:bottom w:val="none" w:sz="0" w:space="0" w:color="auto"/>
        <w:right w:val="none" w:sz="0" w:space="0" w:color="auto"/>
      </w:divBdr>
    </w:div>
    <w:div w:id="652224100">
      <w:bodyDiv w:val="1"/>
      <w:marLeft w:val="0"/>
      <w:marRight w:val="0"/>
      <w:marTop w:val="0"/>
      <w:marBottom w:val="0"/>
      <w:divBdr>
        <w:top w:val="none" w:sz="0" w:space="0" w:color="auto"/>
        <w:left w:val="none" w:sz="0" w:space="0" w:color="auto"/>
        <w:bottom w:val="none" w:sz="0" w:space="0" w:color="auto"/>
        <w:right w:val="none" w:sz="0" w:space="0" w:color="auto"/>
      </w:divBdr>
    </w:div>
    <w:div w:id="886995265">
      <w:bodyDiv w:val="1"/>
      <w:marLeft w:val="0"/>
      <w:marRight w:val="0"/>
      <w:marTop w:val="0"/>
      <w:marBottom w:val="0"/>
      <w:divBdr>
        <w:top w:val="none" w:sz="0" w:space="0" w:color="auto"/>
        <w:left w:val="none" w:sz="0" w:space="0" w:color="auto"/>
        <w:bottom w:val="none" w:sz="0" w:space="0" w:color="auto"/>
        <w:right w:val="none" w:sz="0" w:space="0" w:color="auto"/>
      </w:divBdr>
      <w:divsChild>
        <w:div w:id="2017419843">
          <w:marLeft w:val="0"/>
          <w:marRight w:val="0"/>
          <w:marTop w:val="0"/>
          <w:marBottom w:val="0"/>
          <w:divBdr>
            <w:top w:val="none" w:sz="0" w:space="0" w:color="auto"/>
            <w:left w:val="none" w:sz="0" w:space="0" w:color="auto"/>
            <w:bottom w:val="none" w:sz="0" w:space="0" w:color="auto"/>
            <w:right w:val="none" w:sz="0" w:space="0" w:color="auto"/>
          </w:divBdr>
        </w:div>
      </w:divsChild>
    </w:div>
    <w:div w:id="1019820861">
      <w:bodyDiv w:val="1"/>
      <w:marLeft w:val="0"/>
      <w:marRight w:val="0"/>
      <w:marTop w:val="0"/>
      <w:marBottom w:val="0"/>
      <w:divBdr>
        <w:top w:val="none" w:sz="0" w:space="0" w:color="auto"/>
        <w:left w:val="none" w:sz="0" w:space="0" w:color="auto"/>
        <w:bottom w:val="none" w:sz="0" w:space="0" w:color="auto"/>
        <w:right w:val="none" w:sz="0" w:space="0" w:color="auto"/>
      </w:divBdr>
      <w:divsChild>
        <w:div w:id="311451172">
          <w:marLeft w:val="0"/>
          <w:marRight w:val="0"/>
          <w:marTop w:val="0"/>
          <w:marBottom w:val="0"/>
          <w:divBdr>
            <w:top w:val="none" w:sz="0" w:space="0" w:color="auto"/>
            <w:left w:val="none" w:sz="0" w:space="0" w:color="auto"/>
            <w:bottom w:val="none" w:sz="0" w:space="0" w:color="auto"/>
            <w:right w:val="none" w:sz="0" w:space="0" w:color="auto"/>
          </w:divBdr>
        </w:div>
      </w:divsChild>
    </w:div>
    <w:div w:id="1040862804">
      <w:bodyDiv w:val="1"/>
      <w:marLeft w:val="0"/>
      <w:marRight w:val="0"/>
      <w:marTop w:val="0"/>
      <w:marBottom w:val="0"/>
      <w:divBdr>
        <w:top w:val="none" w:sz="0" w:space="0" w:color="auto"/>
        <w:left w:val="none" w:sz="0" w:space="0" w:color="auto"/>
        <w:bottom w:val="none" w:sz="0" w:space="0" w:color="auto"/>
        <w:right w:val="none" w:sz="0" w:space="0" w:color="auto"/>
      </w:divBdr>
    </w:div>
    <w:div w:id="1076824894">
      <w:bodyDiv w:val="1"/>
      <w:marLeft w:val="0"/>
      <w:marRight w:val="0"/>
      <w:marTop w:val="0"/>
      <w:marBottom w:val="0"/>
      <w:divBdr>
        <w:top w:val="none" w:sz="0" w:space="0" w:color="auto"/>
        <w:left w:val="none" w:sz="0" w:space="0" w:color="auto"/>
        <w:bottom w:val="none" w:sz="0" w:space="0" w:color="auto"/>
        <w:right w:val="none" w:sz="0" w:space="0" w:color="auto"/>
      </w:divBdr>
    </w:div>
    <w:div w:id="1090931081">
      <w:bodyDiv w:val="1"/>
      <w:marLeft w:val="0"/>
      <w:marRight w:val="0"/>
      <w:marTop w:val="0"/>
      <w:marBottom w:val="0"/>
      <w:divBdr>
        <w:top w:val="none" w:sz="0" w:space="0" w:color="auto"/>
        <w:left w:val="none" w:sz="0" w:space="0" w:color="auto"/>
        <w:bottom w:val="none" w:sz="0" w:space="0" w:color="auto"/>
        <w:right w:val="none" w:sz="0" w:space="0" w:color="auto"/>
      </w:divBdr>
      <w:divsChild>
        <w:div w:id="2056929652">
          <w:marLeft w:val="0"/>
          <w:marRight w:val="0"/>
          <w:marTop w:val="0"/>
          <w:marBottom w:val="0"/>
          <w:divBdr>
            <w:top w:val="none" w:sz="0" w:space="0" w:color="auto"/>
            <w:left w:val="none" w:sz="0" w:space="0" w:color="auto"/>
            <w:bottom w:val="none" w:sz="0" w:space="0" w:color="auto"/>
            <w:right w:val="none" w:sz="0" w:space="0" w:color="auto"/>
          </w:divBdr>
        </w:div>
      </w:divsChild>
    </w:div>
    <w:div w:id="1271158351">
      <w:bodyDiv w:val="1"/>
      <w:marLeft w:val="0"/>
      <w:marRight w:val="0"/>
      <w:marTop w:val="0"/>
      <w:marBottom w:val="0"/>
      <w:divBdr>
        <w:top w:val="none" w:sz="0" w:space="0" w:color="auto"/>
        <w:left w:val="none" w:sz="0" w:space="0" w:color="auto"/>
        <w:bottom w:val="none" w:sz="0" w:space="0" w:color="auto"/>
        <w:right w:val="none" w:sz="0" w:space="0" w:color="auto"/>
      </w:divBdr>
    </w:div>
    <w:div w:id="1307856956">
      <w:bodyDiv w:val="1"/>
      <w:marLeft w:val="0"/>
      <w:marRight w:val="0"/>
      <w:marTop w:val="0"/>
      <w:marBottom w:val="0"/>
      <w:divBdr>
        <w:top w:val="none" w:sz="0" w:space="0" w:color="auto"/>
        <w:left w:val="none" w:sz="0" w:space="0" w:color="auto"/>
        <w:bottom w:val="none" w:sz="0" w:space="0" w:color="auto"/>
        <w:right w:val="none" w:sz="0" w:space="0" w:color="auto"/>
      </w:divBdr>
    </w:div>
    <w:div w:id="1308165057">
      <w:bodyDiv w:val="1"/>
      <w:marLeft w:val="0"/>
      <w:marRight w:val="0"/>
      <w:marTop w:val="0"/>
      <w:marBottom w:val="0"/>
      <w:divBdr>
        <w:top w:val="none" w:sz="0" w:space="0" w:color="auto"/>
        <w:left w:val="none" w:sz="0" w:space="0" w:color="auto"/>
        <w:bottom w:val="none" w:sz="0" w:space="0" w:color="auto"/>
        <w:right w:val="none" w:sz="0" w:space="0" w:color="auto"/>
      </w:divBdr>
    </w:div>
    <w:div w:id="1374575010">
      <w:bodyDiv w:val="1"/>
      <w:marLeft w:val="0"/>
      <w:marRight w:val="0"/>
      <w:marTop w:val="0"/>
      <w:marBottom w:val="0"/>
      <w:divBdr>
        <w:top w:val="none" w:sz="0" w:space="0" w:color="auto"/>
        <w:left w:val="none" w:sz="0" w:space="0" w:color="auto"/>
        <w:bottom w:val="none" w:sz="0" w:space="0" w:color="auto"/>
        <w:right w:val="none" w:sz="0" w:space="0" w:color="auto"/>
      </w:divBdr>
      <w:divsChild>
        <w:div w:id="592323250">
          <w:marLeft w:val="0"/>
          <w:marRight w:val="0"/>
          <w:marTop w:val="0"/>
          <w:marBottom w:val="0"/>
          <w:divBdr>
            <w:top w:val="none" w:sz="0" w:space="0" w:color="auto"/>
            <w:left w:val="none" w:sz="0" w:space="0" w:color="auto"/>
            <w:bottom w:val="none" w:sz="0" w:space="0" w:color="auto"/>
            <w:right w:val="none" w:sz="0" w:space="0" w:color="auto"/>
          </w:divBdr>
        </w:div>
      </w:divsChild>
    </w:div>
    <w:div w:id="1526745320">
      <w:bodyDiv w:val="1"/>
      <w:marLeft w:val="0"/>
      <w:marRight w:val="0"/>
      <w:marTop w:val="0"/>
      <w:marBottom w:val="0"/>
      <w:divBdr>
        <w:top w:val="none" w:sz="0" w:space="0" w:color="auto"/>
        <w:left w:val="none" w:sz="0" w:space="0" w:color="auto"/>
        <w:bottom w:val="none" w:sz="0" w:space="0" w:color="auto"/>
        <w:right w:val="none" w:sz="0" w:space="0" w:color="auto"/>
      </w:divBdr>
    </w:div>
    <w:div w:id="1567883386">
      <w:bodyDiv w:val="1"/>
      <w:marLeft w:val="0"/>
      <w:marRight w:val="0"/>
      <w:marTop w:val="0"/>
      <w:marBottom w:val="0"/>
      <w:divBdr>
        <w:top w:val="none" w:sz="0" w:space="0" w:color="auto"/>
        <w:left w:val="none" w:sz="0" w:space="0" w:color="auto"/>
        <w:bottom w:val="none" w:sz="0" w:space="0" w:color="auto"/>
        <w:right w:val="none" w:sz="0" w:space="0" w:color="auto"/>
      </w:divBdr>
    </w:div>
    <w:div w:id="1621452119">
      <w:bodyDiv w:val="1"/>
      <w:marLeft w:val="0"/>
      <w:marRight w:val="0"/>
      <w:marTop w:val="0"/>
      <w:marBottom w:val="0"/>
      <w:divBdr>
        <w:top w:val="none" w:sz="0" w:space="0" w:color="auto"/>
        <w:left w:val="none" w:sz="0" w:space="0" w:color="auto"/>
        <w:bottom w:val="none" w:sz="0" w:space="0" w:color="auto"/>
        <w:right w:val="none" w:sz="0" w:space="0" w:color="auto"/>
      </w:divBdr>
    </w:div>
    <w:div w:id="1776172662">
      <w:bodyDiv w:val="1"/>
      <w:marLeft w:val="0"/>
      <w:marRight w:val="0"/>
      <w:marTop w:val="0"/>
      <w:marBottom w:val="0"/>
      <w:divBdr>
        <w:top w:val="none" w:sz="0" w:space="0" w:color="auto"/>
        <w:left w:val="none" w:sz="0" w:space="0" w:color="auto"/>
        <w:bottom w:val="none" w:sz="0" w:space="0" w:color="auto"/>
        <w:right w:val="none" w:sz="0" w:space="0" w:color="auto"/>
      </w:divBdr>
    </w:div>
    <w:div w:id="1799059438">
      <w:bodyDiv w:val="1"/>
      <w:marLeft w:val="0"/>
      <w:marRight w:val="0"/>
      <w:marTop w:val="0"/>
      <w:marBottom w:val="0"/>
      <w:divBdr>
        <w:top w:val="none" w:sz="0" w:space="0" w:color="auto"/>
        <w:left w:val="none" w:sz="0" w:space="0" w:color="auto"/>
        <w:bottom w:val="none" w:sz="0" w:space="0" w:color="auto"/>
        <w:right w:val="none" w:sz="0" w:space="0" w:color="auto"/>
      </w:divBdr>
    </w:div>
    <w:div w:id="1979528200">
      <w:bodyDiv w:val="1"/>
      <w:marLeft w:val="0"/>
      <w:marRight w:val="0"/>
      <w:marTop w:val="0"/>
      <w:marBottom w:val="0"/>
      <w:divBdr>
        <w:top w:val="none" w:sz="0" w:space="0" w:color="auto"/>
        <w:left w:val="none" w:sz="0" w:space="0" w:color="auto"/>
        <w:bottom w:val="none" w:sz="0" w:space="0" w:color="auto"/>
        <w:right w:val="none" w:sz="0" w:space="0" w:color="auto"/>
      </w:divBdr>
    </w:div>
    <w:div w:id="2033141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doi.org/10.1177/0961203309106762" TargetMode="External"/><Relationship Id="rId18" Type="http://schemas.openxmlformats.org/officeDocument/2006/relationships/hyperlink" Target="https://doi.org/10.5681/jcvtr.2014.009"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doi.org/10.1177/0194599820944892" TargetMode="External"/><Relationship Id="rId7" Type="http://schemas.openxmlformats.org/officeDocument/2006/relationships/endnotes" Target="endnotes.xml"/><Relationship Id="rId12" Type="http://schemas.openxmlformats.org/officeDocument/2006/relationships/hyperlink" Target="https://dx.doi.org/10.5152%2FTJAR.2017.91297" TargetMode="External"/><Relationship Id="rId17" Type="http://schemas.openxmlformats.org/officeDocument/2006/relationships/hyperlink" Target="http://www.ncbi.nlm.nih.gov/pmc/articles/pmc3992732/" TargetMode="External"/><Relationship Id="rId25" Type="http://schemas.openxmlformats.org/officeDocument/2006/relationships/hyperlink" Target="https://doi.org/10.5606/kbbihtisas.2016.03185" TargetMode="External"/><Relationship Id="rId2" Type="http://schemas.openxmlformats.org/officeDocument/2006/relationships/numbering" Target="numbering.xml"/><Relationship Id="rId16" Type="http://schemas.openxmlformats.org/officeDocument/2006/relationships/hyperlink" Target="10.3390/ph14030276" TargetMode="External"/><Relationship Id="rId20" Type="http://schemas.openxmlformats.org/officeDocument/2006/relationships/hyperlink" Target="https://doi.org/10.11138/gchir/2018.39.1.045"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s004050100357" TargetMode="External"/><Relationship Id="rId24" Type="http://schemas.openxmlformats.org/officeDocument/2006/relationships/hyperlink" Target="https://doi.org/10.1016/j.ijporl.2020.110553" TargetMode="External"/><Relationship Id="rId5" Type="http://schemas.openxmlformats.org/officeDocument/2006/relationships/webSettings" Target="webSettings.xml"/><Relationship Id="rId15" Type="http://schemas.openxmlformats.org/officeDocument/2006/relationships/hyperlink" Target="https://www.ncbi.nlm.nih.gov/pubmed/33803847" TargetMode="External"/><Relationship Id="rId23" Type="http://schemas.openxmlformats.org/officeDocument/2006/relationships/hyperlink" Target="https://doi.org/10.1016/j.otorri.2015.02.001" TargetMode="External"/><Relationship Id="rId28" Type="http://schemas.openxmlformats.org/officeDocument/2006/relationships/fontTable" Target="fontTable.xml"/><Relationship Id="rId10" Type="http://schemas.openxmlformats.org/officeDocument/2006/relationships/hyperlink" Target="https://doi.org/10.1093/cercor/bhi061" TargetMode="External"/><Relationship Id="rId19" Type="http://schemas.openxmlformats.org/officeDocument/2006/relationships/hyperlink" Target="http://www.ncbi.nlm.nih.gov/pmc/articles/pmc5902144/" TargetMode="External"/><Relationship Id="rId4" Type="http://schemas.openxmlformats.org/officeDocument/2006/relationships/settings" Target="settings.xml"/><Relationship Id="rId9" Type="http://schemas.openxmlformats.org/officeDocument/2006/relationships/hyperlink" Target="https://doi.org/10.1016/j.otc.2007.05.005" TargetMode="External"/><Relationship Id="rId14" Type="http://schemas.openxmlformats.org/officeDocument/2006/relationships/hyperlink" Target="https://doi.org/10.1007/s00540-010-0903-8" TargetMode="External"/><Relationship Id="rId22" Type="http://schemas.openxmlformats.org/officeDocument/2006/relationships/hyperlink" Target="https://doi.org/10.1016/j.amjoto.2021.103334" TargetMode="External"/><Relationship Id="rId27" Type="http://schemas.openxmlformats.org/officeDocument/2006/relationships/footer" Target="footer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US" sz="1600" b="1">
                <a:latin typeface="Times New Roman" panose="02020603050405020304" pitchFamily="18" charset="0"/>
                <a:cs typeface="Times New Roman" panose="02020603050405020304" pitchFamily="18" charset="0"/>
              </a:rPr>
              <a:t>Etiologija</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Etiologija</c:v>
                </c:pt>
              </c:strCache>
            </c:strRef>
          </c:tx>
          <c:dPt>
            <c:idx val="0"/>
            <c:bubble3D val="0"/>
            <c:spPr>
              <a:gradFill rotWithShape="1">
                <a:gsLst>
                  <a:gs pos="0">
                    <a:schemeClr val="accent2">
                      <a:tint val="50000"/>
                      <a:lumMod val="110000"/>
                      <a:satMod val="105000"/>
                      <a:tint val="67000"/>
                    </a:schemeClr>
                  </a:gs>
                  <a:gs pos="50000">
                    <a:schemeClr val="accent2">
                      <a:tint val="50000"/>
                      <a:lumMod val="105000"/>
                      <a:satMod val="103000"/>
                      <a:tint val="73000"/>
                    </a:schemeClr>
                  </a:gs>
                  <a:gs pos="100000">
                    <a:schemeClr val="accent2">
                      <a:tint val="50000"/>
                      <a:lumMod val="105000"/>
                      <a:satMod val="109000"/>
                      <a:tint val="81000"/>
                    </a:schemeClr>
                  </a:gs>
                </a:gsLst>
                <a:lin ang="5400000" scaled="0"/>
              </a:gradFill>
              <a:ln w="9525" cap="flat" cmpd="sng" algn="ctr">
                <a:solidFill>
                  <a:schemeClr val="accent2">
                    <a:tint val="50000"/>
                    <a:shade val="95000"/>
                  </a:schemeClr>
                </a:solidFill>
                <a:round/>
              </a:ln>
              <a:effectLst/>
            </c:spPr>
            <c:extLst xmlns:c16r2="http://schemas.microsoft.com/office/drawing/2015/06/chart">
              <c:ext xmlns:c16="http://schemas.microsoft.com/office/drawing/2014/chart" uri="{C3380CC4-5D6E-409C-BE32-E72D297353CC}">
                <c16:uniqueId val="{00000001-C997-43F9-A6AF-D6120BEDDE92}"/>
              </c:ext>
            </c:extLst>
          </c:dPt>
          <c:dPt>
            <c:idx val="1"/>
            <c:bubble3D val="0"/>
            <c:spPr>
              <a:gradFill rotWithShape="1">
                <a:gsLst>
                  <a:gs pos="0">
                    <a:schemeClr val="accent2">
                      <a:tint val="70000"/>
                      <a:lumMod val="110000"/>
                      <a:satMod val="105000"/>
                      <a:tint val="67000"/>
                    </a:schemeClr>
                  </a:gs>
                  <a:gs pos="50000">
                    <a:schemeClr val="accent2">
                      <a:tint val="70000"/>
                      <a:lumMod val="105000"/>
                      <a:satMod val="103000"/>
                      <a:tint val="73000"/>
                    </a:schemeClr>
                  </a:gs>
                  <a:gs pos="100000">
                    <a:schemeClr val="accent2">
                      <a:tint val="70000"/>
                      <a:lumMod val="105000"/>
                      <a:satMod val="109000"/>
                      <a:tint val="81000"/>
                    </a:schemeClr>
                  </a:gs>
                </a:gsLst>
                <a:lin ang="5400000" scaled="0"/>
              </a:gradFill>
              <a:ln w="9525" cap="flat" cmpd="sng" algn="ctr">
                <a:solidFill>
                  <a:schemeClr val="accent2">
                    <a:tint val="70000"/>
                    <a:shade val="95000"/>
                  </a:schemeClr>
                </a:solidFill>
                <a:round/>
              </a:ln>
              <a:effectLst/>
            </c:spPr>
            <c:extLst xmlns:c16r2="http://schemas.microsoft.com/office/drawing/2015/06/chart">
              <c:ext xmlns:c16="http://schemas.microsoft.com/office/drawing/2014/chart" uri="{C3380CC4-5D6E-409C-BE32-E72D297353CC}">
                <c16:uniqueId val="{00000003-C997-43F9-A6AF-D6120BEDDE92}"/>
              </c:ext>
            </c:extLst>
          </c:dPt>
          <c:dPt>
            <c:idx val="2"/>
            <c:bubble3D val="0"/>
            <c:spPr>
              <a:gradFill rotWithShape="1">
                <a:gsLst>
                  <a:gs pos="0">
                    <a:schemeClr val="accent2">
                      <a:tint val="90000"/>
                      <a:lumMod val="110000"/>
                      <a:satMod val="105000"/>
                      <a:tint val="67000"/>
                    </a:schemeClr>
                  </a:gs>
                  <a:gs pos="50000">
                    <a:schemeClr val="accent2">
                      <a:tint val="90000"/>
                      <a:lumMod val="105000"/>
                      <a:satMod val="103000"/>
                      <a:tint val="73000"/>
                    </a:schemeClr>
                  </a:gs>
                  <a:gs pos="100000">
                    <a:schemeClr val="accent2">
                      <a:tint val="90000"/>
                      <a:lumMod val="105000"/>
                      <a:satMod val="109000"/>
                      <a:tint val="81000"/>
                    </a:schemeClr>
                  </a:gs>
                </a:gsLst>
                <a:lin ang="5400000" scaled="0"/>
              </a:gradFill>
              <a:ln w="9525" cap="flat" cmpd="sng" algn="ctr">
                <a:solidFill>
                  <a:schemeClr val="accent2">
                    <a:tint val="90000"/>
                    <a:shade val="95000"/>
                  </a:schemeClr>
                </a:solidFill>
                <a:round/>
              </a:ln>
              <a:effectLst/>
            </c:spPr>
            <c:extLst xmlns:c16r2="http://schemas.microsoft.com/office/drawing/2015/06/chart">
              <c:ext xmlns:c16="http://schemas.microsoft.com/office/drawing/2014/chart" uri="{C3380CC4-5D6E-409C-BE32-E72D297353CC}">
                <c16:uniqueId val="{00000005-C997-43F9-A6AF-D6120BEDDE92}"/>
              </c:ext>
            </c:extLst>
          </c:dPt>
          <c:dPt>
            <c:idx val="3"/>
            <c:bubble3D val="0"/>
            <c:spPr>
              <a:gradFill rotWithShape="1">
                <a:gsLst>
                  <a:gs pos="0">
                    <a:schemeClr val="accent2">
                      <a:shade val="90000"/>
                      <a:lumMod val="110000"/>
                      <a:satMod val="105000"/>
                      <a:tint val="67000"/>
                    </a:schemeClr>
                  </a:gs>
                  <a:gs pos="50000">
                    <a:schemeClr val="accent2">
                      <a:shade val="90000"/>
                      <a:lumMod val="105000"/>
                      <a:satMod val="103000"/>
                      <a:tint val="73000"/>
                    </a:schemeClr>
                  </a:gs>
                  <a:gs pos="100000">
                    <a:schemeClr val="accent2">
                      <a:shade val="90000"/>
                      <a:lumMod val="105000"/>
                      <a:satMod val="109000"/>
                      <a:tint val="81000"/>
                    </a:schemeClr>
                  </a:gs>
                </a:gsLst>
                <a:lin ang="5400000" scaled="0"/>
              </a:gradFill>
              <a:ln w="9525" cap="flat" cmpd="sng" algn="ctr">
                <a:solidFill>
                  <a:schemeClr val="accent2">
                    <a:shade val="90000"/>
                    <a:shade val="95000"/>
                  </a:schemeClr>
                </a:solidFill>
                <a:round/>
              </a:ln>
              <a:effectLst/>
            </c:spPr>
            <c:extLst xmlns:c16r2="http://schemas.microsoft.com/office/drawing/2015/06/chart">
              <c:ext xmlns:c16="http://schemas.microsoft.com/office/drawing/2014/chart" uri="{C3380CC4-5D6E-409C-BE32-E72D297353CC}">
                <c16:uniqueId val="{00000007-C997-43F9-A6AF-D6120BEDDE92}"/>
              </c:ext>
            </c:extLst>
          </c:dPt>
          <c:dPt>
            <c:idx val="4"/>
            <c:bubble3D val="0"/>
            <c:spPr>
              <a:gradFill rotWithShape="1">
                <a:gsLst>
                  <a:gs pos="0">
                    <a:schemeClr val="accent2">
                      <a:shade val="70000"/>
                      <a:lumMod val="110000"/>
                      <a:satMod val="105000"/>
                      <a:tint val="67000"/>
                    </a:schemeClr>
                  </a:gs>
                  <a:gs pos="50000">
                    <a:schemeClr val="accent2">
                      <a:shade val="70000"/>
                      <a:lumMod val="105000"/>
                      <a:satMod val="103000"/>
                      <a:tint val="73000"/>
                    </a:schemeClr>
                  </a:gs>
                  <a:gs pos="100000">
                    <a:schemeClr val="accent2">
                      <a:shade val="70000"/>
                      <a:lumMod val="105000"/>
                      <a:satMod val="109000"/>
                      <a:tint val="81000"/>
                    </a:schemeClr>
                  </a:gs>
                </a:gsLst>
                <a:lin ang="5400000" scaled="0"/>
              </a:gradFill>
              <a:ln w="9525" cap="flat" cmpd="sng" algn="ctr">
                <a:solidFill>
                  <a:schemeClr val="accent2">
                    <a:shade val="70000"/>
                    <a:shade val="95000"/>
                  </a:schemeClr>
                </a:solidFill>
                <a:round/>
              </a:ln>
              <a:effectLst/>
            </c:spPr>
            <c:extLst xmlns:c16r2="http://schemas.microsoft.com/office/drawing/2015/06/chart">
              <c:ext xmlns:c16="http://schemas.microsoft.com/office/drawing/2014/chart" uri="{C3380CC4-5D6E-409C-BE32-E72D297353CC}">
                <c16:uniqueId val="{00000009-C997-43F9-A6AF-D6120BEDDE92}"/>
              </c:ext>
            </c:extLst>
          </c:dPt>
          <c:dPt>
            <c:idx val="5"/>
            <c:bubble3D val="0"/>
            <c:spPr>
              <a:gradFill rotWithShape="1">
                <a:gsLst>
                  <a:gs pos="0">
                    <a:schemeClr val="accent2">
                      <a:shade val="50000"/>
                      <a:lumMod val="110000"/>
                      <a:satMod val="105000"/>
                      <a:tint val="67000"/>
                    </a:schemeClr>
                  </a:gs>
                  <a:gs pos="50000">
                    <a:schemeClr val="accent2">
                      <a:shade val="50000"/>
                      <a:lumMod val="105000"/>
                      <a:satMod val="103000"/>
                      <a:tint val="73000"/>
                    </a:schemeClr>
                  </a:gs>
                  <a:gs pos="100000">
                    <a:schemeClr val="accent2">
                      <a:shade val="50000"/>
                      <a:lumMod val="105000"/>
                      <a:satMod val="109000"/>
                      <a:tint val="81000"/>
                    </a:schemeClr>
                  </a:gs>
                </a:gsLst>
                <a:lin ang="5400000" scaled="0"/>
              </a:gradFill>
              <a:ln w="9525" cap="flat" cmpd="sng" algn="ctr">
                <a:solidFill>
                  <a:schemeClr val="accent2">
                    <a:shade val="50000"/>
                    <a:shade val="95000"/>
                  </a:schemeClr>
                </a:solidFill>
                <a:round/>
              </a:ln>
              <a:effectLst/>
            </c:spPr>
            <c:extLst xmlns:c16r2="http://schemas.microsoft.com/office/drawing/2015/06/chart">
              <c:ext xmlns:c16="http://schemas.microsoft.com/office/drawing/2014/chart" uri="{C3380CC4-5D6E-409C-BE32-E72D297353CC}">
                <c16:uniqueId val="{0000000B-C997-43F9-A6AF-D6120BEDDE92}"/>
              </c:ext>
            </c:extLst>
          </c:dPt>
          <c:dLbls>
            <c:dLbl>
              <c:idx val="0"/>
              <c:tx>
                <c:rich>
                  <a:bodyPr/>
                  <a:lstStyle/>
                  <a:p>
                    <a:fld id="{D7162C0C-BA85-4F4B-8488-61E5026E459A}" type="VALUE">
                      <a:rPr lang="en-US"/>
                      <a:pPr/>
                      <a:t>[VALUE]</a:t>
                    </a:fld>
                    <a:endParaRPr lang="en-US"/>
                  </a:p>
                </c:rich>
              </c:tx>
              <c:dLblPos val="inEnd"/>
              <c:showLegendKey val="0"/>
              <c:showVal val="0"/>
              <c:showCatName val="0"/>
              <c:showSerName val="0"/>
              <c:showPercent val="1"/>
              <c:showBubbleSize val="0"/>
              <c:extLst>
                <c:ext xmlns:c15="http://schemas.microsoft.com/office/drawing/2012/chart" uri="{CE6537A1-D6FC-4f65-9D91-7224C49458BB}">
                  <c15:dlblFieldTable/>
                  <c15:showDataLabelsRange val="0"/>
                </c:ext>
              </c:extLst>
            </c:dLbl>
            <c:dLbl>
              <c:idx val="2"/>
              <c:tx>
                <c:rich>
                  <a:bodyPr/>
                  <a:lstStyle/>
                  <a:p>
                    <a:fld id="{B5E551A8-1C58-4C03-9DDC-B5081358DF2E}" type="VALUE">
                      <a:rPr lang="en-US"/>
                      <a:pPr/>
                      <a:t>[VALUE]</a:t>
                    </a:fld>
                    <a:endParaRPr lang="en-US"/>
                  </a:p>
                </c:rich>
              </c:tx>
              <c:dLblPos val="inEnd"/>
              <c:showLegendKey val="0"/>
              <c:showVal val="0"/>
              <c:showCatName val="0"/>
              <c:showSerName val="0"/>
              <c:showPercent val="1"/>
              <c:showBubbleSize val="0"/>
              <c:extLst>
                <c:ext xmlns:c15="http://schemas.microsoft.com/office/drawing/2012/chart" uri="{CE6537A1-D6FC-4f65-9D91-7224C49458BB}">
                  <c15:dlblFieldTable/>
                  <c15:showDataLabelsRange val="0"/>
                </c:ext>
              </c:extLst>
            </c:dLbl>
            <c:dLbl>
              <c:idx val="3"/>
              <c:tx>
                <c:rich>
                  <a:bodyPr/>
                  <a:lstStyle/>
                  <a:p>
                    <a:fld id="{FB3C28DF-5DC2-49A7-8ABC-84419570FE6A}" type="VALUE">
                      <a:rPr lang="en-US"/>
                      <a:pPr/>
                      <a:t>[VALUE]</a:t>
                    </a:fld>
                    <a:endParaRPr lang="en-US"/>
                  </a:p>
                </c:rich>
              </c:tx>
              <c:dLblPos val="inEnd"/>
              <c:showLegendKey val="0"/>
              <c:showVal val="0"/>
              <c:showCatName val="0"/>
              <c:showSerName val="0"/>
              <c:showPercent val="1"/>
              <c:showBubbleSize val="0"/>
              <c:extLst>
                <c:ext xmlns:c15="http://schemas.microsoft.com/office/drawing/2012/chart" uri="{CE6537A1-D6FC-4f65-9D91-7224C49458BB}">
                  <c15:dlblFieldTable/>
                  <c15:showDataLabelsRange val="0"/>
                </c:ext>
              </c:extLst>
            </c:dLbl>
            <c:dLbl>
              <c:idx val="4"/>
              <c:tx>
                <c:rich>
                  <a:bodyPr/>
                  <a:lstStyle/>
                  <a:p>
                    <a:fld id="{EFD452A9-5D92-43DF-B1DD-973EA083B876}" type="VALUE">
                      <a:rPr lang="en-US"/>
                      <a:pPr/>
                      <a:t>[VALUE]</a:t>
                    </a:fld>
                    <a:endParaRPr lang="en-US"/>
                  </a:p>
                </c:rich>
              </c:tx>
              <c:dLblPos val="inEnd"/>
              <c:showLegendKey val="0"/>
              <c:showVal val="0"/>
              <c:showCatName val="0"/>
              <c:showSerName val="0"/>
              <c:showPercent val="1"/>
              <c:showBubbleSize val="0"/>
              <c:extLst>
                <c:ext xmlns:c15="http://schemas.microsoft.com/office/drawing/2012/chart" uri="{CE6537A1-D6FC-4f65-9D91-7224C49458BB}">
                  <c15:dlblFieldTable/>
                  <c15:showDataLabelsRange val="0"/>
                </c:ext>
              </c:extLst>
            </c:dLbl>
            <c:dLbl>
              <c:idx val="5"/>
              <c:tx>
                <c:rich>
                  <a:bodyPr/>
                  <a:lstStyle/>
                  <a:p>
                    <a:fld id="{93637BDC-6546-4491-A464-0A999290A597}" type="VALUE">
                      <a:rPr lang="en-US"/>
                      <a:pPr/>
                      <a:t>[VALUE]</a:t>
                    </a:fld>
                    <a:endParaRPr lang="en-US"/>
                  </a:p>
                </c:rich>
              </c:tx>
              <c:dLblPos val="inEnd"/>
              <c:showLegendKey val="0"/>
              <c:showVal val="0"/>
              <c:showCatName val="0"/>
              <c:showSerName val="0"/>
              <c:showPercent val="1"/>
              <c:showBubbleSize val="0"/>
              <c:extLst>
                <c:ext xmlns:c15="http://schemas.microsoft.com/office/drawing/2012/chart" uri="{CE6537A1-D6FC-4f65-9D91-7224C49458BB}">
                  <c15:dlblFieldTable/>
                  <c15:showDataLabelsRange val="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xmlns:c16r2="http://schemas.microsoft.com/office/drawing/2015/06/chart">
              <c:ext xmlns:c15="http://schemas.microsoft.com/office/drawing/2012/chart" uri="{CE6537A1-D6FC-4f65-9D91-7224C49458BB}"/>
            </c:extLst>
          </c:dLbls>
          <c:cat>
            <c:strRef>
              <c:f>Sheet1!$A$2:$A$7</c:f>
              <c:strCache>
                <c:ptCount val="6"/>
                <c:pt idx="0">
                  <c:v>St post thyroidectomiam</c:v>
                </c:pt>
                <c:pt idx="1">
                  <c:v>St post tracheotomiam</c:v>
                </c:pt>
                <c:pt idx="2">
                  <c:v>St post fracturam baseos cranii</c:v>
                </c:pt>
                <c:pt idx="3">
                  <c:v>Struma štitne žlijezde</c:v>
                </c:pt>
                <c:pt idx="4">
                  <c:v>Hipotireoza</c:v>
                </c:pt>
                <c:pt idx="5">
                  <c:v>Idiopatski</c:v>
                </c:pt>
              </c:strCache>
            </c:strRef>
          </c:cat>
          <c:val>
            <c:numRef>
              <c:f>Sheet1!$B$2:$B$7</c:f>
              <c:numCache>
                <c:formatCode>0.00%</c:formatCode>
                <c:ptCount val="6"/>
                <c:pt idx="0">
                  <c:v>0.47620000000000001</c:v>
                </c:pt>
                <c:pt idx="1">
                  <c:v>9.5200000000000007E-2</c:v>
                </c:pt>
                <c:pt idx="2">
                  <c:v>4.7600000000000003E-2</c:v>
                </c:pt>
                <c:pt idx="3">
                  <c:v>4.7600000000000003E-2</c:v>
                </c:pt>
                <c:pt idx="4">
                  <c:v>4.7600000000000003E-2</c:v>
                </c:pt>
                <c:pt idx="5">
                  <c:v>0.28810000000000002</c:v>
                </c:pt>
              </c:numCache>
            </c:numRef>
          </c:val>
          <c:extLst xmlns:c16r2="http://schemas.microsoft.com/office/drawing/2015/06/chart">
            <c:ext xmlns:c16="http://schemas.microsoft.com/office/drawing/2014/chart" uri="{C3380CC4-5D6E-409C-BE32-E72D297353CC}">
              <c16:uniqueId val="{00000000-87F4-45EB-9346-955D8B1A9CF1}"/>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bg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Reversed" id="22">
  <a:schemeClr val="accent2"/>
</cs:colorStyle>
</file>

<file path=word/charts/style1.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1</b:Tag>
    <b:SourceType>Book</b:SourceType>
    <b:Guid>{ADB3F6A8-CD90-4E5C-AA3B-BCB5B84C46BD}</b:Guid>
    <b:Author>
      <b:Author>
        <b:NameList>
          <b:Person>
            <b:Last>Đukić</b:Last>
            <b:First>B.V.</b:First>
          </b:Person>
        </b:NameList>
      </b:Author>
    </b:Author>
    <b:Title>Paralize glasnica</b:Title>
    <b:Year>2013</b:Year>
    <b:City>Beograd</b:City>
    <b:Publisher>Partenon</b:Publisher>
    <b:RefOrder>1</b:RefOrder>
  </b:Source>
  <b:Source>
    <b:Tag>2</b:Tag>
    <b:SourceType>Book</b:SourceType>
    <b:Guid>{610F6CF0-C7BC-4A61-9CCC-D13548FBCD20}</b:Guid>
    <b:Author>
      <b:Author>
        <b:NameList>
          <b:Person>
            <b:Last>M.</b:Last>
            <b:First>Gnjatić</b:First>
          </b:Person>
        </b:NameList>
      </b:Author>
    </b:Author>
    <b:Title>Klinička studija kvaliteta života pacijenata sa neurogenim paralizama larinksa</b:Title>
    <b:Year>2012</b:Year>
    <b:City>Banja Luka</b:City>
    <b:Publisher>Medicinski fakultet Banja Luka</b:Publisher>
    <b:RefOrder>2</b:RefOrder>
  </b:Source>
  <b:Source>
    <b:Tag>Spr17</b:Tag>
    <b:SourceType>Book</b:SourceType>
    <b:Guid>{96F260FF-B99D-4095-B52C-520BC579A5AD}</b:Guid>
    <b:Title>Praktikum iz otorinolaringologije za studente medicine i stomatologije</b:Title>
    <b:Year>2017</b:Year>
    <b:City>Banja Luka</b:City>
    <b:Publisher>Univerzitet u Banjoj Luci, Medicinski fakultet</b:Publisher>
    <b:Author>
      <b:Author>
        <b:NameList>
          <b:Person>
            <b:Last>Spremo</b:Last>
            <b:First>S.</b:First>
          </b:Person>
          <b:Person>
            <b:Last>Špirić</b:Last>
            <b:First>S.</b:First>
          </b:Person>
          <b:Person>
            <b:Last>Špirić</b:Last>
            <b:First>P.</b:First>
          </b:Person>
          <b:Person>
            <b:Last>Travar</b:Last>
            <b:First>D.</b:First>
          </b:Person>
          <b:Person>
            <b:Last>Gnjatić</b:Last>
            <b:First>M.</b:First>
          </b:Person>
        </b:NameList>
      </b:Author>
    </b:Author>
    <b:RefOrder>3</b:RefOrder>
  </b:Source>
  <b:Source>
    <b:Tag>Gnj18</b:Tag>
    <b:SourceType>Book</b:SourceType>
    <b:Guid>{E4637478-4563-4BAB-9512-54ADCD63D3DB}</b:Guid>
    <b:Author>
      <b:Author>
        <b:NameList>
          <b:Person>
            <b:Last>Gnjatić</b:Last>
            <b:First>M.</b:First>
          </b:Person>
        </b:NameList>
      </b:Author>
    </b:Author>
    <b:Title>Promuklost kao simptom bolesti larinksa</b:Title>
    <b:Year>2018</b:Year>
    <b:City>Banja Luka</b:City>
    <b:Publisher>Univerzitet u Banjoj Luci, Medicinski fakultet</b:Publisher>
    <b:RefOrder>4</b:RefOrder>
  </b:Source>
  <b:Source>
    <b:Tag>Jov04</b:Tag>
    <b:SourceType>Book</b:SourceType>
    <b:Guid>{2B3F80B6-7EB8-4928-9272-D929E869E01A}</b:Guid>
    <b:Title>Anatomija čoveka: glava i vrat za studente medicine</b:Title>
    <b:Year>2004</b:Year>
    <b:City>Beograd</b:City>
    <b:Publisher>Savremena administracija</b:Publisher>
    <b:Author>
      <b:Author>
        <b:NameList>
          <b:Person>
            <b:Last>Jovanović</b:Last>
            <b:First>S.V.</b:First>
          </b:Person>
          <b:Person>
            <b:Last>Jeličić</b:Last>
            <b:First>N.</b:First>
          </b:Person>
        </b:NameList>
      </b:Author>
    </b:Author>
    <b:RefOrder>5</b:RefOrder>
  </b:Source>
  <b:Source>
    <b:Tag>5</b:Tag>
    <b:SourceType>Book</b:SourceType>
    <b:Guid>{68AAC7DF-5B34-46BF-A23A-76F448515983}</b:Guid>
    <b:Author>
      <b:Author>
        <b:NameList>
          <b:Person>
            <b:Last>HH.</b:Last>
            <b:First>Dedo</b:First>
          </b:Person>
        </b:NameList>
      </b:Author>
    </b:Author>
    <b:Title>Vocal cord paralysis in otolaryngology- Head and Neck Surgery</b:Title>
    <b:Year>1991</b:Year>
    <b:City>St. Luis</b:City>
    <b:Publisher>Update II edited by Cumings C. W. Mosby Year Books</b:Publisher>
    <b:RefOrder>6</b:RefOrder>
  </b:Source>
  <b:Source>
    <b:Tag>Mil93</b:Tag>
    <b:SourceType>Book</b:SourceType>
    <b:Guid>{B7A84AEB-1B6E-4D03-BD24-5C150E3E4D4B}</b:Guid>
    <b:Title>Hoarsness and vocal cord paralysis in Head and Neck Surgery - Otolaryngology</b:Title>
    <b:Year>1993</b:Year>
    <b:City>Philadelphia</b:City>
    <b:Publisher>Lippincott Company</b:Publisher>
    <b:Author>
      <b:Author>
        <b:Corporate>Miller, R.H.; Duplechain, J.K.;</b:Corporate>
      </b:Author>
    </b:Author>
    <b:RefOrder>7</b:RefOrder>
  </b:Source>
  <b:Source>
    <b:Tag>Rub07</b:Tag>
    <b:SourceType>Book</b:SourceType>
    <b:Guid>{F8408CCC-9070-4568-B9F9-7C546FA102A5}</b:Guid>
    <b:Author>
      <b:Author>
        <b:Corporate>Rubin, D.A.; Ackah-Herman, D.J.; Sataloff, T.R.;</b:Corporate>
      </b:Author>
    </b:Author>
    <b:Title>Neurolaryngologic Evaluation of the Performer.</b:Title>
    <b:Year>2007</b:Year>
    <b:City>Otolaryngol Clin N Am</b:City>
    <b:Publisher>The Professional Voice</b:Publisher>
    <b:RefOrder>8</b:RefOrder>
  </b:Source>
  <b:Source>
    <b:Tag>Tea</b:Tag>
    <b:SourceType>InternetSite</b:SourceType>
    <b:Guid>{D5E077FD-F107-4B5B-BA5A-D9DBF4324976}</b:Guid>
    <b:Title>TeachMeSeries</b:Title>
    <b:InternetSiteTitle>https://teachmeseries.com</b:InternetSiteTitle>
    <b:RefOrder>9</b:RefOrder>
  </b:Source>
  <b:Source>
    <b:Tag>Sch05</b:Tag>
    <b:SourceType>Book</b:SourceType>
    <b:Guid>{806D07FE-B350-451A-BFCC-75E1E8D7C477}</b:Guid>
    <b:Title>Funkcional Neuroanatomy of human vocalization</b:Title>
    <b:Year>2005</b:Year>
    <b:Author>
      <b:Author>
        <b:Corporate>Schultz , G.M.; Varga, M.; Jeffires, K.;</b:Corporate>
      </b:Author>
    </b:Author>
    <b:Publisher>Cereb Cortex</b:Publisher>
    <b:RefOrder>10</b:RefOrder>
  </b:Source>
  <b:Source>
    <b:Tag>Van91</b:Tag>
    <b:SourceType>Book</b:SourceType>
    <b:Guid>{145A9C86-B428-4715-8066-705E505852F5}</b:Guid>
    <b:Title>Vocal corde paralysis in Paparella M. ed: Otolaryngology, Third Edition</b:Title>
    <b:Year>1991</b:Year>
    <b:City>Philadelphia</b:City>
    <b:Publisher>W.B. Saunders Company</b:Publisher>
    <b:Author>
      <b:Author>
        <b:NameList>
          <b:Person>
            <b:Last>Van den Berg</b:Last>
            <b:First>J.</b:First>
          </b:Person>
        </b:NameList>
      </b:Author>
    </b:Author>
    <b:RefOrder>11</b:RefOrder>
  </b:Source>
  <b:Source>
    <b:Tag>12</b:Tag>
    <b:SourceType>Book</b:SourceType>
    <b:Guid>{37DFCF4E-6C9E-475D-B065-400D697E0A3C}</b:Guid>
    <b:Author>
      <b:Author>
        <b:NameList>
          <b:Person>
            <b:Last>Jiang</b:Last>
            <b:First>J.</b:First>
          </b:Person>
        </b:NameList>
      </b:Author>
    </b:Author>
    <b:Title>Physiology of Voice Production: How Does the Voice Work, in Benninger S.M., Murry T.</b:Title>
    <b:Year>2006</b:Year>
    <b:City>San Diego</b:City>
    <b:Publisher>The Preformers Voice. Plural Publishing</b:Publisher>
    <b:RefOrder>12</b:RefOrder>
  </b:Source>
  <b:Source>
    <b:Tag>Đuk04</b:Tag>
    <b:SourceType>Book</b:SourceType>
    <b:Guid>{3450A653-15DA-4041-B2BE-601A4F8AAB17}</b:Guid>
    <b:Title>Klinička anatomija i fiziologija. Otorinolaringologija i maksilofacijalna hirurgija</b:Title>
    <b:Year>2004</b:Year>
    <b:City>Beograd</b:City>
    <b:Publisher>Univerzitet u Beogradu, Medicinski fakultet</b:Publisher>
    <b:Author>
      <b:Author>
        <b:NameList>
          <b:Person>
            <b:Last>Đukić</b:Last>
            <b:First>B.V.</b:First>
          </b:Person>
          <b:Person>
            <b:Last>Stanković</b:Last>
            <b:First>P.</b:First>
          </b:Person>
        </b:NameList>
      </b:Author>
    </b:Author>
    <b:RefOrder>13</b:RefOrder>
  </b:Source>
</b:Sources>
</file>

<file path=customXml/itemProps1.xml><?xml version="1.0" encoding="utf-8"?>
<ds:datastoreItem xmlns:ds="http://schemas.openxmlformats.org/officeDocument/2006/customXml" ds:itemID="{BC32953A-4F0C-46C5-86B2-BCE50E098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17</Pages>
  <Words>3603</Words>
  <Characters>20540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25</cp:revision>
  <dcterms:created xsi:type="dcterms:W3CDTF">2022-01-24T21:23:00Z</dcterms:created>
  <dcterms:modified xsi:type="dcterms:W3CDTF">2022-09-25T20:20:00Z</dcterms:modified>
</cp:coreProperties>
</file>