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76EA9" w14:textId="2955846B" w:rsidR="009E7791" w:rsidRPr="00FE7B1D" w:rsidRDefault="009E7791" w:rsidP="00FE7B1D">
      <w:pPr>
        <w:rPr>
          <w:sz w:val="24"/>
          <w:szCs w:val="24"/>
          <w:lang w:val="bs-Latn-BA"/>
        </w:rPr>
      </w:pPr>
      <w:r w:rsidRPr="00FE7B1D">
        <w:rPr>
          <w:sz w:val="24"/>
          <w:szCs w:val="24"/>
          <w:lang w:val="bs-Latn-BA"/>
        </w:rPr>
        <w:t>Efikasnost Roxadustata u odnosu na Eritropetin u korekciji anemije kod nedijaliznih pacijenata sa hroničnom bubrežnom insuficijencijom</w:t>
      </w:r>
    </w:p>
    <w:p w14:paraId="54BCAA18" w14:textId="36B99BB6" w:rsidR="000B4584" w:rsidRPr="006B5ED8" w:rsidRDefault="00FF312B" w:rsidP="00A05682">
      <w:pPr>
        <w:rPr>
          <w:b/>
          <w:bCs/>
          <w:sz w:val="24"/>
          <w:szCs w:val="24"/>
          <w:lang w:val="bs-Latn-BA"/>
        </w:rPr>
      </w:pPr>
      <w:r w:rsidRPr="006B5ED8">
        <w:rPr>
          <w:b/>
          <w:bCs/>
          <w:sz w:val="24"/>
          <w:szCs w:val="24"/>
        </w:rPr>
        <w:t>Sa</w:t>
      </w:r>
      <w:r w:rsidRPr="006B5ED8">
        <w:rPr>
          <w:b/>
          <w:bCs/>
          <w:sz w:val="24"/>
          <w:szCs w:val="24"/>
          <w:lang w:val="bs-Latn-BA"/>
        </w:rPr>
        <w:t>žetak</w:t>
      </w:r>
    </w:p>
    <w:p w14:paraId="7617D1C4" w14:textId="49F056C6" w:rsidR="00FE7B1D" w:rsidRDefault="00FF312B" w:rsidP="00947440">
      <w:pPr>
        <w:jc w:val="both"/>
        <w:rPr>
          <w:sz w:val="24"/>
          <w:szCs w:val="24"/>
          <w:lang w:val="bs-Latn-BA"/>
        </w:rPr>
      </w:pPr>
      <w:r w:rsidRPr="006B5ED8">
        <w:rPr>
          <w:b/>
          <w:bCs/>
          <w:sz w:val="24"/>
          <w:szCs w:val="24"/>
          <w:lang w:val="bs-Latn-BA"/>
        </w:rPr>
        <w:t>Uvod/Cilj:</w:t>
      </w:r>
      <w:r w:rsidRPr="006B5ED8">
        <w:rPr>
          <w:sz w:val="24"/>
          <w:szCs w:val="24"/>
          <w:lang w:val="bs-Latn-BA"/>
        </w:rPr>
        <w:t xml:space="preserve"> Roxadustat je oralni hipoksija indukujući</w:t>
      </w:r>
      <w:r w:rsidR="00FC5960">
        <w:rPr>
          <w:sz w:val="24"/>
          <w:szCs w:val="24"/>
          <w:lang w:val="bs-Latn-BA"/>
        </w:rPr>
        <w:t xml:space="preserve"> </w:t>
      </w:r>
      <w:r w:rsidR="00B33A73" w:rsidRPr="006B5ED8">
        <w:rPr>
          <w:sz w:val="24"/>
          <w:szCs w:val="24"/>
          <w:lang w:val="bs-Latn-BA"/>
        </w:rPr>
        <w:t xml:space="preserve">inhibitor </w:t>
      </w:r>
      <w:r w:rsidRPr="006B5ED8">
        <w:rPr>
          <w:sz w:val="24"/>
          <w:szCs w:val="24"/>
          <w:lang w:val="bs-Latn-BA"/>
        </w:rPr>
        <w:t xml:space="preserve">prolil hidroksilaze faktor koji stimuliše eritropoezu. </w:t>
      </w:r>
      <w:r w:rsidR="00947440">
        <w:rPr>
          <w:sz w:val="24"/>
          <w:szCs w:val="24"/>
          <w:lang w:val="bs-Latn-BA"/>
        </w:rPr>
        <w:t xml:space="preserve">Zlatni standard u liječenju </w:t>
      </w:r>
      <w:r w:rsidRPr="006B5ED8">
        <w:rPr>
          <w:sz w:val="24"/>
          <w:szCs w:val="24"/>
          <w:lang w:val="bs-Latn-BA"/>
        </w:rPr>
        <w:t>anemije hronične bubrežne slabosti pred</w:t>
      </w:r>
      <w:r w:rsidR="00B33A73" w:rsidRPr="006B5ED8">
        <w:rPr>
          <w:sz w:val="24"/>
          <w:szCs w:val="24"/>
          <w:lang w:val="bs-Latn-BA"/>
        </w:rPr>
        <w:t>s</w:t>
      </w:r>
      <w:r w:rsidRPr="006B5ED8">
        <w:rPr>
          <w:sz w:val="24"/>
          <w:szCs w:val="24"/>
          <w:lang w:val="bs-Latn-BA"/>
        </w:rPr>
        <w:t xml:space="preserve">tavlja humani rekombinovani </w:t>
      </w:r>
      <w:r w:rsidR="00947440">
        <w:rPr>
          <w:sz w:val="24"/>
          <w:szCs w:val="24"/>
          <w:lang w:val="bs-Latn-BA"/>
        </w:rPr>
        <w:t>E</w:t>
      </w:r>
      <w:r w:rsidRPr="006B5ED8">
        <w:rPr>
          <w:sz w:val="24"/>
          <w:szCs w:val="24"/>
          <w:lang w:val="bs-Latn-BA"/>
        </w:rPr>
        <w:t xml:space="preserve">ritropoetin. Cilj studije je da prikaže efikasnost Roxadustata u odnosu na </w:t>
      </w:r>
      <w:r w:rsidR="00ED38C8">
        <w:rPr>
          <w:sz w:val="24"/>
          <w:szCs w:val="24"/>
          <w:lang w:val="bs-Latn-BA"/>
        </w:rPr>
        <w:t>E</w:t>
      </w:r>
      <w:r w:rsidRPr="006B5ED8">
        <w:rPr>
          <w:sz w:val="24"/>
          <w:szCs w:val="24"/>
          <w:lang w:val="bs-Latn-BA"/>
        </w:rPr>
        <w:t>ritropoetin u korekciji anemije kod nedijaliznih pacijenta sa hroničnom bubrežnom insuficijencijom.</w:t>
      </w:r>
    </w:p>
    <w:p w14:paraId="74309253" w14:textId="02C1BA5E" w:rsidR="00FE7B1D" w:rsidRDefault="00FF312B" w:rsidP="00947440">
      <w:pPr>
        <w:jc w:val="both"/>
        <w:rPr>
          <w:sz w:val="24"/>
          <w:szCs w:val="24"/>
          <w:lang w:val="bs-Latn-BA"/>
        </w:rPr>
      </w:pPr>
      <w:r w:rsidRPr="006B5ED8">
        <w:rPr>
          <w:b/>
          <w:bCs/>
          <w:sz w:val="24"/>
          <w:szCs w:val="24"/>
          <w:lang w:val="bs-Latn-BA"/>
        </w:rPr>
        <w:t>Metoda:</w:t>
      </w:r>
      <w:r w:rsidRPr="006B5ED8">
        <w:rPr>
          <w:sz w:val="24"/>
          <w:szCs w:val="24"/>
          <w:lang w:val="bs-Latn-BA"/>
        </w:rPr>
        <w:t xml:space="preserve"> </w:t>
      </w:r>
      <w:r w:rsidR="008F6570" w:rsidRPr="006B5ED8">
        <w:rPr>
          <w:sz w:val="24"/>
          <w:szCs w:val="24"/>
          <w:lang w:val="bs-Latn-BA"/>
        </w:rPr>
        <w:t>Radi se o prospektivnoj randomizovanoj</w:t>
      </w:r>
      <w:r w:rsidR="00CE6752">
        <w:rPr>
          <w:sz w:val="24"/>
          <w:szCs w:val="24"/>
          <w:lang w:val="bs-Latn-BA"/>
        </w:rPr>
        <w:t xml:space="preserve"> kliničkoj studiji </w:t>
      </w:r>
      <w:r w:rsidR="007F4884">
        <w:rPr>
          <w:sz w:val="24"/>
          <w:szCs w:val="24"/>
          <w:lang w:val="bs-Latn-BA"/>
        </w:rPr>
        <w:t xml:space="preserve">sprovedenoj na pacijentima koji su ambulantno pregledani u Univerzitetskom </w:t>
      </w:r>
      <w:r w:rsidR="00947440">
        <w:rPr>
          <w:sz w:val="24"/>
          <w:szCs w:val="24"/>
          <w:lang w:val="bs-Latn-BA"/>
        </w:rPr>
        <w:t>k</w:t>
      </w:r>
      <w:r w:rsidR="007F4884">
        <w:rPr>
          <w:sz w:val="24"/>
          <w:szCs w:val="24"/>
          <w:lang w:val="bs-Latn-BA"/>
        </w:rPr>
        <w:t>liničkom centru R</w:t>
      </w:r>
      <w:r w:rsidR="00947440">
        <w:rPr>
          <w:sz w:val="24"/>
          <w:szCs w:val="24"/>
          <w:lang w:val="bs-Latn-BA"/>
        </w:rPr>
        <w:t>epublike Srpske</w:t>
      </w:r>
      <w:r w:rsidR="00CE6752">
        <w:rPr>
          <w:sz w:val="24"/>
          <w:szCs w:val="24"/>
          <w:lang w:val="bs-Latn-BA"/>
        </w:rPr>
        <w:t xml:space="preserve"> pod dijagnozom hronične bubre</w:t>
      </w:r>
      <w:r w:rsidR="00947440">
        <w:rPr>
          <w:sz w:val="24"/>
          <w:szCs w:val="24"/>
          <w:lang w:val="bs-Latn-BA"/>
        </w:rPr>
        <w:t>ž</w:t>
      </w:r>
      <w:r w:rsidR="00CE6752">
        <w:rPr>
          <w:sz w:val="24"/>
          <w:szCs w:val="24"/>
          <w:lang w:val="bs-Latn-BA"/>
        </w:rPr>
        <w:t xml:space="preserve">ne </w:t>
      </w:r>
      <w:r w:rsidR="00ED38C8">
        <w:rPr>
          <w:sz w:val="24"/>
          <w:szCs w:val="24"/>
          <w:lang w:val="bs-Latn-BA"/>
        </w:rPr>
        <w:t xml:space="preserve">insuficijencije a </w:t>
      </w:r>
      <w:r w:rsidR="00CE6752">
        <w:rPr>
          <w:sz w:val="24"/>
          <w:szCs w:val="24"/>
          <w:lang w:val="bs-Latn-BA"/>
        </w:rPr>
        <w:t>koji nisu na programu hemodijalize.</w:t>
      </w:r>
      <w:r w:rsidR="007F4884">
        <w:rPr>
          <w:sz w:val="24"/>
          <w:szCs w:val="24"/>
          <w:lang w:val="bs-Latn-BA"/>
        </w:rPr>
        <w:t xml:space="preserve"> </w:t>
      </w:r>
      <w:r w:rsidR="008F6570" w:rsidRPr="006B5ED8">
        <w:rPr>
          <w:sz w:val="24"/>
          <w:szCs w:val="24"/>
          <w:lang w:val="bs-Latn-BA"/>
        </w:rPr>
        <w:t>Studija obuhvata 96 pacijenta koji su podjeljenji u dvije grupe</w:t>
      </w:r>
      <w:r w:rsidR="00ED38C8">
        <w:rPr>
          <w:sz w:val="24"/>
          <w:szCs w:val="24"/>
          <w:lang w:val="bs-Latn-BA"/>
        </w:rPr>
        <w:t>, svaka grupa ima 48 pacijenta</w:t>
      </w:r>
      <w:r w:rsidR="008F6570" w:rsidRPr="006B5ED8">
        <w:rPr>
          <w:sz w:val="24"/>
          <w:szCs w:val="24"/>
          <w:lang w:val="bs-Latn-BA"/>
        </w:rPr>
        <w:t xml:space="preserve">. Prva grupa ispitanika </w:t>
      </w:r>
      <w:r w:rsidR="00947440">
        <w:rPr>
          <w:sz w:val="24"/>
          <w:szCs w:val="24"/>
          <w:lang w:val="bs-Latn-BA"/>
        </w:rPr>
        <w:t>koristila</w:t>
      </w:r>
      <w:r w:rsidR="008F6570" w:rsidRPr="006B5ED8">
        <w:rPr>
          <w:sz w:val="24"/>
          <w:szCs w:val="24"/>
          <w:lang w:val="bs-Latn-BA"/>
        </w:rPr>
        <w:t xml:space="preserve"> je</w:t>
      </w:r>
      <w:r w:rsidR="0042059F">
        <w:rPr>
          <w:sz w:val="24"/>
          <w:szCs w:val="24"/>
          <w:lang w:val="bs-Latn-BA"/>
        </w:rPr>
        <w:t xml:space="preserve"> </w:t>
      </w:r>
      <w:r w:rsidR="0042059F" w:rsidRPr="006B5ED8">
        <w:rPr>
          <w:sz w:val="24"/>
          <w:szCs w:val="24"/>
          <w:lang w:val="bs-Latn-BA"/>
        </w:rPr>
        <w:t>Roxadustat tablete oralno tri puta sedmično po 75mg</w:t>
      </w:r>
      <w:r w:rsidR="00ED38C8">
        <w:rPr>
          <w:sz w:val="24"/>
          <w:szCs w:val="24"/>
          <w:lang w:val="bs-Latn-BA"/>
        </w:rPr>
        <w:t xml:space="preserve"> dnevno</w:t>
      </w:r>
      <w:r w:rsidR="0042059F">
        <w:rPr>
          <w:sz w:val="24"/>
          <w:szCs w:val="24"/>
          <w:lang w:val="bs-Latn-BA"/>
        </w:rPr>
        <w:t xml:space="preserve">. </w:t>
      </w:r>
      <w:r w:rsidR="008F6570" w:rsidRPr="006B5ED8">
        <w:rPr>
          <w:sz w:val="24"/>
          <w:szCs w:val="24"/>
          <w:lang w:val="bs-Latn-BA"/>
        </w:rPr>
        <w:t xml:space="preserve">Kontrolna </w:t>
      </w:r>
      <w:r w:rsidR="00947440">
        <w:rPr>
          <w:sz w:val="24"/>
          <w:szCs w:val="24"/>
          <w:lang w:val="bs-Latn-BA"/>
        </w:rPr>
        <w:t>g</w:t>
      </w:r>
      <w:r w:rsidR="008F6570" w:rsidRPr="006B5ED8">
        <w:rPr>
          <w:sz w:val="24"/>
          <w:szCs w:val="24"/>
          <w:lang w:val="bs-Latn-BA"/>
        </w:rPr>
        <w:t>rupa koristila je</w:t>
      </w:r>
      <w:r w:rsidR="0042059F">
        <w:rPr>
          <w:sz w:val="24"/>
          <w:szCs w:val="24"/>
          <w:lang w:val="bs-Latn-BA"/>
        </w:rPr>
        <w:t xml:space="preserve"> </w:t>
      </w:r>
      <w:r w:rsidR="0042059F" w:rsidRPr="006B5ED8">
        <w:rPr>
          <w:sz w:val="24"/>
          <w:szCs w:val="24"/>
          <w:lang w:val="bs-Latn-BA"/>
        </w:rPr>
        <w:t>Eritropoeti</w:t>
      </w:r>
      <w:r w:rsidR="0042059F">
        <w:rPr>
          <w:sz w:val="24"/>
          <w:szCs w:val="24"/>
          <w:lang w:val="bs-Latn-BA"/>
        </w:rPr>
        <w:t>n</w:t>
      </w:r>
      <w:r w:rsidR="0042059F" w:rsidRPr="006B5ED8">
        <w:rPr>
          <w:sz w:val="24"/>
          <w:szCs w:val="24"/>
          <w:lang w:val="bs-Latn-BA"/>
        </w:rPr>
        <w:t xml:space="preserve"> u vidu potkožne in</w:t>
      </w:r>
      <w:r w:rsidR="0042059F">
        <w:rPr>
          <w:sz w:val="24"/>
          <w:szCs w:val="24"/>
          <w:lang w:val="bs-Latn-BA"/>
        </w:rPr>
        <w:t>j</w:t>
      </w:r>
      <w:r w:rsidR="0042059F" w:rsidRPr="006B5ED8">
        <w:rPr>
          <w:sz w:val="24"/>
          <w:szCs w:val="24"/>
          <w:lang w:val="bs-Latn-BA"/>
        </w:rPr>
        <w:t>ekcije jednom sedmično u dozi od</w:t>
      </w:r>
      <w:r w:rsidR="0042059F">
        <w:rPr>
          <w:sz w:val="24"/>
          <w:szCs w:val="24"/>
          <w:lang w:val="bs-Latn-BA"/>
        </w:rPr>
        <w:t xml:space="preserve"> 2000ij. </w:t>
      </w:r>
      <w:r w:rsidR="00157B13">
        <w:rPr>
          <w:sz w:val="24"/>
          <w:szCs w:val="24"/>
          <w:lang w:val="bs-Latn-BA"/>
        </w:rPr>
        <w:t>I</w:t>
      </w:r>
      <w:r w:rsidR="007427D4">
        <w:rPr>
          <w:sz w:val="24"/>
          <w:szCs w:val="24"/>
          <w:lang w:val="bs-Latn-BA"/>
        </w:rPr>
        <w:t>zvršena</w:t>
      </w:r>
      <w:r w:rsidR="00157B13">
        <w:rPr>
          <w:sz w:val="24"/>
          <w:szCs w:val="24"/>
          <w:lang w:val="bs-Latn-BA"/>
        </w:rPr>
        <w:t xml:space="preserve"> su mjerenja </w:t>
      </w:r>
      <w:r w:rsidR="007427D4">
        <w:rPr>
          <w:sz w:val="24"/>
          <w:szCs w:val="24"/>
          <w:lang w:val="bs-Latn-BA"/>
        </w:rPr>
        <w:t>i analize</w:t>
      </w:r>
      <w:r w:rsidR="00157B13">
        <w:rPr>
          <w:sz w:val="24"/>
          <w:szCs w:val="24"/>
          <w:lang w:val="bs-Latn-BA"/>
        </w:rPr>
        <w:t xml:space="preserve"> srednjih vrije</w:t>
      </w:r>
      <w:r w:rsidR="00ED38C8">
        <w:rPr>
          <w:sz w:val="24"/>
          <w:szCs w:val="24"/>
          <w:lang w:val="bs-Latn-BA"/>
        </w:rPr>
        <w:t>d</w:t>
      </w:r>
      <w:r w:rsidR="00157B13">
        <w:rPr>
          <w:sz w:val="24"/>
          <w:szCs w:val="24"/>
          <w:lang w:val="bs-Latn-BA"/>
        </w:rPr>
        <w:t xml:space="preserve">nosti hemoglobina na početku studije i 48 nedelja nakon terapije. </w:t>
      </w:r>
    </w:p>
    <w:p w14:paraId="52349BE5" w14:textId="776D4BD5" w:rsidR="008F6570" w:rsidRPr="00FE7B1D" w:rsidRDefault="008F6570" w:rsidP="00947440">
      <w:pPr>
        <w:jc w:val="both"/>
        <w:rPr>
          <w:sz w:val="24"/>
          <w:szCs w:val="24"/>
          <w:lang w:val="bs-Latn-BA"/>
        </w:rPr>
      </w:pPr>
      <w:r w:rsidRPr="006B5ED8">
        <w:rPr>
          <w:b/>
          <w:bCs/>
          <w:sz w:val="24"/>
          <w:szCs w:val="24"/>
          <w:lang w:val="bs-Latn-BA"/>
        </w:rPr>
        <w:t>Rezultati:</w:t>
      </w:r>
      <w:r w:rsidRPr="006B5ED8">
        <w:rPr>
          <w:sz w:val="24"/>
          <w:szCs w:val="24"/>
          <w:lang w:val="bs-Latn-BA"/>
        </w:rPr>
        <w:t xml:space="preserve"> </w:t>
      </w:r>
      <w:r w:rsidR="007427D4">
        <w:rPr>
          <w:rFonts w:cstheme="minorHAnsi"/>
          <w:sz w:val="24"/>
          <w:szCs w:val="24"/>
          <w:lang w:val="bs-Latn-BA"/>
        </w:rPr>
        <w:t>Bazalne v</w:t>
      </w:r>
      <w:r w:rsidR="00277ACB">
        <w:rPr>
          <w:rFonts w:cstheme="minorHAnsi"/>
          <w:sz w:val="24"/>
          <w:szCs w:val="24"/>
          <w:lang w:val="bs-Latn-BA"/>
        </w:rPr>
        <w:t>rije</w:t>
      </w:r>
      <w:r w:rsidR="00ED38C8">
        <w:rPr>
          <w:rFonts w:cstheme="minorHAnsi"/>
          <w:sz w:val="24"/>
          <w:szCs w:val="24"/>
          <w:lang w:val="bs-Latn-BA"/>
        </w:rPr>
        <w:t>d</w:t>
      </w:r>
      <w:r w:rsidR="00277ACB">
        <w:rPr>
          <w:rFonts w:cstheme="minorHAnsi"/>
          <w:sz w:val="24"/>
          <w:szCs w:val="24"/>
          <w:lang w:val="bs-Latn-BA"/>
        </w:rPr>
        <w:t xml:space="preserve">nosti hemoglobina izmjerene u prvoj grupi na početku studije iznosile su </w:t>
      </w:r>
      <w:r w:rsidR="007427D4">
        <w:rPr>
          <w:rFonts w:cstheme="minorHAnsi"/>
          <w:sz w:val="24"/>
          <w:szCs w:val="24"/>
          <w:lang w:val="bs-Latn-BA"/>
        </w:rPr>
        <w:t xml:space="preserve">93,62±2,23 g/l </w:t>
      </w:r>
      <w:r w:rsidR="00277ACB">
        <w:rPr>
          <w:rFonts w:cstheme="minorHAnsi"/>
          <w:sz w:val="24"/>
          <w:szCs w:val="24"/>
          <w:lang w:val="bs-Latn-BA"/>
        </w:rPr>
        <w:t>a u kontrolnoj grupi</w:t>
      </w:r>
      <w:r w:rsidR="007427D4">
        <w:rPr>
          <w:rFonts w:cstheme="minorHAnsi"/>
          <w:sz w:val="24"/>
          <w:szCs w:val="24"/>
          <w:lang w:val="bs-Latn-BA"/>
        </w:rPr>
        <w:t xml:space="preserve"> 93,62±2,00 g/l </w:t>
      </w:r>
      <w:r w:rsidR="00277ACB">
        <w:rPr>
          <w:rFonts w:cstheme="minorHAnsi"/>
          <w:sz w:val="24"/>
          <w:szCs w:val="24"/>
          <w:lang w:val="bs-Latn-BA"/>
        </w:rPr>
        <w:t>(p</w:t>
      </w:r>
      <w:r w:rsidR="00CC5A6C">
        <w:rPr>
          <w:rFonts w:cstheme="minorHAnsi"/>
          <w:sz w:val="24"/>
          <w:szCs w:val="24"/>
          <w:lang w:val="bs-Latn-BA"/>
        </w:rPr>
        <w:t>=0,96</w:t>
      </w:r>
      <w:r w:rsidR="00277ACB">
        <w:rPr>
          <w:rFonts w:cstheme="minorHAnsi"/>
          <w:sz w:val="24"/>
          <w:szCs w:val="24"/>
          <w:lang w:val="bs-Latn-BA"/>
        </w:rPr>
        <w:t>). Nakon 48 nedelja terapije kontrolne vrijenosti hemoglobina u prvoj grupi su iznosile</w:t>
      </w:r>
      <w:r w:rsidR="007427D4">
        <w:rPr>
          <w:rFonts w:cstheme="minorHAnsi"/>
          <w:sz w:val="24"/>
          <w:szCs w:val="24"/>
          <w:lang w:val="bs-Latn-BA"/>
        </w:rPr>
        <w:t xml:space="preserve"> 120±7,11</w:t>
      </w:r>
      <w:r w:rsidR="00277ACB">
        <w:rPr>
          <w:rFonts w:cstheme="minorHAnsi"/>
          <w:sz w:val="24"/>
          <w:szCs w:val="24"/>
          <w:lang w:val="bs-Latn-BA"/>
        </w:rPr>
        <w:t xml:space="preserve"> </w:t>
      </w:r>
      <w:r w:rsidR="007427D4">
        <w:rPr>
          <w:rFonts w:cstheme="minorHAnsi"/>
          <w:sz w:val="24"/>
          <w:szCs w:val="24"/>
          <w:lang w:val="bs-Latn-BA"/>
        </w:rPr>
        <w:t xml:space="preserve">g/l </w:t>
      </w:r>
      <w:r w:rsidR="004D2794">
        <w:rPr>
          <w:rFonts w:cstheme="minorHAnsi"/>
          <w:sz w:val="24"/>
          <w:szCs w:val="24"/>
          <w:lang w:val="bs-Latn-BA"/>
        </w:rPr>
        <w:t>a u kontrolnoj grupi</w:t>
      </w:r>
      <w:r w:rsidR="007427D4">
        <w:rPr>
          <w:rFonts w:cstheme="minorHAnsi"/>
          <w:sz w:val="24"/>
          <w:szCs w:val="24"/>
          <w:lang w:val="bs-Latn-BA"/>
        </w:rPr>
        <w:t xml:space="preserve"> 115</w:t>
      </w:r>
      <w:r w:rsidR="004533AB">
        <w:rPr>
          <w:rFonts w:cstheme="minorHAnsi"/>
          <w:sz w:val="24"/>
          <w:szCs w:val="24"/>
          <w:lang w:val="bs-Latn-BA"/>
        </w:rPr>
        <w:t>,77</w:t>
      </w:r>
      <w:r w:rsidR="007427D4">
        <w:rPr>
          <w:rFonts w:cstheme="minorHAnsi"/>
          <w:sz w:val="24"/>
          <w:szCs w:val="24"/>
          <w:lang w:val="bs-Latn-BA"/>
        </w:rPr>
        <w:t>±10,04 g/l</w:t>
      </w:r>
      <w:r w:rsidR="004D2794">
        <w:rPr>
          <w:rFonts w:cstheme="minorHAnsi"/>
          <w:sz w:val="24"/>
          <w:szCs w:val="24"/>
          <w:lang w:val="bs-Latn-BA"/>
        </w:rPr>
        <w:t xml:space="preserve">. </w:t>
      </w:r>
      <w:r w:rsidR="00577960">
        <w:rPr>
          <w:rFonts w:cstheme="minorHAnsi"/>
          <w:sz w:val="24"/>
          <w:szCs w:val="24"/>
          <w:lang w:val="bs-Latn-BA"/>
        </w:rPr>
        <w:t xml:space="preserve">Nakon sprovedne terapije u grupi koja je uzima </w:t>
      </w:r>
      <w:r w:rsidR="00577960">
        <w:rPr>
          <w:rFonts w:cstheme="minorHAnsi"/>
          <w:sz w:val="24"/>
          <w:szCs w:val="24"/>
          <w:lang w:val="bs-Latn-BA"/>
        </w:rPr>
        <w:lastRenderedPageBreak/>
        <w:t>Roxadustat hemoglobin</w:t>
      </w:r>
      <w:r w:rsidR="00B32CF7">
        <w:rPr>
          <w:rFonts w:cstheme="minorHAnsi"/>
          <w:sz w:val="24"/>
          <w:szCs w:val="24"/>
          <w:lang w:val="bs-Latn-BA"/>
        </w:rPr>
        <w:t xml:space="preserve"> je </w:t>
      </w:r>
      <w:r w:rsidR="00577960">
        <w:rPr>
          <w:rFonts w:cstheme="minorHAnsi"/>
          <w:sz w:val="24"/>
          <w:szCs w:val="24"/>
          <w:lang w:val="bs-Latn-BA"/>
        </w:rPr>
        <w:t xml:space="preserve"> povećan za </w:t>
      </w:r>
      <w:r w:rsidR="007427D4">
        <w:rPr>
          <w:rFonts w:cstheme="minorHAnsi"/>
          <w:sz w:val="24"/>
          <w:szCs w:val="24"/>
          <w:lang w:val="bs-Latn-BA"/>
        </w:rPr>
        <w:t>26,65±7,61</w:t>
      </w:r>
      <w:r w:rsidR="00577960">
        <w:rPr>
          <w:rFonts w:cstheme="minorHAnsi"/>
          <w:sz w:val="24"/>
          <w:szCs w:val="24"/>
          <w:lang w:val="bs-Latn-BA"/>
        </w:rPr>
        <w:t xml:space="preserve"> g/l</w:t>
      </w:r>
      <w:r w:rsidR="007427D4">
        <w:rPr>
          <w:rFonts w:cstheme="minorHAnsi"/>
          <w:sz w:val="24"/>
          <w:szCs w:val="24"/>
          <w:lang w:val="bs-Latn-BA"/>
        </w:rPr>
        <w:t xml:space="preserve"> </w:t>
      </w:r>
      <w:r w:rsidR="004D2794">
        <w:rPr>
          <w:rFonts w:cstheme="minorHAnsi"/>
          <w:sz w:val="24"/>
          <w:szCs w:val="24"/>
          <w:lang w:val="bs-Latn-BA"/>
        </w:rPr>
        <w:t xml:space="preserve">a u </w:t>
      </w:r>
      <w:r w:rsidR="00577960">
        <w:rPr>
          <w:rFonts w:cstheme="minorHAnsi"/>
          <w:sz w:val="24"/>
          <w:szCs w:val="24"/>
          <w:lang w:val="bs-Latn-BA"/>
        </w:rPr>
        <w:t xml:space="preserve">grupi koja je uzimala Eritropoetin </w:t>
      </w:r>
      <w:r w:rsidR="004D2794">
        <w:rPr>
          <w:rFonts w:cstheme="minorHAnsi"/>
          <w:sz w:val="24"/>
          <w:szCs w:val="24"/>
          <w:lang w:val="bs-Latn-BA"/>
        </w:rPr>
        <w:t>za</w:t>
      </w:r>
      <w:r w:rsidR="007427D4">
        <w:rPr>
          <w:rFonts w:cstheme="minorHAnsi"/>
          <w:sz w:val="24"/>
          <w:szCs w:val="24"/>
          <w:lang w:val="bs-Latn-BA"/>
        </w:rPr>
        <w:t xml:space="preserve"> 22,12±10,34 </w:t>
      </w:r>
      <w:r w:rsidR="00577960">
        <w:rPr>
          <w:rFonts w:cstheme="minorHAnsi"/>
          <w:sz w:val="24"/>
          <w:szCs w:val="24"/>
          <w:lang w:val="bs-Latn-BA"/>
        </w:rPr>
        <w:t xml:space="preserve"> g/l </w:t>
      </w:r>
      <w:r w:rsidR="004D2794">
        <w:rPr>
          <w:rFonts w:cstheme="minorHAnsi"/>
          <w:sz w:val="24"/>
          <w:szCs w:val="24"/>
          <w:lang w:val="bs-Latn-BA"/>
        </w:rPr>
        <w:t>sa statistički značajnom razlikom p</w:t>
      </w:r>
      <w:bookmarkStart w:id="0" w:name="_Hlk91794314"/>
      <w:r w:rsidR="004D2794">
        <w:rPr>
          <w:rFonts w:cstheme="minorHAnsi"/>
          <w:sz w:val="24"/>
          <w:szCs w:val="24"/>
          <w:lang w:val="bs-Latn-BA"/>
        </w:rPr>
        <w:t>=</w:t>
      </w:r>
      <w:bookmarkEnd w:id="0"/>
      <w:r w:rsidR="004D2794">
        <w:rPr>
          <w:rFonts w:cstheme="minorHAnsi"/>
          <w:sz w:val="24"/>
          <w:szCs w:val="24"/>
          <w:lang w:val="bs-Latn-BA"/>
        </w:rPr>
        <w:t>0,01.</w:t>
      </w:r>
    </w:p>
    <w:p w14:paraId="71714CC3" w14:textId="28B21273" w:rsidR="000928BA" w:rsidRPr="006B5ED8" w:rsidRDefault="000928BA" w:rsidP="00947440">
      <w:pPr>
        <w:jc w:val="both"/>
        <w:rPr>
          <w:rFonts w:cstheme="minorHAnsi"/>
          <w:sz w:val="24"/>
          <w:szCs w:val="24"/>
          <w:lang w:val="bs-Latn-BA"/>
        </w:rPr>
      </w:pPr>
      <w:r w:rsidRPr="006B5ED8">
        <w:rPr>
          <w:rFonts w:cstheme="minorHAnsi"/>
          <w:b/>
          <w:bCs/>
          <w:sz w:val="24"/>
          <w:szCs w:val="24"/>
          <w:lang w:val="bs-Latn-BA"/>
        </w:rPr>
        <w:t>Zaključak:</w:t>
      </w:r>
      <w:r w:rsidRPr="006B5ED8">
        <w:rPr>
          <w:rFonts w:cstheme="minorHAnsi"/>
          <w:sz w:val="24"/>
          <w:szCs w:val="24"/>
          <w:lang w:val="bs-Latn-BA"/>
        </w:rPr>
        <w:t xml:space="preserve"> Istraživanj</w:t>
      </w:r>
      <w:r w:rsidR="00723F0A">
        <w:rPr>
          <w:rFonts w:cstheme="minorHAnsi"/>
          <w:sz w:val="24"/>
          <w:szCs w:val="24"/>
          <w:lang w:val="bs-Latn-BA"/>
        </w:rPr>
        <w:t>e</w:t>
      </w:r>
      <w:r w:rsidRPr="006B5ED8">
        <w:rPr>
          <w:rFonts w:cstheme="minorHAnsi"/>
          <w:sz w:val="24"/>
          <w:szCs w:val="24"/>
          <w:lang w:val="bs-Latn-BA"/>
        </w:rPr>
        <w:t xml:space="preserve"> sproveden</w:t>
      </w:r>
      <w:r w:rsidR="00723F0A">
        <w:rPr>
          <w:rFonts w:cstheme="minorHAnsi"/>
          <w:sz w:val="24"/>
          <w:szCs w:val="24"/>
          <w:lang w:val="bs-Latn-BA"/>
        </w:rPr>
        <w:t>o</w:t>
      </w:r>
      <w:r w:rsidRPr="006B5ED8">
        <w:rPr>
          <w:rFonts w:cstheme="minorHAnsi"/>
          <w:sz w:val="24"/>
          <w:szCs w:val="24"/>
          <w:lang w:val="bs-Latn-BA"/>
        </w:rPr>
        <w:t xml:space="preserve"> studijom pokazuju superiornost Roxadustata u odnosu na standardnu terapiju Eritropoetinom u smislu statistički znača</w:t>
      </w:r>
      <w:r w:rsidR="00272934">
        <w:rPr>
          <w:rFonts w:cstheme="minorHAnsi"/>
          <w:sz w:val="24"/>
          <w:szCs w:val="24"/>
          <w:lang w:val="bs-Latn-BA"/>
        </w:rPr>
        <w:t>jne razlike</w:t>
      </w:r>
      <w:r w:rsidRPr="006B5ED8">
        <w:rPr>
          <w:rFonts w:cstheme="minorHAnsi"/>
          <w:sz w:val="24"/>
          <w:szCs w:val="24"/>
          <w:lang w:val="bs-Latn-BA"/>
        </w:rPr>
        <w:t xml:space="preserve"> povećanja vrije</w:t>
      </w:r>
      <w:r w:rsidR="00723F0A">
        <w:rPr>
          <w:rFonts w:cstheme="minorHAnsi"/>
          <w:sz w:val="24"/>
          <w:szCs w:val="24"/>
          <w:lang w:val="bs-Latn-BA"/>
        </w:rPr>
        <w:t>d</w:t>
      </w:r>
      <w:r w:rsidRPr="006B5ED8">
        <w:rPr>
          <w:rFonts w:cstheme="minorHAnsi"/>
          <w:sz w:val="24"/>
          <w:szCs w:val="24"/>
          <w:lang w:val="bs-Latn-BA"/>
        </w:rPr>
        <w:t>nosti serumskog hemoglobina</w:t>
      </w:r>
      <w:r w:rsidR="00ED38C8">
        <w:rPr>
          <w:rFonts w:cstheme="minorHAnsi"/>
          <w:sz w:val="24"/>
          <w:szCs w:val="24"/>
          <w:lang w:val="bs-Latn-BA"/>
        </w:rPr>
        <w:t xml:space="preserve"> između dvije ispitivane grupe</w:t>
      </w:r>
      <w:r w:rsidRPr="006B5ED8">
        <w:rPr>
          <w:rFonts w:cstheme="minorHAnsi"/>
          <w:sz w:val="24"/>
          <w:szCs w:val="24"/>
          <w:lang w:val="bs-Latn-BA"/>
        </w:rPr>
        <w:t xml:space="preserve">. </w:t>
      </w:r>
    </w:p>
    <w:p w14:paraId="58C122BE" w14:textId="5BF25484" w:rsidR="000928BA" w:rsidRPr="006B5ED8" w:rsidRDefault="000928BA" w:rsidP="00947440">
      <w:pPr>
        <w:jc w:val="both"/>
        <w:rPr>
          <w:sz w:val="24"/>
          <w:szCs w:val="24"/>
          <w:lang w:val="bs-Latn-BA"/>
        </w:rPr>
      </w:pPr>
      <w:r w:rsidRPr="006B5ED8">
        <w:rPr>
          <w:rFonts w:cstheme="minorHAnsi"/>
          <w:b/>
          <w:bCs/>
          <w:sz w:val="24"/>
          <w:szCs w:val="24"/>
          <w:lang w:val="bs-Latn-BA"/>
        </w:rPr>
        <w:t>Ključne riječi:</w:t>
      </w:r>
      <w:r w:rsidRPr="006B5ED8">
        <w:rPr>
          <w:rFonts w:cstheme="minorHAnsi"/>
          <w:sz w:val="24"/>
          <w:szCs w:val="24"/>
          <w:lang w:val="bs-Latn-BA"/>
        </w:rPr>
        <w:t xml:space="preserve"> Roxadustat</w:t>
      </w:r>
      <w:r w:rsidR="002331D9">
        <w:rPr>
          <w:rFonts w:cstheme="minorHAnsi"/>
          <w:sz w:val="24"/>
          <w:szCs w:val="24"/>
        </w:rPr>
        <w:t>;</w:t>
      </w:r>
      <w:r w:rsidRPr="006B5ED8">
        <w:rPr>
          <w:rFonts w:cstheme="minorHAnsi"/>
          <w:sz w:val="24"/>
          <w:szCs w:val="24"/>
          <w:lang w:val="bs-Latn-BA"/>
        </w:rPr>
        <w:t xml:space="preserve"> </w:t>
      </w:r>
      <w:r w:rsidR="006B5ED8">
        <w:rPr>
          <w:rFonts w:cstheme="minorHAnsi"/>
          <w:sz w:val="24"/>
          <w:szCs w:val="24"/>
          <w:lang w:val="bs-Latn-BA"/>
        </w:rPr>
        <w:t>E</w:t>
      </w:r>
      <w:r w:rsidRPr="006B5ED8">
        <w:rPr>
          <w:rFonts w:cstheme="minorHAnsi"/>
          <w:sz w:val="24"/>
          <w:szCs w:val="24"/>
          <w:lang w:val="bs-Latn-BA"/>
        </w:rPr>
        <w:t>ritropoetin</w:t>
      </w:r>
      <w:r w:rsidR="002331D9">
        <w:rPr>
          <w:rFonts w:cstheme="minorHAnsi"/>
          <w:sz w:val="24"/>
          <w:szCs w:val="24"/>
          <w:lang w:val="bs-Latn-BA"/>
        </w:rPr>
        <w:t>;</w:t>
      </w:r>
      <w:r w:rsidR="00125E13">
        <w:rPr>
          <w:rFonts w:cstheme="minorHAnsi"/>
          <w:sz w:val="24"/>
          <w:szCs w:val="24"/>
          <w:lang w:val="bs-Latn-BA"/>
        </w:rPr>
        <w:t xml:space="preserve"> Anemija</w:t>
      </w:r>
      <w:r w:rsidR="00590D0B">
        <w:rPr>
          <w:rFonts w:cstheme="minorHAnsi"/>
          <w:sz w:val="24"/>
          <w:szCs w:val="24"/>
          <w:lang w:val="bs-Latn-BA"/>
        </w:rPr>
        <w:t>.</w:t>
      </w:r>
    </w:p>
    <w:sectPr w:rsidR="000928BA" w:rsidRPr="006B5ED8" w:rsidSect="00FE7B1D">
      <w:pgSz w:w="12240" w:h="15840"/>
      <w:pgMar w:top="1440" w:right="1440" w:bottom="1440" w:left="22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12B"/>
    <w:rsid w:val="000928BA"/>
    <w:rsid w:val="000B4584"/>
    <w:rsid w:val="00125E13"/>
    <w:rsid w:val="00157B13"/>
    <w:rsid w:val="001F476B"/>
    <w:rsid w:val="002331D9"/>
    <w:rsid w:val="00272934"/>
    <w:rsid w:val="00277ACB"/>
    <w:rsid w:val="00410E87"/>
    <w:rsid w:val="0042059F"/>
    <w:rsid w:val="004533AB"/>
    <w:rsid w:val="004623AF"/>
    <w:rsid w:val="004B37C7"/>
    <w:rsid w:val="004D2794"/>
    <w:rsid w:val="00577960"/>
    <w:rsid w:val="00590D0B"/>
    <w:rsid w:val="006B5ED8"/>
    <w:rsid w:val="00723F0A"/>
    <w:rsid w:val="007427D4"/>
    <w:rsid w:val="007F4884"/>
    <w:rsid w:val="008F6570"/>
    <w:rsid w:val="00947440"/>
    <w:rsid w:val="009D7CEF"/>
    <w:rsid w:val="009E7791"/>
    <w:rsid w:val="00A05682"/>
    <w:rsid w:val="00A46515"/>
    <w:rsid w:val="00B32CF7"/>
    <w:rsid w:val="00B33A73"/>
    <w:rsid w:val="00CC5A6C"/>
    <w:rsid w:val="00CE6752"/>
    <w:rsid w:val="00E8378C"/>
    <w:rsid w:val="00ED38C8"/>
    <w:rsid w:val="00F252AD"/>
    <w:rsid w:val="00F3109F"/>
    <w:rsid w:val="00FC5960"/>
    <w:rsid w:val="00FE7B1D"/>
    <w:rsid w:val="00FF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27DDD"/>
  <w15:chartTrackingRefBased/>
  <w15:docId w15:val="{E98AE313-60D5-45C5-8AD0-AE77D1BEE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1D9"/>
    <w:pPr>
      <w:spacing w:line="48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2021-12-29T17:58:00Z</dcterms:created>
  <dcterms:modified xsi:type="dcterms:W3CDTF">2021-12-30T21:51:00Z</dcterms:modified>
</cp:coreProperties>
</file>