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4B4" w:rsidRPr="00D33C14" w:rsidRDefault="00F026A4" w:rsidP="00B03A28">
      <w:pPr>
        <w:spacing w:line="480" w:lineRule="auto"/>
        <w:jc w:val="both"/>
        <w:rPr>
          <w:rFonts w:ascii="Times New Roman" w:hAnsi="Times New Roman" w:cs="Times New Roman"/>
          <w:b/>
          <w:sz w:val="24"/>
          <w:szCs w:val="24"/>
        </w:rPr>
      </w:pPr>
      <w:r w:rsidRPr="00D33C14">
        <w:rPr>
          <w:rFonts w:ascii="Times New Roman" w:hAnsi="Times New Roman" w:cs="Times New Roman"/>
          <w:b/>
          <w:sz w:val="24"/>
          <w:szCs w:val="24"/>
        </w:rPr>
        <w:t>Sažetak</w:t>
      </w:r>
    </w:p>
    <w:p w:rsidR="001352A8"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Uvod</w:t>
      </w:r>
      <w:r w:rsidR="00F026A4">
        <w:rPr>
          <w:rFonts w:ascii="Times New Roman" w:hAnsi="Times New Roman" w:cs="Times New Roman"/>
          <w:sz w:val="24"/>
          <w:szCs w:val="24"/>
        </w:rPr>
        <w:t>: Aortokoronarni bajpas (CABG) je najčešće izvođena kardiohirurška operacija i jedna od najčešć</w:t>
      </w:r>
      <w:r w:rsidR="001352A8">
        <w:rPr>
          <w:rFonts w:ascii="Times New Roman" w:hAnsi="Times New Roman" w:cs="Times New Roman"/>
          <w:sz w:val="24"/>
          <w:szCs w:val="24"/>
        </w:rPr>
        <w:t>ih operacija uopšte. Tokom razvo</w:t>
      </w:r>
      <w:r w:rsidR="00F026A4">
        <w:rPr>
          <w:rFonts w:ascii="Times New Roman" w:hAnsi="Times New Roman" w:cs="Times New Roman"/>
          <w:sz w:val="24"/>
          <w:szCs w:val="24"/>
        </w:rPr>
        <w:t>ja ove procedure više puta su prihvatani i odbacivani pojedini sudovi kao mogući graftni materijal. Kada se uzme u obzir napredak kardiohirurških tehnika i dostupnost nove terapije u postoperativnom periodu, javlja se potreba za reevaluacijom pojedinih graftova.</w:t>
      </w:r>
      <w:r w:rsidR="001352A8">
        <w:rPr>
          <w:rFonts w:ascii="Times New Roman" w:hAnsi="Times New Roman" w:cs="Times New Roman"/>
          <w:sz w:val="24"/>
          <w:szCs w:val="24"/>
        </w:rPr>
        <w:t xml:space="preserve"> Takođe, pojavljuju se novi dokazi da hirurška revaskularizacija ima srednjoročnu i dugoročnu prednost nad perkutanim intervencijama, naročito kod pacijenata sa dijabetes melitusom.</w:t>
      </w:r>
      <w:r w:rsidR="00F026A4">
        <w:rPr>
          <w:rFonts w:ascii="Times New Roman" w:hAnsi="Times New Roman" w:cs="Times New Roman"/>
          <w:sz w:val="24"/>
          <w:szCs w:val="24"/>
        </w:rPr>
        <w:t xml:space="preserve"> Lijeva mamarna arterija je graft prvog izbora</w:t>
      </w:r>
      <w:r w:rsidR="001352A8">
        <w:rPr>
          <w:rFonts w:ascii="Times New Roman" w:hAnsi="Times New Roman" w:cs="Times New Roman"/>
          <w:sz w:val="24"/>
          <w:szCs w:val="24"/>
        </w:rPr>
        <w:t xml:space="preserve">, kao </w:t>
      </w:r>
      <w:r w:rsidR="001352A8" w:rsidRPr="001352A8">
        <w:rPr>
          <w:rFonts w:ascii="Times New Roman" w:hAnsi="Times New Roman" w:cs="Times New Roman"/>
          <w:i/>
          <w:sz w:val="24"/>
          <w:szCs w:val="24"/>
        </w:rPr>
        <w:t>in situ</w:t>
      </w:r>
      <w:r w:rsidR="001352A8">
        <w:rPr>
          <w:rFonts w:ascii="Times New Roman" w:hAnsi="Times New Roman" w:cs="Times New Roman"/>
          <w:sz w:val="24"/>
          <w:szCs w:val="24"/>
        </w:rPr>
        <w:t xml:space="preserve"> graft na LAD, dok još uvijek nemamo jasan odgovor koji je najbolji graft drugog izbora. Prvenstveno se razmatra upotreba radijalne arterije naspram standardne upotrebe velike safenske vene.</w:t>
      </w:r>
      <w:r w:rsidR="002C791B" w:rsidRPr="00F026A4">
        <w:rPr>
          <w:rFonts w:ascii="Times New Roman" w:hAnsi="Times New Roman" w:cs="Times New Roman"/>
          <w:sz w:val="24"/>
          <w:szCs w:val="24"/>
        </w:rPr>
        <w:t xml:space="preserve"> </w:t>
      </w:r>
      <w:r w:rsidR="001352A8">
        <w:rPr>
          <w:rFonts w:ascii="Times New Roman" w:hAnsi="Times New Roman" w:cs="Times New Roman"/>
          <w:sz w:val="24"/>
          <w:szCs w:val="24"/>
        </w:rPr>
        <w:t>Najveći problem je nepotpuno poznavanje činioca koji utiču na vijabilnost grafta, nestandardizovane metode u procjeni kvaliteta grafta, česti komorbiditeti te dug period praćenja.</w:t>
      </w:r>
    </w:p>
    <w:p w:rsidR="005004B4" w:rsidRPr="00F026A4"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Cilj</w:t>
      </w:r>
      <w:r w:rsidR="00355824">
        <w:rPr>
          <w:rFonts w:ascii="Times New Roman" w:hAnsi="Times New Roman" w:cs="Times New Roman"/>
          <w:sz w:val="24"/>
          <w:szCs w:val="24"/>
        </w:rPr>
        <w:t xml:space="preserve">: Procjena </w:t>
      </w:r>
      <w:r w:rsidR="00442B54">
        <w:rPr>
          <w:rFonts w:ascii="Times New Roman" w:hAnsi="Times New Roman" w:cs="Times New Roman"/>
          <w:sz w:val="24"/>
          <w:szCs w:val="24"/>
        </w:rPr>
        <w:t>kratkoročne vijabilnosti radijalnog grafta naspram venskog grafta</w:t>
      </w:r>
      <w:r w:rsidR="00355824">
        <w:rPr>
          <w:rFonts w:ascii="Times New Roman" w:hAnsi="Times New Roman" w:cs="Times New Roman"/>
          <w:sz w:val="24"/>
          <w:szCs w:val="24"/>
        </w:rPr>
        <w:t>.</w:t>
      </w:r>
    </w:p>
    <w:p w:rsidR="002C791B" w:rsidRPr="00F026A4"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Metod istraživanja</w:t>
      </w:r>
      <w:r w:rsidR="00682C81">
        <w:rPr>
          <w:rFonts w:ascii="Times New Roman" w:hAnsi="Times New Roman" w:cs="Times New Roman"/>
          <w:sz w:val="24"/>
          <w:szCs w:val="24"/>
        </w:rPr>
        <w:t xml:space="preserve">: </w:t>
      </w:r>
      <w:r w:rsidR="00D33C14">
        <w:rPr>
          <w:rFonts w:ascii="Times New Roman" w:hAnsi="Times New Roman" w:cs="Times New Roman"/>
          <w:sz w:val="24"/>
          <w:szCs w:val="24"/>
        </w:rPr>
        <w:t>Op</w:t>
      </w:r>
      <w:r w:rsidR="00442B54">
        <w:rPr>
          <w:rFonts w:ascii="Times New Roman" w:hAnsi="Times New Roman" w:cs="Times New Roman"/>
          <w:sz w:val="24"/>
          <w:szCs w:val="24"/>
        </w:rPr>
        <w:t>servaciona retrospektivno-prospektivna studija na pacijentima liječenim na Klinici za kardiohirurgiju UKC RS</w:t>
      </w:r>
      <w:r w:rsidR="00923067">
        <w:rPr>
          <w:rFonts w:ascii="Times New Roman" w:hAnsi="Times New Roman" w:cs="Times New Roman"/>
          <w:sz w:val="24"/>
          <w:szCs w:val="24"/>
        </w:rPr>
        <w:t>.</w:t>
      </w:r>
      <w:r w:rsidR="00355824">
        <w:rPr>
          <w:rFonts w:ascii="Times New Roman" w:hAnsi="Times New Roman" w:cs="Times New Roman"/>
          <w:sz w:val="24"/>
          <w:szCs w:val="24"/>
        </w:rPr>
        <w:t xml:space="preserve"> Vijabilnost grafta je procjenjivana </w:t>
      </w:r>
      <w:r w:rsidR="00D33C14">
        <w:rPr>
          <w:rFonts w:ascii="Times New Roman" w:hAnsi="Times New Roman" w:cs="Times New Roman"/>
          <w:sz w:val="24"/>
          <w:szCs w:val="24"/>
        </w:rPr>
        <w:t>re</w:t>
      </w:r>
      <w:r w:rsidR="00355824">
        <w:rPr>
          <w:rFonts w:ascii="Times New Roman" w:hAnsi="Times New Roman" w:cs="Times New Roman"/>
          <w:sz w:val="24"/>
          <w:szCs w:val="24"/>
        </w:rPr>
        <w:t>koronarografijom u pogledu prohod</w:t>
      </w:r>
      <w:r w:rsidR="00442B54">
        <w:rPr>
          <w:rFonts w:ascii="Times New Roman" w:hAnsi="Times New Roman" w:cs="Times New Roman"/>
          <w:sz w:val="24"/>
          <w:szCs w:val="24"/>
        </w:rPr>
        <w:t>nosti grafta i stepena stenoze</w:t>
      </w:r>
      <w:r w:rsidR="00B03A28">
        <w:rPr>
          <w:rFonts w:ascii="Times New Roman" w:hAnsi="Times New Roman" w:cs="Times New Roman"/>
          <w:sz w:val="24"/>
          <w:szCs w:val="24"/>
        </w:rPr>
        <w:t xml:space="preserve"> 3 mjeseca nakon operacije</w:t>
      </w:r>
      <w:r w:rsidR="00442B54">
        <w:rPr>
          <w:rFonts w:ascii="Times New Roman" w:hAnsi="Times New Roman" w:cs="Times New Roman"/>
          <w:sz w:val="24"/>
          <w:szCs w:val="24"/>
        </w:rPr>
        <w:t>.</w:t>
      </w:r>
    </w:p>
    <w:p w:rsidR="003A7B6A" w:rsidRDefault="003A7B6A"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Rezultati: </w:t>
      </w:r>
      <w:r>
        <w:rPr>
          <w:rFonts w:ascii="Times New Roman" w:hAnsi="Times New Roman" w:cs="Times New Roman"/>
          <w:sz w:val="24"/>
          <w:szCs w:val="24"/>
        </w:rPr>
        <w:t>Ukupno je praćeno 200 pacijenata, od čega 100 graftova radijalne arterije i 100 venskih graftova. Verifikovano je 3 nefunkcionalna radijalna grafta i 2 ciljana nefunkcionalna grafta u grupi venskih graftova. Po ispitivanju statističke značajnnosti hi kvadrat testom dobijena p vrijednost je 0.65, što znači da ne možemo odbaciti nultu hipotezu i da nismo pokazali značajnu razliku među ove 2 vrste grafta.</w:t>
      </w:r>
    </w:p>
    <w:p w:rsidR="003A7B6A"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lastRenderedPageBreak/>
        <w:t>Zaključak</w:t>
      </w:r>
      <w:r w:rsidR="00355824">
        <w:rPr>
          <w:rFonts w:ascii="Times New Roman" w:hAnsi="Times New Roman" w:cs="Times New Roman"/>
          <w:sz w:val="24"/>
          <w:szCs w:val="24"/>
        </w:rPr>
        <w:t xml:space="preserve">: </w:t>
      </w:r>
      <w:r w:rsidR="003A7B6A">
        <w:rPr>
          <w:rFonts w:ascii="Times New Roman" w:hAnsi="Times New Roman" w:cs="Times New Roman"/>
          <w:sz w:val="24"/>
          <w:szCs w:val="24"/>
        </w:rPr>
        <w:t>Potrebne su dodatne,usmjerene, prospektivne studije koje standardizovano upoređuju  kvalitet grafta radijalne arterije i velike safenske vene kao i tehnike njihovog uzimanja. Potrebno je srednjeročno i dugoročno praćenje pacijenata, po mogućnosti većih grupa iz ove ustanove kako bi se napravio interni protokol koji će dati najbolje mogućnosti liječenja pacijenata u Klinici za kardiohirurgiju UKC RS po dostupnim tehničkim i ljudskim resursima.</w:t>
      </w:r>
    </w:p>
    <w:p w:rsidR="00D33C14" w:rsidRDefault="005004B4" w:rsidP="00B03A28">
      <w:pPr>
        <w:spacing w:line="480" w:lineRule="auto"/>
        <w:jc w:val="both"/>
        <w:rPr>
          <w:rFonts w:ascii="Times New Roman" w:hAnsi="Times New Roman" w:cs="Times New Roman"/>
          <w:sz w:val="24"/>
          <w:szCs w:val="24"/>
        </w:rPr>
      </w:pPr>
      <w:r w:rsidRPr="00F026A4">
        <w:rPr>
          <w:rFonts w:ascii="Times New Roman" w:hAnsi="Times New Roman" w:cs="Times New Roman"/>
          <w:sz w:val="24"/>
          <w:szCs w:val="24"/>
        </w:rPr>
        <w:t>Ključne riječi</w:t>
      </w:r>
      <w:r w:rsidR="00682C81">
        <w:rPr>
          <w:rFonts w:ascii="Times New Roman" w:hAnsi="Times New Roman" w:cs="Times New Roman"/>
          <w:sz w:val="24"/>
          <w:szCs w:val="24"/>
        </w:rPr>
        <w:t>: CABG , radial artery , saphenous vein</w:t>
      </w:r>
    </w:p>
    <w:p w:rsidR="00AF2012" w:rsidRDefault="00AF2012" w:rsidP="00B03A28">
      <w:pPr>
        <w:spacing w:line="480" w:lineRule="auto"/>
        <w:jc w:val="both"/>
        <w:rPr>
          <w:rFonts w:ascii="Times New Roman" w:hAnsi="Times New Roman" w:cs="Times New Roman"/>
          <w:sz w:val="24"/>
          <w:szCs w:val="24"/>
        </w:rPr>
      </w:pPr>
    </w:p>
    <w:p w:rsidR="00202A7B" w:rsidRPr="00D33C14" w:rsidRDefault="00DA6B3C" w:rsidP="00D33C14">
      <w:pPr>
        <w:spacing w:line="480" w:lineRule="auto"/>
        <w:jc w:val="center"/>
        <w:rPr>
          <w:rFonts w:ascii="Times New Roman" w:hAnsi="Times New Roman" w:cs="Times New Roman"/>
          <w:b/>
          <w:sz w:val="28"/>
          <w:szCs w:val="24"/>
        </w:rPr>
      </w:pPr>
      <w:r w:rsidRPr="00D33C14">
        <w:rPr>
          <w:rFonts w:ascii="Times New Roman" w:hAnsi="Times New Roman" w:cs="Times New Roman"/>
          <w:b/>
          <w:sz w:val="28"/>
          <w:szCs w:val="24"/>
        </w:rPr>
        <w:t>Uvod</w:t>
      </w:r>
    </w:p>
    <w:p w:rsidR="00D33C14" w:rsidRPr="00D33C14" w:rsidRDefault="00D33C14" w:rsidP="00D33C14">
      <w:pPr>
        <w:spacing w:line="480" w:lineRule="auto"/>
        <w:jc w:val="center"/>
        <w:rPr>
          <w:rFonts w:ascii="Times New Roman" w:hAnsi="Times New Roman" w:cs="Times New Roman"/>
          <w:b/>
          <w:sz w:val="24"/>
          <w:szCs w:val="24"/>
        </w:rPr>
      </w:pPr>
    </w:p>
    <w:p w:rsidR="00D40D67" w:rsidRDefault="00D33C14" w:rsidP="00D40D67">
      <w:pPr>
        <w:spacing w:line="480" w:lineRule="auto"/>
        <w:jc w:val="both"/>
        <w:rPr>
          <w:rFonts w:ascii="Times New Roman" w:hAnsi="Times New Roman" w:cs="Times New Roman"/>
          <w:sz w:val="24"/>
          <w:szCs w:val="24"/>
        </w:rPr>
      </w:pPr>
      <w:r>
        <w:rPr>
          <w:rFonts w:ascii="Times New Roman" w:hAnsi="Times New Roman" w:cs="Times New Roman"/>
          <w:sz w:val="24"/>
          <w:szCs w:val="24"/>
        </w:rPr>
        <w:t>Aortokoronarni bajpas (CABG) je najčešće izvođena kardiohirurška operacija i jedna od najčešćih operacija uopšte. Tokom razvoja ove procedure više puta su prihvatani i odbacivani pojedini sudovi kao mogući graftni materijal.</w:t>
      </w:r>
      <w:r w:rsidR="00CE461E">
        <w:rPr>
          <w:rFonts w:ascii="Times New Roman" w:hAnsi="Times New Roman" w:cs="Times New Roman"/>
          <w:sz w:val="24"/>
          <w:szCs w:val="24"/>
        </w:rPr>
        <w:t xml:space="preserve"> Prvi pokušaji revaskularizacije miokarda, kako indirektni tako i direktni, su uključivali unutrašnju torakalnu arteriju</w:t>
      </w:r>
      <w:r w:rsidR="001022DE">
        <w:rPr>
          <w:rFonts w:ascii="Times New Roman" w:hAnsi="Times New Roman" w:cs="Times New Roman"/>
          <w:sz w:val="24"/>
          <w:szCs w:val="24"/>
        </w:rPr>
        <w:t>, ali je ona dugo vremena bila napuštena od strane većine kardiohirurških centara. Ipak zbog svojih mnogobrojnih prednosti u tehničkom, histološkom i funkcionalnom smislu, lijeva unutrašnja torakalna arterija je graft prvog izbora u hirurškoj revaskularizaciji miokarda</w:t>
      </w:r>
      <w:r w:rsidR="00D15D35">
        <w:rPr>
          <w:rFonts w:ascii="Times New Roman" w:hAnsi="Times New Roman" w:cs="Times New Roman"/>
          <w:sz w:val="24"/>
          <w:szCs w:val="24"/>
        </w:rPr>
        <w:t xml:space="preserve"> [1]</w:t>
      </w:r>
      <w:r w:rsidR="001022DE">
        <w:rPr>
          <w:rFonts w:ascii="Times New Roman" w:hAnsi="Times New Roman" w:cs="Times New Roman"/>
          <w:sz w:val="24"/>
          <w:szCs w:val="24"/>
        </w:rPr>
        <w:t>.</w:t>
      </w:r>
      <w:r>
        <w:rPr>
          <w:rFonts w:ascii="Times New Roman" w:hAnsi="Times New Roman" w:cs="Times New Roman"/>
          <w:sz w:val="24"/>
          <w:szCs w:val="24"/>
        </w:rPr>
        <w:t xml:space="preserve"> Kada se uzme u obzir napredak kardiohirurških tehnika i dostupnost nove terapije u postoperativnom periodu, javlja se potreba za reevaluacijom pojedinih graftova. Takođe, pojavljuju se novi dokazi da hirurška revaskularizacija ima srednjoročnu i dugoročnu prednost nad perkutanim intervencijama, naročito kod pacijenata sa dijabetes melitusom. Lijeva mamarna arterija je graft prvog izbora, kao </w:t>
      </w:r>
      <w:r w:rsidRPr="001352A8">
        <w:rPr>
          <w:rFonts w:ascii="Times New Roman" w:hAnsi="Times New Roman" w:cs="Times New Roman"/>
          <w:i/>
          <w:sz w:val="24"/>
          <w:szCs w:val="24"/>
        </w:rPr>
        <w:t>in situ</w:t>
      </w:r>
      <w:r>
        <w:rPr>
          <w:rFonts w:ascii="Times New Roman" w:hAnsi="Times New Roman" w:cs="Times New Roman"/>
          <w:sz w:val="24"/>
          <w:szCs w:val="24"/>
        </w:rPr>
        <w:t xml:space="preserve"> graft na</w:t>
      </w:r>
      <w:r w:rsidR="001022DE">
        <w:rPr>
          <w:rFonts w:ascii="Times New Roman" w:hAnsi="Times New Roman" w:cs="Times New Roman"/>
          <w:sz w:val="24"/>
          <w:szCs w:val="24"/>
        </w:rPr>
        <w:t xml:space="preserve"> prednju descedentnu arteriju - </w:t>
      </w:r>
      <w:r>
        <w:rPr>
          <w:rFonts w:ascii="Times New Roman" w:hAnsi="Times New Roman" w:cs="Times New Roman"/>
          <w:sz w:val="24"/>
          <w:szCs w:val="24"/>
        </w:rPr>
        <w:t xml:space="preserve"> LAD</w:t>
      </w:r>
      <w:r w:rsidR="001022DE">
        <w:rPr>
          <w:rFonts w:ascii="Times New Roman" w:hAnsi="Times New Roman" w:cs="Times New Roman"/>
          <w:sz w:val="24"/>
          <w:szCs w:val="24"/>
        </w:rPr>
        <w:t>, tj RIA</w:t>
      </w:r>
      <w:r>
        <w:rPr>
          <w:rFonts w:ascii="Times New Roman" w:hAnsi="Times New Roman" w:cs="Times New Roman"/>
          <w:sz w:val="24"/>
          <w:szCs w:val="24"/>
        </w:rPr>
        <w:t xml:space="preserve">, dok još uvijek nemamo jasan odgovor koji je najbolji graft drugog izbora. </w:t>
      </w:r>
      <w:r w:rsidR="001022DE">
        <w:rPr>
          <w:rFonts w:ascii="Times New Roman" w:hAnsi="Times New Roman" w:cs="Times New Roman"/>
          <w:sz w:val="24"/>
          <w:szCs w:val="24"/>
        </w:rPr>
        <w:t xml:space="preserve">U praksi se </w:t>
      </w:r>
      <w:r w:rsidR="001022DE">
        <w:rPr>
          <w:rFonts w:ascii="Times New Roman" w:hAnsi="Times New Roman" w:cs="Times New Roman"/>
          <w:sz w:val="24"/>
          <w:szCs w:val="24"/>
        </w:rPr>
        <w:lastRenderedPageBreak/>
        <w:t>prvenstveno</w:t>
      </w:r>
      <w:r>
        <w:rPr>
          <w:rFonts w:ascii="Times New Roman" w:hAnsi="Times New Roman" w:cs="Times New Roman"/>
          <w:sz w:val="24"/>
          <w:szCs w:val="24"/>
        </w:rPr>
        <w:t xml:space="preserve"> razmatra upotreba radijalne arterije naspram standardne upotrebe velike safenske vene</w:t>
      </w:r>
      <w:r w:rsidR="001022DE">
        <w:rPr>
          <w:rFonts w:ascii="Times New Roman" w:hAnsi="Times New Roman" w:cs="Times New Roman"/>
          <w:sz w:val="24"/>
          <w:szCs w:val="24"/>
        </w:rPr>
        <w:t>, otvorenom tehnikom uzimanja, mada se sve češće koristi i endoskopska i „no touch“ tehnika</w:t>
      </w:r>
      <w:r>
        <w:rPr>
          <w:rFonts w:ascii="Times New Roman" w:hAnsi="Times New Roman" w:cs="Times New Roman"/>
          <w:sz w:val="24"/>
          <w:szCs w:val="24"/>
        </w:rPr>
        <w:t>.</w:t>
      </w:r>
      <w:r w:rsidRPr="00F026A4">
        <w:rPr>
          <w:rFonts w:ascii="Times New Roman" w:hAnsi="Times New Roman" w:cs="Times New Roman"/>
          <w:sz w:val="24"/>
          <w:szCs w:val="24"/>
        </w:rPr>
        <w:t xml:space="preserve"> </w:t>
      </w:r>
      <w:r w:rsidR="00054AED">
        <w:rPr>
          <w:rFonts w:ascii="Times New Roman" w:hAnsi="Times New Roman" w:cs="Times New Roman"/>
          <w:sz w:val="24"/>
          <w:szCs w:val="24"/>
        </w:rPr>
        <w:t>Prednost velike safenske vene su relativno laka preparacija, uklanjanje rijetko nosi posljedice, promjer je najčešće idealan a dužina se može prilagoditi i za najdalje anastomoze, karakteristike zida olakšavaju šivenje, ima odličan neposredni protok. Prednosti radijalne arterije su aktivna regulacija protoka, očekuje se manje propadanje grafta u dugoročnom periodu, stvaranje vazoaktivnih supstanci je značajnije nego kod venskog grafta. Alternativni autologni graftovi su desna gastroepipliočna arterija, donja epigastrična arterija, mala safenska vena, bazilične i cefalične vene.</w:t>
      </w:r>
      <w:r w:rsidR="001022DE">
        <w:rPr>
          <w:rFonts w:ascii="Times New Roman" w:hAnsi="Times New Roman" w:cs="Times New Roman"/>
          <w:sz w:val="24"/>
          <w:szCs w:val="24"/>
        </w:rPr>
        <w:t xml:space="preserve"> </w:t>
      </w:r>
      <w:r>
        <w:rPr>
          <w:rFonts w:ascii="Times New Roman" w:hAnsi="Times New Roman" w:cs="Times New Roman"/>
          <w:sz w:val="24"/>
          <w:szCs w:val="24"/>
        </w:rPr>
        <w:t>Najveći problem je nepotpuno poznavanje činioca koji utiču na vijabilnost grafta, nestandardizovane metode u procjeni kvaliteta grafta, česti komorbiditeti te dug period praćenja</w:t>
      </w:r>
      <w:r w:rsidR="00D15D35">
        <w:rPr>
          <w:rFonts w:ascii="Times New Roman" w:hAnsi="Times New Roman" w:cs="Times New Roman"/>
          <w:sz w:val="24"/>
          <w:szCs w:val="24"/>
        </w:rPr>
        <w:t xml:space="preserve"> </w:t>
      </w:r>
      <w:r w:rsidR="00D15D35">
        <w:rPr>
          <w:rFonts w:ascii="Times New Roman" w:hAnsi="Times New Roman" w:cs="Times New Roman"/>
          <w:sz w:val="24"/>
          <w:szCs w:val="24"/>
        </w:rPr>
        <w:t>[</w:t>
      </w:r>
      <w:r w:rsidR="00D15D35">
        <w:rPr>
          <w:rFonts w:ascii="Times New Roman" w:hAnsi="Times New Roman" w:cs="Times New Roman"/>
          <w:sz w:val="24"/>
          <w:szCs w:val="24"/>
        </w:rPr>
        <w:t>2</w:t>
      </w:r>
      <w:r w:rsidR="00D15D35">
        <w:rPr>
          <w:rFonts w:ascii="Times New Roman" w:hAnsi="Times New Roman" w:cs="Times New Roman"/>
          <w:sz w:val="24"/>
          <w:szCs w:val="24"/>
        </w:rPr>
        <w:t>].</w:t>
      </w:r>
      <w:r w:rsidR="001022DE">
        <w:rPr>
          <w:rFonts w:ascii="Times New Roman" w:hAnsi="Times New Roman" w:cs="Times New Roman"/>
          <w:sz w:val="24"/>
          <w:szCs w:val="24"/>
        </w:rPr>
        <w:t xml:space="preserve"> </w:t>
      </w:r>
    </w:p>
    <w:p w:rsidR="00DA6B3C" w:rsidRDefault="00BE3FD0" w:rsidP="00D40D67">
      <w:pPr>
        <w:spacing w:line="480" w:lineRule="auto"/>
        <w:jc w:val="both"/>
        <w:rPr>
          <w:rFonts w:ascii="Times New Roman" w:hAnsi="Times New Roman" w:cs="Times New Roman"/>
          <w:sz w:val="24"/>
          <w:szCs w:val="24"/>
        </w:rPr>
      </w:pPr>
      <w:r>
        <w:rPr>
          <w:rFonts w:ascii="Times New Roman" w:hAnsi="Times New Roman" w:cs="Times New Roman"/>
          <w:sz w:val="24"/>
          <w:szCs w:val="24"/>
        </w:rPr>
        <w:t>Osnova propadanja graftova je ubrzana ateroskleroza uz proliferaciju medije i mogući dodatak nepovoljnih hemodinamskih faktora, kao i denervacije u slučaju nekih graftova.</w:t>
      </w:r>
      <w:r w:rsidR="00054AED" w:rsidRPr="00054AED">
        <w:t xml:space="preserve"> </w:t>
      </w:r>
      <w:r w:rsidR="00054AED" w:rsidRPr="00054AED">
        <w:rPr>
          <w:rFonts w:ascii="Times New Roman" w:hAnsi="Times New Roman" w:cs="Times New Roman"/>
          <w:sz w:val="24"/>
          <w:szCs w:val="24"/>
        </w:rPr>
        <w:t>Ateroskleroza nast</w:t>
      </w:r>
      <w:r>
        <w:rPr>
          <w:rFonts w:ascii="Times New Roman" w:hAnsi="Times New Roman" w:cs="Times New Roman"/>
          <w:sz w:val="24"/>
          <w:szCs w:val="24"/>
        </w:rPr>
        <w:t>aje kao ekscesivan inflamatorno-</w:t>
      </w:r>
      <w:r w:rsidR="00054AED" w:rsidRPr="00054AED">
        <w:rPr>
          <w:rFonts w:ascii="Times New Roman" w:hAnsi="Times New Roman" w:cs="Times New Roman"/>
          <w:sz w:val="24"/>
          <w:szCs w:val="24"/>
        </w:rPr>
        <w:t>proliferativan odgovor na različite for</w:t>
      </w:r>
      <w:r>
        <w:rPr>
          <w:rFonts w:ascii="Times New Roman" w:hAnsi="Times New Roman" w:cs="Times New Roman"/>
          <w:sz w:val="24"/>
          <w:szCs w:val="24"/>
        </w:rPr>
        <w:t>me oštećenja endotela i u</w:t>
      </w:r>
      <w:r w:rsidR="00054AED" w:rsidRPr="00054AED">
        <w:rPr>
          <w:rFonts w:ascii="Times New Roman" w:hAnsi="Times New Roman" w:cs="Times New Roman"/>
          <w:sz w:val="24"/>
          <w:szCs w:val="24"/>
        </w:rPr>
        <w:t xml:space="preserve"> suštini je hroničan proces</w:t>
      </w:r>
      <w:r>
        <w:rPr>
          <w:rFonts w:ascii="Times New Roman" w:hAnsi="Times New Roman" w:cs="Times New Roman"/>
          <w:sz w:val="24"/>
          <w:szCs w:val="24"/>
        </w:rPr>
        <w:t xml:space="preserve">. </w:t>
      </w:r>
      <w:r w:rsidR="00054AED" w:rsidRPr="00054AED">
        <w:rPr>
          <w:rFonts w:ascii="Times New Roman" w:hAnsi="Times New Roman" w:cs="Times New Roman"/>
          <w:sz w:val="24"/>
          <w:szCs w:val="24"/>
        </w:rPr>
        <w:t>Neka oboljenja, stanja, navike, tj. faktori rizika, povećavaju učestalost i ubrzavaju pojavu ateroskleroze</w:t>
      </w:r>
      <w:r>
        <w:rPr>
          <w:rFonts w:ascii="Times New Roman" w:hAnsi="Times New Roman" w:cs="Times New Roman"/>
          <w:sz w:val="24"/>
          <w:szCs w:val="24"/>
        </w:rPr>
        <w:t>.</w:t>
      </w:r>
      <w:r w:rsidR="00054AED" w:rsidRPr="00054AED">
        <w:rPr>
          <w:rFonts w:ascii="Times New Roman" w:hAnsi="Times New Roman" w:cs="Times New Roman"/>
          <w:sz w:val="24"/>
          <w:szCs w:val="24"/>
        </w:rPr>
        <w:t xml:space="preserve"> Razvoj ateroskleroze počinje oštećenjem endotela, koje može biti izazvano fizičkim, hemijskim, toksičnim, infektivnim i imunološkim faktorima, koji vode oštećenju</w:t>
      </w:r>
      <w:r>
        <w:rPr>
          <w:rFonts w:ascii="Times New Roman" w:hAnsi="Times New Roman" w:cs="Times New Roman"/>
          <w:sz w:val="24"/>
          <w:szCs w:val="24"/>
        </w:rPr>
        <w:t xml:space="preserve"> funkcije</w:t>
      </w:r>
      <w:r w:rsidR="00054AED" w:rsidRPr="00054AED">
        <w:rPr>
          <w:rFonts w:ascii="Times New Roman" w:hAnsi="Times New Roman" w:cs="Times New Roman"/>
          <w:sz w:val="24"/>
          <w:szCs w:val="24"/>
        </w:rPr>
        <w:t xml:space="preserve"> endotelnih ćelija. Endotel krvnih sudova ima jednu od ključnih uloga u održavanju homeostaze u kardiovaskularnom sistemu, a njegova disfunkcija ima inicijalnu ulogu u na</w:t>
      </w:r>
      <w:r>
        <w:rPr>
          <w:rFonts w:ascii="Times New Roman" w:hAnsi="Times New Roman" w:cs="Times New Roman"/>
          <w:sz w:val="24"/>
          <w:szCs w:val="24"/>
        </w:rPr>
        <w:t>stanku procesa ateroskleroze</w:t>
      </w:r>
      <w:r w:rsidR="00054AED" w:rsidRPr="00054AED">
        <w:rPr>
          <w:rFonts w:ascii="Times New Roman" w:hAnsi="Times New Roman" w:cs="Times New Roman"/>
          <w:sz w:val="24"/>
          <w:szCs w:val="24"/>
        </w:rPr>
        <w:t>.</w:t>
      </w:r>
      <w:r w:rsidR="00054AED" w:rsidRPr="00054AED">
        <w:t xml:space="preserve"> </w:t>
      </w:r>
      <w:r w:rsidR="00054AED" w:rsidRPr="00054AED">
        <w:rPr>
          <w:rFonts w:ascii="Times New Roman" w:hAnsi="Times New Roman" w:cs="Times New Roman"/>
          <w:sz w:val="24"/>
          <w:szCs w:val="24"/>
        </w:rPr>
        <w:t xml:space="preserve">Kao sastavni, </w:t>
      </w:r>
      <w:r>
        <w:rPr>
          <w:rFonts w:ascii="Times New Roman" w:hAnsi="Times New Roman" w:cs="Times New Roman"/>
          <w:sz w:val="24"/>
          <w:szCs w:val="24"/>
        </w:rPr>
        <w:t>površni di</w:t>
      </w:r>
      <w:r w:rsidR="00054AED" w:rsidRPr="00054AED">
        <w:rPr>
          <w:rFonts w:ascii="Times New Roman" w:hAnsi="Times New Roman" w:cs="Times New Roman"/>
          <w:sz w:val="24"/>
          <w:szCs w:val="24"/>
        </w:rPr>
        <w:t xml:space="preserve">o zida krvnog suda koji je u kontaktu sa krvlju i </w:t>
      </w:r>
      <w:r>
        <w:rPr>
          <w:rFonts w:ascii="Times New Roman" w:hAnsi="Times New Roman" w:cs="Times New Roman"/>
          <w:sz w:val="24"/>
          <w:szCs w:val="24"/>
        </w:rPr>
        <w:t>krvnim</w:t>
      </w:r>
      <w:r w:rsidR="00054AED" w:rsidRPr="00054AED">
        <w:rPr>
          <w:rFonts w:ascii="Times New Roman" w:hAnsi="Times New Roman" w:cs="Times New Roman"/>
          <w:sz w:val="24"/>
          <w:szCs w:val="24"/>
        </w:rPr>
        <w:t xml:space="preserve"> elementima, sa jedne strane, i glatkim mišićnim ćelijama, sa druge strane, endotel ima poseban anatomski položaj. Izuzetan značaj mu daje njegova funkcija modulatora vaskularnog odgovora i u fiziološkim i u </w:t>
      </w:r>
      <w:r w:rsidR="00054AED" w:rsidRPr="00054AED">
        <w:rPr>
          <w:rFonts w:ascii="Times New Roman" w:hAnsi="Times New Roman" w:cs="Times New Roman"/>
          <w:sz w:val="24"/>
          <w:szCs w:val="24"/>
        </w:rPr>
        <w:lastRenderedPageBreak/>
        <w:t xml:space="preserve">patološkim uslovima. </w:t>
      </w:r>
      <w:r>
        <w:rPr>
          <w:rFonts w:ascii="Times New Roman" w:hAnsi="Times New Roman" w:cs="Times New Roman"/>
          <w:sz w:val="24"/>
          <w:szCs w:val="24"/>
        </w:rPr>
        <w:t>Kada je</w:t>
      </w:r>
      <w:r w:rsidR="00054AED" w:rsidRPr="00054AED">
        <w:rPr>
          <w:rFonts w:ascii="Times New Roman" w:hAnsi="Times New Roman" w:cs="Times New Roman"/>
          <w:sz w:val="24"/>
          <w:szCs w:val="24"/>
        </w:rPr>
        <w:t xml:space="preserve"> intaktan, održava dinamičku ravnotežu endotelnih relaksirajućih i kontraktilnih faktora. Vazodilatatorne supstancije </w:t>
      </w:r>
      <w:r>
        <w:rPr>
          <w:rFonts w:ascii="Times New Roman" w:hAnsi="Times New Roman" w:cs="Times New Roman"/>
          <w:sz w:val="24"/>
          <w:szCs w:val="24"/>
        </w:rPr>
        <w:t>su: azot</w:t>
      </w:r>
      <w:r w:rsidR="00054AED" w:rsidRPr="00054AED">
        <w:rPr>
          <w:rFonts w:ascii="Times New Roman" w:hAnsi="Times New Roman" w:cs="Times New Roman"/>
          <w:sz w:val="24"/>
          <w:szCs w:val="24"/>
        </w:rPr>
        <w:t xml:space="preserve"> oksid (NO), </w:t>
      </w:r>
      <w:r>
        <w:rPr>
          <w:rFonts w:ascii="Times New Roman" w:hAnsi="Times New Roman" w:cs="Times New Roman"/>
          <w:sz w:val="24"/>
          <w:szCs w:val="24"/>
        </w:rPr>
        <w:t xml:space="preserve">endotelni faktor relaksacije </w:t>
      </w:r>
      <w:r w:rsidR="00054AED" w:rsidRPr="00054AED">
        <w:rPr>
          <w:rFonts w:ascii="Times New Roman" w:hAnsi="Times New Roman" w:cs="Times New Roman"/>
          <w:sz w:val="24"/>
          <w:szCs w:val="24"/>
        </w:rPr>
        <w:t xml:space="preserve">(EDRF), prostaciklin, bradikinin, acetilholin. U vazokonstriktore ubrajaju se: endotelin, </w:t>
      </w:r>
      <w:r>
        <w:rPr>
          <w:rFonts w:ascii="Times New Roman" w:hAnsi="Times New Roman" w:cs="Times New Roman"/>
          <w:sz w:val="24"/>
          <w:szCs w:val="24"/>
        </w:rPr>
        <w:t xml:space="preserve"> </w:t>
      </w:r>
      <w:r w:rsidR="00054AED" w:rsidRPr="00054AED">
        <w:rPr>
          <w:rFonts w:ascii="Times New Roman" w:hAnsi="Times New Roman" w:cs="Times New Roman"/>
          <w:sz w:val="24"/>
          <w:szCs w:val="24"/>
        </w:rPr>
        <w:t>angio</w:t>
      </w:r>
      <w:r w:rsidR="00A90AE2">
        <w:rPr>
          <w:rFonts w:ascii="Times New Roman" w:hAnsi="Times New Roman" w:cs="Times New Roman"/>
          <w:sz w:val="24"/>
          <w:szCs w:val="24"/>
        </w:rPr>
        <w:t xml:space="preserve">tenzin II, </w:t>
      </w:r>
      <w:r>
        <w:rPr>
          <w:rFonts w:ascii="Times New Roman" w:hAnsi="Times New Roman" w:cs="Times New Roman"/>
          <w:sz w:val="24"/>
          <w:szCs w:val="24"/>
        </w:rPr>
        <w:t xml:space="preserve"> A2 tromboksan. </w:t>
      </w:r>
      <w:r w:rsidR="00054AED" w:rsidRPr="00054AED">
        <w:rPr>
          <w:rFonts w:ascii="Times New Roman" w:hAnsi="Times New Roman" w:cs="Times New Roman"/>
          <w:sz w:val="24"/>
          <w:szCs w:val="24"/>
        </w:rPr>
        <w:t>U fiziološkim uslovima endotel ima protektivnu ulogu: prevenira atheziju cirkulišućih trombocita i leukocita, održava vaskulaturu u vazodilatatornom stanju i inhibira migraciju i proliferaciju glatkih mišićnih ćelija krvnih sudova. Disfunkcionalan endotel gubi protektivnu funkciju i modulatorni odgovor endotela ne postoji. Tada je omogućena ekspresija različitih adhezionih molekula i vezivanje različitih formi leukocita, što predstavlja osnovu za nasta</w:t>
      </w:r>
      <w:r>
        <w:rPr>
          <w:rFonts w:ascii="Times New Roman" w:hAnsi="Times New Roman" w:cs="Times New Roman"/>
          <w:sz w:val="24"/>
          <w:szCs w:val="24"/>
        </w:rPr>
        <w:t xml:space="preserve">nak kasnijih faza ateroskleroze. </w:t>
      </w:r>
      <w:r w:rsidR="00054AED" w:rsidRPr="00054AED">
        <w:rPr>
          <w:rFonts w:ascii="Times New Roman" w:hAnsi="Times New Roman" w:cs="Times New Roman"/>
          <w:sz w:val="24"/>
          <w:szCs w:val="24"/>
        </w:rPr>
        <w:t>Hronična hiperlipidemija, hipertenzija, pušenje, šećerna bolest, povišen nivo homocisteina u krvi, infektivni agensi, mogu da izmene normalni, fiziološki model ponašanja endotela</w:t>
      </w:r>
      <w:r>
        <w:rPr>
          <w:rFonts w:ascii="Times New Roman" w:hAnsi="Times New Roman" w:cs="Times New Roman"/>
          <w:sz w:val="24"/>
          <w:szCs w:val="24"/>
        </w:rPr>
        <w:t>. U već razvijenoj koronarnoj bolesti, nakon bajpas hirurgije, ovaj proces se može još više ubrzati izmenjenim hemodinamskim svojstvima, uticajem drugačijeg cirkulatornog korita na graftove, te privremenom ili trajnom disfunkcijom endotela graftova</w:t>
      </w:r>
      <w:r w:rsidR="00F726AA">
        <w:rPr>
          <w:rFonts w:ascii="Times New Roman" w:hAnsi="Times New Roman" w:cs="Times New Roman"/>
          <w:sz w:val="24"/>
          <w:szCs w:val="24"/>
        </w:rPr>
        <w:t xml:space="preserve"> [3</w:t>
      </w:r>
      <w:r w:rsidR="00F726AA">
        <w:rPr>
          <w:rFonts w:ascii="Times New Roman" w:hAnsi="Times New Roman" w:cs="Times New Roman"/>
          <w:sz w:val="24"/>
          <w:szCs w:val="24"/>
        </w:rPr>
        <w:t>].</w:t>
      </w:r>
    </w:p>
    <w:p w:rsidR="00D40D67" w:rsidRDefault="00D40D67" w:rsidP="00B03A28">
      <w:pPr>
        <w:spacing w:line="480" w:lineRule="auto"/>
        <w:jc w:val="both"/>
        <w:rPr>
          <w:rFonts w:ascii="Times New Roman" w:hAnsi="Times New Roman" w:cs="Times New Roman"/>
          <w:sz w:val="24"/>
          <w:szCs w:val="24"/>
        </w:rPr>
      </w:pPr>
    </w:p>
    <w:p w:rsidR="00DA6B3C" w:rsidRDefault="00DA6B3C" w:rsidP="00B03A28">
      <w:pPr>
        <w:spacing w:line="480" w:lineRule="auto"/>
        <w:jc w:val="both"/>
        <w:rPr>
          <w:rFonts w:ascii="Times New Roman" w:hAnsi="Times New Roman" w:cs="Times New Roman"/>
          <w:sz w:val="24"/>
          <w:szCs w:val="24"/>
        </w:rPr>
      </w:pPr>
      <w:r w:rsidRPr="0048080A">
        <w:rPr>
          <w:rFonts w:ascii="Times New Roman" w:hAnsi="Times New Roman" w:cs="Times New Roman"/>
          <w:b/>
          <w:sz w:val="24"/>
          <w:szCs w:val="24"/>
        </w:rPr>
        <w:t xml:space="preserve">Cilj </w:t>
      </w:r>
      <w:r w:rsidR="00D33C14" w:rsidRPr="0048080A">
        <w:rPr>
          <w:rFonts w:ascii="Times New Roman" w:hAnsi="Times New Roman" w:cs="Times New Roman"/>
          <w:b/>
          <w:sz w:val="24"/>
          <w:szCs w:val="24"/>
        </w:rPr>
        <w:t>istraživanja</w:t>
      </w:r>
      <w:r w:rsidR="00D33C14">
        <w:rPr>
          <w:rFonts w:ascii="Times New Roman" w:hAnsi="Times New Roman" w:cs="Times New Roman"/>
          <w:sz w:val="24"/>
          <w:szCs w:val="24"/>
        </w:rPr>
        <w:t xml:space="preserve"> je uporediti kratkoročnu prohodnost radijalnog i safenskog grafta nakon CABG hirurgije u Klinici za kardiohirurgiju UKC RS.</w:t>
      </w:r>
    </w:p>
    <w:p w:rsidR="00D33C14" w:rsidRDefault="00D33C14"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Nulta hipoteza: Ne postoji razlika u kratkoročnoj prohodnosti radijalnog grafta i venskog grafta.</w:t>
      </w:r>
    </w:p>
    <w:p w:rsidR="00AF2012" w:rsidRDefault="00D33C14"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Radna hipoteza: P</w:t>
      </w:r>
      <w:r>
        <w:rPr>
          <w:rFonts w:ascii="Times New Roman" w:hAnsi="Times New Roman" w:cs="Times New Roman"/>
          <w:sz w:val="24"/>
          <w:szCs w:val="24"/>
        </w:rPr>
        <w:t>ostoji razlika u kratkoročnoj prohodnosti radi</w:t>
      </w:r>
      <w:r w:rsidR="003A7B6A">
        <w:rPr>
          <w:rFonts w:ascii="Times New Roman" w:hAnsi="Times New Roman" w:cs="Times New Roman"/>
          <w:sz w:val="24"/>
          <w:szCs w:val="24"/>
        </w:rPr>
        <w:t>jalnog grafta i venskog grafta.</w:t>
      </w:r>
    </w:p>
    <w:p w:rsidR="003A7B6A" w:rsidRDefault="003A7B6A" w:rsidP="00B03A28">
      <w:pPr>
        <w:spacing w:line="480" w:lineRule="auto"/>
        <w:jc w:val="both"/>
        <w:rPr>
          <w:rFonts w:ascii="Times New Roman" w:hAnsi="Times New Roman" w:cs="Times New Roman"/>
          <w:sz w:val="24"/>
          <w:szCs w:val="24"/>
        </w:rPr>
      </w:pPr>
    </w:p>
    <w:p w:rsidR="003A7B6A" w:rsidRDefault="003A7B6A" w:rsidP="00B03A28">
      <w:pPr>
        <w:spacing w:line="480" w:lineRule="auto"/>
        <w:jc w:val="both"/>
        <w:rPr>
          <w:rFonts w:ascii="Times New Roman" w:hAnsi="Times New Roman" w:cs="Times New Roman"/>
          <w:sz w:val="24"/>
          <w:szCs w:val="24"/>
        </w:rPr>
      </w:pPr>
    </w:p>
    <w:p w:rsidR="00DA6B3C" w:rsidRPr="00D40D67" w:rsidRDefault="00DA6B3C" w:rsidP="00D40D67">
      <w:pPr>
        <w:spacing w:line="480" w:lineRule="auto"/>
        <w:jc w:val="center"/>
        <w:rPr>
          <w:rFonts w:ascii="Times New Roman" w:hAnsi="Times New Roman" w:cs="Times New Roman"/>
          <w:b/>
          <w:sz w:val="28"/>
          <w:szCs w:val="24"/>
        </w:rPr>
      </w:pPr>
      <w:r w:rsidRPr="00D40D67">
        <w:rPr>
          <w:rFonts w:ascii="Times New Roman" w:hAnsi="Times New Roman" w:cs="Times New Roman"/>
          <w:b/>
          <w:sz w:val="28"/>
          <w:szCs w:val="24"/>
        </w:rPr>
        <w:lastRenderedPageBreak/>
        <w:t>Metode</w:t>
      </w:r>
    </w:p>
    <w:p w:rsidR="007C6D92" w:rsidRDefault="007C6D92" w:rsidP="007C6D92">
      <w:pPr>
        <w:spacing w:line="480" w:lineRule="auto"/>
        <w:jc w:val="both"/>
        <w:rPr>
          <w:rFonts w:ascii="Times New Roman" w:hAnsi="Times New Roman" w:cs="Times New Roman"/>
          <w:sz w:val="24"/>
          <w:szCs w:val="24"/>
        </w:rPr>
      </w:pPr>
      <w:r>
        <w:rPr>
          <w:rFonts w:ascii="Times New Roman" w:hAnsi="Times New Roman" w:cs="Times New Roman"/>
          <w:sz w:val="24"/>
          <w:szCs w:val="24"/>
        </w:rPr>
        <w:t>Praćeni su pacijenti liječeni na Klinici za kardiohirurgiju UKC RS</w:t>
      </w:r>
      <w:r w:rsidR="0048080A">
        <w:rPr>
          <w:rStyle w:val="FootnoteReference"/>
          <w:rFonts w:ascii="Times New Roman" w:hAnsi="Times New Roman" w:cs="Times New Roman"/>
          <w:sz w:val="24"/>
          <w:szCs w:val="24"/>
        </w:rPr>
        <w:footnoteReference w:customMarkFollows="1" w:id="1"/>
        <w:t>*</w:t>
      </w:r>
      <w:r>
        <w:rPr>
          <w:rFonts w:ascii="Times New Roman" w:hAnsi="Times New Roman" w:cs="Times New Roman"/>
          <w:sz w:val="24"/>
          <w:szCs w:val="24"/>
        </w:rPr>
        <w:t xml:space="preserve">. </w:t>
      </w:r>
      <w:r>
        <w:rPr>
          <w:rFonts w:ascii="Times New Roman" w:hAnsi="Times New Roman" w:cs="Times New Roman"/>
          <w:sz w:val="24"/>
          <w:szCs w:val="24"/>
        </w:rPr>
        <w:t>Izabrano je 100 pacijenata koji su operisani na Klinici i na kojima je korišten radijalni graft kao bajpas na desnu koronarnu arteriju, te 100 pacijenata na kojima je korišten venski graft kao bajpas na desnu koronarnu arteriju u periodu od 01.01.2019. do 31.12.2020. Tokom zakazanih kardioloških pregleda nakon 3 mjeseca rađena je i rekoronarografija radi procjene restenoze i vijabilnosti grafta</w:t>
      </w:r>
      <w:r w:rsidR="00F726AA">
        <w:rPr>
          <w:rFonts w:ascii="Times New Roman" w:hAnsi="Times New Roman" w:cs="Times New Roman"/>
          <w:sz w:val="24"/>
          <w:szCs w:val="24"/>
        </w:rPr>
        <w:t xml:space="preserve"> [4,5</w:t>
      </w:r>
      <w:r w:rsidR="00F726AA">
        <w:rPr>
          <w:rFonts w:ascii="Times New Roman" w:hAnsi="Times New Roman" w:cs="Times New Roman"/>
          <w:sz w:val="24"/>
          <w:szCs w:val="24"/>
        </w:rPr>
        <w:t>]</w:t>
      </w:r>
      <w:r>
        <w:rPr>
          <w:rFonts w:ascii="Times New Roman" w:hAnsi="Times New Roman" w:cs="Times New Roman"/>
          <w:sz w:val="24"/>
          <w:szCs w:val="24"/>
        </w:rPr>
        <w:t>. Kriterijumi za ulazak u studiju su bili: starost preko 18 godina, izolovana elektivna CABG hirurgija, on-pump procedure, ejekciona frakcija &gt;30%</w:t>
      </w:r>
      <w:r w:rsidR="00B17AC6">
        <w:rPr>
          <w:rFonts w:ascii="Times New Roman" w:hAnsi="Times New Roman" w:cs="Times New Roman"/>
          <w:sz w:val="24"/>
          <w:szCs w:val="24"/>
        </w:rPr>
        <w:t>.</w:t>
      </w:r>
      <w:r w:rsidR="00365FD7">
        <w:rPr>
          <w:rFonts w:ascii="Times New Roman" w:hAnsi="Times New Roman" w:cs="Times New Roman"/>
          <w:sz w:val="24"/>
          <w:szCs w:val="24"/>
        </w:rPr>
        <w:t xml:space="preserve"> Kriterijumi za isključenje su bili starost preko 80 godina, prethodna kardiohirurška operacija, pacijenti sa aktivnim kancerom, prethodno zračenje medijastinuma.</w:t>
      </w:r>
    </w:p>
    <w:p w:rsidR="00365FD7" w:rsidRDefault="00365FD7" w:rsidP="007C6D92">
      <w:pPr>
        <w:spacing w:line="480" w:lineRule="auto"/>
        <w:jc w:val="both"/>
        <w:rPr>
          <w:rFonts w:ascii="Times New Roman" w:hAnsi="Times New Roman" w:cs="Times New Roman"/>
          <w:sz w:val="24"/>
          <w:szCs w:val="24"/>
        </w:rPr>
      </w:pPr>
      <w:r>
        <w:rPr>
          <w:rFonts w:ascii="Times New Roman" w:hAnsi="Times New Roman" w:cs="Times New Roman"/>
          <w:sz w:val="24"/>
          <w:szCs w:val="24"/>
        </w:rPr>
        <w:t>Prosječna starost pacijenata u grupi radijalne arterije je bila</w:t>
      </w:r>
      <w:r w:rsidR="009039C3">
        <w:rPr>
          <w:rFonts w:ascii="Times New Roman" w:hAnsi="Times New Roman" w:cs="Times New Roman"/>
          <w:sz w:val="24"/>
          <w:szCs w:val="24"/>
        </w:rPr>
        <w:t xml:space="preserve"> 64,3 godine</w:t>
      </w:r>
      <w:r>
        <w:rPr>
          <w:rFonts w:ascii="Times New Roman" w:hAnsi="Times New Roman" w:cs="Times New Roman"/>
          <w:sz w:val="24"/>
          <w:szCs w:val="24"/>
        </w:rPr>
        <w:t xml:space="preserve">, a u grupi venskog grafta </w:t>
      </w:r>
      <w:r w:rsidR="00A604AA">
        <w:rPr>
          <w:rFonts w:ascii="Times New Roman" w:hAnsi="Times New Roman" w:cs="Times New Roman"/>
          <w:sz w:val="24"/>
          <w:szCs w:val="24"/>
        </w:rPr>
        <w:t>65</w:t>
      </w:r>
      <w:r w:rsidR="009039C3">
        <w:rPr>
          <w:rFonts w:ascii="Times New Roman" w:hAnsi="Times New Roman" w:cs="Times New Roman"/>
          <w:sz w:val="24"/>
          <w:szCs w:val="24"/>
        </w:rPr>
        <w:t>,5 godina</w:t>
      </w:r>
      <w:r>
        <w:rPr>
          <w:rFonts w:ascii="Times New Roman" w:hAnsi="Times New Roman" w:cs="Times New Roman"/>
          <w:sz w:val="24"/>
          <w:szCs w:val="24"/>
        </w:rPr>
        <w:t xml:space="preserve">. </w:t>
      </w:r>
      <w:r w:rsidR="009039C3">
        <w:rPr>
          <w:rFonts w:ascii="Times New Roman" w:hAnsi="Times New Roman" w:cs="Times New Roman"/>
          <w:sz w:val="24"/>
          <w:szCs w:val="24"/>
        </w:rPr>
        <w:t>65</w:t>
      </w:r>
      <w:r>
        <w:rPr>
          <w:rFonts w:ascii="Times New Roman" w:hAnsi="Times New Roman" w:cs="Times New Roman"/>
          <w:sz w:val="24"/>
          <w:szCs w:val="24"/>
        </w:rPr>
        <w:t>% pacijenata su bili muškarci</w:t>
      </w:r>
      <w:r w:rsidR="009039C3">
        <w:rPr>
          <w:rFonts w:ascii="Times New Roman" w:hAnsi="Times New Roman" w:cs="Times New Roman"/>
          <w:sz w:val="24"/>
          <w:szCs w:val="24"/>
        </w:rPr>
        <w:t xml:space="preserve"> u prvoj grupi a 61% u drugoj</w:t>
      </w:r>
      <w:r>
        <w:rPr>
          <w:rFonts w:ascii="Times New Roman" w:hAnsi="Times New Roman" w:cs="Times New Roman"/>
          <w:sz w:val="24"/>
          <w:szCs w:val="24"/>
        </w:rPr>
        <w:t xml:space="preserve">. </w:t>
      </w:r>
      <w:r w:rsidR="009039C3">
        <w:rPr>
          <w:rFonts w:ascii="Times New Roman" w:hAnsi="Times New Roman" w:cs="Times New Roman"/>
          <w:sz w:val="24"/>
          <w:szCs w:val="24"/>
        </w:rPr>
        <w:t xml:space="preserve">Hipertenziju je imalo 90% pacijenata u prvoj grupi i 92% pacijenata u drugoj grupi. Dijabetes je imalo 60% pacijenata u prvoj grupi i 70% u drugoj, od čega je 20 bilo na insulinu u prvoj grupi a 21 u drugoj. Hroničnu bubrežnu insuficijenciju je imalo 5% posto pacijenata u prvoj grupi i 6% u drugoj, bez slučajeva teške i terminalne bubrežne insuficijencije. Prethodnu ugradnju 1 stenta je imalo 15 pacijenata u prvoj grupi i </w:t>
      </w:r>
      <w:r w:rsidR="001F59C8">
        <w:rPr>
          <w:rFonts w:ascii="Times New Roman" w:hAnsi="Times New Roman" w:cs="Times New Roman"/>
          <w:sz w:val="24"/>
          <w:szCs w:val="24"/>
        </w:rPr>
        <w:t>12 u drugoj, ugradnju 2 stenta je imalo 3 pacijenta u prvoj i 3 pacijenta u drugoj grupi a ugradnju 3 ili više stentova nije imao ni jedan pacijent. Statistički podaci su prikazani u Tabeli 1.</w:t>
      </w:r>
      <w:r w:rsidR="00626D7B">
        <w:rPr>
          <w:rFonts w:ascii="Times New Roman" w:hAnsi="Times New Roman" w:cs="Times New Roman"/>
          <w:sz w:val="24"/>
          <w:szCs w:val="24"/>
        </w:rPr>
        <w:t xml:space="preserve"> Ne postoji značajna statistička razlika među grupama.</w:t>
      </w:r>
    </w:p>
    <w:p w:rsidR="00626D7B" w:rsidRDefault="00626D7B" w:rsidP="007C6D92">
      <w:pPr>
        <w:spacing w:line="480" w:lineRule="auto"/>
        <w:jc w:val="both"/>
        <w:rPr>
          <w:rFonts w:ascii="Times New Roman" w:hAnsi="Times New Roman" w:cs="Times New Roman"/>
          <w:sz w:val="24"/>
          <w:szCs w:val="24"/>
        </w:rPr>
      </w:pPr>
    </w:p>
    <w:p w:rsidR="00626D7B" w:rsidRDefault="00626D7B" w:rsidP="00626D7B">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Tabela 1 – osnovne karakteristike i komorbiditeti ispitivanih grupa</w:t>
      </w:r>
    </w:p>
    <w:tbl>
      <w:tblPr>
        <w:tblW w:w="8349" w:type="dxa"/>
        <w:jc w:val="center"/>
        <w:tblLook w:val="04A0" w:firstRow="1" w:lastRow="0" w:firstColumn="1" w:lastColumn="0" w:noHBand="0" w:noVBand="1"/>
      </w:tblPr>
      <w:tblGrid>
        <w:gridCol w:w="1832"/>
        <w:gridCol w:w="2667"/>
        <w:gridCol w:w="2412"/>
        <w:gridCol w:w="1438"/>
      </w:tblGrid>
      <w:tr w:rsidR="00626D7B" w:rsidRPr="00626D7B" w:rsidTr="00626D7B">
        <w:trPr>
          <w:trHeight w:val="313"/>
          <w:jc w:val="center"/>
        </w:trPr>
        <w:tc>
          <w:tcPr>
            <w:tcW w:w="1832"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 </w:t>
            </w:r>
          </w:p>
        </w:tc>
        <w:tc>
          <w:tcPr>
            <w:tcW w:w="2667" w:type="dxa"/>
            <w:tcBorders>
              <w:top w:val="single" w:sz="4" w:space="0" w:color="auto"/>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grupa radijalnog grafta</w:t>
            </w:r>
          </w:p>
        </w:tc>
        <w:tc>
          <w:tcPr>
            <w:tcW w:w="2412" w:type="dxa"/>
            <w:tcBorders>
              <w:top w:val="single" w:sz="4" w:space="0" w:color="auto"/>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grupa venskog grafta</w:t>
            </w:r>
          </w:p>
        </w:tc>
        <w:tc>
          <w:tcPr>
            <w:tcW w:w="1438" w:type="dxa"/>
            <w:tcBorders>
              <w:top w:val="single" w:sz="4" w:space="0" w:color="auto"/>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p vrijednost</w:t>
            </w:r>
          </w:p>
        </w:tc>
      </w:tr>
      <w:tr w:rsidR="00626D7B" w:rsidRPr="00626D7B" w:rsidTr="00626D7B">
        <w:trPr>
          <w:trHeight w:val="324"/>
          <w:jc w:val="center"/>
        </w:trPr>
        <w:tc>
          <w:tcPr>
            <w:tcW w:w="1832" w:type="dxa"/>
            <w:tcBorders>
              <w:top w:val="nil"/>
              <w:left w:val="single" w:sz="4" w:space="0" w:color="auto"/>
              <w:bottom w:val="single" w:sz="8"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Broj pacijenata</w:t>
            </w:r>
          </w:p>
        </w:tc>
        <w:tc>
          <w:tcPr>
            <w:tcW w:w="2667" w:type="dxa"/>
            <w:tcBorders>
              <w:top w:val="nil"/>
              <w:left w:val="nil"/>
              <w:bottom w:val="single" w:sz="8"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100</w:t>
            </w:r>
          </w:p>
        </w:tc>
        <w:tc>
          <w:tcPr>
            <w:tcW w:w="2412" w:type="dxa"/>
            <w:tcBorders>
              <w:top w:val="nil"/>
              <w:left w:val="nil"/>
              <w:bottom w:val="single" w:sz="8"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100</w:t>
            </w:r>
          </w:p>
        </w:tc>
        <w:tc>
          <w:tcPr>
            <w:tcW w:w="1438" w:type="dxa"/>
            <w:tcBorders>
              <w:top w:val="nil"/>
              <w:left w:val="nil"/>
              <w:bottom w:val="single" w:sz="8" w:space="0" w:color="auto"/>
              <w:right w:val="single" w:sz="4" w:space="0" w:color="auto"/>
            </w:tcBorders>
            <w:shd w:val="clear" w:color="000000" w:fill="9BC2E6"/>
            <w:noWrap/>
            <w:vAlign w:val="bottom"/>
            <w:hideMark/>
          </w:tcPr>
          <w:p w:rsidR="00626D7B" w:rsidRPr="00626D7B" w:rsidRDefault="00626D7B" w:rsidP="00626D7B">
            <w:pPr>
              <w:spacing w:after="0" w:line="240" w:lineRule="auto"/>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 </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Starost</w:t>
            </w:r>
          </w:p>
        </w:tc>
        <w:tc>
          <w:tcPr>
            <w:tcW w:w="2667"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64.3 ± 7.3</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A604AA" w:rsidP="00626D7B">
            <w:pPr>
              <w:spacing w:after="0" w:line="240" w:lineRule="auto"/>
              <w:jc w:val="center"/>
              <w:rPr>
                <w:rFonts w:ascii="Times New Roman" w:eastAsia="Times New Roman" w:hAnsi="Times New Roman" w:cs="Times New Roman"/>
                <w:color w:val="000000"/>
                <w:sz w:val="24"/>
                <w:szCs w:val="24"/>
                <w:lang w:eastAsia="bs-Latn-BA"/>
              </w:rPr>
            </w:pPr>
            <w:r>
              <w:rPr>
                <w:rFonts w:ascii="Times New Roman" w:eastAsia="Times New Roman" w:hAnsi="Times New Roman" w:cs="Times New Roman"/>
                <w:color w:val="000000"/>
                <w:sz w:val="24"/>
                <w:szCs w:val="24"/>
                <w:lang w:eastAsia="bs-Latn-BA"/>
              </w:rPr>
              <w:t>65</w:t>
            </w:r>
            <w:r w:rsidR="00626D7B" w:rsidRPr="00626D7B">
              <w:rPr>
                <w:rFonts w:ascii="Times New Roman" w:eastAsia="Times New Roman" w:hAnsi="Times New Roman" w:cs="Times New Roman"/>
                <w:color w:val="000000"/>
                <w:sz w:val="24"/>
                <w:szCs w:val="24"/>
                <w:lang w:eastAsia="bs-Latn-BA"/>
              </w:rPr>
              <w:t>.5 ± 5.9</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0.20*</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Muškarci</w:t>
            </w:r>
          </w:p>
        </w:tc>
        <w:tc>
          <w:tcPr>
            <w:tcW w:w="2667"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65</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61</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0.56**</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HTA</w:t>
            </w:r>
          </w:p>
        </w:tc>
        <w:tc>
          <w:tcPr>
            <w:tcW w:w="2667" w:type="dxa"/>
            <w:tcBorders>
              <w:top w:val="nil"/>
              <w:left w:val="nil"/>
              <w:bottom w:val="single" w:sz="4" w:space="0" w:color="auto"/>
              <w:right w:val="single" w:sz="4" w:space="0" w:color="auto"/>
            </w:tcBorders>
            <w:shd w:val="clear" w:color="000000" w:fill="9BC2E6"/>
            <w:noWrap/>
            <w:vAlign w:val="center"/>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90</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92</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0.62**</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DM</w:t>
            </w:r>
          </w:p>
        </w:tc>
        <w:tc>
          <w:tcPr>
            <w:tcW w:w="2667"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60</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70</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0.14**</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DM na insulinu</w:t>
            </w:r>
          </w:p>
        </w:tc>
        <w:tc>
          <w:tcPr>
            <w:tcW w:w="2667"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20</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21</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0.86**</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HBI</w:t>
            </w:r>
          </w:p>
        </w:tc>
        <w:tc>
          <w:tcPr>
            <w:tcW w:w="2667"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5</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6</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0.76**</w:t>
            </w:r>
          </w:p>
        </w:tc>
      </w:tr>
      <w:tr w:rsidR="00626D7B" w:rsidRPr="00626D7B" w:rsidTr="00626D7B">
        <w:trPr>
          <w:trHeight w:val="313"/>
          <w:jc w:val="center"/>
        </w:trPr>
        <w:tc>
          <w:tcPr>
            <w:tcW w:w="1832" w:type="dxa"/>
            <w:tcBorders>
              <w:top w:val="nil"/>
              <w:left w:val="single" w:sz="4" w:space="0" w:color="auto"/>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Prethodni stent</w:t>
            </w:r>
          </w:p>
        </w:tc>
        <w:tc>
          <w:tcPr>
            <w:tcW w:w="2667"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18</w:t>
            </w:r>
          </w:p>
        </w:tc>
        <w:tc>
          <w:tcPr>
            <w:tcW w:w="2412"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center"/>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15</w:t>
            </w:r>
          </w:p>
        </w:tc>
        <w:tc>
          <w:tcPr>
            <w:tcW w:w="1438" w:type="dxa"/>
            <w:tcBorders>
              <w:top w:val="nil"/>
              <w:left w:val="nil"/>
              <w:bottom w:val="single" w:sz="4" w:space="0" w:color="auto"/>
              <w:right w:val="single" w:sz="4" w:space="0" w:color="auto"/>
            </w:tcBorders>
            <w:shd w:val="clear" w:color="000000" w:fill="9BC2E6"/>
            <w:noWrap/>
            <w:vAlign w:val="bottom"/>
            <w:hideMark/>
          </w:tcPr>
          <w:p w:rsidR="00626D7B" w:rsidRPr="00626D7B" w:rsidRDefault="00626D7B" w:rsidP="00626D7B">
            <w:pPr>
              <w:spacing w:after="0" w:line="240" w:lineRule="auto"/>
              <w:jc w:val="right"/>
              <w:rPr>
                <w:rFonts w:ascii="Times New Roman" w:eastAsia="Times New Roman" w:hAnsi="Times New Roman" w:cs="Times New Roman"/>
                <w:color w:val="000000"/>
                <w:sz w:val="24"/>
                <w:szCs w:val="24"/>
                <w:lang w:eastAsia="bs-Latn-BA"/>
              </w:rPr>
            </w:pPr>
            <w:r w:rsidRPr="00626D7B">
              <w:rPr>
                <w:rFonts w:ascii="Times New Roman" w:eastAsia="Times New Roman" w:hAnsi="Times New Roman" w:cs="Times New Roman"/>
                <w:color w:val="000000"/>
                <w:sz w:val="24"/>
                <w:szCs w:val="24"/>
                <w:lang w:eastAsia="bs-Latn-BA"/>
              </w:rPr>
              <w:t>0.57**</w:t>
            </w:r>
          </w:p>
        </w:tc>
      </w:tr>
    </w:tbl>
    <w:p w:rsidR="00626D7B" w:rsidRDefault="00626D7B" w:rsidP="00626D7B">
      <w:pPr>
        <w:spacing w:line="276" w:lineRule="auto"/>
        <w:jc w:val="both"/>
        <w:rPr>
          <w:rFonts w:ascii="Times New Roman" w:hAnsi="Times New Roman" w:cs="Times New Roman"/>
          <w:szCs w:val="24"/>
        </w:rPr>
      </w:pPr>
      <w:r w:rsidRPr="00626D7B">
        <w:rPr>
          <w:rFonts w:ascii="Times New Roman" w:hAnsi="Times New Roman" w:cs="Times New Roman"/>
          <w:szCs w:val="24"/>
        </w:rPr>
        <w:t xml:space="preserve">HTA – </w:t>
      </w:r>
      <w:r w:rsidRPr="00626D7B">
        <w:rPr>
          <w:rFonts w:ascii="Times New Roman" w:hAnsi="Times New Roman" w:cs="Times New Roman"/>
          <w:i/>
          <w:szCs w:val="24"/>
        </w:rPr>
        <w:t xml:space="preserve">hypertensio arterialis, </w:t>
      </w:r>
      <w:r w:rsidRPr="00626D7B">
        <w:rPr>
          <w:rFonts w:ascii="Times New Roman" w:hAnsi="Times New Roman" w:cs="Times New Roman"/>
          <w:szCs w:val="24"/>
        </w:rPr>
        <w:t>DM –</w:t>
      </w:r>
      <w:r w:rsidRPr="00626D7B">
        <w:rPr>
          <w:rFonts w:ascii="Times New Roman" w:hAnsi="Times New Roman" w:cs="Times New Roman"/>
          <w:i/>
          <w:szCs w:val="24"/>
        </w:rPr>
        <w:t xml:space="preserve"> diabetes mellitus, </w:t>
      </w:r>
      <w:r w:rsidRPr="00626D7B">
        <w:rPr>
          <w:rFonts w:ascii="Times New Roman" w:hAnsi="Times New Roman" w:cs="Times New Roman"/>
          <w:szCs w:val="24"/>
        </w:rPr>
        <w:t xml:space="preserve">HBI – hronična </w:t>
      </w:r>
      <w:r>
        <w:rPr>
          <w:rFonts w:ascii="Times New Roman" w:hAnsi="Times New Roman" w:cs="Times New Roman"/>
          <w:szCs w:val="24"/>
        </w:rPr>
        <w:t xml:space="preserve">bubrežna </w:t>
      </w:r>
      <w:r w:rsidRPr="00626D7B">
        <w:rPr>
          <w:rFonts w:ascii="Times New Roman" w:hAnsi="Times New Roman" w:cs="Times New Roman"/>
          <w:szCs w:val="24"/>
        </w:rPr>
        <w:t>insuficijencija; * - podaci obrađeni Student t testom za nevezane uzorke; ** - podaci obrađeni hi kvadrat testom za 2 nevezana uzorka</w:t>
      </w:r>
      <w:r w:rsidR="0048080A">
        <w:rPr>
          <w:rFonts w:ascii="Times New Roman" w:hAnsi="Times New Roman" w:cs="Times New Roman"/>
          <w:szCs w:val="24"/>
        </w:rPr>
        <w:t xml:space="preserve">; brojevi su prikazani kao apsolutni brojevi ili aritmetička sredina </w:t>
      </w:r>
      <w:r w:rsidR="0048080A">
        <w:rPr>
          <w:rFonts w:ascii="PMingLiU-ExtB" w:eastAsia="PMingLiU-ExtB" w:hAnsi="PMingLiU-ExtB" w:cs="Times New Roman" w:hint="eastAsia"/>
          <w:szCs w:val="24"/>
        </w:rPr>
        <w:t>±</w:t>
      </w:r>
      <w:r w:rsidR="0048080A">
        <w:rPr>
          <w:rFonts w:ascii="Times New Roman" w:hAnsi="Times New Roman" w:cs="Times New Roman"/>
          <w:szCs w:val="24"/>
        </w:rPr>
        <w:t xml:space="preserve"> standardna devijacija</w:t>
      </w:r>
    </w:p>
    <w:p w:rsidR="004844B3" w:rsidRDefault="004844B3" w:rsidP="00626D7B">
      <w:pPr>
        <w:spacing w:line="276" w:lineRule="auto"/>
        <w:jc w:val="both"/>
        <w:rPr>
          <w:rFonts w:ascii="Times New Roman" w:hAnsi="Times New Roman" w:cs="Times New Roman"/>
          <w:szCs w:val="24"/>
        </w:rPr>
      </w:pPr>
    </w:p>
    <w:p w:rsidR="00A604AA" w:rsidRPr="00626D7B" w:rsidRDefault="00A604AA" w:rsidP="00626D7B">
      <w:pPr>
        <w:spacing w:line="276" w:lineRule="auto"/>
        <w:jc w:val="both"/>
        <w:rPr>
          <w:rFonts w:ascii="Times New Roman" w:hAnsi="Times New Roman" w:cs="Times New Roman"/>
          <w:szCs w:val="24"/>
        </w:rPr>
      </w:pPr>
    </w:p>
    <w:p w:rsidR="00A604AA" w:rsidRPr="00A604AA" w:rsidRDefault="00DA6B3C" w:rsidP="004844B3">
      <w:pPr>
        <w:spacing w:line="480" w:lineRule="auto"/>
        <w:jc w:val="center"/>
        <w:rPr>
          <w:rFonts w:ascii="Times New Roman" w:hAnsi="Times New Roman" w:cs="Times New Roman"/>
          <w:b/>
          <w:sz w:val="28"/>
          <w:szCs w:val="24"/>
        </w:rPr>
      </w:pPr>
      <w:r w:rsidRPr="00A604AA">
        <w:rPr>
          <w:rFonts w:ascii="Times New Roman" w:hAnsi="Times New Roman" w:cs="Times New Roman"/>
          <w:b/>
          <w:sz w:val="28"/>
          <w:szCs w:val="24"/>
        </w:rPr>
        <w:t>Rezultati</w:t>
      </w:r>
    </w:p>
    <w:p w:rsidR="004844B3" w:rsidRDefault="00A604AA" w:rsidP="00A604AA">
      <w:pPr>
        <w:spacing w:line="480" w:lineRule="auto"/>
        <w:jc w:val="both"/>
        <w:rPr>
          <w:rFonts w:ascii="Times New Roman" w:hAnsi="Times New Roman" w:cs="Times New Roman"/>
          <w:sz w:val="24"/>
          <w:szCs w:val="24"/>
        </w:rPr>
      </w:pPr>
      <w:r>
        <w:rPr>
          <w:rFonts w:ascii="Times New Roman" w:hAnsi="Times New Roman" w:cs="Times New Roman"/>
          <w:sz w:val="24"/>
          <w:szCs w:val="24"/>
        </w:rPr>
        <w:t>Ukupno je praćeno 200 pacijenata, od čega 100 graftova radijalne arterije i 100 venskih graftova.</w:t>
      </w:r>
      <w:r>
        <w:rPr>
          <w:rFonts w:ascii="Times New Roman" w:hAnsi="Times New Roman" w:cs="Times New Roman"/>
          <w:sz w:val="24"/>
          <w:szCs w:val="24"/>
        </w:rPr>
        <w:t xml:space="preserve"> Najmlađi pacijent je imao 41 godinu a najstariji 77 godina.</w:t>
      </w:r>
      <w:r>
        <w:rPr>
          <w:rFonts w:ascii="Times New Roman" w:hAnsi="Times New Roman" w:cs="Times New Roman"/>
          <w:sz w:val="24"/>
          <w:szCs w:val="24"/>
        </w:rPr>
        <w:t xml:space="preserve">  Prosjek starosti je </w:t>
      </w:r>
      <w:r>
        <w:rPr>
          <w:rFonts w:ascii="Times New Roman" w:hAnsi="Times New Roman" w:cs="Times New Roman"/>
          <w:sz w:val="24"/>
          <w:szCs w:val="24"/>
        </w:rPr>
        <w:t>iznosio 64.9 godina a većina pacijenata su bili muškarci – 63%</w:t>
      </w:r>
      <w:r>
        <w:rPr>
          <w:rFonts w:ascii="Times New Roman" w:hAnsi="Times New Roman" w:cs="Times New Roman"/>
          <w:sz w:val="24"/>
          <w:szCs w:val="24"/>
        </w:rPr>
        <w:t xml:space="preserve">. Verifikovano je </w:t>
      </w:r>
      <w:r>
        <w:rPr>
          <w:rFonts w:ascii="Times New Roman" w:hAnsi="Times New Roman" w:cs="Times New Roman"/>
          <w:sz w:val="24"/>
          <w:szCs w:val="24"/>
        </w:rPr>
        <w:t>3</w:t>
      </w:r>
      <w:r>
        <w:rPr>
          <w:rFonts w:ascii="Times New Roman" w:hAnsi="Times New Roman" w:cs="Times New Roman"/>
          <w:sz w:val="24"/>
          <w:szCs w:val="24"/>
        </w:rPr>
        <w:t xml:space="preserve"> ne</w:t>
      </w:r>
      <w:r w:rsidR="00333963">
        <w:rPr>
          <w:rFonts w:ascii="Times New Roman" w:hAnsi="Times New Roman" w:cs="Times New Roman"/>
          <w:sz w:val="24"/>
          <w:szCs w:val="24"/>
        </w:rPr>
        <w:t>funkcionalna</w:t>
      </w:r>
      <w:r>
        <w:rPr>
          <w:rFonts w:ascii="Times New Roman" w:hAnsi="Times New Roman" w:cs="Times New Roman"/>
          <w:sz w:val="24"/>
          <w:szCs w:val="24"/>
        </w:rPr>
        <w:t xml:space="preserve"> </w:t>
      </w:r>
      <w:r>
        <w:rPr>
          <w:rFonts w:ascii="Times New Roman" w:hAnsi="Times New Roman" w:cs="Times New Roman"/>
          <w:sz w:val="24"/>
          <w:szCs w:val="24"/>
        </w:rPr>
        <w:t xml:space="preserve">radijalna </w:t>
      </w:r>
      <w:r>
        <w:rPr>
          <w:rFonts w:ascii="Times New Roman" w:hAnsi="Times New Roman" w:cs="Times New Roman"/>
          <w:sz w:val="24"/>
          <w:szCs w:val="24"/>
        </w:rPr>
        <w:t xml:space="preserve">grafta i </w:t>
      </w:r>
      <w:r>
        <w:rPr>
          <w:rFonts w:ascii="Times New Roman" w:hAnsi="Times New Roman" w:cs="Times New Roman"/>
          <w:sz w:val="24"/>
          <w:szCs w:val="24"/>
        </w:rPr>
        <w:t>2 ciljana ne</w:t>
      </w:r>
      <w:r w:rsidR="00333963">
        <w:rPr>
          <w:rFonts w:ascii="Times New Roman" w:hAnsi="Times New Roman" w:cs="Times New Roman"/>
          <w:sz w:val="24"/>
          <w:szCs w:val="24"/>
        </w:rPr>
        <w:t>funkcionalna</w:t>
      </w:r>
      <w:r>
        <w:rPr>
          <w:rFonts w:ascii="Times New Roman" w:hAnsi="Times New Roman" w:cs="Times New Roman"/>
          <w:sz w:val="24"/>
          <w:szCs w:val="24"/>
        </w:rPr>
        <w:t xml:space="preserve"> grafta</w:t>
      </w:r>
      <w:r>
        <w:rPr>
          <w:rFonts w:ascii="Times New Roman" w:hAnsi="Times New Roman" w:cs="Times New Roman"/>
          <w:sz w:val="24"/>
          <w:szCs w:val="24"/>
        </w:rPr>
        <w:t xml:space="preserve"> u grupi venskih graftova</w:t>
      </w:r>
      <w:r>
        <w:rPr>
          <w:rFonts w:ascii="Times New Roman" w:hAnsi="Times New Roman" w:cs="Times New Roman"/>
          <w:sz w:val="24"/>
          <w:szCs w:val="24"/>
        </w:rPr>
        <w:t>, uz još 2 kojima target nije bila desna koronarna arterija i nisu praćena</w:t>
      </w:r>
      <w:r>
        <w:rPr>
          <w:rFonts w:ascii="Times New Roman" w:hAnsi="Times New Roman" w:cs="Times New Roman"/>
          <w:sz w:val="24"/>
          <w:szCs w:val="24"/>
        </w:rPr>
        <w:t xml:space="preserve">. </w:t>
      </w:r>
      <w:r w:rsidR="003A7B6A">
        <w:rPr>
          <w:rFonts w:ascii="Times New Roman" w:hAnsi="Times New Roman" w:cs="Times New Roman"/>
          <w:sz w:val="24"/>
          <w:szCs w:val="24"/>
        </w:rPr>
        <w:t>Po ispitivanju statističke značajnnosti hi kvadrat testom dobijena p vrijednost je 0.65, što znači da ne možemo odbaciti nultu hipotezu i da nismo pokazali značajnu razliku među ove 2 vrste grafta.</w:t>
      </w:r>
    </w:p>
    <w:p w:rsidR="003A7B6A" w:rsidRDefault="003A7B6A" w:rsidP="00A604AA">
      <w:pPr>
        <w:spacing w:line="480" w:lineRule="auto"/>
        <w:jc w:val="both"/>
        <w:rPr>
          <w:rFonts w:ascii="Times New Roman" w:hAnsi="Times New Roman" w:cs="Times New Roman"/>
          <w:sz w:val="24"/>
          <w:szCs w:val="24"/>
        </w:rPr>
      </w:pPr>
    </w:p>
    <w:p w:rsidR="003A7B6A" w:rsidRDefault="003A7B6A" w:rsidP="00A604AA">
      <w:pPr>
        <w:spacing w:line="480" w:lineRule="auto"/>
        <w:jc w:val="both"/>
        <w:rPr>
          <w:rFonts w:ascii="Times New Roman" w:hAnsi="Times New Roman" w:cs="Times New Roman"/>
          <w:sz w:val="24"/>
          <w:szCs w:val="24"/>
        </w:rPr>
      </w:pPr>
    </w:p>
    <w:p w:rsidR="003A7B6A" w:rsidRDefault="003A7B6A" w:rsidP="00A604AA">
      <w:pPr>
        <w:spacing w:line="480" w:lineRule="auto"/>
        <w:jc w:val="both"/>
        <w:rPr>
          <w:rFonts w:ascii="Times New Roman" w:hAnsi="Times New Roman" w:cs="Times New Roman"/>
          <w:sz w:val="24"/>
          <w:szCs w:val="24"/>
        </w:rPr>
      </w:pPr>
    </w:p>
    <w:p w:rsidR="003A7B6A" w:rsidRDefault="003A7B6A" w:rsidP="00A604AA">
      <w:pPr>
        <w:spacing w:line="480" w:lineRule="auto"/>
        <w:jc w:val="both"/>
        <w:rPr>
          <w:rFonts w:ascii="Times New Roman" w:hAnsi="Times New Roman" w:cs="Times New Roman"/>
          <w:sz w:val="24"/>
          <w:szCs w:val="24"/>
        </w:rPr>
      </w:pPr>
    </w:p>
    <w:p w:rsidR="004844B3" w:rsidRDefault="004844B3" w:rsidP="004844B3">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Grafikon 1 – prikaz broja nefunkcionalnih graftova po grupama</w:t>
      </w:r>
    </w:p>
    <w:p w:rsidR="004844B3" w:rsidRDefault="004844B3" w:rsidP="004844B3">
      <w:pPr>
        <w:spacing w:line="480" w:lineRule="auto"/>
        <w:jc w:val="center"/>
        <w:rPr>
          <w:rFonts w:ascii="Times New Roman" w:hAnsi="Times New Roman" w:cs="Times New Roman"/>
          <w:sz w:val="24"/>
          <w:szCs w:val="24"/>
        </w:rPr>
      </w:pPr>
      <w:r>
        <w:rPr>
          <w:noProof/>
          <w:lang w:eastAsia="bs-Latn-BA"/>
        </w:rPr>
        <w:drawing>
          <wp:inline distT="0" distB="0" distL="0" distR="0" wp14:anchorId="237B903D" wp14:editId="3882C529">
            <wp:extent cx="4461164" cy="2189018"/>
            <wp:effectExtent l="0" t="0" r="15875" b="19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A7B6A" w:rsidRDefault="003A7B6A" w:rsidP="004844B3">
      <w:pPr>
        <w:spacing w:line="480" w:lineRule="auto"/>
        <w:jc w:val="center"/>
        <w:rPr>
          <w:rFonts w:ascii="Times New Roman" w:hAnsi="Times New Roman" w:cs="Times New Roman"/>
          <w:sz w:val="24"/>
          <w:szCs w:val="24"/>
        </w:rPr>
      </w:pPr>
    </w:p>
    <w:p w:rsidR="00DA6B3C" w:rsidRDefault="00DA6B3C" w:rsidP="003A7B6A">
      <w:pPr>
        <w:spacing w:line="480" w:lineRule="auto"/>
        <w:jc w:val="center"/>
        <w:rPr>
          <w:rFonts w:ascii="Times New Roman" w:hAnsi="Times New Roman" w:cs="Times New Roman"/>
          <w:b/>
          <w:sz w:val="28"/>
          <w:szCs w:val="24"/>
        </w:rPr>
      </w:pPr>
      <w:r w:rsidRPr="003A7B6A">
        <w:rPr>
          <w:rFonts w:ascii="Times New Roman" w:hAnsi="Times New Roman" w:cs="Times New Roman"/>
          <w:b/>
          <w:sz w:val="28"/>
          <w:szCs w:val="24"/>
        </w:rPr>
        <w:t>Diskusija</w:t>
      </w:r>
    </w:p>
    <w:p w:rsidR="003A7B6A" w:rsidRDefault="003A7B6A"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U našoj studiji nije nađena značajna kratkoročna razlika između ove dvije grupe graftova što odgovara</w:t>
      </w:r>
      <w:r w:rsidR="00D15D35">
        <w:rPr>
          <w:rFonts w:ascii="Times New Roman" w:hAnsi="Times New Roman" w:cs="Times New Roman"/>
          <w:sz w:val="24"/>
          <w:szCs w:val="24"/>
        </w:rPr>
        <w:t xml:space="preserve"> većini dosadašnjih dostupnih istraživanja, kako u kratkoročnom tako i u dugoročnnom periodu.</w:t>
      </w:r>
    </w:p>
    <w:p w:rsidR="008B3E3E" w:rsidRDefault="008B3E3E" w:rsidP="008B3E3E">
      <w:pPr>
        <w:spacing w:line="480" w:lineRule="auto"/>
        <w:jc w:val="both"/>
        <w:rPr>
          <w:rFonts w:ascii="Times New Roman" w:hAnsi="Times New Roman" w:cs="Times New Roman"/>
          <w:sz w:val="24"/>
          <w:szCs w:val="24"/>
        </w:rPr>
      </w:pPr>
      <w:r>
        <w:rPr>
          <w:rFonts w:ascii="Times New Roman" w:hAnsi="Times New Roman" w:cs="Times New Roman"/>
          <w:sz w:val="24"/>
          <w:szCs w:val="24"/>
        </w:rPr>
        <w:t>Meta analiza Waheeda i saradnika zaključuje da korištenje arterijskog grafta (drugog izbora) nema značajnu prednost u dugoročnoj vijabilnosti, proocentu srčanih udara i ukupnom preživljavanju [4</w:t>
      </w:r>
      <w:r>
        <w:rPr>
          <w:rFonts w:ascii="Times New Roman" w:hAnsi="Times New Roman" w:cs="Times New Roman"/>
          <w:sz w:val="24"/>
          <w:szCs w:val="24"/>
        </w:rPr>
        <w:t>]</w:t>
      </w:r>
      <w:r>
        <w:rPr>
          <w:rFonts w:ascii="Times New Roman" w:hAnsi="Times New Roman" w:cs="Times New Roman"/>
          <w:sz w:val="24"/>
          <w:szCs w:val="24"/>
        </w:rPr>
        <w:t>.</w:t>
      </w:r>
    </w:p>
    <w:p w:rsidR="008B3E3E" w:rsidRDefault="008B3E3E" w:rsidP="008B3E3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Alboom i saradnici daju mišljenje nakon randomizovane studije da i radijalna arterija i safenski graft imaju mnogobrojne prednosti i da su sličnog ishoda, te da je najbitniji idnividualni izbor </w:t>
      </w:r>
      <w:r>
        <w:rPr>
          <w:rFonts w:ascii="Times New Roman" w:hAnsi="Times New Roman" w:cs="Times New Roman"/>
          <w:sz w:val="24"/>
          <w:szCs w:val="24"/>
        </w:rPr>
        <w:t>[1]</w:t>
      </w:r>
      <w:r>
        <w:rPr>
          <w:rFonts w:ascii="Times New Roman" w:hAnsi="Times New Roman" w:cs="Times New Roman"/>
          <w:sz w:val="24"/>
          <w:szCs w:val="24"/>
        </w:rPr>
        <w:t>.</w:t>
      </w:r>
    </w:p>
    <w:p w:rsidR="008B3E3E" w:rsidRDefault="008B3E3E" w:rsidP="008B3E3E">
      <w:pPr>
        <w:spacing w:line="480" w:lineRule="auto"/>
        <w:jc w:val="both"/>
        <w:rPr>
          <w:rFonts w:ascii="Times New Roman" w:hAnsi="Times New Roman" w:cs="Times New Roman"/>
          <w:sz w:val="24"/>
          <w:szCs w:val="24"/>
        </w:rPr>
      </w:pPr>
      <w:r>
        <w:rPr>
          <w:rFonts w:ascii="Times New Roman" w:hAnsi="Times New Roman" w:cs="Times New Roman"/>
          <w:sz w:val="24"/>
          <w:szCs w:val="24"/>
        </w:rPr>
        <w:t>Zhang i saradnici nakon sistemskog pregleda randomizovanih studija dolaze do zaključka da radijalna arterija ima određene prednosti ali da nivo dokaza nije dovoljno jak, te da se radijalna arterija kao graft drugog izbora može uvrstiti u preporuke samo sa niskim nivoom dokaza [6</w:t>
      </w:r>
      <w:r>
        <w:rPr>
          <w:rFonts w:ascii="Times New Roman" w:hAnsi="Times New Roman" w:cs="Times New Roman"/>
          <w:sz w:val="24"/>
          <w:szCs w:val="24"/>
        </w:rPr>
        <w:t>]</w:t>
      </w:r>
      <w:r>
        <w:rPr>
          <w:rFonts w:ascii="Times New Roman" w:hAnsi="Times New Roman" w:cs="Times New Roman"/>
          <w:sz w:val="24"/>
          <w:szCs w:val="24"/>
        </w:rPr>
        <w:t>.</w:t>
      </w:r>
    </w:p>
    <w:p w:rsidR="00F726AA" w:rsidRDefault="008B3E3E"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Jedina velika studija koja pokazuje jake dokaze i jasne preporuke u korist radijalne arterije je multicentrična randomizovana ROMA studija pod vođstvom Gaudina, koji godinama skuplja podatke o odnosu radijalne arterije prema ostalim graftovima. U objavljenoj meta analizi daje zaključak</w:t>
      </w:r>
      <w:r w:rsidR="00486669">
        <w:rPr>
          <w:rFonts w:ascii="Times New Roman" w:hAnsi="Times New Roman" w:cs="Times New Roman"/>
          <w:sz w:val="24"/>
          <w:szCs w:val="24"/>
        </w:rPr>
        <w:t xml:space="preserve"> da je nakon desetogodišnjeg praćenja radijalna arterija pokazala prednost u smislu manjeg rizika od ukupnog broja neželjenih kardiovaskularnih događaja</w:t>
      </w:r>
      <w:r>
        <w:rPr>
          <w:rFonts w:ascii="Times New Roman" w:hAnsi="Times New Roman" w:cs="Times New Roman"/>
          <w:sz w:val="24"/>
          <w:szCs w:val="24"/>
        </w:rPr>
        <w:t xml:space="preserve"> </w:t>
      </w:r>
      <w:r w:rsidR="00486669">
        <w:rPr>
          <w:rFonts w:ascii="Times New Roman" w:hAnsi="Times New Roman" w:cs="Times New Roman"/>
          <w:sz w:val="24"/>
          <w:szCs w:val="24"/>
        </w:rPr>
        <w:t>[</w:t>
      </w:r>
      <w:r w:rsidR="00486669">
        <w:rPr>
          <w:rFonts w:ascii="Times New Roman" w:hAnsi="Times New Roman" w:cs="Times New Roman"/>
          <w:sz w:val="24"/>
          <w:szCs w:val="24"/>
        </w:rPr>
        <w:t>7</w:t>
      </w:r>
      <w:r w:rsidR="00486669">
        <w:rPr>
          <w:rFonts w:ascii="Times New Roman" w:hAnsi="Times New Roman" w:cs="Times New Roman"/>
          <w:sz w:val="24"/>
          <w:szCs w:val="24"/>
        </w:rPr>
        <w:t>]</w:t>
      </w:r>
      <w:r w:rsidR="00486669">
        <w:rPr>
          <w:rFonts w:ascii="Times New Roman" w:hAnsi="Times New Roman" w:cs="Times New Roman"/>
          <w:sz w:val="24"/>
          <w:szCs w:val="24"/>
        </w:rPr>
        <w:t>.</w:t>
      </w:r>
    </w:p>
    <w:p w:rsidR="00D15D35" w:rsidRPr="003A7B6A" w:rsidRDefault="00D15D35"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Dugoročno praćenje ovih pacijenata je problem kako zbog prisutnih komorbiditeta tako i zbog toga što se najčešće radi o starijim pacijentima a potreban je period praćenja i do 20 godina</w:t>
      </w:r>
      <w:r w:rsidR="00486669">
        <w:rPr>
          <w:rFonts w:ascii="Times New Roman" w:hAnsi="Times New Roman" w:cs="Times New Roman"/>
          <w:sz w:val="24"/>
          <w:szCs w:val="24"/>
        </w:rPr>
        <w:t>, te je uz stalni razvoj tehnika i farmakoterapije teško doći do snažnih dokaza u korist jedne tehnike</w:t>
      </w:r>
      <w:r>
        <w:rPr>
          <w:rFonts w:ascii="Times New Roman" w:hAnsi="Times New Roman" w:cs="Times New Roman"/>
          <w:sz w:val="24"/>
          <w:szCs w:val="24"/>
        </w:rPr>
        <w:t>.</w:t>
      </w:r>
    </w:p>
    <w:p w:rsidR="003A7B6A" w:rsidRPr="003A7B6A" w:rsidRDefault="00DA6B3C" w:rsidP="003A7B6A">
      <w:pPr>
        <w:spacing w:line="480" w:lineRule="auto"/>
        <w:jc w:val="center"/>
        <w:rPr>
          <w:rFonts w:ascii="Times New Roman" w:hAnsi="Times New Roman" w:cs="Times New Roman"/>
          <w:b/>
          <w:sz w:val="28"/>
          <w:szCs w:val="24"/>
        </w:rPr>
      </w:pPr>
      <w:r w:rsidRPr="003A7B6A">
        <w:rPr>
          <w:rFonts w:ascii="Times New Roman" w:hAnsi="Times New Roman" w:cs="Times New Roman"/>
          <w:b/>
          <w:sz w:val="28"/>
          <w:szCs w:val="24"/>
        </w:rPr>
        <w:t>Zaključak</w:t>
      </w:r>
    </w:p>
    <w:p w:rsidR="003A7B6A" w:rsidRDefault="003A7B6A" w:rsidP="003A7B6A">
      <w:pPr>
        <w:spacing w:line="480" w:lineRule="auto"/>
        <w:jc w:val="both"/>
        <w:rPr>
          <w:rFonts w:ascii="Times New Roman" w:hAnsi="Times New Roman" w:cs="Times New Roman"/>
          <w:sz w:val="24"/>
          <w:szCs w:val="24"/>
        </w:rPr>
      </w:pPr>
      <w:r>
        <w:rPr>
          <w:rFonts w:ascii="Times New Roman" w:hAnsi="Times New Roman" w:cs="Times New Roman"/>
          <w:sz w:val="24"/>
          <w:szCs w:val="24"/>
        </w:rPr>
        <w:t>Potrebne su dodatne,usmjerene, prospektivne studije koje standardizovano upoređuju  kvalitet grafta radijalne arterije i velike safenske vene kao i tehnike njihovog uzimanja.</w:t>
      </w:r>
      <w:r>
        <w:rPr>
          <w:rFonts w:ascii="Times New Roman" w:hAnsi="Times New Roman" w:cs="Times New Roman"/>
          <w:sz w:val="24"/>
          <w:szCs w:val="24"/>
        </w:rPr>
        <w:t xml:space="preserve"> Potrebno je srednjeročno i dugoročno praćenje pacijenata, po mogućnosti većih grupa iz ove ustanove kako bi se napravio interni protokol koji će dati najbolje mogućnosti liječenja pacijenata u Klinici za kardiohirurgiju UKC RS po dostupnim tehničkim i ljudskim resursima.</w:t>
      </w:r>
    </w:p>
    <w:p w:rsidR="00486669" w:rsidRDefault="00486669" w:rsidP="003A7B6A">
      <w:pPr>
        <w:spacing w:line="480" w:lineRule="auto"/>
        <w:jc w:val="both"/>
        <w:rPr>
          <w:rFonts w:ascii="Times New Roman" w:hAnsi="Times New Roman" w:cs="Times New Roman"/>
          <w:sz w:val="24"/>
          <w:szCs w:val="24"/>
        </w:rPr>
      </w:pPr>
    </w:p>
    <w:p w:rsidR="00486669" w:rsidRDefault="00486669" w:rsidP="003A7B6A">
      <w:pPr>
        <w:spacing w:line="480" w:lineRule="auto"/>
        <w:jc w:val="both"/>
        <w:rPr>
          <w:rFonts w:ascii="Times New Roman" w:hAnsi="Times New Roman" w:cs="Times New Roman"/>
          <w:sz w:val="24"/>
          <w:szCs w:val="24"/>
        </w:rPr>
      </w:pPr>
    </w:p>
    <w:p w:rsidR="00486669" w:rsidRDefault="00486669" w:rsidP="003A7B6A">
      <w:pPr>
        <w:spacing w:line="480" w:lineRule="auto"/>
        <w:jc w:val="both"/>
        <w:rPr>
          <w:rFonts w:ascii="Times New Roman" w:hAnsi="Times New Roman" w:cs="Times New Roman"/>
          <w:sz w:val="24"/>
          <w:szCs w:val="24"/>
        </w:rPr>
      </w:pPr>
    </w:p>
    <w:p w:rsidR="00486669" w:rsidRDefault="00486669" w:rsidP="003A7B6A">
      <w:pPr>
        <w:spacing w:line="480" w:lineRule="auto"/>
        <w:jc w:val="both"/>
        <w:rPr>
          <w:rFonts w:ascii="Times New Roman" w:hAnsi="Times New Roman" w:cs="Times New Roman"/>
          <w:sz w:val="24"/>
          <w:szCs w:val="24"/>
        </w:rPr>
      </w:pPr>
    </w:p>
    <w:p w:rsidR="00486669" w:rsidRDefault="00486669" w:rsidP="003A7B6A">
      <w:pPr>
        <w:spacing w:line="480" w:lineRule="auto"/>
        <w:jc w:val="both"/>
        <w:rPr>
          <w:rFonts w:ascii="Times New Roman" w:hAnsi="Times New Roman" w:cs="Times New Roman"/>
          <w:sz w:val="24"/>
          <w:szCs w:val="24"/>
        </w:rPr>
      </w:pPr>
    </w:p>
    <w:p w:rsidR="00486669" w:rsidRPr="00F026A4" w:rsidRDefault="00486669" w:rsidP="003A7B6A">
      <w:pPr>
        <w:spacing w:line="480" w:lineRule="auto"/>
        <w:jc w:val="both"/>
        <w:rPr>
          <w:rFonts w:ascii="Times New Roman" w:hAnsi="Times New Roman" w:cs="Times New Roman"/>
          <w:sz w:val="24"/>
          <w:szCs w:val="24"/>
        </w:rPr>
      </w:pPr>
      <w:bookmarkStart w:id="0" w:name="_GoBack"/>
      <w:bookmarkEnd w:id="0"/>
    </w:p>
    <w:p w:rsidR="00DA6B3C" w:rsidRPr="00333963" w:rsidRDefault="00DA6B3C" w:rsidP="00333963">
      <w:pPr>
        <w:spacing w:line="480" w:lineRule="auto"/>
        <w:jc w:val="center"/>
        <w:rPr>
          <w:rFonts w:ascii="Times New Roman" w:hAnsi="Times New Roman" w:cs="Times New Roman"/>
          <w:b/>
          <w:sz w:val="28"/>
          <w:szCs w:val="24"/>
        </w:rPr>
      </w:pPr>
      <w:r w:rsidRPr="00333963">
        <w:rPr>
          <w:rFonts w:ascii="Times New Roman" w:hAnsi="Times New Roman" w:cs="Times New Roman"/>
          <w:b/>
          <w:sz w:val="28"/>
          <w:szCs w:val="24"/>
        </w:rPr>
        <w:lastRenderedPageBreak/>
        <w:t>Literatura</w:t>
      </w:r>
    </w:p>
    <w:p w:rsidR="00DA6B3C" w:rsidRDefault="00D15D35"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D15D35">
        <w:rPr>
          <w:rFonts w:ascii="Times New Roman" w:hAnsi="Times New Roman" w:cs="Times New Roman"/>
          <w:sz w:val="24"/>
          <w:szCs w:val="24"/>
        </w:rPr>
        <w:t>Alboom, Browne, A., Dagenais, F., Noiseux, N., Kieser, T., Légaré, J., Brown, C., Kiaii, B., Eikelboom, J., &amp; Lamy, A. (2019). PICK YOUR CONDUIT WISELY TO DECREASE GRAFT FAILURE AFTER CABG SURGERY. Canadian Journal of Cardiology, 35(10), S163. https://doi.org/10.1016/j.cjca.2019.07.314</w:t>
      </w:r>
    </w:p>
    <w:p w:rsidR="00D15D35" w:rsidRDefault="00D15D35"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F726AA">
        <w:rPr>
          <w:rFonts w:ascii="Times New Roman" w:hAnsi="Times New Roman" w:cs="Times New Roman"/>
          <w:sz w:val="24"/>
          <w:szCs w:val="24"/>
        </w:rPr>
        <w:t>Maksimović Ž</w:t>
      </w:r>
      <w:r w:rsidR="00F726AA" w:rsidRPr="00F726AA">
        <w:rPr>
          <w:rFonts w:ascii="Times New Roman" w:hAnsi="Times New Roman" w:cs="Times New Roman"/>
          <w:sz w:val="24"/>
          <w:szCs w:val="24"/>
        </w:rPr>
        <w:t xml:space="preserve">. </w:t>
      </w:r>
      <w:r w:rsidR="00F726AA">
        <w:rPr>
          <w:rFonts w:ascii="Times New Roman" w:hAnsi="Times New Roman" w:cs="Times New Roman"/>
          <w:sz w:val="24"/>
          <w:szCs w:val="24"/>
        </w:rPr>
        <w:t>Hirurgija – udžbenik za studente</w:t>
      </w:r>
      <w:r w:rsidR="00F726AA" w:rsidRPr="00F726AA">
        <w:rPr>
          <w:rFonts w:ascii="Times New Roman" w:hAnsi="Times New Roman" w:cs="Times New Roman"/>
          <w:sz w:val="24"/>
          <w:szCs w:val="24"/>
        </w:rPr>
        <w:t xml:space="preserve">. Četvrto izdanje. Beograd: </w:t>
      </w:r>
      <w:r w:rsidR="00F726AA">
        <w:rPr>
          <w:rFonts w:ascii="Times New Roman" w:hAnsi="Times New Roman" w:cs="Times New Roman"/>
          <w:sz w:val="24"/>
          <w:szCs w:val="24"/>
        </w:rPr>
        <w:t>Medicinski fakultet (Beograd: Službeni glasnik)</w:t>
      </w:r>
      <w:r w:rsidR="00F726AA" w:rsidRPr="00F726AA">
        <w:rPr>
          <w:rFonts w:ascii="Times New Roman" w:hAnsi="Times New Roman" w:cs="Times New Roman"/>
          <w:sz w:val="24"/>
          <w:szCs w:val="24"/>
        </w:rPr>
        <w:t>; 20</w:t>
      </w:r>
      <w:r w:rsidR="00F726AA">
        <w:rPr>
          <w:rFonts w:ascii="Times New Roman" w:hAnsi="Times New Roman" w:cs="Times New Roman"/>
          <w:sz w:val="24"/>
          <w:szCs w:val="24"/>
        </w:rPr>
        <w:t>15</w:t>
      </w:r>
      <w:r w:rsidR="00F726AA" w:rsidRPr="00F726AA">
        <w:rPr>
          <w:rFonts w:ascii="Times New Roman" w:hAnsi="Times New Roman" w:cs="Times New Roman"/>
          <w:sz w:val="24"/>
          <w:szCs w:val="24"/>
        </w:rPr>
        <w:t>.</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F726AA">
        <w:rPr>
          <w:rFonts w:ascii="Times New Roman" w:hAnsi="Times New Roman" w:cs="Times New Roman"/>
          <w:sz w:val="24"/>
          <w:szCs w:val="24"/>
        </w:rPr>
        <w:t>Savić T., Janković D. Poremećaj metabolizma lipida i ateroskleroza. Lipidologija u svakoj ambulanti. 2004; 1: 7-14.</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726AA">
        <w:rPr>
          <w:rFonts w:ascii="Times New Roman" w:hAnsi="Times New Roman" w:cs="Times New Roman"/>
          <w:sz w:val="24"/>
          <w:szCs w:val="24"/>
        </w:rPr>
        <w:t>Waheed A, Klosterman E, Lee J, Mishra A, Narasimha V, Tuma F, Bokhari F, Haq F, Misra S. Assessing the Long-term Patency and Clinical Outcomes of Venous and Arterial Grafts Used in Coronary Artery Bypass Grafting: A Meta-analysis. Cureus. 2019 Sep 16;11(9):e5670. doi: 10.7759/cureus.5670. PMID: 31720146; PMCID: PMC6823029.</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F726AA">
        <w:rPr>
          <w:rFonts w:ascii="Times New Roman" w:hAnsi="Times New Roman" w:cs="Times New Roman"/>
          <w:sz w:val="24"/>
          <w:szCs w:val="24"/>
        </w:rPr>
        <w:t>Kieser TM. Graft quality verification in coronary artery bypass graft surgery: how, when and why? Curr Opin Cardiol. 2017 Nov;32(6):722-736. doi: 10.1097/HCO.0000000000000452. Erratum in: Curr Opin Cardiol. 2018 Jan;33(1):121. PMID: 28806185.</w:t>
      </w:r>
    </w:p>
    <w:p w:rsidR="00F726AA"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8B3E3E" w:rsidRPr="008B3E3E">
        <w:rPr>
          <w:rFonts w:ascii="Times New Roman" w:hAnsi="Times New Roman" w:cs="Times New Roman"/>
          <w:sz w:val="24"/>
          <w:szCs w:val="24"/>
        </w:rPr>
        <w:t>Zhang H, Wang ZW, Wu HB, Hu XP, Zhou Z, Xu P. Radial artery graft vs. saphenous vein graft for coronary artery bypass surgery : which conduit offers better efficacy? Herz. 2014 Jun;39(4):458-65. doi: 10.1007/s00059-013-3848-5. Epub 2013 Jun 21. PMID: 23784362.</w:t>
      </w:r>
    </w:p>
    <w:p w:rsidR="00F726AA" w:rsidRPr="00F026A4" w:rsidRDefault="00F726AA" w:rsidP="00B03A2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486669">
        <w:rPr>
          <w:rFonts w:ascii="Times New Roman" w:hAnsi="Times New Roman" w:cs="Times New Roman"/>
          <w:sz w:val="24"/>
          <w:szCs w:val="24"/>
        </w:rPr>
        <w:t xml:space="preserve"> </w:t>
      </w:r>
      <w:r w:rsidR="00486669" w:rsidRPr="00486669">
        <w:rPr>
          <w:rFonts w:ascii="Times New Roman" w:hAnsi="Times New Roman" w:cs="Times New Roman"/>
          <w:sz w:val="24"/>
          <w:szCs w:val="24"/>
        </w:rPr>
        <w:t>Gaudino M, Benedetto U, Fremes S, Ballman K, Biondi-Zoccai G, Sedrakyan A, Nasso G, Raman J, Buxton B, Hayward PA, Moat N, Collins P, Webb C, Peric M, Petrovic I, Yoo KJ, Hameed I, Di Franco A, Moscarelli M, Speziale G, Puskas JD, Girardi LN, Hare DL, Taggart DP; RADIAL Investigators. Association of Radial Artery Graft vs Saphenous Vein Graft With Long-term Cardiovascular Outcomes Among Patients Undergoing Coronary Artery Bypass Grafting: A Systematic Review and Meta-analysis. JAMA. 2020 Jul 14;324(2):179-187. doi: 10.1001/jama.2020.8228. PMID: 32662861; PMCID: PMC7361649.</w:t>
      </w:r>
    </w:p>
    <w:sectPr w:rsidR="00F726AA" w:rsidRPr="00F026A4" w:rsidSect="00D40D67">
      <w:footnotePr>
        <w:numRestart w:val="eachSect"/>
      </w:footnotePr>
      <w:pgSz w:w="11906" w:h="16838"/>
      <w:pgMar w:top="1411" w:right="1411" w:bottom="1411" w:left="216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344" w:rsidRDefault="00D45344" w:rsidP="00B03A28">
      <w:pPr>
        <w:spacing w:after="0" w:line="240" w:lineRule="auto"/>
      </w:pPr>
      <w:r>
        <w:separator/>
      </w:r>
    </w:p>
  </w:endnote>
  <w:endnote w:type="continuationSeparator" w:id="0">
    <w:p w:rsidR="00D45344" w:rsidRDefault="00D45344" w:rsidP="00B0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344" w:rsidRDefault="00D45344" w:rsidP="00B03A28">
      <w:pPr>
        <w:spacing w:after="0" w:line="240" w:lineRule="auto"/>
      </w:pPr>
      <w:r>
        <w:separator/>
      </w:r>
    </w:p>
  </w:footnote>
  <w:footnote w:type="continuationSeparator" w:id="0">
    <w:p w:rsidR="00D45344" w:rsidRDefault="00D45344" w:rsidP="00B03A28">
      <w:pPr>
        <w:spacing w:after="0" w:line="240" w:lineRule="auto"/>
      </w:pPr>
      <w:r>
        <w:continuationSeparator/>
      </w:r>
    </w:p>
  </w:footnote>
  <w:footnote w:id="1">
    <w:p w:rsidR="0048080A" w:rsidRDefault="0048080A">
      <w:pPr>
        <w:pStyle w:val="FootnoteText"/>
      </w:pPr>
      <w:r w:rsidRPr="0048080A">
        <w:rPr>
          <w:rStyle w:val="FootnoteReference"/>
          <w:sz w:val="24"/>
        </w:rPr>
        <w:t>*</w:t>
      </w:r>
      <w:r>
        <w:t xml:space="preserve"> hipotetički podaci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B742C7"/>
    <w:multiLevelType w:val="hybridMultilevel"/>
    <w:tmpl w:val="3782F1E8"/>
    <w:lvl w:ilvl="0" w:tplc="3F82BFC4">
      <w:numFmt w:val="bullet"/>
      <w:lvlText w:val=""/>
      <w:lvlJc w:val="left"/>
      <w:pPr>
        <w:ind w:left="720" w:hanging="360"/>
      </w:pPr>
      <w:rPr>
        <w:rFonts w:ascii="Symbol" w:eastAsiaTheme="minorHAnsi" w:hAnsi="Symbol" w:cstheme="minorBid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57EC3B6F"/>
    <w:multiLevelType w:val="multilevel"/>
    <w:tmpl w:val="9E8AA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5E2E8A"/>
    <w:multiLevelType w:val="multilevel"/>
    <w:tmpl w:val="2E643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F92"/>
    <w:rsid w:val="00027518"/>
    <w:rsid w:val="00054AED"/>
    <w:rsid w:val="000B0E38"/>
    <w:rsid w:val="001022DE"/>
    <w:rsid w:val="001352A8"/>
    <w:rsid w:val="001F59C8"/>
    <w:rsid w:val="00202A7B"/>
    <w:rsid w:val="002C791B"/>
    <w:rsid w:val="00333963"/>
    <w:rsid w:val="00355824"/>
    <w:rsid w:val="00365FD7"/>
    <w:rsid w:val="003A7B6A"/>
    <w:rsid w:val="00442B54"/>
    <w:rsid w:val="0048080A"/>
    <w:rsid w:val="004844B3"/>
    <w:rsid w:val="00486669"/>
    <w:rsid w:val="005004B4"/>
    <w:rsid w:val="00626D7B"/>
    <w:rsid w:val="00656BC4"/>
    <w:rsid w:val="00682C81"/>
    <w:rsid w:val="007C6D92"/>
    <w:rsid w:val="00833F92"/>
    <w:rsid w:val="008B3E3E"/>
    <w:rsid w:val="008D537F"/>
    <w:rsid w:val="009039C3"/>
    <w:rsid w:val="00923067"/>
    <w:rsid w:val="00957F4D"/>
    <w:rsid w:val="00A604AA"/>
    <w:rsid w:val="00A90AE2"/>
    <w:rsid w:val="00AA0B4E"/>
    <w:rsid w:val="00AF2012"/>
    <w:rsid w:val="00B03A28"/>
    <w:rsid w:val="00B17AC6"/>
    <w:rsid w:val="00BE3FD0"/>
    <w:rsid w:val="00CE461E"/>
    <w:rsid w:val="00D15D35"/>
    <w:rsid w:val="00D33C14"/>
    <w:rsid w:val="00D40D67"/>
    <w:rsid w:val="00D44653"/>
    <w:rsid w:val="00D45344"/>
    <w:rsid w:val="00DA5706"/>
    <w:rsid w:val="00DA6B3C"/>
    <w:rsid w:val="00F026A4"/>
    <w:rsid w:val="00F621F3"/>
    <w:rsid w:val="00F726AA"/>
    <w:rsid w:val="00FD309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7CF3C-AA20-441F-8554-D776B7A4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791B"/>
    <w:rPr>
      <w:b/>
      <w:bCs/>
    </w:rPr>
  </w:style>
  <w:style w:type="character" w:customStyle="1" w:styleId="term">
    <w:name w:val="term"/>
    <w:basedOn w:val="DefaultParagraphFont"/>
    <w:rsid w:val="002C791B"/>
  </w:style>
  <w:style w:type="paragraph" w:styleId="Header">
    <w:name w:val="header"/>
    <w:basedOn w:val="Normal"/>
    <w:link w:val="HeaderChar"/>
    <w:uiPriority w:val="99"/>
    <w:unhideWhenUsed/>
    <w:rsid w:val="00B03A28"/>
    <w:pPr>
      <w:tabs>
        <w:tab w:val="center" w:pos="4536"/>
        <w:tab w:val="right" w:pos="9072"/>
      </w:tabs>
      <w:spacing w:after="0" w:line="240" w:lineRule="auto"/>
    </w:pPr>
  </w:style>
  <w:style w:type="character" w:customStyle="1" w:styleId="HeaderChar">
    <w:name w:val="Header Char"/>
    <w:basedOn w:val="DefaultParagraphFont"/>
    <w:link w:val="Header"/>
    <w:uiPriority w:val="99"/>
    <w:rsid w:val="00B03A28"/>
  </w:style>
  <w:style w:type="paragraph" w:styleId="Footer">
    <w:name w:val="footer"/>
    <w:basedOn w:val="Normal"/>
    <w:link w:val="FooterChar"/>
    <w:uiPriority w:val="99"/>
    <w:unhideWhenUsed/>
    <w:rsid w:val="00B03A28"/>
    <w:pPr>
      <w:tabs>
        <w:tab w:val="center" w:pos="4536"/>
        <w:tab w:val="right" w:pos="9072"/>
      </w:tabs>
      <w:spacing w:after="0" w:line="240" w:lineRule="auto"/>
    </w:pPr>
  </w:style>
  <w:style w:type="character" w:customStyle="1" w:styleId="FooterChar">
    <w:name w:val="Footer Char"/>
    <w:basedOn w:val="DefaultParagraphFont"/>
    <w:link w:val="Footer"/>
    <w:uiPriority w:val="99"/>
    <w:rsid w:val="00B03A28"/>
  </w:style>
  <w:style w:type="character" w:styleId="CommentReference">
    <w:name w:val="annotation reference"/>
    <w:basedOn w:val="DefaultParagraphFont"/>
    <w:uiPriority w:val="99"/>
    <w:semiHidden/>
    <w:unhideWhenUsed/>
    <w:rsid w:val="00AF2012"/>
    <w:rPr>
      <w:sz w:val="16"/>
      <w:szCs w:val="16"/>
    </w:rPr>
  </w:style>
  <w:style w:type="paragraph" w:styleId="CommentText">
    <w:name w:val="annotation text"/>
    <w:basedOn w:val="Normal"/>
    <w:link w:val="CommentTextChar"/>
    <w:uiPriority w:val="99"/>
    <w:semiHidden/>
    <w:unhideWhenUsed/>
    <w:rsid w:val="00AF2012"/>
    <w:pPr>
      <w:spacing w:line="240" w:lineRule="auto"/>
    </w:pPr>
    <w:rPr>
      <w:sz w:val="20"/>
      <w:szCs w:val="20"/>
    </w:rPr>
  </w:style>
  <w:style w:type="character" w:customStyle="1" w:styleId="CommentTextChar">
    <w:name w:val="Comment Text Char"/>
    <w:basedOn w:val="DefaultParagraphFont"/>
    <w:link w:val="CommentText"/>
    <w:uiPriority w:val="99"/>
    <w:semiHidden/>
    <w:rsid w:val="00AF2012"/>
    <w:rPr>
      <w:sz w:val="20"/>
      <w:szCs w:val="20"/>
    </w:rPr>
  </w:style>
  <w:style w:type="paragraph" w:styleId="CommentSubject">
    <w:name w:val="annotation subject"/>
    <w:basedOn w:val="CommentText"/>
    <w:next w:val="CommentText"/>
    <w:link w:val="CommentSubjectChar"/>
    <w:uiPriority w:val="99"/>
    <w:semiHidden/>
    <w:unhideWhenUsed/>
    <w:rsid w:val="00AF2012"/>
    <w:rPr>
      <w:b/>
      <w:bCs/>
    </w:rPr>
  </w:style>
  <w:style w:type="character" w:customStyle="1" w:styleId="CommentSubjectChar">
    <w:name w:val="Comment Subject Char"/>
    <w:basedOn w:val="CommentTextChar"/>
    <w:link w:val="CommentSubject"/>
    <w:uiPriority w:val="99"/>
    <w:semiHidden/>
    <w:rsid w:val="00AF2012"/>
    <w:rPr>
      <w:b/>
      <w:bCs/>
      <w:sz w:val="20"/>
      <w:szCs w:val="20"/>
    </w:rPr>
  </w:style>
  <w:style w:type="paragraph" w:styleId="BalloonText">
    <w:name w:val="Balloon Text"/>
    <w:basedOn w:val="Normal"/>
    <w:link w:val="BalloonTextChar"/>
    <w:uiPriority w:val="99"/>
    <w:semiHidden/>
    <w:unhideWhenUsed/>
    <w:rsid w:val="00AF2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012"/>
    <w:rPr>
      <w:rFonts w:ascii="Segoe UI" w:hAnsi="Segoe UI" w:cs="Segoe UI"/>
      <w:sz w:val="18"/>
      <w:szCs w:val="18"/>
    </w:rPr>
  </w:style>
  <w:style w:type="paragraph" w:styleId="FootnoteText">
    <w:name w:val="footnote text"/>
    <w:basedOn w:val="Normal"/>
    <w:link w:val="FootnoteTextChar"/>
    <w:uiPriority w:val="99"/>
    <w:semiHidden/>
    <w:unhideWhenUsed/>
    <w:rsid w:val="00AF20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012"/>
    <w:rPr>
      <w:sz w:val="20"/>
      <w:szCs w:val="20"/>
    </w:rPr>
  </w:style>
  <w:style w:type="character" w:styleId="FootnoteReference">
    <w:name w:val="footnote reference"/>
    <w:basedOn w:val="DefaultParagraphFont"/>
    <w:uiPriority w:val="99"/>
    <w:semiHidden/>
    <w:unhideWhenUsed/>
    <w:rsid w:val="00AF2012"/>
    <w:rPr>
      <w:vertAlign w:val="superscript"/>
    </w:rPr>
  </w:style>
  <w:style w:type="paragraph" w:styleId="EndnoteText">
    <w:name w:val="endnote text"/>
    <w:basedOn w:val="Normal"/>
    <w:link w:val="EndnoteTextChar"/>
    <w:uiPriority w:val="99"/>
    <w:semiHidden/>
    <w:unhideWhenUsed/>
    <w:rsid w:val="00D15D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15D35"/>
    <w:rPr>
      <w:sz w:val="20"/>
      <w:szCs w:val="20"/>
    </w:rPr>
  </w:style>
  <w:style w:type="character" w:styleId="EndnoteReference">
    <w:name w:val="endnote reference"/>
    <w:basedOn w:val="DefaultParagraphFont"/>
    <w:uiPriority w:val="99"/>
    <w:semiHidden/>
    <w:unhideWhenUsed/>
    <w:rsid w:val="00D15D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330474">
      <w:bodyDiv w:val="1"/>
      <w:marLeft w:val="0"/>
      <w:marRight w:val="0"/>
      <w:marTop w:val="0"/>
      <w:marBottom w:val="0"/>
      <w:divBdr>
        <w:top w:val="none" w:sz="0" w:space="0" w:color="auto"/>
        <w:left w:val="none" w:sz="0" w:space="0" w:color="auto"/>
        <w:bottom w:val="none" w:sz="0" w:space="0" w:color="auto"/>
        <w:right w:val="none" w:sz="0" w:space="0" w:color="auto"/>
      </w:divBdr>
    </w:div>
    <w:div w:id="580603692">
      <w:bodyDiv w:val="1"/>
      <w:marLeft w:val="0"/>
      <w:marRight w:val="0"/>
      <w:marTop w:val="0"/>
      <w:marBottom w:val="0"/>
      <w:divBdr>
        <w:top w:val="none" w:sz="0" w:space="0" w:color="auto"/>
        <w:left w:val="none" w:sz="0" w:space="0" w:color="auto"/>
        <w:bottom w:val="none" w:sz="0" w:space="0" w:color="auto"/>
        <w:right w:val="none" w:sz="0" w:space="0" w:color="auto"/>
      </w:divBdr>
      <w:divsChild>
        <w:div w:id="1208956284">
          <w:marLeft w:val="0"/>
          <w:marRight w:val="0"/>
          <w:marTop w:val="0"/>
          <w:marBottom w:val="0"/>
          <w:divBdr>
            <w:top w:val="none" w:sz="0" w:space="0" w:color="auto"/>
            <w:left w:val="none" w:sz="0" w:space="0" w:color="auto"/>
            <w:bottom w:val="none" w:sz="0" w:space="0" w:color="auto"/>
            <w:right w:val="none" w:sz="0" w:space="0" w:color="auto"/>
          </w:divBdr>
        </w:div>
        <w:div w:id="435949550">
          <w:marLeft w:val="0"/>
          <w:marRight w:val="240"/>
          <w:marTop w:val="0"/>
          <w:marBottom w:val="0"/>
          <w:divBdr>
            <w:top w:val="none" w:sz="0" w:space="0" w:color="auto"/>
            <w:left w:val="none" w:sz="0" w:space="0" w:color="auto"/>
            <w:bottom w:val="none" w:sz="0" w:space="0" w:color="auto"/>
            <w:right w:val="none" w:sz="0" w:space="0" w:color="auto"/>
          </w:divBdr>
        </w:div>
      </w:divsChild>
    </w:div>
    <w:div w:id="172347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Sheet1!$A$2</c:f>
              <c:strCache>
                <c:ptCount val="1"/>
                <c:pt idx="0">
                  <c:v>Grupa radijalnih graftova</c:v>
                </c:pt>
              </c:strCache>
            </c:strRef>
          </c:tx>
          <c:spPr>
            <a:solidFill>
              <a:srgbClr val="0070C0">
                <a:alpha val="85000"/>
              </a:srgbClr>
            </a:solidFill>
            <a:ln w="19050" cap="flat" cmpd="sng" algn="ctr">
              <a:solidFill>
                <a:schemeClr val="accent1">
                  <a:alpha val="91000"/>
                </a:schemeClr>
              </a:solidFill>
              <a:round/>
            </a:ln>
            <a:effectLst/>
          </c:spPr>
          <c:invertIfNegative val="0"/>
          <c:dLbls>
            <c:spPr>
              <a:noFill/>
              <a:ln>
                <a:noFill/>
              </a:ln>
              <a:effectLst/>
            </c:spPr>
            <c:txPr>
              <a:bodyPr rot="0" spcFirstLastPara="1" vertOverflow="ellipsis" horzOverflow="clip" vert="horz" wrap="square" lIns="91440" tIns="19050" rIns="38100" bIns="19050" anchor="ctr" anchorCtr="1">
                <a:spAutoFit/>
              </a:bodyPr>
              <a:lstStyle/>
              <a:p>
                <a:pPr>
                  <a:defRPr sz="900" b="1" i="0" u="none" strike="noStrike" kern="1200" baseline="0">
                    <a:ln cmpd="sng">
                      <a:solidFill>
                        <a:schemeClr val="tx1"/>
                      </a:solidFill>
                    </a:ln>
                    <a:solidFill>
                      <a:schemeClr val="tx1"/>
                    </a:solidFill>
                    <a:latin typeface="+mn-lt"/>
                    <a:ea typeface="+mn-ea"/>
                    <a:cs typeface="+mn-cs"/>
                  </a:defRPr>
                </a:pPr>
                <a:endParaRPr lang="sr-Latn-RS"/>
              </a:p>
            </c:txPr>
            <c:dLblPos val="in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a:solidFill>
                        <a:schemeClr val="dk1">
                          <a:lumMod val="50000"/>
                          <a:lumOff val="50000"/>
                        </a:schemeClr>
                      </a:solidFill>
                    </a:ln>
                    <a:effectLst/>
                  </c:spPr>
                </c15:leaderLines>
              </c:ext>
            </c:extLst>
          </c:dLbls>
          <c:cat>
            <c:strRef>
              <c:f>Sheet1!$B$1:$C$1</c:f>
              <c:strCache>
                <c:ptCount val="2"/>
                <c:pt idx="0">
                  <c:v>funkcionalni graftovi</c:v>
                </c:pt>
                <c:pt idx="1">
                  <c:v>nefunkcionalni graftovi</c:v>
                </c:pt>
              </c:strCache>
            </c:strRef>
          </c:cat>
          <c:val>
            <c:numRef>
              <c:f>Sheet1!$B$2:$C$2</c:f>
              <c:numCache>
                <c:formatCode>General</c:formatCode>
                <c:ptCount val="2"/>
                <c:pt idx="0">
                  <c:v>97</c:v>
                </c:pt>
                <c:pt idx="1">
                  <c:v>3</c:v>
                </c:pt>
              </c:numCache>
            </c:numRef>
          </c:val>
        </c:ser>
        <c:ser>
          <c:idx val="1"/>
          <c:order val="1"/>
          <c:tx>
            <c:strRef>
              <c:f>Sheet1!$A$3</c:f>
              <c:strCache>
                <c:ptCount val="1"/>
                <c:pt idx="0">
                  <c:v>Grupa venskih graftova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horzOverflow="clip" vert="horz" wrap="square" lIns="91440" tIns="19050" rIns="38100" bIns="19050" anchor="ctr" anchorCtr="1">
                <a:spAutoFit/>
              </a:bodyPr>
              <a:lstStyle/>
              <a:p>
                <a:pPr>
                  <a:defRPr sz="900" b="1" i="0" u="none" strike="noStrike" kern="1200" baseline="0">
                    <a:ln>
                      <a:solidFill>
                        <a:schemeClr val="tx1"/>
                      </a:solidFill>
                    </a:ln>
                    <a:solidFill>
                      <a:schemeClr val="tx1"/>
                    </a:solidFill>
                    <a:latin typeface="+mn-lt"/>
                    <a:ea typeface="+mn-ea"/>
                    <a:cs typeface="+mn-cs"/>
                  </a:defRPr>
                </a:pPr>
                <a:endParaRPr lang="sr-Latn-RS"/>
              </a:p>
            </c:txPr>
            <c:dLblPos val="in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a:solidFill>
                        <a:schemeClr val="dk1">
                          <a:lumMod val="50000"/>
                          <a:lumOff val="50000"/>
                        </a:schemeClr>
                      </a:solidFill>
                    </a:ln>
                    <a:effectLst/>
                  </c:spPr>
                </c15:leaderLines>
              </c:ext>
            </c:extLst>
          </c:dLbls>
          <c:cat>
            <c:strRef>
              <c:f>Sheet1!$B$1:$C$1</c:f>
              <c:strCache>
                <c:ptCount val="2"/>
                <c:pt idx="0">
                  <c:v>funkcionalni graftovi</c:v>
                </c:pt>
                <c:pt idx="1">
                  <c:v>nefunkcionalni graftovi</c:v>
                </c:pt>
              </c:strCache>
            </c:strRef>
          </c:cat>
          <c:val>
            <c:numRef>
              <c:f>Sheet1!$B$3:$C$3</c:f>
              <c:numCache>
                <c:formatCode>General</c:formatCode>
                <c:ptCount val="2"/>
                <c:pt idx="0">
                  <c:v>98</c:v>
                </c:pt>
                <c:pt idx="1">
                  <c:v>2</c:v>
                </c:pt>
              </c:numCache>
            </c:numRef>
          </c:val>
        </c:ser>
        <c:dLbls>
          <c:showLegendKey val="0"/>
          <c:showVal val="0"/>
          <c:showCatName val="0"/>
          <c:showSerName val="0"/>
          <c:showPercent val="0"/>
          <c:showBubbleSize val="0"/>
        </c:dLbls>
        <c:gapWidth val="65"/>
        <c:overlap val="-36"/>
        <c:axId val="490929048"/>
        <c:axId val="490929440"/>
      </c:barChart>
      <c:catAx>
        <c:axId val="4909290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sr-Latn-RS"/>
          </a:p>
        </c:txPr>
        <c:crossAx val="490929440"/>
        <c:crosses val="autoZero"/>
        <c:auto val="1"/>
        <c:lblAlgn val="ctr"/>
        <c:lblOffset val="100"/>
        <c:noMultiLvlLbl val="0"/>
      </c:catAx>
      <c:valAx>
        <c:axId val="4909294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crossAx val="4909290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chart>
  <c:spPr>
    <a:gradFill flip="none" rotWithShape="1">
      <a:gsLst>
        <a:gs pos="0">
          <a:schemeClr val="accent1">
            <a:lumMod val="5000"/>
            <a:lumOff val="95000"/>
          </a:schemeClr>
        </a:gs>
        <a:gs pos="83000">
          <a:schemeClr val="accent1">
            <a:lumMod val="45000"/>
            <a:lumOff val="55000"/>
          </a:schemeClr>
        </a:gs>
        <a:gs pos="100000">
          <a:schemeClr val="accent1">
            <a:lumMod val="30000"/>
            <a:lumOff val="70000"/>
          </a:schemeClr>
        </a:gs>
      </a:gsLst>
      <a:lin ang="5400000" scaled="1"/>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1AD35-8C6D-4FB4-A4AA-CCDB01AAB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10</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14073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8</cp:revision>
  <dcterms:created xsi:type="dcterms:W3CDTF">2022-01-02T19:47:00Z</dcterms:created>
  <dcterms:modified xsi:type="dcterms:W3CDTF">2022-02-06T14:26:00Z</dcterms:modified>
</cp:coreProperties>
</file>