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lang w:val="sr-Latn-BA"/>
        </w:rPr>
      </w:pPr>
      <w:r w:rsidRPr="0064661D">
        <w:rPr>
          <w:rFonts w:ascii="Times New Roman" w:hAnsi="Times New Roman" w:cs="Times New Roman"/>
          <w:b/>
          <w:sz w:val="28"/>
          <w:lang w:val="sr-Latn-BA"/>
        </w:rPr>
        <w:t>UNIVERZITET U BANJOJ LUCI</w:t>
      </w: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lang w:val="sr-Latn-BA"/>
        </w:rPr>
      </w:pPr>
      <w:r w:rsidRPr="0064661D">
        <w:rPr>
          <w:rFonts w:ascii="Times New Roman" w:hAnsi="Times New Roman" w:cs="Times New Roman"/>
          <w:b/>
          <w:sz w:val="28"/>
          <w:lang w:val="sr-Latn-BA"/>
        </w:rPr>
        <w:t>MEDICINSKI FAKULTET</w:t>
      </w: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lang w:val="sr-Latn-BA"/>
        </w:rPr>
      </w:pPr>
      <w:r>
        <w:rPr>
          <w:rFonts w:ascii="Times New Roman" w:hAnsi="Times New Roman" w:cs="Times New Roman"/>
          <w:b/>
          <w:sz w:val="28"/>
          <w:lang w:val="sr-Latn-BA"/>
        </w:rPr>
        <w:t>III CKLUS STUDIJA꞉ BIOMEDICINSKE NAUKE</w:t>
      </w: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  <w:r w:rsidRPr="0064661D">
        <w:rPr>
          <w:rFonts w:ascii="Times New Roman" w:hAnsi="Times New Roman" w:cs="Times New Roman"/>
          <w:noProof/>
        </w:rPr>
        <w:drawing>
          <wp:inline distT="0" distB="0" distL="0" distR="0" wp14:anchorId="4FB8B4EB" wp14:editId="7C0178A7">
            <wp:extent cx="2295525" cy="1114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lang w:val="sr-Latn-BA"/>
        </w:rPr>
      </w:pPr>
      <w:r w:rsidRPr="0064661D">
        <w:rPr>
          <w:rFonts w:ascii="Times New Roman" w:hAnsi="Times New Roman" w:cs="Times New Roman"/>
          <w:b/>
          <w:sz w:val="32"/>
          <w:lang w:val="sr-Latn-BA"/>
        </w:rPr>
        <w:t>UPOTREBA PSIHOTROPNIH LIJEKOVA U REPUBLICI SRPSKOJ</w:t>
      </w:r>
      <w:r>
        <w:rPr>
          <w:rFonts w:ascii="Times New Roman" w:hAnsi="Times New Roman" w:cs="Times New Roman"/>
          <w:b/>
          <w:sz w:val="32"/>
          <w:lang w:val="sr-Latn-BA"/>
        </w:rPr>
        <w:t xml:space="preserve"> U PERIODU OD 2015. DO 2020.GODINE</w:t>
      </w: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rPr>
          <w:rFonts w:ascii="Times New Roman" w:hAnsi="Times New Roman" w:cs="Times New Roman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8"/>
          <w:lang w:val="sr-Latn-BA"/>
        </w:rPr>
      </w:pPr>
      <w:r w:rsidRPr="0064661D">
        <w:rPr>
          <w:rFonts w:ascii="Times New Roman" w:hAnsi="Times New Roman" w:cs="Times New Roman"/>
          <w:b/>
          <w:sz w:val="28"/>
          <w:szCs w:val="28"/>
          <w:lang w:val="sr-Latn-BA"/>
        </w:rPr>
        <w:t>Student: Svjetlana Popović</w:t>
      </w: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8"/>
          <w:lang w:val="sr-Latn-BA"/>
        </w:rPr>
      </w:pPr>
      <w:r w:rsidRPr="0064661D">
        <w:rPr>
          <w:rFonts w:ascii="Times New Roman" w:hAnsi="Times New Roman" w:cs="Times New Roman"/>
          <w:b/>
          <w:sz w:val="28"/>
          <w:szCs w:val="28"/>
          <w:lang w:val="sr-Latn-BA"/>
        </w:rPr>
        <w:t xml:space="preserve">Banja </w:t>
      </w:r>
      <w:r>
        <w:rPr>
          <w:rFonts w:ascii="Times New Roman" w:hAnsi="Times New Roman" w:cs="Times New Roman"/>
          <w:b/>
          <w:sz w:val="28"/>
          <w:szCs w:val="28"/>
          <w:lang w:val="sr-Latn-BA"/>
        </w:rPr>
        <w:t>Luka, februar 2022</w:t>
      </w:r>
      <w:r w:rsidRPr="0064661D">
        <w:rPr>
          <w:rFonts w:ascii="Times New Roman" w:hAnsi="Times New Roman" w:cs="Times New Roman"/>
          <w:b/>
          <w:sz w:val="28"/>
          <w:szCs w:val="28"/>
          <w:lang w:val="sr-Latn-BA"/>
        </w:rPr>
        <w:t>.</w:t>
      </w: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4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4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4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32"/>
          <w:szCs w:val="28"/>
          <w:lang w:val="sr-Latn-BA"/>
        </w:rPr>
      </w:pPr>
      <w:r w:rsidRPr="0064661D">
        <w:rPr>
          <w:rFonts w:ascii="Times New Roman" w:hAnsi="Times New Roman" w:cs="Times New Roman"/>
          <w:b/>
          <w:sz w:val="28"/>
          <w:szCs w:val="24"/>
          <w:lang w:val="sr-Latn-BA"/>
        </w:rPr>
        <w:lastRenderedPageBreak/>
        <w:t>SAŽETAK</w:t>
      </w: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81BAF">
        <w:rPr>
          <w:rFonts w:ascii="Times New Roman" w:hAnsi="Times New Roman" w:cs="Times New Roman"/>
          <w:b/>
          <w:sz w:val="24"/>
          <w:szCs w:val="24"/>
          <w:lang w:val="sr-Latn-BA"/>
        </w:rPr>
        <w:t>Cilj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 xml:space="preserve"> Svrha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rada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 xml:space="preserve"> bila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je 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>analiza upotrebe psihotropnih lijekova u Republ</w:t>
      </w:r>
      <w:r>
        <w:rPr>
          <w:rFonts w:ascii="Times New Roman" w:hAnsi="Times New Roman" w:cs="Times New Roman"/>
          <w:sz w:val="24"/>
          <w:szCs w:val="24"/>
          <w:lang w:val="sr-Latn-BA"/>
        </w:rPr>
        <w:t>ici Srpskoj u periodu od 2015. do 2020. g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>odine.</w:t>
      </w: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81BAF">
        <w:rPr>
          <w:rFonts w:ascii="Times New Roman" w:hAnsi="Times New Roman" w:cs="Times New Roman"/>
          <w:b/>
          <w:sz w:val="24"/>
          <w:szCs w:val="24"/>
          <w:lang w:val="sr-Latn-BA"/>
        </w:rPr>
        <w:t>Metode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 xml:space="preserve">Ovo je bila retrospektivna studija koja je imala za cilj praćenje upotrebe gotovih lijekova u Republici Srpskoj prema izvještaju o potrošnji i prometu gotovih lijekova  Instituta za javno zdravstvo Republike Srpske. ATC/DDD metodologija je korištena za praćenje upotrebe gotovih lijekova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na teritoriji Republike Srpske. </w:t>
      </w:r>
      <w:r w:rsidRPr="000826C1">
        <w:rPr>
          <w:rFonts w:ascii="Times New Roman" w:hAnsi="Times New Roman" w:cs="Times New Roman"/>
          <w:sz w:val="24"/>
          <w:szCs w:val="24"/>
          <w:lang w:val="sr-Latn-BA"/>
        </w:rPr>
        <w:t>Pokazatelji o potrošnji lijekova se dobijaju na osnovu godišnjih izvještaja koje apoteke u Republici Srpskoj redovno šalju odjeljenju za farmakoepidemiologiju Institutu za javno zdravstvo Republike Srpske.</w:t>
      </w:r>
    </w:p>
    <w:p w:rsidR="002D4C21" w:rsidRPr="0095443C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81BAF">
        <w:rPr>
          <w:rFonts w:ascii="Times New Roman" w:hAnsi="Times New Roman" w:cs="Times New Roman"/>
          <w:b/>
          <w:sz w:val="24"/>
          <w:szCs w:val="24"/>
          <w:lang w:val="sr-Latn-BA"/>
        </w:rPr>
        <w:t>Rezultati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Psihotropni lijekovi zauzimaju preko 50% lijekova grupe N (nervni sistem). </w:t>
      </w:r>
      <w:r w:rsidRPr="0046383E">
        <w:rPr>
          <w:rFonts w:ascii="Times New Roman" w:hAnsi="Times New Roman" w:cs="Times New Roman"/>
          <w:sz w:val="24"/>
          <w:szCs w:val="24"/>
          <w:lang w:val="sr-Latn-BA"/>
        </w:rPr>
        <w:t xml:space="preserve">Psihotropni lijekovi čine od 38.56% do 58.15% ukupne upotrebe lijekova koji djeluju na nervni sistem.  </w:t>
      </w:r>
      <w:r w:rsidRPr="0095443C">
        <w:rPr>
          <w:rFonts w:ascii="Times New Roman" w:hAnsi="Times New Roman" w:cs="Times New Roman"/>
          <w:sz w:val="24"/>
          <w:szCs w:val="24"/>
          <w:lang w:val="sr-Latn-BA"/>
        </w:rPr>
        <w:t xml:space="preserve"> Vidljiv je konstantan rast u</w:t>
      </w:r>
      <w:r>
        <w:rPr>
          <w:rFonts w:ascii="Times New Roman" w:hAnsi="Times New Roman" w:cs="Times New Roman"/>
          <w:sz w:val="24"/>
          <w:szCs w:val="24"/>
          <w:lang w:val="sr-Latn-BA"/>
        </w:rPr>
        <w:t>kupne upotrebe lijekova N sa 99.2 u 2015.godini na 137.12 DDD/1000 stanovnika/dan u 2020</w:t>
      </w:r>
      <w:r w:rsidRPr="0095443C">
        <w:rPr>
          <w:rFonts w:ascii="Times New Roman" w:hAnsi="Times New Roman" w:cs="Times New Roman"/>
          <w:sz w:val="24"/>
          <w:szCs w:val="24"/>
          <w:lang w:val="sr-Latn-BA"/>
        </w:rPr>
        <w:t>.god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ini, što čini porast od 38,23%. </w:t>
      </w:r>
      <w:r w:rsidRPr="008B038F">
        <w:rPr>
          <w:rFonts w:ascii="Times New Roman" w:hAnsi="Times New Roman" w:cs="Times New Roman"/>
          <w:sz w:val="24"/>
          <w:szCs w:val="24"/>
          <w:lang w:val="sr-Latn-BA"/>
        </w:rPr>
        <w:t>Anksiolitici su najčešće korišteni psihotropni lijekovi. Njihova ukupna upotreba je iznosila od 24.82 do 35.26 DDD/1000 stanovnika/dan. Diazepam i bromazepam su najpropisivaniji lijekovi ove grupe, a značajan trend rasta pokazuje i alprazolam.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 Analgetici su najpropisivaniji lijekovi grupe N.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81BAF">
        <w:rPr>
          <w:rFonts w:ascii="Times New Roman" w:hAnsi="Times New Roman" w:cs="Times New Roman"/>
          <w:b/>
          <w:sz w:val="24"/>
          <w:szCs w:val="24"/>
          <w:lang w:val="sr-Latn-BA"/>
        </w:rPr>
        <w:t>Zaključak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DB7486">
        <w:rPr>
          <w:rFonts w:ascii="Times New Roman" w:hAnsi="Times New Roman" w:cs="Times New Roman"/>
          <w:sz w:val="24"/>
          <w:szCs w:val="24"/>
          <w:lang w:val="sr-Latn-BA"/>
        </w:rPr>
        <w:t>Ova studija pokazuje konstantan porast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uporebe</w:t>
      </w:r>
      <w:r w:rsidRPr="00DB7486">
        <w:rPr>
          <w:rFonts w:ascii="Times New Roman" w:hAnsi="Times New Roman" w:cs="Times New Roman"/>
          <w:sz w:val="24"/>
          <w:szCs w:val="24"/>
          <w:lang w:val="sr-Latn-BA"/>
        </w:rPr>
        <w:t xml:space="preserve"> svih lijekova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prema DDD analizi upotrebe lijekova i finansijskim indikatorima upotrebe lijekova.Finansijska izdvajanja za grupu </w:t>
      </w:r>
      <w:r w:rsidRPr="008B038F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Pr="008B038F"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iznosila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13-17% </w:t>
      </w:r>
      <w:proofErr w:type="spellStart"/>
      <w:r>
        <w:rPr>
          <w:rFonts w:ascii="Times New Roman" w:hAnsi="Times New Roman" w:cs="Times New Roman"/>
          <w:sz w:val="24"/>
          <w:szCs w:val="24"/>
        </w:rPr>
        <w:t>ukupne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</w:t>
      </w:r>
      <w:r w:rsidRPr="008B038F">
        <w:rPr>
          <w:rFonts w:ascii="Times New Roman" w:hAnsi="Times New Roman" w:cs="Times New Roman"/>
          <w:sz w:val="24"/>
          <w:szCs w:val="24"/>
        </w:rPr>
        <w:t>ošnje</w:t>
      </w:r>
      <w:proofErr w:type="spellEnd"/>
      <w:r w:rsidRPr="008B03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38F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8B03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38F">
        <w:rPr>
          <w:rFonts w:ascii="Times New Roman" w:hAnsi="Times New Roman" w:cs="Times New Roman"/>
          <w:sz w:val="24"/>
          <w:szCs w:val="24"/>
        </w:rPr>
        <w:t>lijekove</w:t>
      </w:r>
      <w:proofErr w:type="spellEnd"/>
      <w:r w:rsidRPr="008B03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Lijekovi grupe N su treći ili četvrti na skali ukupne upotrebe lijekova sa zastupljeno</w:t>
      </w:r>
      <w:r w:rsidRPr="0064661D">
        <w:rPr>
          <w:rFonts w:ascii="Times New Roman" w:hAnsi="Times New Roman" w:cs="Times New Roman"/>
          <w:sz w:val="24"/>
          <w:szCs w:val="24"/>
          <w:lang w:val="sr-Latn-BA"/>
        </w:rPr>
        <w:t>š</w:t>
      </w:r>
      <w:r>
        <w:rPr>
          <w:rFonts w:ascii="Times New Roman" w:hAnsi="Times New Roman" w:cs="Times New Roman"/>
          <w:sz w:val="24"/>
          <w:szCs w:val="24"/>
          <w:lang w:val="sr-Latn-BA"/>
        </w:rPr>
        <w:t>ću od 13.04%  do 18,96% za period od 2015. do 2020. godine. Lijekovi grupe C najzastupljeniji  lijekovi u  ispitivanom periodu.</w:t>
      </w:r>
    </w:p>
    <w:p w:rsidR="002D4C21" w:rsidRPr="00DB7486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81BAF">
        <w:rPr>
          <w:rFonts w:ascii="Times New Roman" w:hAnsi="Times New Roman" w:cs="Times New Roman"/>
          <w:b/>
          <w:sz w:val="24"/>
          <w:szCs w:val="24"/>
          <w:lang w:val="sr-Latn-BA"/>
        </w:rPr>
        <w:t>Ključne riječi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Upotreba lijekova, mentalne bolesti, lijekovi grupe N, psihotropni lijekovi, DDD</w:t>
      </w: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Pr="0064661D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4"/>
          <w:lang w:val="sr-Latn-B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  <w:lang w:val="sr-Latn-BA"/>
        </w:rPr>
        <w:lastRenderedPageBreak/>
        <w:t>SKRAĆENICE</w:t>
      </w:r>
    </w:p>
    <w:p w:rsidR="002D4C21" w:rsidRPr="002D4C21" w:rsidRDefault="002D4C21" w:rsidP="002D4C21">
      <w:pPr>
        <w:spacing w:before="30" w:after="30"/>
        <w:rPr>
          <w:rFonts w:ascii="Times New Roman" w:hAnsi="Times New Roman" w:cs="Times New Roman"/>
          <w:b/>
          <w:sz w:val="28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SZO -Svjetska zdravstvena organizacija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MKB-međunarodna klasifikacija bolesti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ATC-anatomsko-terapijska klasifikacija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DDD-definisana dnevna doza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RS-Republika Srpska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GBD-globalni teret bolesti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PTSP-posttraumatski stresni poremećaj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CNS-centralni nervni sistem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MAO- monoamino oksidaze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SSRI-selektivni inhibitori preuzimanja serotonina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SNRI-selektivni inhibitori preuzimanaj noradrenalina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PDD-propisana dnevna doza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PRN-pro re nata</w:t>
      </w: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D4C21" w:rsidRDefault="002D4C21" w:rsidP="002D4C21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7515F" w:rsidRPr="002D4C21" w:rsidRDefault="0027515F">
      <w:pPr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27515F" w:rsidRPr="002D4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C21"/>
    <w:rsid w:val="0027515F"/>
    <w:rsid w:val="002D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2022-02-02T15:07:00Z</dcterms:created>
  <dcterms:modified xsi:type="dcterms:W3CDTF">2022-02-02T15:11:00Z</dcterms:modified>
</cp:coreProperties>
</file>