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B90" w:rsidRPr="00765E23" w:rsidRDefault="008A3B90" w:rsidP="008D7D2A">
      <w:pPr>
        <w:spacing w:after="200" w:line="480" w:lineRule="auto"/>
        <w:rPr>
          <w:rFonts w:ascii="Times New Roman" w:hAnsi="Times New Roman" w:cs="Times New Roman"/>
          <w:b/>
          <w:sz w:val="28"/>
          <w:lang w:val="sr-Latn-BA"/>
        </w:rPr>
      </w:pPr>
      <w:bookmarkStart w:id="0" w:name="_GoBack"/>
      <w:bookmarkEnd w:id="0"/>
      <w:r w:rsidRPr="00765E23">
        <w:rPr>
          <w:rFonts w:ascii="Times New Roman" w:hAnsi="Times New Roman" w:cs="Times New Roman"/>
          <w:b/>
          <w:sz w:val="28"/>
          <w:lang w:val="sr-Latn-BA"/>
        </w:rPr>
        <w:t>PREVALENCA TROMBOEMBOLIJISKIH KOMPLIKACIJA KOD SARS-CoV-2 POZITIVNIH PACIJENATA (ALFA I DELTA SOJ)</w:t>
      </w:r>
    </w:p>
    <w:p w:rsidR="008A3B90" w:rsidRPr="00765E23" w:rsidRDefault="008A3B90" w:rsidP="008D7D2A">
      <w:pPr>
        <w:spacing w:after="200" w:line="480" w:lineRule="auto"/>
        <w:jc w:val="both"/>
        <w:rPr>
          <w:rFonts w:ascii="Times New Roman" w:hAnsi="Times New Roman" w:cs="Times New Roman"/>
          <w:b/>
        </w:rPr>
      </w:pPr>
      <w:r w:rsidRPr="00765E23">
        <w:rPr>
          <w:rFonts w:ascii="Times New Roman" w:hAnsi="Times New Roman" w:cs="Times New Roman"/>
          <w:b/>
        </w:rPr>
        <w:t>Apstrakt</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Uvod:</w:t>
      </w:r>
      <w:r w:rsidRPr="00765E23">
        <w:rPr>
          <w:rFonts w:ascii="Times New Roman" w:hAnsi="Times New Roman" w:cs="Times New Roman"/>
        </w:rPr>
        <w:t xml:space="preserve"> Pojavom pandemije SARS-CoV-2 zdravstveni sistemi širom svijeta su se susreli sa novim izazovima. Infekcija koronavirusom se karakteriše poremećajem imunog sistema i hiperkoagulabilnošću. Kombinacija smanjenog nivoa fizičke aktivnosti, aktivacija koagulacione kaskade izazvana  izraženom inflamatornom reakcijom kao i zapaljenje endotela povezano sa korona virusom doprinose kompleksnosti mehanizma hiperkoagulabilnosti. U toku SARS-CoV-2 infekcije javljaju se arterijske tromboze i venske tromboembolije. Takođe, analizira se i pojava mikrotromboza u alveolarnim kapilarima. Zbog svih navedenih faktora, uviđa se značaj profilaktične antikoagulantne terapije.</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Cilj</w:t>
      </w:r>
      <w:r w:rsidRPr="00765E23">
        <w:rPr>
          <w:rFonts w:ascii="Times New Roman" w:hAnsi="Times New Roman" w:cs="Times New Roman"/>
        </w:rPr>
        <w:t>: Ispitati da li postoji razlika u prevalenci tromboembolijskih komplikacija kod pacijenata zaraženih alfa i delta sojem SARS-CoV-2</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Ispitanici i metode:</w:t>
      </w:r>
      <w:r w:rsidRPr="00765E23">
        <w:rPr>
          <w:rFonts w:ascii="Times New Roman" w:hAnsi="Times New Roman" w:cs="Times New Roman"/>
        </w:rPr>
        <w:t xml:space="preserve"> Istraživanje je dizajnirano kao retrospektivna studija presjeka. U studiju je uključeno ukupno 600 ispitanika liječenih u UKC RS u periodima od 01.06.-01.12.2020.godine i u periodu od 01.03. do 01.11.2021.godine koji su podjeljeni u dvije grupe: prva grupa obuhvata 300 SARS-CoV-2 pozitivnih pacijenata zaraženih alfa sojem, a drugu grupu čini 300 SARS-CoV-2 pozitivnih pacijenata zaraženih delta sojem. U studiju su uključeni pacijenti stariji od 18godina. Prosječna starost pacijenata u prvoj grupi pacijenata je iznosila 58.6±1.4, dok je u drugoj grupi iznosila 58.5±1.4. Polnu strukturu čini 305 žena i 295 muškaraca. Određivani su sljedeći laboratorijski i klinički parametri: vrijednosti D-dimera, venska tromboembolija, plućna embolija. </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lastRenderedPageBreak/>
        <w:t>Rezultati:</w:t>
      </w:r>
      <w:r w:rsidRPr="00765E23">
        <w:rPr>
          <w:rFonts w:ascii="Times New Roman" w:hAnsi="Times New Roman" w:cs="Times New Roman"/>
        </w:rPr>
        <w:t xml:space="preserve"> U grupi pacijenata zaraženih alfa sojem njih 217</w:t>
      </w:r>
      <w:r w:rsidR="00765E23">
        <w:rPr>
          <w:rFonts w:ascii="Times New Roman" w:hAnsi="Times New Roman" w:cs="Times New Roman"/>
        </w:rPr>
        <w:t xml:space="preserve"> </w:t>
      </w:r>
      <w:r w:rsidRPr="00765E23">
        <w:rPr>
          <w:rFonts w:ascii="Times New Roman" w:hAnsi="Times New Roman" w:cs="Times New Roman"/>
        </w:rPr>
        <w:t>(72.33%) je imalo povišene vrijednosti d-dimera, 140</w:t>
      </w:r>
      <w:r w:rsidR="00765E23">
        <w:rPr>
          <w:rFonts w:ascii="Times New Roman" w:hAnsi="Times New Roman" w:cs="Times New Roman"/>
        </w:rPr>
        <w:t xml:space="preserve"> </w:t>
      </w:r>
      <w:r w:rsidRPr="00765E23">
        <w:rPr>
          <w:rFonts w:ascii="Times New Roman" w:hAnsi="Times New Roman" w:cs="Times New Roman"/>
        </w:rPr>
        <w:t>( 46.66%) je imalo venski ili arterijski tromb, dok se kod 73 pacijenta (24.33%) javila plućna embolija.  U drugoj grupi pacijenata 280</w:t>
      </w:r>
      <w:r w:rsidR="00765E23">
        <w:rPr>
          <w:rFonts w:ascii="Times New Roman" w:hAnsi="Times New Roman" w:cs="Times New Roman"/>
        </w:rPr>
        <w:t xml:space="preserve"> </w:t>
      </w:r>
      <w:r w:rsidRPr="00765E23">
        <w:rPr>
          <w:rFonts w:ascii="Times New Roman" w:hAnsi="Times New Roman" w:cs="Times New Roman"/>
        </w:rPr>
        <w:t>(93.33%) je imalo povišene vrijednosti d-dimera, 233</w:t>
      </w:r>
      <w:r w:rsidR="00765E23">
        <w:rPr>
          <w:rFonts w:ascii="Times New Roman" w:hAnsi="Times New Roman" w:cs="Times New Roman"/>
        </w:rPr>
        <w:t xml:space="preserve"> </w:t>
      </w:r>
      <w:r w:rsidRPr="00765E23">
        <w:rPr>
          <w:rFonts w:ascii="Times New Roman" w:hAnsi="Times New Roman" w:cs="Times New Roman"/>
        </w:rPr>
        <w:t xml:space="preserve">(77.66%) je imalo venski ili arterijiski tromb, dok se kod 103 pacijenta (34%) javila plućna embolija.  </w:t>
      </w:r>
    </w:p>
    <w:p w:rsidR="00FD70D4"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Zaključak:</w:t>
      </w:r>
      <w:r w:rsidRPr="00765E23">
        <w:rPr>
          <w:rFonts w:ascii="Times New Roman" w:hAnsi="Times New Roman" w:cs="Times New Roman"/>
        </w:rPr>
        <w:t xml:space="preserve"> Analizirajući podatke, dolazi se do zaključka da je veća učestalost tromboembolijskih komplikacija u grupi pacijenata zaraženih delta sojem SARS-CoV-2. </w:t>
      </w:r>
    </w:p>
    <w:p w:rsidR="00FD70D4" w:rsidRPr="00765E23" w:rsidRDefault="00FD70D4" w:rsidP="008D7D2A">
      <w:pPr>
        <w:spacing w:after="200" w:line="480" w:lineRule="auto"/>
        <w:jc w:val="both"/>
        <w:rPr>
          <w:rFonts w:ascii="Times New Roman" w:hAnsi="Times New Roman" w:cs="Times New Roman"/>
        </w:rPr>
      </w:pPr>
    </w:p>
    <w:p w:rsidR="008A3B90" w:rsidRPr="00765E23" w:rsidRDefault="00FD70D4" w:rsidP="008D7D2A">
      <w:pPr>
        <w:spacing w:after="200" w:line="480" w:lineRule="auto"/>
        <w:jc w:val="both"/>
        <w:rPr>
          <w:rFonts w:ascii="Times New Roman" w:hAnsi="Times New Roman" w:cs="Times New Roman"/>
        </w:rPr>
      </w:pPr>
      <w:r w:rsidRPr="00765E23">
        <w:rPr>
          <w:rFonts w:ascii="Times New Roman" w:hAnsi="Times New Roman" w:cs="Times New Roman"/>
          <w:b/>
        </w:rPr>
        <w:t>Ključne riječi:</w:t>
      </w:r>
      <w:r w:rsidRPr="00765E23">
        <w:rPr>
          <w:rFonts w:ascii="Times New Roman" w:hAnsi="Times New Roman" w:cs="Times New Roman"/>
        </w:rPr>
        <w:t xml:space="preserve"> SARS-CoV -2, tromboembolija, D-dimer, plućna embolija</w:t>
      </w:r>
    </w:p>
    <w:p w:rsidR="008A3B90" w:rsidRPr="00765E23" w:rsidRDefault="008A3B90" w:rsidP="008D7D2A">
      <w:pPr>
        <w:spacing w:after="200" w:line="480" w:lineRule="auto"/>
        <w:jc w:val="both"/>
        <w:rPr>
          <w:rFonts w:ascii="Times New Roman" w:hAnsi="Times New Roman" w:cs="Times New Roman"/>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920B5C" w:rsidRPr="00765E23" w:rsidRDefault="00920B5C" w:rsidP="008D7D2A">
      <w:pPr>
        <w:spacing w:after="200" w:line="480" w:lineRule="auto"/>
        <w:jc w:val="both"/>
        <w:rPr>
          <w:rFonts w:ascii="Times New Roman" w:hAnsi="Times New Roman" w:cs="Times New Roman"/>
          <w:b/>
        </w:rPr>
      </w:pPr>
    </w:p>
    <w:p w:rsidR="008A3B90" w:rsidRPr="00765E23" w:rsidRDefault="008A3B90" w:rsidP="008D7D2A">
      <w:pPr>
        <w:spacing w:after="200" w:line="480" w:lineRule="auto"/>
        <w:jc w:val="both"/>
        <w:rPr>
          <w:rFonts w:ascii="Times New Roman" w:hAnsi="Times New Roman" w:cs="Times New Roman"/>
          <w:b/>
        </w:rPr>
      </w:pPr>
      <w:r w:rsidRPr="00765E23">
        <w:rPr>
          <w:rFonts w:ascii="Times New Roman" w:hAnsi="Times New Roman" w:cs="Times New Roman"/>
          <w:b/>
        </w:rPr>
        <w:lastRenderedPageBreak/>
        <w:t>UVOD</w:t>
      </w:r>
    </w:p>
    <w:p w:rsidR="008A3B90" w:rsidRPr="00765E23" w:rsidRDefault="008A3B90" w:rsidP="008D7D2A">
      <w:pPr>
        <w:spacing w:after="200" w:line="480" w:lineRule="auto"/>
        <w:jc w:val="both"/>
        <w:rPr>
          <w:rFonts w:ascii="Times New Roman" w:hAnsi="Times New Roman" w:cs="Times New Roman"/>
          <w:b/>
        </w:rPr>
      </w:pPr>
    </w:p>
    <w:p w:rsidR="008A3B90" w:rsidRPr="00765E23" w:rsidRDefault="008A3B90" w:rsidP="008D7D2A">
      <w:pPr>
        <w:spacing w:after="200" w:line="480" w:lineRule="auto"/>
        <w:jc w:val="both"/>
        <w:rPr>
          <w:rFonts w:ascii="Times New Roman" w:hAnsi="Times New Roman" w:cs="Times New Roman"/>
        </w:rPr>
      </w:pPr>
      <w:r w:rsidRPr="00765E23">
        <w:rPr>
          <w:rFonts w:ascii="Times New Roman" w:hAnsi="Times New Roman" w:cs="Times New Roman"/>
        </w:rPr>
        <w:t>Pojavom pandemije SARS-CoV-2 zdravstveni sistemi širom svijeta su se susreli sa novim izazovima. Infekcija koronavirusom se karakteriše poremećajem imunog sistema i hiperkoagulabilnošću. Kombinacija smanjenog nivoa fizičke aktivnosti, aktivacija koagulacione kaskade izazvana  izraženom inflamatornom reakcijom kao i zapaljenje endotela povezano sa korona virusom doprinose kompleksnosti mehanizma hiperkoagulabilnosti</w:t>
      </w:r>
      <w:r w:rsidR="00555801" w:rsidRPr="00765E23">
        <w:rPr>
          <w:rFonts w:ascii="Times New Roman" w:hAnsi="Times New Roman" w:cs="Times New Roman"/>
          <w:vertAlign w:val="superscript"/>
        </w:rPr>
        <w:t>1</w:t>
      </w:r>
      <w:r w:rsidR="00DA7865">
        <w:rPr>
          <w:rFonts w:ascii="Times New Roman" w:hAnsi="Times New Roman" w:cs="Times New Roman"/>
        </w:rPr>
        <w:t>.</w:t>
      </w:r>
      <w:r w:rsidRPr="00765E23">
        <w:rPr>
          <w:rFonts w:ascii="Times New Roman" w:hAnsi="Times New Roman" w:cs="Times New Roman"/>
        </w:rPr>
        <w:t xml:space="preserve">U toku SARS-CoV-2 infekcije javljaju se arterijske tromboze i venske tromboembolije. </w:t>
      </w:r>
      <w:r w:rsidR="00555801" w:rsidRPr="00765E23">
        <w:rPr>
          <w:rFonts w:ascii="Times New Roman" w:hAnsi="Times New Roman" w:cs="Times New Roman"/>
        </w:rPr>
        <w:t>Trenutni izvještaji o venskim i arterijskim tromboembolijskim dešavanjima  kod pacijenata liječenih u intenzivnoj nezi su pokazali da čak do 30% pacijenata (uključujući i one koji se primali farmakološku tromboprofilaksu)</w:t>
      </w:r>
      <w:r w:rsidR="008D7D2A" w:rsidRPr="00765E23">
        <w:rPr>
          <w:rFonts w:ascii="Times New Roman" w:hAnsi="Times New Roman" w:cs="Times New Roman"/>
        </w:rPr>
        <w:t xml:space="preserve"> imaju navedene komplikacije sa</w:t>
      </w:r>
      <w:r w:rsidR="00555801" w:rsidRPr="00765E23">
        <w:rPr>
          <w:rFonts w:ascii="Times New Roman" w:hAnsi="Times New Roman" w:cs="Times New Roman"/>
        </w:rPr>
        <w:t xml:space="preserve"> 5,4 puta većim rizikom od smrtnosti</w:t>
      </w:r>
      <w:r w:rsidR="008D7D2A" w:rsidRPr="00765E23">
        <w:rPr>
          <w:rFonts w:ascii="Times New Roman" w:hAnsi="Times New Roman" w:cs="Times New Roman"/>
          <w:vertAlign w:val="superscript"/>
        </w:rPr>
        <w:t>2</w:t>
      </w:r>
      <w:r w:rsidR="00DA7865">
        <w:rPr>
          <w:rFonts w:ascii="Times New Roman" w:hAnsi="Times New Roman" w:cs="Times New Roman"/>
        </w:rPr>
        <w:t xml:space="preserve">. </w:t>
      </w:r>
      <w:r w:rsidR="008D7D2A" w:rsidRPr="00765E23">
        <w:rPr>
          <w:rFonts w:ascii="Times New Roman" w:hAnsi="Times New Roman" w:cs="Times New Roman"/>
        </w:rPr>
        <w:t>Pretpostavlja se da je dominantni mehanizam smrtnosti uzrokovanog COVID-19 široko rasprostranjeno oštećenje tkiva i oštećenje endotela uzrokovano prekomjerno aktiviranim imunološkim sistemom pretjeranog  odgovora T-ćelija i povećanog lučenja citokina, što dovodi do citokinske oluje. Pacijenti s COVID-19 pokazuju povećane nivoe IL-6, IL-2R, IL-10 i faktora tumorske nekroze α (TNF-α). Takođe imaju upadljivo povišene nivoe feritina i C-reaktivnog proteina, slično pacijentima koji imaju hemofagocitni sindrom ili sindrom oslobađanja citokina (CRS)</w:t>
      </w:r>
      <w:r w:rsidR="00B21FB3" w:rsidRPr="00765E23">
        <w:rPr>
          <w:rFonts w:ascii="Times New Roman" w:hAnsi="Times New Roman" w:cs="Times New Roman"/>
          <w:vertAlign w:val="superscript"/>
        </w:rPr>
        <w:t>3</w:t>
      </w:r>
      <w:r w:rsidR="00F4238B">
        <w:rPr>
          <w:rFonts w:ascii="Times New Roman" w:hAnsi="Times New Roman" w:cs="Times New Roman"/>
          <w:vertAlign w:val="superscript"/>
        </w:rPr>
        <w:t>,4</w:t>
      </w:r>
      <w:r w:rsidR="00DA7865">
        <w:rPr>
          <w:rFonts w:ascii="Times New Roman" w:hAnsi="Times New Roman" w:cs="Times New Roman"/>
        </w:rPr>
        <w:t>. Č</w:t>
      </w:r>
      <w:r w:rsidR="008D7D2A" w:rsidRPr="00765E23">
        <w:rPr>
          <w:rFonts w:ascii="Times New Roman" w:hAnsi="Times New Roman" w:cs="Times New Roman"/>
        </w:rPr>
        <w:t xml:space="preserve">ini se da su ovi nivoi direktno povezani sa povećanom smrtnošću. </w:t>
      </w:r>
      <w:r w:rsidR="00B21FB3" w:rsidRPr="00765E23">
        <w:rPr>
          <w:rFonts w:ascii="Times New Roman" w:hAnsi="Times New Roman" w:cs="Times New Roman"/>
        </w:rPr>
        <w:t xml:space="preserve"> Takođe, javljaju se hematološki poremećaji, gdje se došlo do zaključka da pacijenti sa trombocitopenijom češće javljaju sa težom formom bolesti te povećanim morbiditetom. Limfocitopenija se takođe javlja kod pacijenata sa težom kliničkom slikom. Istraživanja su dodatno pokazala težeg oblika bolesti sa p</w:t>
      </w:r>
      <w:r w:rsidR="00DA7865">
        <w:rPr>
          <w:rFonts w:ascii="Times New Roman" w:hAnsi="Times New Roman" w:cs="Times New Roman"/>
        </w:rPr>
        <w:t>ovišenim vrijednostima D-dimera</w:t>
      </w:r>
      <w:r w:rsidR="00920B5C" w:rsidRPr="00765E23">
        <w:rPr>
          <w:rFonts w:ascii="Times New Roman" w:hAnsi="Times New Roman" w:cs="Times New Roman"/>
          <w:vertAlign w:val="superscript"/>
        </w:rPr>
        <w:t>3</w:t>
      </w:r>
      <w:r w:rsidR="00DA7865">
        <w:rPr>
          <w:rFonts w:ascii="Times New Roman" w:hAnsi="Times New Roman" w:cs="Times New Roman"/>
        </w:rPr>
        <w:t xml:space="preserve">. </w:t>
      </w:r>
      <w:r w:rsidRPr="00765E23">
        <w:rPr>
          <w:rFonts w:ascii="Times New Roman" w:hAnsi="Times New Roman" w:cs="Times New Roman"/>
        </w:rPr>
        <w:t>Zbog svih navedenih faktora, uviđa se značaj profilaktične antikoagulantne terapije.</w:t>
      </w:r>
    </w:p>
    <w:p w:rsidR="00111EF8" w:rsidRPr="00765E23" w:rsidRDefault="00111EF8" w:rsidP="008D7D2A">
      <w:pPr>
        <w:spacing w:after="200" w:line="480" w:lineRule="auto"/>
        <w:jc w:val="both"/>
        <w:rPr>
          <w:rFonts w:ascii="Times New Roman" w:hAnsi="Times New Roman" w:cs="Times New Roman"/>
          <w:szCs w:val="24"/>
        </w:rPr>
      </w:pPr>
      <w:r w:rsidRPr="00765E23">
        <w:rPr>
          <w:rFonts w:ascii="Times New Roman" w:hAnsi="Times New Roman" w:cs="Times New Roman"/>
          <w:szCs w:val="24"/>
        </w:rPr>
        <w:lastRenderedPageBreak/>
        <w:t>Cilj ovog istraživanja je analizirati prevalencu tromboempolijskih komplikacija kod pacijenata zaraženih alfa i delta sojem SARS-CoV-2 te uporediti da li postoje značajne razlike između dvije grupe ovih pacijenata.</w:t>
      </w:r>
    </w:p>
    <w:p w:rsidR="00111EF8" w:rsidRPr="00765E23" w:rsidRDefault="00111EF8" w:rsidP="008D7D2A">
      <w:pPr>
        <w:spacing w:after="200" w:line="480" w:lineRule="auto"/>
        <w:jc w:val="both"/>
        <w:rPr>
          <w:rFonts w:ascii="Times New Roman" w:hAnsi="Times New Roman" w:cs="Times New Roman"/>
          <w:szCs w:val="24"/>
        </w:rPr>
      </w:pPr>
    </w:p>
    <w:p w:rsidR="00111EF8" w:rsidRPr="00765E23" w:rsidRDefault="00111EF8" w:rsidP="008D7D2A">
      <w:pPr>
        <w:spacing w:after="200" w:line="480" w:lineRule="auto"/>
        <w:jc w:val="both"/>
        <w:rPr>
          <w:rFonts w:ascii="Times New Roman" w:hAnsi="Times New Roman" w:cs="Times New Roman"/>
          <w:szCs w:val="24"/>
        </w:rPr>
      </w:pPr>
      <w:r w:rsidRPr="00765E23">
        <w:rPr>
          <w:rFonts w:ascii="Times New Roman" w:hAnsi="Times New Roman" w:cs="Times New Roman"/>
          <w:b/>
          <w:szCs w:val="24"/>
        </w:rPr>
        <w:t>Nulta hipoteza:</w:t>
      </w:r>
      <w:r w:rsidR="00E03728" w:rsidRPr="00765E23">
        <w:rPr>
          <w:rFonts w:ascii="Times New Roman" w:hAnsi="Times New Roman" w:cs="Times New Roman"/>
          <w:b/>
          <w:szCs w:val="24"/>
        </w:rPr>
        <w:t xml:space="preserve"> </w:t>
      </w:r>
      <w:r w:rsidR="00E03728" w:rsidRPr="00765E23">
        <w:rPr>
          <w:rFonts w:ascii="Times New Roman" w:hAnsi="Times New Roman" w:cs="Times New Roman"/>
          <w:szCs w:val="24"/>
        </w:rPr>
        <w:t>Učestalost tromboembolijskih komplikacija se ne razlik</w:t>
      </w:r>
      <w:r w:rsidR="00E84C71" w:rsidRPr="00765E23">
        <w:rPr>
          <w:rFonts w:ascii="Times New Roman" w:hAnsi="Times New Roman" w:cs="Times New Roman"/>
          <w:szCs w:val="24"/>
        </w:rPr>
        <w:t>e</w:t>
      </w:r>
      <w:r w:rsidR="00E03728" w:rsidRPr="00765E23">
        <w:rPr>
          <w:rFonts w:ascii="Times New Roman" w:hAnsi="Times New Roman" w:cs="Times New Roman"/>
          <w:szCs w:val="24"/>
        </w:rPr>
        <w:t xml:space="preserve"> kod</w:t>
      </w:r>
      <w:r w:rsidRPr="00765E23">
        <w:rPr>
          <w:rFonts w:ascii="Times New Roman" w:hAnsi="Times New Roman" w:cs="Times New Roman"/>
          <w:szCs w:val="24"/>
        </w:rPr>
        <w:t xml:space="preserve"> SARS-CoV-2 pozitivni</w:t>
      </w:r>
      <w:r w:rsidR="00E03728" w:rsidRPr="00765E23">
        <w:rPr>
          <w:rFonts w:ascii="Times New Roman" w:hAnsi="Times New Roman" w:cs="Times New Roman"/>
          <w:szCs w:val="24"/>
        </w:rPr>
        <w:t>h</w:t>
      </w:r>
      <w:r w:rsidRPr="00765E23">
        <w:rPr>
          <w:rFonts w:ascii="Times New Roman" w:hAnsi="Times New Roman" w:cs="Times New Roman"/>
          <w:szCs w:val="24"/>
        </w:rPr>
        <w:t xml:space="preserve"> pacijen</w:t>
      </w:r>
      <w:r w:rsidR="00E03728" w:rsidRPr="00765E23">
        <w:rPr>
          <w:rFonts w:ascii="Times New Roman" w:hAnsi="Times New Roman" w:cs="Times New Roman"/>
          <w:szCs w:val="24"/>
        </w:rPr>
        <w:t>ata</w:t>
      </w:r>
      <w:r w:rsidRPr="00765E23">
        <w:rPr>
          <w:rFonts w:ascii="Times New Roman" w:hAnsi="Times New Roman" w:cs="Times New Roman"/>
          <w:szCs w:val="24"/>
        </w:rPr>
        <w:t xml:space="preserve"> zaraženi</w:t>
      </w:r>
      <w:r w:rsidR="00E03728" w:rsidRPr="00765E23">
        <w:rPr>
          <w:rFonts w:ascii="Times New Roman" w:hAnsi="Times New Roman" w:cs="Times New Roman"/>
          <w:szCs w:val="24"/>
        </w:rPr>
        <w:t>h</w:t>
      </w:r>
      <w:r w:rsidRPr="00765E23">
        <w:rPr>
          <w:rFonts w:ascii="Times New Roman" w:hAnsi="Times New Roman" w:cs="Times New Roman"/>
          <w:szCs w:val="24"/>
        </w:rPr>
        <w:t xml:space="preserve"> alfa</w:t>
      </w:r>
      <w:r w:rsidR="00E03728" w:rsidRPr="00765E23">
        <w:rPr>
          <w:rFonts w:ascii="Times New Roman" w:hAnsi="Times New Roman" w:cs="Times New Roman"/>
          <w:szCs w:val="24"/>
        </w:rPr>
        <w:t xml:space="preserve"> i delta</w:t>
      </w:r>
      <w:r w:rsidRPr="00765E23">
        <w:rPr>
          <w:rFonts w:ascii="Times New Roman" w:hAnsi="Times New Roman" w:cs="Times New Roman"/>
          <w:szCs w:val="24"/>
        </w:rPr>
        <w:t xml:space="preserve"> sojem </w:t>
      </w:r>
    </w:p>
    <w:p w:rsidR="002206DC" w:rsidRPr="00765E23" w:rsidRDefault="00111EF8" w:rsidP="008D7D2A">
      <w:pPr>
        <w:spacing w:after="200" w:line="480" w:lineRule="auto"/>
        <w:jc w:val="both"/>
        <w:rPr>
          <w:rFonts w:ascii="Times New Roman" w:hAnsi="Times New Roman" w:cs="Times New Roman"/>
          <w:szCs w:val="24"/>
        </w:rPr>
      </w:pPr>
      <w:r w:rsidRPr="00765E23">
        <w:rPr>
          <w:rFonts w:ascii="Times New Roman" w:hAnsi="Times New Roman" w:cs="Times New Roman"/>
          <w:b/>
          <w:szCs w:val="24"/>
        </w:rPr>
        <w:t>Radna hipoteza:</w:t>
      </w:r>
      <w:r w:rsidR="004E0D01" w:rsidRPr="00765E23">
        <w:rPr>
          <w:rFonts w:ascii="Times New Roman" w:hAnsi="Times New Roman" w:cs="Times New Roman"/>
          <w:b/>
          <w:szCs w:val="24"/>
        </w:rPr>
        <w:t xml:space="preserve"> </w:t>
      </w:r>
      <w:r w:rsidR="00E03728" w:rsidRPr="00765E23">
        <w:rPr>
          <w:rFonts w:ascii="Times New Roman" w:hAnsi="Times New Roman" w:cs="Times New Roman"/>
          <w:szCs w:val="24"/>
        </w:rPr>
        <w:t>Učestalost tromboembolijskih komplikacija se razlikuj</w:t>
      </w:r>
      <w:r w:rsidR="00E84C71" w:rsidRPr="00765E23">
        <w:rPr>
          <w:rFonts w:ascii="Times New Roman" w:hAnsi="Times New Roman" w:cs="Times New Roman"/>
          <w:szCs w:val="24"/>
        </w:rPr>
        <w:t>e</w:t>
      </w:r>
      <w:r w:rsidR="00E03728" w:rsidRPr="00765E23">
        <w:rPr>
          <w:rFonts w:ascii="Times New Roman" w:hAnsi="Times New Roman" w:cs="Times New Roman"/>
          <w:szCs w:val="24"/>
        </w:rPr>
        <w:t xml:space="preserve"> kod SARS-CoV-2 pozitivnih pacijenata zaraženih alfa i delta sojem</w:t>
      </w:r>
    </w:p>
    <w:p w:rsidR="002206DC" w:rsidRPr="00765E23" w:rsidRDefault="002206DC" w:rsidP="002206DC">
      <w:pPr>
        <w:spacing w:after="200" w:line="480" w:lineRule="auto"/>
        <w:jc w:val="both"/>
        <w:rPr>
          <w:rFonts w:ascii="Times New Roman" w:hAnsi="Times New Roman" w:cs="Times New Roman"/>
          <w:b/>
          <w:szCs w:val="24"/>
          <w:lang w:val="en-GB"/>
        </w:rPr>
      </w:pPr>
      <w:r w:rsidRPr="00765E23">
        <w:rPr>
          <w:rFonts w:ascii="Times New Roman" w:hAnsi="Times New Roman" w:cs="Times New Roman"/>
          <w:b/>
          <w:szCs w:val="24"/>
          <w:lang w:val="en-GB"/>
        </w:rPr>
        <w:t>METODE</w:t>
      </w:r>
    </w:p>
    <w:p w:rsidR="00BA6590" w:rsidRPr="00765E23" w:rsidRDefault="00BA6590" w:rsidP="002206DC">
      <w:pPr>
        <w:spacing w:after="200" w:line="480" w:lineRule="auto"/>
        <w:jc w:val="both"/>
        <w:rPr>
          <w:rFonts w:ascii="Times New Roman" w:hAnsi="Times New Roman" w:cs="Times New Roman"/>
          <w:b/>
          <w:szCs w:val="24"/>
          <w:lang w:val="en-GB"/>
        </w:rPr>
      </w:pPr>
    </w:p>
    <w:p w:rsidR="00BA6590" w:rsidRPr="00765E23" w:rsidRDefault="00BA6590" w:rsidP="00BA6590">
      <w:pPr>
        <w:spacing w:after="200" w:line="480" w:lineRule="auto"/>
        <w:jc w:val="both"/>
        <w:rPr>
          <w:rFonts w:ascii="Times New Roman" w:hAnsi="Times New Roman" w:cs="Times New Roman"/>
          <w:szCs w:val="24"/>
          <w:lang w:val="sr-Latn-BA"/>
        </w:rPr>
      </w:pPr>
      <w:r w:rsidRPr="00765E23">
        <w:rPr>
          <w:rFonts w:ascii="Times New Roman" w:hAnsi="Times New Roman" w:cs="Times New Roman"/>
        </w:rPr>
        <w:t xml:space="preserve">Istraživanje je dizajnirano kao retrospektivna studija presjeka. U studiju je uključeno ukupno 600 ispitanika liječenih u UKC RS u periodima od 01.06.-01.12.2020.godine i u periodu od 01.03. do 01.11.2021.godine koji su podjeljeni u dvije grupe: prva grupa obuhvata 300 SARS-CoV-2 pozitivnih pacijenata zaraženih alfa sojem, a drugu grupu čini 300 SARS-CoV-2 pozitivnih pacijenata zaraženih delta sojem. U studiju su uključeni pacijenti stariji od 18godina. Prosječna starost pacijenata u prvoj grupi pacijenata je iznosila 58.6±1.4, dok je u drugoj grupi iznosila 58.5±1.4. Polnu strukturu čini 305 žena i 295 muškaraca. Određivani su sljedeći laboratorijski i klinički parametri: vrijednosti D-dimera, venska tromboembolija, plućna embolija. Kao povišene vrijednosti D-dimera su uzimane sve vrijednosti veće od 2 mg/l. Venska tromboembolija je verifikovana ultrazvučno. </w:t>
      </w:r>
      <w:r w:rsidRPr="00765E23">
        <w:rPr>
          <w:rFonts w:ascii="Times New Roman" w:hAnsi="Times New Roman" w:cs="Times New Roman"/>
          <w:szCs w:val="24"/>
          <w:lang w:val="sr-Latn-BA"/>
        </w:rPr>
        <w:t xml:space="preserve">Plućna tromboembolija je verifikovana radiološki MSCT angiografijom grudnog koša. </w:t>
      </w:r>
    </w:p>
    <w:p w:rsidR="00BA6590" w:rsidRPr="00765E23" w:rsidRDefault="00BA6590" w:rsidP="00BA6590">
      <w:pPr>
        <w:spacing w:after="200" w:line="480" w:lineRule="auto"/>
        <w:jc w:val="both"/>
        <w:rPr>
          <w:rFonts w:ascii="Times New Roman" w:hAnsi="Times New Roman" w:cs="Times New Roman"/>
          <w:szCs w:val="24"/>
          <w:lang w:val="sr-Latn-BA"/>
        </w:rPr>
      </w:pPr>
    </w:p>
    <w:p w:rsidR="00BA6590" w:rsidRPr="00765E23" w:rsidRDefault="00BA6590" w:rsidP="00BA6590">
      <w:pPr>
        <w:spacing w:after="200" w:line="480" w:lineRule="auto"/>
        <w:jc w:val="both"/>
        <w:rPr>
          <w:rFonts w:ascii="Times New Roman" w:hAnsi="Times New Roman" w:cs="Times New Roman"/>
          <w:b/>
          <w:szCs w:val="24"/>
          <w:lang w:val="sr-Latn-BA"/>
        </w:rPr>
      </w:pPr>
      <w:r w:rsidRPr="00765E23">
        <w:rPr>
          <w:rFonts w:ascii="Times New Roman" w:hAnsi="Times New Roman" w:cs="Times New Roman"/>
          <w:b/>
          <w:szCs w:val="24"/>
          <w:lang w:val="sr-Latn-BA"/>
        </w:rPr>
        <w:lastRenderedPageBreak/>
        <w:t>REZULTATI</w:t>
      </w:r>
    </w:p>
    <w:p w:rsidR="00BA6590" w:rsidRPr="00765E23" w:rsidRDefault="00BA6590" w:rsidP="00BA6590">
      <w:pPr>
        <w:spacing w:after="200" w:line="480" w:lineRule="auto"/>
        <w:jc w:val="both"/>
        <w:rPr>
          <w:rFonts w:ascii="Times New Roman" w:hAnsi="Times New Roman" w:cs="Times New Roman"/>
          <w:b/>
          <w:szCs w:val="24"/>
          <w:lang w:val="sr-Latn-BA"/>
        </w:rPr>
      </w:pPr>
    </w:p>
    <w:p w:rsidR="00BA6590" w:rsidRDefault="00BA6590" w:rsidP="00417DFB">
      <w:pPr>
        <w:spacing w:line="480" w:lineRule="auto"/>
        <w:jc w:val="both"/>
        <w:rPr>
          <w:rFonts w:ascii="Times New Roman" w:hAnsi="Times New Roman" w:cs="Times New Roman"/>
        </w:rPr>
      </w:pPr>
      <w:r w:rsidRPr="00765E23">
        <w:rPr>
          <w:rFonts w:ascii="Times New Roman" w:hAnsi="Times New Roman" w:cs="Times New Roman"/>
          <w:szCs w:val="24"/>
          <w:lang w:val="sr-Latn-BA"/>
        </w:rPr>
        <w:t xml:space="preserve">Istraživanje je obuhvatilo pacijente </w:t>
      </w:r>
      <w:r w:rsidR="00417DFB" w:rsidRPr="00765E23">
        <w:rPr>
          <w:rFonts w:ascii="Times New Roman" w:hAnsi="Times New Roman" w:cs="Times New Roman"/>
          <w:szCs w:val="24"/>
          <w:lang w:val="sr-Latn-BA"/>
        </w:rPr>
        <w:t>starije od 18 godine</w:t>
      </w:r>
      <w:r w:rsidRPr="00765E23">
        <w:rPr>
          <w:rFonts w:ascii="Times New Roman" w:hAnsi="Times New Roman" w:cs="Times New Roman"/>
          <w:szCs w:val="24"/>
          <w:lang w:val="sr-Latn-BA"/>
        </w:rPr>
        <w:t>, sa dijagnozom SARS-CoV-2 virusne infekcije</w:t>
      </w:r>
      <w:r w:rsidR="00417DFB" w:rsidRPr="00765E23">
        <w:rPr>
          <w:rFonts w:ascii="Times New Roman" w:hAnsi="Times New Roman" w:cs="Times New Roman"/>
          <w:szCs w:val="24"/>
          <w:lang w:val="sr-Latn-BA"/>
        </w:rPr>
        <w:t xml:space="preserve"> (alfa i delta sojem)</w:t>
      </w:r>
      <w:r w:rsidRPr="00765E23">
        <w:rPr>
          <w:rFonts w:ascii="Times New Roman" w:hAnsi="Times New Roman" w:cs="Times New Roman"/>
          <w:szCs w:val="24"/>
          <w:lang w:val="sr-Latn-BA"/>
        </w:rPr>
        <w:t xml:space="preserve">, koji su liječeni u </w:t>
      </w:r>
      <w:r w:rsidR="00417DFB" w:rsidRPr="00765E23">
        <w:rPr>
          <w:rFonts w:ascii="Times New Roman" w:hAnsi="Times New Roman" w:cs="Times New Roman"/>
          <w:szCs w:val="24"/>
          <w:lang w:val="sr-Latn-BA"/>
        </w:rPr>
        <w:t>Klinici intenzivne medicine za nehirurške grane UKC RS.</w:t>
      </w:r>
      <w:r w:rsidRPr="00765E23">
        <w:rPr>
          <w:rFonts w:ascii="Times New Roman" w:hAnsi="Times New Roman" w:cs="Times New Roman"/>
          <w:szCs w:val="24"/>
          <w:lang w:val="sr-Latn-BA"/>
        </w:rPr>
        <w:t xml:space="preserve"> Najmlađi pacijent imao je </w:t>
      </w:r>
      <w:r w:rsidR="00417DFB" w:rsidRPr="00765E23">
        <w:rPr>
          <w:rFonts w:ascii="Times New Roman" w:hAnsi="Times New Roman" w:cs="Times New Roman"/>
          <w:szCs w:val="24"/>
          <w:lang w:val="sr-Latn-BA"/>
        </w:rPr>
        <w:t>21</w:t>
      </w:r>
      <w:r w:rsidRPr="00765E23">
        <w:rPr>
          <w:rFonts w:ascii="Times New Roman" w:hAnsi="Times New Roman" w:cs="Times New Roman"/>
          <w:szCs w:val="24"/>
          <w:lang w:val="sr-Latn-BA"/>
        </w:rPr>
        <w:t xml:space="preserve">, a najstariji </w:t>
      </w:r>
      <w:r w:rsidR="00417DFB" w:rsidRPr="00765E23">
        <w:rPr>
          <w:rFonts w:ascii="Times New Roman" w:hAnsi="Times New Roman" w:cs="Times New Roman"/>
          <w:szCs w:val="24"/>
          <w:lang w:val="sr-Latn-BA"/>
        </w:rPr>
        <w:t>83</w:t>
      </w:r>
      <w:r w:rsidRPr="00765E23">
        <w:rPr>
          <w:rFonts w:ascii="Times New Roman" w:hAnsi="Times New Roman" w:cs="Times New Roman"/>
          <w:szCs w:val="24"/>
          <w:lang w:val="sr-Latn-BA"/>
        </w:rPr>
        <w:t xml:space="preserve"> godin</w:t>
      </w:r>
      <w:r w:rsidR="00417DFB" w:rsidRPr="00765E23">
        <w:rPr>
          <w:rFonts w:ascii="Times New Roman" w:hAnsi="Times New Roman" w:cs="Times New Roman"/>
          <w:szCs w:val="24"/>
          <w:lang w:val="sr-Latn-BA"/>
        </w:rPr>
        <w:t>e</w:t>
      </w:r>
      <w:r w:rsidRPr="00765E23">
        <w:rPr>
          <w:rFonts w:ascii="Times New Roman" w:hAnsi="Times New Roman" w:cs="Times New Roman"/>
          <w:szCs w:val="24"/>
          <w:lang w:val="sr-Latn-BA"/>
        </w:rPr>
        <w:t>. Prosječna starost ispitivane populacije pacijenata</w:t>
      </w:r>
      <w:r w:rsidR="00417DFB" w:rsidRPr="00765E23">
        <w:rPr>
          <w:rFonts w:ascii="Times New Roman" w:hAnsi="Times New Roman" w:cs="Times New Roman"/>
          <w:szCs w:val="24"/>
          <w:lang w:val="sr-Latn-BA"/>
        </w:rPr>
        <w:t xml:space="preserve"> u grupi zaraženih alfa sojem</w:t>
      </w:r>
      <w:r w:rsidRPr="00765E23">
        <w:rPr>
          <w:rFonts w:ascii="Times New Roman" w:hAnsi="Times New Roman" w:cs="Times New Roman"/>
          <w:szCs w:val="24"/>
          <w:lang w:val="sr-Latn-BA"/>
        </w:rPr>
        <w:t xml:space="preserve"> iznosila je </w:t>
      </w:r>
      <w:r w:rsidR="00417DFB" w:rsidRPr="00765E23">
        <w:rPr>
          <w:rFonts w:ascii="Times New Roman" w:hAnsi="Times New Roman" w:cs="Times New Roman"/>
        </w:rPr>
        <w:t xml:space="preserve">58.6±1.4 </w:t>
      </w:r>
      <w:r w:rsidRPr="00765E23">
        <w:rPr>
          <w:rFonts w:ascii="Times New Roman" w:hAnsi="Times New Roman" w:cs="Times New Roman"/>
          <w:szCs w:val="24"/>
          <w:lang w:val="sr-Latn-BA"/>
        </w:rPr>
        <w:t>godina</w:t>
      </w:r>
      <w:r w:rsidR="00417DFB" w:rsidRPr="00765E23">
        <w:rPr>
          <w:rFonts w:ascii="Times New Roman" w:hAnsi="Times New Roman" w:cs="Times New Roman"/>
          <w:szCs w:val="24"/>
          <w:lang w:val="sr-Latn-BA"/>
        </w:rPr>
        <w:t xml:space="preserve">, dok je u grupi zaraženih pacijenata sa delta sojem iznosila </w:t>
      </w:r>
      <w:r w:rsidR="00417DFB" w:rsidRPr="00765E23">
        <w:rPr>
          <w:rFonts w:ascii="Times New Roman" w:hAnsi="Times New Roman" w:cs="Times New Roman"/>
        </w:rPr>
        <w:t>58.5±1.4</w:t>
      </w:r>
      <w:r w:rsidRPr="00765E23">
        <w:rPr>
          <w:rFonts w:ascii="Times New Roman" w:hAnsi="Times New Roman" w:cs="Times New Roman"/>
          <w:szCs w:val="24"/>
          <w:lang w:val="sr-Latn-BA"/>
        </w:rPr>
        <w:t xml:space="preserve">. </w:t>
      </w:r>
      <w:r w:rsidR="001E60DD" w:rsidRPr="00765E23">
        <w:rPr>
          <w:rFonts w:ascii="Times New Roman" w:hAnsi="Times New Roman" w:cs="Times New Roman"/>
        </w:rPr>
        <w:t>Polnu strukturu čini 305 žena i 295 muškaraca. U grupi zaraženih sa alfa sojem je uključeno 157 žena i 143 muškarca, dok je u drugoj grupi obuhvaćeno 148 žena i 152 muškarca</w:t>
      </w:r>
      <w:r w:rsidR="002D76AA" w:rsidRPr="00765E23">
        <w:rPr>
          <w:rFonts w:ascii="Times New Roman" w:hAnsi="Times New Roman" w:cs="Times New Roman"/>
        </w:rPr>
        <w:t>.</w:t>
      </w:r>
      <w:r w:rsidR="000D4423" w:rsidRPr="00765E23">
        <w:rPr>
          <w:rFonts w:ascii="Times New Roman" w:hAnsi="Times New Roman" w:cs="Times New Roman"/>
        </w:rPr>
        <w:t xml:space="preserve"> (Tabela 1.)</w:t>
      </w:r>
      <w:r w:rsidR="00D954E9" w:rsidRPr="00765E23">
        <w:rPr>
          <w:rFonts w:ascii="Times New Roman" w:hAnsi="Times New Roman" w:cs="Times New Roman"/>
        </w:rPr>
        <w:t xml:space="preserve"> Za statističku analizu </w:t>
      </w:r>
      <w:r w:rsidR="00DA7865">
        <w:rPr>
          <w:rFonts w:ascii="Times New Roman" w:hAnsi="Times New Roman" w:cs="Times New Roman"/>
        </w:rPr>
        <w:t xml:space="preserve">značajnosti razlike ukupnih tromboembolijskih događaja između ove dvije grupe </w:t>
      </w:r>
      <w:r w:rsidR="00D954E9" w:rsidRPr="00765E23">
        <w:rPr>
          <w:rFonts w:ascii="Times New Roman" w:hAnsi="Times New Roman" w:cs="Times New Roman"/>
        </w:rPr>
        <w:t>je korišten Hi kvadrat test, a kao statistički značajan rezultat uzeta je vrijednosti &lt;0.05.</w:t>
      </w:r>
      <w:r w:rsidR="00632820" w:rsidRPr="00765E23">
        <w:rPr>
          <w:rFonts w:ascii="Times New Roman" w:hAnsi="Times New Roman" w:cs="Times New Roman"/>
        </w:rPr>
        <w:t xml:space="preserve"> Dobijena p vrijednost je iznosila p&lt;0.00001, što pokazuje značajnu statističku vrijednost</w:t>
      </w:r>
      <w:r w:rsidR="00DA7865">
        <w:rPr>
          <w:rFonts w:ascii="Times New Roman" w:hAnsi="Times New Roman" w:cs="Times New Roman"/>
        </w:rPr>
        <w:t>, te se odbacuje nulta hipoteza</w:t>
      </w:r>
      <w:r w:rsidR="00632820" w:rsidRPr="00765E23">
        <w:rPr>
          <w:rFonts w:ascii="Times New Roman" w:hAnsi="Times New Roman" w:cs="Times New Roman"/>
        </w:rPr>
        <w:t>.</w:t>
      </w:r>
    </w:p>
    <w:p w:rsidR="00DA7865" w:rsidRDefault="00DA7865" w:rsidP="00DA7865">
      <w:pPr>
        <w:spacing w:after="200" w:line="480" w:lineRule="auto"/>
        <w:jc w:val="center"/>
        <w:rPr>
          <w:rFonts w:ascii="Times New Roman" w:hAnsi="Times New Roman" w:cs="Times New Roman"/>
        </w:rPr>
      </w:pPr>
    </w:p>
    <w:p w:rsidR="00DA7865" w:rsidRPr="00765E23" w:rsidRDefault="00DA7865" w:rsidP="00DA7865">
      <w:pPr>
        <w:spacing w:after="200" w:line="480" w:lineRule="auto"/>
        <w:jc w:val="center"/>
        <w:rPr>
          <w:rFonts w:ascii="Times New Roman" w:hAnsi="Times New Roman" w:cs="Times New Roman"/>
        </w:rPr>
      </w:pPr>
      <w:r w:rsidRPr="00765E23">
        <w:rPr>
          <w:rFonts w:ascii="Times New Roman" w:hAnsi="Times New Roman" w:cs="Times New Roman"/>
        </w:rPr>
        <w:t>Tabela 1. Polna struktura pacijenata</w:t>
      </w:r>
    </w:p>
    <w:tbl>
      <w:tblPr>
        <w:tblpPr w:leftFromText="180" w:rightFromText="180" w:vertAnchor="text" w:horzAnchor="margin" w:tblpXSpec="center" w:tblpY="215"/>
        <w:tblW w:w="5147" w:type="dxa"/>
        <w:tblLook w:val="04A0" w:firstRow="1" w:lastRow="0" w:firstColumn="1" w:lastColumn="0" w:noHBand="0" w:noVBand="1"/>
      </w:tblPr>
      <w:tblGrid>
        <w:gridCol w:w="1647"/>
        <w:gridCol w:w="1647"/>
        <w:gridCol w:w="1853"/>
      </w:tblGrid>
      <w:tr w:rsidR="005F4EA8" w:rsidRPr="00765E23" w:rsidTr="005F4EA8">
        <w:trPr>
          <w:trHeight w:val="419"/>
        </w:trPr>
        <w:tc>
          <w:tcPr>
            <w:tcW w:w="1647" w:type="dxa"/>
            <w:tcBorders>
              <w:top w:val="single" w:sz="4" w:space="0" w:color="95B3D7"/>
              <w:left w:val="single" w:sz="4" w:space="0" w:color="95B3D7"/>
              <w:bottom w:val="single" w:sz="4" w:space="0" w:color="95B3D7"/>
              <w:right w:val="nil"/>
            </w:tcBorders>
            <w:shd w:val="clear" w:color="4F81BD" w:fill="4F81BD"/>
            <w:noWrap/>
            <w:vAlign w:val="bottom"/>
            <w:hideMark/>
          </w:tcPr>
          <w:p w:rsidR="00FB5BC8" w:rsidRPr="00765E23" w:rsidRDefault="00FB5BC8" w:rsidP="00FB5BC8">
            <w:pPr>
              <w:spacing w:after="0" w:line="240" w:lineRule="auto"/>
              <w:rPr>
                <w:rFonts w:ascii="Times New Roman" w:eastAsia="Times New Roman" w:hAnsi="Times New Roman" w:cs="Times New Roman"/>
                <w:b/>
                <w:bCs/>
                <w:color w:val="FFFFFF"/>
                <w:sz w:val="22"/>
                <w:szCs w:val="22"/>
                <w:lang w:eastAsia="bs-Latn-BA"/>
              </w:rPr>
            </w:pPr>
            <w:r w:rsidRPr="00765E23">
              <w:rPr>
                <w:rFonts w:ascii="Times New Roman" w:eastAsia="Times New Roman" w:hAnsi="Times New Roman" w:cs="Times New Roman"/>
                <w:b/>
                <w:bCs/>
                <w:color w:val="FFFFFF"/>
                <w:sz w:val="22"/>
                <w:szCs w:val="22"/>
                <w:lang w:eastAsia="bs-Latn-BA"/>
              </w:rPr>
              <w:t>Pol</w:t>
            </w:r>
          </w:p>
        </w:tc>
        <w:tc>
          <w:tcPr>
            <w:tcW w:w="1647" w:type="dxa"/>
            <w:tcBorders>
              <w:top w:val="single" w:sz="4" w:space="0" w:color="95B3D7"/>
              <w:left w:val="nil"/>
              <w:bottom w:val="single" w:sz="4" w:space="0" w:color="95B3D7"/>
              <w:right w:val="nil"/>
            </w:tcBorders>
            <w:shd w:val="clear" w:color="4F81BD" w:fill="4F81BD"/>
            <w:noWrap/>
            <w:vAlign w:val="bottom"/>
            <w:hideMark/>
          </w:tcPr>
          <w:p w:rsidR="00FB5BC8" w:rsidRPr="00765E23" w:rsidRDefault="00FB5BC8" w:rsidP="00FB5BC8">
            <w:pPr>
              <w:spacing w:after="0" w:line="240" w:lineRule="auto"/>
              <w:rPr>
                <w:rFonts w:ascii="Times New Roman" w:eastAsia="Times New Roman" w:hAnsi="Times New Roman" w:cs="Times New Roman"/>
                <w:b/>
                <w:bCs/>
                <w:color w:val="FFFFFF"/>
                <w:sz w:val="22"/>
                <w:szCs w:val="22"/>
                <w:lang w:eastAsia="bs-Latn-BA"/>
              </w:rPr>
            </w:pPr>
            <w:r w:rsidRPr="00765E23">
              <w:rPr>
                <w:rFonts w:ascii="Times New Roman" w:eastAsia="Times New Roman" w:hAnsi="Times New Roman" w:cs="Times New Roman"/>
                <w:b/>
                <w:bCs/>
                <w:color w:val="FFFFFF"/>
                <w:sz w:val="22"/>
                <w:szCs w:val="22"/>
                <w:lang w:eastAsia="bs-Latn-BA"/>
              </w:rPr>
              <w:t>Alfa soj</w:t>
            </w:r>
          </w:p>
        </w:tc>
        <w:tc>
          <w:tcPr>
            <w:tcW w:w="1853" w:type="dxa"/>
            <w:tcBorders>
              <w:top w:val="single" w:sz="4" w:space="0" w:color="95B3D7"/>
              <w:left w:val="nil"/>
              <w:bottom w:val="single" w:sz="4" w:space="0" w:color="95B3D7"/>
              <w:right w:val="single" w:sz="4" w:space="0" w:color="95B3D7"/>
            </w:tcBorders>
            <w:shd w:val="clear" w:color="4F81BD" w:fill="4F81BD"/>
            <w:noWrap/>
            <w:vAlign w:val="bottom"/>
            <w:hideMark/>
          </w:tcPr>
          <w:p w:rsidR="00FB5BC8" w:rsidRPr="00765E23" w:rsidRDefault="00FB5BC8" w:rsidP="00FB5BC8">
            <w:pPr>
              <w:spacing w:after="0" w:line="240" w:lineRule="auto"/>
              <w:rPr>
                <w:rFonts w:ascii="Times New Roman" w:eastAsia="Times New Roman" w:hAnsi="Times New Roman" w:cs="Times New Roman"/>
                <w:b/>
                <w:bCs/>
                <w:color w:val="FFFFFF"/>
                <w:sz w:val="22"/>
                <w:szCs w:val="22"/>
                <w:lang w:eastAsia="bs-Latn-BA"/>
              </w:rPr>
            </w:pPr>
            <w:r w:rsidRPr="00765E23">
              <w:rPr>
                <w:rFonts w:ascii="Times New Roman" w:eastAsia="Times New Roman" w:hAnsi="Times New Roman" w:cs="Times New Roman"/>
                <w:b/>
                <w:bCs/>
                <w:color w:val="FFFFFF"/>
                <w:sz w:val="22"/>
                <w:szCs w:val="22"/>
                <w:lang w:eastAsia="bs-Latn-BA"/>
              </w:rPr>
              <w:t>Delta soj</w:t>
            </w:r>
          </w:p>
        </w:tc>
      </w:tr>
      <w:tr w:rsidR="005F4EA8" w:rsidRPr="00765E23" w:rsidTr="005F4EA8">
        <w:trPr>
          <w:trHeight w:val="419"/>
        </w:trPr>
        <w:tc>
          <w:tcPr>
            <w:tcW w:w="1647" w:type="dxa"/>
            <w:tcBorders>
              <w:top w:val="single" w:sz="4" w:space="0" w:color="95B3D7"/>
              <w:left w:val="single" w:sz="4" w:space="0" w:color="95B3D7"/>
              <w:bottom w:val="single" w:sz="4" w:space="0" w:color="95B3D7"/>
              <w:right w:val="nil"/>
            </w:tcBorders>
            <w:shd w:val="clear" w:color="DCE6F1" w:fill="DCE6F1"/>
            <w:noWrap/>
            <w:vAlign w:val="bottom"/>
            <w:hideMark/>
          </w:tcPr>
          <w:p w:rsidR="00FB5BC8" w:rsidRPr="00765E23" w:rsidRDefault="00FB5BC8" w:rsidP="00FB5BC8">
            <w:pPr>
              <w:spacing w:after="0" w:line="240" w:lineRule="auto"/>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Ženski</w:t>
            </w:r>
          </w:p>
        </w:tc>
        <w:tc>
          <w:tcPr>
            <w:tcW w:w="1647" w:type="dxa"/>
            <w:tcBorders>
              <w:top w:val="single" w:sz="4" w:space="0" w:color="95B3D7"/>
              <w:left w:val="nil"/>
              <w:bottom w:val="single" w:sz="4" w:space="0" w:color="95B3D7"/>
              <w:right w:val="nil"/>
            </w:tcBorders>
            <w:shd w:val="clear" w:color="DCE6F1" w:fill="DCE6F1"/>
            <w:noWrap/>
            <w:vAlign w:val="bottom"/>
            <w:hideMark/>
          </w:tcPr>
          <w:p w:rsidR="00FB5BC8" w:rsidRPr="00765E23" w:rsidRDefault="00FB5BC8" w:rsidP="00FB5BC8">
            <w:pPr>
              <w:spacing w:after="0" w:line="240" w:lineRule="auto"/>
              <w:jc w:val="right"/>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157</w:t>
            </w:r>
          </w:p>
        </w:tc>
        <w:tc>
          <w:tcPr>
            <w:tcW w:w="1853" w:type="dxa"/>
            <w:tcBorders>
              <w:top w:val="single" w:sz="4" w:space="0" w:color="95B3D7"/>
              <w:left w:val="nil"/>
              <w:bottom w:val="single" w:sz="4" w:space="0" w:color="95B3D7"/>
              <w:right w:val="single" w:sz="4" w:space="0" w:color="95B3D7"/>
            </w:tcBorders>
            <w:shd w:val="clear" w:color="DCE6F1" w:fill="DCE6F1"/>
            <w:noWrap/>
            <w:vAlign w:val="bottom"/>
            <w:hideMark/>
          </w:tcPr>
          <w:p w:rsidR="00FB5BC8" w:rsidRPr="00765E23" w:rsidRDefault="00FB5BC8" w:rsidP="00FB5BC8">
            <w:pPr>
              <w:spacing w:after="0" w:line="240" w:lineRule="auto"/>
              <w:jc w:val="right"/>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148</w:t>
            </w:r>
          </w:p>
        </w:tc>
      </w:tr>
      <w:tr w:rsidR="00FB5BC8" w:rsidRPr="00765E23" w:rsidTr="005F4EA8">
        <w:trPr>
          <w:trHeight w:val="419"/>
        </w:trPr>
        <w:tc>
          <w:tcPr>
            <w:tcW w:w="1647" w:type="dxa"/>
            <w:tcBorders>
              <w:top w:val="single" w:sz="4" w:space="0" w:color="95B3D7"/>
              <w:left w:val="single" w:sz="4" w:space="0" w:color="95B3D7"/>
              <w:bottom w:val="single" w:sz="4" w:space="0" w:color="95B3D7"/>
              <w:right w:val="nil"/>
            </w:tcBorders>
            <w:shd w:val="clear" w:color="auto" w:fill="auto"/>
            <w:noWrap/>
            <w:vAlign w:val="bottom"/>
            <w:hideMark/>
          </w:tcPr>
          <w:p w:rsidR="00FB5BC8" w:rsidRPr="00765E23" w:rsidRDefault="00FB5BC8" w:rsidP="00FB5BC8">
            <w:pPr>
              <w:spacing w:after="0" w:line="240" w:lineRule="auto"/>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Muški</w:t>
            </w:r>
          </w:p>
        </w:tc>
        <w:tc>
          <w:tcPr>
            <w:tcW w:w="1647" w:type="dxa"/>
            <w:tcBorders>
              <w:top w:val="single" w:sz="4" w:space="0" w:color="95B3D7"/>
              <w:left w:val="nil"/>
              <w:bottom w:val="single" w:sz="4" w:space="0" w:color="95B3D7"/>
              <w:right w:val="nil"/>
            </w:tcBorders>
            <w:shd w:val="clear" w:color="auto" w:fill="auto"/>
            <w:noWrap/>
            <w:vAlign w:val="bottom"/>
            <w:hideMark/>
          </w:tcPr>
          <w:p w:rsidR="00FB5BC8" w:rsidRPr="00765E23" w:rsidRDefault="00FB5BC8" w:rsidP="00FB5BC8">
            <w:pPr>
              <w:spacing w:after="0" w:line="240" w:lineRule="auto"/>
              <w:jc w:val="right"/>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143</w:t>
            </w:r>
          </w:p>
        </w:tc>
        <w:tc>
          <w:tcPr>
            <w:tcW w:w="1853" w:type="dxa"/>
            <w:tcBorders>
              <w:top w:val="single" w:sz="4" w:space="0" w:color="95B3D7"/>
              <w:left w:val="nil"/>
              <w:bottom w:val="single" w:sz="4" w:space="0" w:color="95B3D7"/>
              <w:right w:val="single" w:sz="4" w:space="0" w:color="95B3D7"/>
            </w:tcBorders>
            <w:shd w:val="clear" w:color="auto" w:fill="auto"/>
            <w:noWrap/>
            <w:vAlign w:val="bottom"/>
            <w:hideMark/>
          </w:tcPr>
          <w:p w:rsidR="00FB5BC8" w:rsidRPr="00765E23" w:rsidRDefault="00FB5BC8" w:rsidP="00FB5BC8">
            <w:pPr>
              <w:spacing w:after="0" w:line="240" w:lineRule="auto"/>
              <w:jc w:val="right"/>
              <w:rPr>
                <w:rFonts w:ascii="Times New Roman" w:eastAsia="Times New Roman" w:hAnsi="Times New Roman" w:cs="Times New Roman"/>
                <w:color w:val="000000"/>
                <w:sz w:val="22"/>
                <w:szCs w:val="22"/>
                <w:lang w:eastAsia="bs-Latn-BA"/>
              </w:rPr>
            </w:pPr>
            <w:r w:rsidRPr="00765E23">
              <w:rPr>
                <w:rFonts w:ascii="Times New Roman" w:eastAsia="Times New Roman" w:hAnsi="Times New Roman" w:cs="Times New Roman"/>
                <w:color w:val="000000"/>
                <w:sz w:val="22"/>
                <w:szCs w:val="22"/>
                <w:lang w:eastAsia="bs-Latn-BA"/>
              </w:rPr>
              <w:t>152</w:t>
            </w:r>
          </w:p>
        </w:tc>
      </w:tr>
    </w:tbl>
    <w:p w:rsidR="00FB5BC8" w:rsidRPr="00765E23" w:rsidRDefault="00FB5BC8" w:rsidP="00417DFB">
      <w:pPr>
        <w:spacing w:line="480" w:lineRule="auto"/>
        <w:jc w:val="both"/>
        <w:rPr>
          <w:rFonts w:ascii="Times New Roman" w:hAnsi="Times New Roman" w:cs="Times New Roman"/>
        </w:rPr>
      </w:pPr>
    </w:p>
    <w:p w:rsidR="00FB5BC8" w:rsidRPr="00765E23" w:rsidRDefault="00FB5BC8" w:rsidP="00417DFB">
      <w:pPr>
        <w:spacing w:line="480" w:lineRule="auto"/>
        <w:jc w:val="both"/>
        <w:rPr>
          <w:rFonts w:ascii="Times New Roman" w:hAnsi="Times New Roman" w:cs="Times New Roman"/>
          <w:szCs w:val="24"/>
          <w:lang w:val="sr-Latn-BA"/>
        </w:rPr>
      </w:pPr>
    </w:p>
    <w:p w:rsidR="005F4EA8" w:rsidRPr="00765E23" w:rsidRDefault="005F4EA8" w:rsidP="005F4EA8">
      <w:pPr>
        <w:spacing w:after="200" w:line="480" w:lineRule="auto"/>
        <w:jc w:val="both"/>
        <w:rPr>
          <w:rFonts w:ascii="Times New Roman" w:hAnsi="Times New Roman" w:cs="Times New Roman"/>
        </w:rPr>
      </w:pPr>
    </w:p>
    <w:p w:rsidR="005F4EA8" w:rsidRPr="00765E23" w:rsidRDefault="005F4EA8" w:rsidP="005F4EA8">
      <w:pPr>
        <w:spacing w:after="200" w:line="480" w:lineRule="auto"/>
        <w:jc w:val="both"/>
        <w:rPr>
          <w:rFonts w:ascii="Times New Roman" w:hAnsi="Times New Roman" w:cs="Times New Roman"/>
        </w:rPr>
      </w:pPr>
      <w:r w:rsidRPr="00765E23">
        <w:rPr>
          <w:rFonts w:ascii="Times New Roman" w:hAnsi="Times New Roman" w:cs="Times New Roman"/>
        </w:rPr>
        <w:t>U grupi pacijenata zaraženih alfa sojem njih 217 (72.33%) je imalo povišene vrijednosti d-dimera, 140 (46.66%) je imalo venski ili arterijski tromb, dok se kod 73 pacijenta (24.33%) javila plućna embolija.  U drugoj grupi pacijenata 280 (93.33%) je imalo povišene vrijednosti d-dimera, 233 (77.66%) je imalo venski ili arterijiski tromb, dok se kod 103 pacijenta (34%) javila plućna embolija.  (Grafikoni 1</w:t>
      </w:r>
      <w:r w:rsidR="00600E62" w:rsidRPr="00765E23">
        <w:rPr>
          <w:rFonts w:ascii="Times New Roman" w:hAnsi="Times New Roman" w:cs="Times New Roman"/>
        </w:rPr>
        <w:t>.-5.</w:t>
      </w:r>
      <w:r w:rsidRPr="00765E23">
        <w:rPr>
          <w:rFonts w:ascii="Times New Roman" w:hAnsi="Times New Roman" w:cs="Times New Roman"/>
        </w:rPr>
        <w:t>)</w:t>
      </w:r>
    </w:p>
    <w:p w:rsidR="005F4EA8" w:rsidRPr="00765E23" w:rsidRDefault="005F4EA8" w:rsidP="005F4EA8">
      <w:pPr>
        <w:spacing w:after="200" w:line="480" w:lineRule="auto"/>
        <w:jc w:val="both"/>
        <w:rPr>
          <w:rFonts w:ascii="Times New Roman" w:hAnsi="Times New Roman" w:cs="Times New Roman"/>
        </w:rPr>
      </w:pPr>
    </w:p>
    <w:p w:rsidR="005F4EA8" w:rsidRPr="00765E23" w:rsidRDefault="00600E62" w:rsidP="005F4EA8">
      <w:pPr>
        <w:spacing w:after="200" w:line="480" w:lineRule="auto"/>
        <w:jc w:val="center"/>
        <w:rPr>
          <w:rFonts w:ascii="Times New Roman" w:hAnsi="Times New Roman" w:cs="Times New Roman"/>
        </w:rPr>
      </w:pPr>
      <w:r w:rsidRPr="00765E23">
        <w:rPr>
          <w:rFonts w:ascii="Times New Roman" w:hAnsi="Times New Roman" w:cs="Times New Roman"/>
          <w:noProof/>
          <w:lang w:eastAsia="bs-Latn-BA"/>
        </w:rPr>
        <w:drawing>
          <wp:inline distT="0" distB="0" distL="0" distR="0" wp14:anchorId="14D9B7E3" wp14:editId="5F7EC5E1">
            <wp:extent cx="3302000" cy="1784350"/>
            <wp:effectExtent l="0" t="0" r="12700"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600E62" w:rsidRPr="00765E23" w:rsidRDefault="00600E62" w:rsidP="005F4EA8">
      <w:pPr>
        <w:spacing w:after="200" w:line="480" w:lineRule="auto"/>
        <w:jc w:val="center"/>
        <w:rPr>
          <w:rFonts w:ascii="Times New Roman" w:hAnsi="Times New Roman" w:cs="Times New Roman"/>
        </w:rPr>
      </w:pPr>
      <w:r w:rsidRPr="00765E23">
        <w:rPr>
          <w:rFonts w:ascii="Times New Roman" w:hAnsi="Times New Roman" w:cs="Times New Roman"/>
        </w:rPr>
        <w:t>Grafikon 1. Učestalost tromboembolijskih komplikacija kod alfa soja SARS CoV2</w:t>
      </w:r>
    </w:p>
    <w:p w:rsidR="00600E62" w:rsidRPr="00765E23" w:rsidRDefault="00600E62">
      <w:pPr>
        <w:rPr>
          <w:rFonts w:ascii="Times New Roman" w:hAnsi="Times New Roman" w:cs="Times New Roman"/>
        </w:rPr>
      </w:pPr>
    </w:p>
    <w:p w:rsidR="00600E62" w:rsidRPr="00765E23" w:rsidRDefault="00600E62" w:rsidP="005F4EA8">
      <w:pPr>
        <w:spacing w:after="200" w:line="480" w:lineRule="auto"/>
        <w:jc w:val="center"/>
        <w:rPr>
          <w:rFonts w:ascii="Times New Roman" w:hAnsi="Times New Roman" w:cs="Times New Roman"/>
        </w:rPr>
      </w:pPr>
      <w:r w:rsidRPr="00765E23">
        <w:rPr>
          <w:rFonts w:ascii="Times New Roman" w:hAnsi="Times New Roman" w:cs="Times New Roman"/>
          <w:noProof/>
          <w:lang w:eastAsia="bs-Latn-BA"/>
        </w:rPr>
        <w:drawing>
          <wp:inline distT="0" distB="0" distL="0" distR="0" wp14:anchorId="6F4D9417" wp14:editId="5A176C9F">
            <wp:extent cx="3292475" cy="1774825"/>
            <wp:effectExtent l="0" t="0" r="3175" b="1587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00E62" w:rsidRPr="00765E23" w:rsidRDefault="00600E62" w:rsidP="00600E62">
      <w:pPr>
        <w:spacing w:after="200" w:line="480" w:lineRule="auto"/>
        <w:jc w:val="center"/>
        <w:rPr>
          <w:rFonts w:ascii="Times New Roman" w:hAnsi="Times New Roman" w:cs="Times New Roman"/>
        </w:rPr>
      </w:pPr>
      <w:r w:rsidRPr="00765E23">
        <w:rPr>
          <w:rFonts w:ascii="Times New Roman" w:hAnsi="Times New Roman" w:cs="Times New Roman"/>
        </w:rPr>
        <w:t>Grafikon 2. Učestalost tromboembolijskih komplikacija kod alfa soja SARS CoV2</w:t>
      </w:r>
    </w:p>
    <w:p w:rsidR="005F4EA8" w:rsidRPr="00765E23" w:rsidRDefault="005F4EA8" w:rsidP="005F4EA8">
      <w:pPr>
        <w:spacing w:after="200" w:line="480" w:lineRule="auto"/>
        <w:jc w:val="center"/>
        <w:rPr>
          <w:rFonts w:ascii="Times New Roman" w:hAnsi="Times New Roman" w:cs="Times New Roman"/>
        </w:rPr>
      </w:pPr>
      <w:r w:rsidRPr="00765E23">
        <w:rPr>
          <w:rFonts w:ascii="Times New Roman" w:hAnsi="Times New Roman" w:cs="Times New Roman"/>
          <w:noProof/>
          <w:lang w:eastAsia="bs-Latn-BA"/>
        </w:rPr>
        <w:drawing>
          <wp:inline distT="0" distB="0" distL="0" distR="0" wp14:anchorId="3F0BF792" wp14:editId="49256937">
            <wp:extent cx="3355975" cy="1752600"/>
            <wp:effectExtent l="0" t="0" r="1587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F4EA8" w:rsidRPr="00765E23" w:rsidRDefault="005F4EA8" w:rsidP="005F4EA8">
      <w:pPr>
        <w:spacing w:after="200" w:line="480" w:lineRule="auto"/>
        <w:jc w:val="center"/>
        <w:rPr>
          <w:rFonts w:ascii="Times New Roman" w:hAnsi="Times New Roman" w:cs="Times New Roman"/>
        </w:rPr>
      </w:pPr>
      <w:r w:rsidRPr="00765E23">
        <w:rPr>
          <w:rFonts w:ascii="Times New Roman" w:hAnsi="Times New Roman" w:cs="Times New Roman"/>
        </w:rPr>
        <w:t xml:space="preserve">Grafikon </w:t>
      </w:r>
      <w:r w:rsidR="00600E62" w:rsidRPr="00765E23">
        <w:rPr>
          <w:rFonts w:ascii="Times New Roman" w:hAnsi="Times New Roman" w:cs="Times New Roman"/>
        </w:rPr>
        <w:t>3</w:t>
      </w:r>
      <w:r w:rsidRPr="00765E23">
        <w:rPr>
          <w:rFonts w:ascii="Times New Roman" w:hAnsi="Times New Roman" w:cs="Times New Roman"/>
        </w:rPr>
        <w:t>. Učestalost povišenih vrijednosti D-dimera</w:t>
      </w:r>
    </w:p>
    <w:p w:rsidR="005F4EA8" w:rsidRPr="00765E23" w:rsidRDefault="005F4EA8" w:rsidP="005F4EA8">
      <w:pPr>
        <w:spacing w:after="200" w:line="480" w:lineRule="auto"/>
        <w:jc w:val="center"/>
        <w:rPr>
          <w:rFonts w:ascii="Times New Roman" w:hAnsi="Times New Roman" w:cs="Times New Roman"/>
        </w:rPr>
      </w:pPr>
    </w:p>
    <w:p w:rsidR="005F4EA8" w:rsidRPr="00765E23" w:rsidRDefault="005F4EA8" w:rsidP="005F4EA8">
      <w:pPr>
        <w:spacing w:after="200" w:line="480" w:lineRule="auto"/>
        <w:jc w:val="center"/>
        <w:rPr>
          <w:rFonts w:ascii="Times New Roman" w:hAnsi="Times New Roman" w:cs="Times New Roman"/>
        </w:rPr>
      </w:pPr>
      <w:r w:rsidRPr="00765E23">
        <w:rPr>
          <w:rFonts w:ascii="Times New Roman" w:hAnsi="Times New Roman" w:cs="Times New Roman"/>
          <w:noProof/>
          <w:lang w:eastAsia="bs-Latn-BA"/>
        </w:rPr>
        <w:lastRenderedPageBreak/>
        <w:drawing>
          <wp:inline distT="0" distB="0" distL="0" distR="0" wp14:anchorId="77A85002" wp14:editId="0F125EBB">
            <wp:extent cx="3978275" cy="2308225"/>
            <wp:effectExtent l="0" t="0" r="3175" b="158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E336A" w:rsidRPr="00765E23" w:rsidRDefault="005F4EA8" w:rsidP="000D4423">
      <w:pPr>
        <w:spacing w:after="200" w:line="480" w:lineRule="auto"/>
        <w:jc w:val="center"/>
        <w:rPr>
          <w:rFonts w:ascii="Times New Roman" w:hAnsi="Times New Roman" w:cs="Times New Roman"/>
        </w:rPr>
      </w:pPr>
      <w:r w:rsidRPr="00765E23">
        <w:rPr>
          <w:rFonts w:ascii="Times New Roman" w:hAnsi="Times New Roman" w:cs="Times New Roman"/>
        </w:rPr>
        <w:t xml:space="preserve">Grafikon </w:t>
      </w:r>
      <w:r w:rsidR="00600E62" w:rsidRPr="00765E23">
        <w:rPr>
          <w:rFonts w:ascii="Times New Roman" w:hAnsi="Times New Roman" w:cs="Times New Roman"/>
        </w:rPr>
        <w:t>4</w:t>
      </w:r>
      <w:r w:rsidRPr="00765E23">
        <w:rPr>
          <w:rFonts w:ascii="Times New Roman" w:hAnsi="Times New Roman" w:cs="Times New Roman"/>
        </w:rPr>
        <w:t>. Učestalost javaljanja venskih i arterijski tromboza</w:t>
      </w:r>
    </w:p>
    <w:p w:rsidR="005F4EA8" w:rsidRPr="00765E23" w:rsidRDefault="005F4EA8" w:rsidP="000D4423">
      <w:pPr>
        <w:spacing w:after="200" w:line="480" w:lineRule="auto"/>
        <w:jc w:val="center"/>
        <w:rPr>
          <w:rFonts w:ascii="Times New Roman" w:hAnsi="Times New Roman" w:cs="Times New Roman"/>
        </w:rPr>
      </w:pPr>
    </w:p>
    <w:p w:rsidR="005F4EA8" w:rsidRPr="00765E23" w:rsidRDefault="005F4EA8" w:rsidP="00F4195D">
      <w:pPr>
        <w:spacing w:after="200" w:line="480" w:lineRule="auto"/>
        <w:jc w:val="center"/>
        <w:rPr>
          <w:rFonts w:ascii="Times New Roman" w:hAnsi="Times New Roman" w:cs="Times New Roman"/>
        </w:rPr>
      </w:pPr>
      <w:r w:rsidRPr="00765E23">
        <w:rPr>
          <w:rFonts w:ascii="Times New Roman" w:hAnsi="Times New Roman" w:cs="Times New Roman"/>
          <w:noProof/>
          <w:lang w:eastAsia="bs-Latn-BA"/>
        </w:rPr>
        <w:drawing>
          <wp:inline distT="0" distB="0" distL="0" distR="0" wp14:anchorId="781952A8" wp14:editId="142238AE">
            <wp:extent cx="3946525" cy="2149475"/>
            <wp:effectExtent l="0" t="0" r="15875"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E336A" w:rsidRPr="00765E23" w:rsidRDefault="005F4EA8" w:rsidP="000D4423">
      <w:pPr>
        <w:spacing w:after="200" w:line="480" w:lineRule="auto"/>
        <w:jc w:val="center"/>
        <w:rPr>
          <w:rFonts w:ascii="Times New Roman" w:hAnsi="Times New Roman" w:cs="Times New Roman"/>
        </w:rPr>
      </w:pPr>
      <w:r w:rsidRPr="00765E23">
        <w:rPr>
          <w:rFonts w:ascii="Times New Roman" w:hAnsi="Times New Roman" w:cs="Times New Roman"/>
        </w:rPr>
        <w:t>Grafiko</w:t>
      </w:r>
      <w:r w:rsidR="00F4195D" w:rsidRPr="00765E23">
        <w:rPr>
          <w:rFonts w:ascii="Times New Roman" w:hAnsi="Times New Roman" w:cs="Times New Roman"/>
        </w:rPr>
        <w:t>n</w:t>
      </w:r>
      <w:r w:rsidRPr="00765E23">
        <w:rPr>
          <w:rFonts w:ascii="Times New Roman" w:hAnsi="Times New Roman" w:cs="Times New Roman"/>
        </w:rPr>
        <w:t xml:space="preserve"> </w:t>
      </w:r>
      <w:r w:rsidR="00600E62" w:rsidRPr="00765E23">
        <w:rPr>
          <w:rFonts w:ascii="Times New Roman" w:hAnsi="Times New Roman" w:cs="Times New Roman"/>
        </w:rPr>
        <w:t>5</w:t>
      </w:r>
      <w:r w:rsidRPr="00765E23">
        <w:rPr>
          <w:rFonts w:ascii="Times New Roman" w:hAnsi="Times New Roman" w:cs="Times New Roman"/>
        </w:rPr>
        <w:t xml:space="preserve">. Pojava plućne embolije </w:t>
      </w:r>
    </w:p>
    <w:p w:rsidR="003B68E7" w:rsidRPr="00765E23" w:rsidRDefault="003B68E7" w:rsidP="000D4423">
      <w:pPr>
        <w:spacing w:after="200" w:line="480" w:lineRule="auto"/>
        <w:jc w:val="center"/>
        <w:rPr>
          <w:rFonts w:ascii="Times New Roman" w:hAnsi="Times New Roman" w:cs="Times New Roman"/>
        </w:rPr>
      </w:pPr>
    </w:p>
    <w:p w:rsidR="003B68E7" w:rsidRPr="00765E23" w:rsidRDefault="001C0648" w:rsidP="003B68E7">
      <w:pPr>
        <w:spacing w:after="200" w:line="480" w:lineRule="auto"/>
        <w:jc w:val="both"/>
        <w:rPr>
          <w:rFonts w:ascii="Times New Roman" w:hAnsi="Times New Roman" w:cs="Times New Roman"/>
          <w:szCs w:val="24"/>
          <w:lang w:val="sr-Latn-BA"/>
        </w:rPr>
      </w:pPr>
      <w:r w:rsidRPr="00765E23">
        <w:rPr>
          <w:rFonts w:ascii="Times New Roman" w:hAnsi="Times New Roman" w:cs="Times New Roman"/>
          <w:b/>
          <w:szCs w:val="24"/>
          <w:lang w:val="sr-Latn-BA"/>
        </w:rPr>
        <w:t>DISKUSIJA</w:t>
      </w:r>
    </w:p>
    <w:p w:rsidR="001C0648" w:rsidRPr="00765E23" w:rsidRDefault="001C0648" w:rsidP="003B68E7">
      <w:pPr>
        <w:spacing w:after="200" w:line="480" w:lineRule="auto"/>
        <w:jc w:val="both"/>
        <w:rPr>
          <w:rFonts w:ascii="Times New Roman" w:hAnsi="Times New Roman" w:cs="Times New Roman"/>
          <w:szCs w:val="24"/>
          <w:lang w:val="sr-Latn-BA"/>
        </w:rPr>
      </w:pPr>
      <w:r w:rsidRPr="00765E23">
        <w:rPr>
          <w:rFonts w:ascii="Times New Roman" w:hAnsi="Times New Roman" w:cs="Times New Roman"/>
          <w:szCs w:val="24"/>
          <w:lang w:val="sr-Latn-BA"/>
        </w:rPr>
        <w:t xml:space="preserve">Studija je bazirana na procjeni učestalosti tromboembolijskih komplikacije u grupama pacijenata zaraženih različitim sojevima korona virusa. Primjećeno je da su se u obe grupe kod značajnog broja pacijenata javljale povišene vrijednosti D-dimera i shodno tome javio se i povećan rizik za tromboembolijske komplikacije. </w:t>
      </w:r>
    </w:p>
    <w:p w:rsidR="00DA7865" w:rsidRDefault="00565283" w:rsidP="003B68E7">
      <w:pPr>
        <w:spacing w:after="200" w:line="480" w:lineRule="auto"/>
        <w:jc w:val="both"/>
        <w:rPr>
          <w:rFonts w:ascii="Times New Roman" w:hAnsi="Times New Roman" w:cs="Times New Roman"/>
          <w:szCs w:val="24"/>
          <w:lang w:val="sr-Latn-BA"/>
        </w:rPr>
      </w:pPr>
      <w:r w:rsidRPr="00765E23">
        <w:rPr>
          <w:rFonts w:ascii="Times New Roman" w:hAnsi="Times New Roman" w:cs="Times New Roman"/>
          <w:szCs w:val="24"/>
          <w:lang w:val="sr-Latn-BA"/>
        </w:rPr>
        <w:lastRenderedPageBreak/>
        <w:t>U meta analizi koju su sproveli Young Joo Suh i saradnici, obuhvaćeno je 27 studija sa 3342 COVID pozitivna pacijenta, gdje su udružene stope incidence pulmonalne embolije i duboke venske tromboze iznosile 6.5% (95% CI: 11.6, 22.9; I2 = 0.93) i 14.8%</w:t>
      </w:r>
      <w:r w:rsidR="00DA7865">
        <w:rPr>
          <w:rFonts w:ascii="Times New Roman" w:hAnsi="Times New Roman" w:cs="Times New Roman"/>
          <w:szCs w:val="24"/>
          <w:lang w:val="sr-Latn-BA"/>
        </w:rPr>
        <w:t xml:space="preserve"> (95% CI: 8.5, 24.5; I2 = 0.94)</w:t>
      </w:r>
      <w:r w:rsidR="00765E23">
        <w:rPr>
          <w:rFonts w:ascii="Times New Roman" w:hAnsi="Times New Roman" w:cs="Times New Roman"/>
          <w:szCs w:val="24"/>
          <w:vertAlign w:val="superscript"/>
          <w:lang w:val="sr-Latn-BA"/>
        </w:rPr>
        <w:t>5</w:t>
      </w:r>
      <w:r w:rsidR="00DA7865">
        <w:rPr>
          <w:rFonts w:ascii="Times New Roman" w:hAnsi="Times New Roman" w:cs="Times New Roman"/>
          <w:szCs w:val="24"/>
          <w:lang w:val="sr-Latn-BA"/>
        </w:rPr>
        <w:t>.</w:t>
      </w:r>
    </w:p>
    <w:p w:rsidR="00DA7865" w:rsidRPr="00DA7865" w:rsidRDefault="002E2746" w:rsidP="003B68E7">
      <w:pPr>
        <w:spacing w:after="200" w:line="480" w:lineRule="auto"/>
        <w:jc w:val="both"/>
        <w:rPr>
          <w:rFonts w:ascii="Times New Roman" w:hAnsi="Times New Roman" w:cs="Times New Roman"/>
          <w:szCs w:val="24"/>
          <w:vertAlign w:val="superscript"/>
          <w:lang w:val="sr-Latn-BA"/>
        </w:rPr>
      </w:pPr>
      <w:r w:rsidRPr="00765E23">
        <w:rPr>
          <w:rFonts w:ascii="Times New Roman" w:hAnsi="Times New Roman" w:cs="Times New Roman"/>
          <w:szCs w:val="24"/>
          <w:lang w:val="sr-Latn-BA"/>
        </w:rPr>
        <w:t xml:space="preserve">Mnoge studije su pokazale da se čak i do 50% pacijenata javljaju povišene vrijednosti D-dimera, a da se kod 40% pacijenata javila plućna embolija uprkos korištenju standardnih </w:t>
      </w:r>
      <w:r w:rsidR="00DA7865">
        <w:rPr>
          <w:rFonts w:ascii="Times New Roman" w:hAnsi="Times New Roman" w:cs="Times New Roman"/>
          <w:szCs w:val="24"/>
          <w:lang w:val="sr-Latn-BA"/>
        </w:rPr>
        <w:t>doza niskomolekularnog heparina</w:t>
      </w:r>
      <w:r w:rsidR="00765E23">
        <w:rPr>
          <w:rFonts w:ascii="Times New Roman" w:hAnsi="Times New Roman" w:cs="Times New Roman"/>
          <w:szCs w:val="24"/>
          <w:vertAlign w:val="superscript"/>
          <w:lang w:val="sr-Latn-BA"/>
        </w:rPr>
        <w:t>6,7,8</w:t>
      </w:r>
      <w:r w:rsidR="00DA7865">
        <w:rPr>
          <w:rFonts w:ascii="Times New Roman" w:hAnsi="Times New Roman" w:cs="Times New Roman"/>
          <w:color w:val="000000"/>
          <w:shd w:val="clear" w:color="auto" w:fill="FFFFFF"/>
        </w:rPr>
        <w:t>.</w:t>
      </w:r>
    </w:p>
    <w:p w:rsidR="00765E23" w:rsidRPr="00DA7865" w:rsidRDefault="002A1B5B" w:rsidP="003B68E7">
      <w:pPr>
        <w:spacing w:after="200" w:line="480" w:lineRule="auto"/>
        <w:jc w:val="both"/>
        <w:rPr>
          <w:rFonts w:ascii="Times New Roman" w:hAnsi="Times New Roman" w:cs="Times New Roman"/>
          <w:szCs w:val="24"/>
          <w:vertAlign w:val="superscript"/>
          <w:lang w:val="sr-Latn-BA"/>
        </w:rPr>
      </w:pPr>
      <w:r w:rsidRPr="00765E23">
        <w:rPr>
          <w:rFonts w:ascii="Times New Roman" w:hAnsi="Times New Roman" w:cs="Times New Roman"/>
          <w:color w:val="000000"/>
          <w:shd w:val="clear" w:color="auto" w:fill="FFFFFF"/>
        </w:rPr>
        <w:t>U studiji koju je sproveo Lorant i saradnici kovid pozitivnim pacijentima rađen je CT po protokolu za PTE te je kod 32 pacijenta (30%) (od posmatranih 106 pacijenata</w:t>
      </w:r>
      <w:r w:rsidR="00DA7865">
        <w:rPr>
          <w:rFonts w:ascii="Times New Roman" w:hAnsi="Times New Roman" w:cs="Times New Roman"/>
          <w:color w:val="000000"/>
          <w:shd w:val="clear" w:color="auto" w:fill="FFFFFF"/>
        </w:rPr>
        <w:t>) potvrđena pulmonalna embolija</w:t>
      </w:r>
      <w:r w:rsidR="00765E23">
        <w:rPr>
          <w:rFonts w:ascii="Times New Roman" w:hAnsi="Times New Roman" w:cs="Times New Roman"/>
          <w:color w:val="000000"/>
          <w:shd w:val="clear" w:color="auto" w:fill="FFFFFF"/>
          <w:vertAlign w:val="superscript"/>
        </w:rPr>
        <w:t>9</w:t>
      </w:r>
      <w:r w:rsidR="00DA7865">
        <w:rPr>
          <w:rFonts w:ascii="Times New Roman" w:hAnsi="Times New Roman" w:cs="Times New Roman"/>
          <w:color w:val="000000"/>
          <w:shd w:val="clear" w:color="auto" w:fill="FFFFFF"/>
        </w:rPr>
        <w:t>.</w:t>
      </w:r>
    </w:p>
    <w:p w:rsidR="00765E23" w:rsidRDefault="00765E23" w:rsidP="003B68E7">
      <w:pPr>
        <w:spacing w:after="200" w:line="480" w:lineRule="auto"/>
        <w:jc w:val="both"/>
        <w:rPr>
          <w:rFonts w:ascii="Times New Roman" w:hAnsi="Times New Roman" w:cs="Times New Roman"/>
          <w:b/>
          <w:color w:val="000000"/>
          <w:shd w:val="clear" w:color="auto" w:fill="FFFFFF"/>
        </w:rPr>
      </w:pPr>
      <w:r w:rsidRPr="00765E23">
        <w:rPr>
          <w:rFonts w:ascii="Times New Roman" w:hAnsi="Times New Roman" w:cs="Times New Roman"/>
          <w:b/>
          <w:color w:val="000000"/>
          <w:shd w:val="clear" w:color="auto" w:fill="FFFFFF"/>
        </w:rPr>
        <w:t>ZAKLJUČAK</w:t>
      </w:r>
    </w:p>
    <w:p w:rsidR="00765E23" w:rsidRDefault="00765E23" w:rsidP="003B68E7">
      <w:pPr>
        <w:spacing w:after="200" w:line="480" w:lineRule="auto"/>
        <w:jc w:val="both"/>
        <w:rPr>
          <w:rFonts w:ascii="Times New Roman" w:hAnsi="Times New Roman" w:cs="Times New Roman"/>
          <w:b/>
          <w:color w:val="000000"/>
          <w:shd w:val="clear" w:color="auto" w:fill="FFFFFF"/>
        </w:rPr>
      </w:pPr>
    </w:p>
    <w:p w:rsidR="00765E23" w:rsidRDefault="00765E23" w:rsidP="003B68E7">
      <w:pPr>
        <w:spacing w:after="200"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Na osnovu prikazanih rezultata, jasno je da se u obje grupe pacijenta nalazi visoka incidenca povišenih vrijednosti D-dimera, ali da je u grupi pacijenata zaraženih delta sojem SARS CoV2 nađena statistički značajnija učestalost kako povišenih vrijednosti D-dimera, tako i drugih tromboembolijskih komplikacija (venske i arterijske tromboze, pulmonalna embolija).</w:t>
      </w:r>
    </w:p>
    <w:p w:rsidR="00765E23" w:rsidRPr="00765E23" w:rsidRDefault="00765E23" w:rsidP="003B68E7">
      <w:pPr>
        <w:spacing w:after="200"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Neophodno je kod svih pacijenata sa koronavirusnom infekcijom uvesti profilaktičku antitrombotsku terapiju. </w:t>
      </w:r>
    </w:p>
    <w:p w:rsidR="003B68E7" w:rsidRPr="00765E23" w:rsidRDefault="003B68E7" w:rsidP="000D4423">
      <w:pPr>
        <w:spacing w:after="200" w:line="480" w:lineRule="auto"/>
        <w:jc w:val="center"/>
        <w:rPr>
          <w:rFonts w:ascii="Times New Roman" w:hAnsi="Times New Roman" w:cs="Times New Roman"/>
        </w:rPr>
      </w:pPr>
    </w:p>
    <w:p w:rsidR="00BA6590" w:rsidRDefault="00BA6590" w:rsidP="002206DC">
      <w:pPr>
        <w:spacing w:after="200" w:line="480" w:lineRule="auto"/>
        <w:jc w:val="both"/>
        <w:rPr>
          <w:rFonts w:ascii="Times New Roman" w:hAnsi="Times New Roman" w:cs="Times New Roman"/>
          <w:b/>
          <w:szCs w:val="24"/>
          <w:lang w:val="en-GB"/>
        </w:rPr>
      </w:pPr>
    </w:p>
    <w:p w:rsidR="00DA7865" w:rsidRPr="00765E23" w:rsidRDefault="00DA7865" w:rsidP="002206DC">
      <w:pPr>
        <w:spacing w:after="200" w:line="480" w:lineRule="auto"/>
        <w:jc w:val="both"/>
        <w:rPr>
          <w:rFonts w:ascii="Times New Roman" w:hAnsi="Times New Roman" w:cs="Times New Roman"/>
          <w:b/>
          <w:szCs w:val="24"/>
          <w:lang w:val="en-GB"/>
        </w:rPr>
      </w:pPr>
    </w:p>
    <w:p w:rsidR="002206DC" w:rsidRPr="00765E23" w:rsidRDefault="002206DC" w:rsidP="008D7D2A">
      <w:pPr>
        <w:spacing w:after="200" w:line="480" w:lineRule="auto"/>
        <w:jc w:val="both"/>
        <w:rPr>
          <w:rFonts w:ascii="Times New Roman" w:hAnsi="Times New Roman" w:cs="Times New Roman"/>
          <w:b/>
          <w:szCs w:val="24"/>
        </w:rPr>
      </w:pPr>
    </w:p>
    <w:p w:rsidR="00765E23" w:rsidRPr="00765E23" w:rsidRDefault="00765E23" w:rsidP="00765E23">
      <w:pPr>
        <w:spacing w:after="200" w:line="480" w:lineRule="auto"/>
        <w:jc w:val="both"/>
        <w:rPr>
          <w:rFonts w:ascii="Times New Roman" w:hAnsi="Times New Roman" w:cs="Times New Roman"/>
          <w:b/>
        </w:rPr>
      </w:pPr>
      <w:r w:rsidRPr="00765E23">
        <w:rPr>
          <w:rFonts w:ascii="Times New Roman" w:hAnsi="Times New Roman" w:cs="Times New Roman"/>
          <w:b/>
        </w:rPr>
        <w:lastRenderedPageBreak/>
        <w:t>LITERATURA</w:t>
      </w:r>
    </w:p>
    <w:p w:rsidR="008A3B90" w:rsidRPr="00765E23" w:rsidRDefault="00555801"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color w:val="212121"/>
          <w:szCs w:val="24"/>
          <w:shd w:val="clear" w:color="auto" w:fill="FFFFFF"/>
        </w:rPr>
        <w:t>1. Morishita E. COVID-19-associated coagulopathy. Rinsho Ketsueki. 2021;62(8):1236-1246.</w:t>
      </w:r>
    </w:p>
    <w:p w:rsidR="00765E23" w:rsidRDefault="008D7D2A"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color w:val="212121"/>
          <w:szCs w:val="24"/>
          <w:shd w:val="clear" w:color="auto" w:fill="FFFFFF"/>
        </w:rPr>
        <w:t>2. Iba, T., Connors, J.M. &amp; Levy, J.H. The coagulopathy, endotheliopathy, and vasculitis of COVID-19. </w:t>
      </w:r>
      <w:r w:rsidRPr="00765E23">
        <w:rPr>
          <w:rFonts w:ascii="Times New Roman" w:hAnsi="Times New Roman" w:cs="Times New Roman"/>
          <w:i/>
          <w:iCs/>
          <w:color w:val="212121"/>
          <w:szCs w:val="24"/>
          <w:shd w:val="clear" w:color="auto" w:fill="FFFFFF"/>
        </w:rPr>
        <w:t>Inflamm. Res.</w:t>
      </w:r>
      <w:r w:rsidRPr="00765E23">
        <w:rPr>
          <w:rFonts w:ascii="Times New Roman" w:hAnsi="Times New Roman" w:cs="Times New Roman"/>
          <w:color w:val="212121"/>
          <w:szCs w:val="24"/>
          <w:shd w:val="clear" w:color="auto" w:fill="FFFFFF"/>
        </w:rPr>
        <w:t> </w:t>
      </w:r>
      <w:r w:rsidRPr="00765E23">
        <w:rPr>
          <w:rFonts w:ascii="Times New Roman" w:hAnsi="Times New Roman" w:cs="Times New Roman"/>
          <w:b/>
          <w:bCs/>
          <w:color w:val="212121"/>
          <w:szCs w:val="24"/>
          <w:shd w:val="clear" w:color="auto" w:fill="FFFFFF"/>
        </w:rPr>
        <w:t>69, </w:t>
      </w:r>
      <w:r w:rsidRPr="00765E23">
        <w:rPr>
          <w:rFonts w:ascii="Times New Roman" w:hAnsi="Times New Roman" w:cs="Times New Roman"/>
          <w:color w:val="212121"/>
          <w:szCs w:val="24"/>
          <w:shd w:val="clear" w:color="auto" w:fill="FFFFFF"/>
        </w:rPr>
        <w:t>2020; 1181–1189.</w:t>
      </w:r>
    </w:p>
    <w:p w:rsidR="00765E23" w:rsidRDefault="00B21FB3"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color w:val="212121"/>
          <w:szCs w:val="24"/>
          <w:shd w:val="clear" w:color="auto" w:fill="FFFFFF"/>
        </w:rPr>
        <w:t xml:space="preserve">3. </w:t>
      </w:r>
      <w:r w:rsidRPr="00765E23">
        <w:rPr>
          <w:rFonts w:ascii="Times New Roman" w:hAnsi="Times New Roman" w:cs="Times New Roman"/>
          <w:color w:val="303030"/>
          <w:szCs w:val="24"/>
          <w:shd w:val="clear" w:color="auto" w:fill="FFFFFF"/>
        </w:rPr>
        <w:t>Jayarangaiah A, Kariyanna PT, Chen X, Jayarangaiah A, Kumar A. COVID-19-Associated Coagulopathy: An Exacerbated Immunothrombosis Response. </w:t>
      </w:r>
      <w:r w:rsidRPr="00765E23">
        <w:rPr>
          <w:rFonts w:ascii="Times New Roman" w:hAnsi="Times New Roman" w:cs="Times New Roman"/>
          <w:i/>
          <w:iCs/>
          <w:color w:val="303030"/>
          <w:szCs w:val="24"/>
          <w:shd w:val="clear" w:color="auto" w:fill="FFFFFF"/>
        </w:rPr>
        <w:t>Clin Appl Thromb Hemost</w:t>
      </w:r>
      <w:r w:rsidR="00765E23">
        <w:rPr>
          <w:rFonts w:ascii="Times New Roman" w:hAnsi="Times New Roman" w:cs="Times New Roman"/>
          <w:color w:val="303030"/>
          <w:szCs w:val="24"/>
          <w:shd w:val="clear" w:color="auto" w:fill="FFFFFF"/>
        </w:rPr>
        <w:t>. 2020;26.</w:t>
      </w:r>
    </w:p>
    <w:p w:rsidR="00765E23" w:rsidRDefault="002A1B5B"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color w:val="303030"/>
          <w:szCs w:val="24"/>
          <w:shd w:val="clear" w:color="auto" w:fill="FFFFFF"/>
        </w:rPr>
        <w:t>4.</w:t>
      </w:r>
      <w:r w:rsidRPr="00765E23">
        <w:rPr>
          <w:rFonts w:ascii="Times New Roman" w:hAnsi="Times New Roman" w:cs="Times New Roman"/>
        </w:rPr>
        <w:t xml:space="preserve"> </w:t>
      </w:r>
      <w:r w:rsidRPr="00765E23">
        <w:rPr>
          <w:rFonts w:ascii="Times New Roman" w:hAnsi="Times New Roman" w:cs="Times New Roman"/>
          <w:color w:val="303030"/>
          <w:szCs w:val="24"/>
          <w:shd w:val="clear" w:color="auto" w:fill="FFFFFF"/>
        </w:rPr>
        <w:t xml:space="preserve">Ahmed S, Zimba O, Gasparyan AY. Thrombosis in Coronavirus disease 2019 (COVID-19) through the prism of Virchow's triad. Clin Rheumatol. 2020 Sep;39(9):2529-2543. </w:t>
      </w:r>
    </w:p>
    <w:p w:rsidR="00565283" w:rsidRPr="00765E23" w:rsidRDefault="002A1B5B" w:rsidP="00B21FB3">
      <w:pPr>
        <w:spacing w:after="200" w:line="480" w:lineRule="auto"/>
        <w:jc w:val="both"/>
        <w:rPr>
          <w:rFonts w:ascii="Times New Roman" w:hAnsi="Times New Roman" w:cs="Times New Roman"/>
          <w:color w:val="212121"/>
          <w:szCs w:val="24"/>
          <w:shd w:val="clear" w:color="auto" w:fill="FFFFFF"/>
        </w:rPr>
      </w:pPr>
      <w:r w:rsidRPr="00765E23">
        <w:rPr>
          <w:rFonts w:ascii="Times New Roman" w:hAnsi="Times New Roman" w:cs="Times New Roman"/>
          <w:szCs w:val="24"/>
        </w:rPr>
        <w:t xml:space="preserve">5. </w:t>
      </w:r>
      <w:r w:rsidR="00565283" w:rsidRPr="00765E23">
        <w:rPr>
          <w:rFonts w:ascii="Times New Roman" w:hAnsi="Times New Roman" w:cs="Times New Roman"/>
          <w:szCs w:val="24"/>
        </w:rPr>
        <w:t xml:space="preserve">Suh YJ, Hong H, Ohana M, et al. Pulmonary Embolism and Deep Vein Thrombosis in COVID-19: A Systematic Review and Meta-Analysis. Radiology. 2021;298(2):E70-E80. </w:t>
      </w:r>
    </w:p>
    <w:p w:rsidR="002E2746" w:rsidRPr="00765E23" w:rsidRDefault="002A1B5B" w:rsidP="00B21FB3">
      <w:pPr>
        <w:spacing w:after="200" w:line="480" w:lineRule="auto"/>
        <w:jc w:val="both"/>
        <w:rPr>
          <w:rFonts w:ascii="Times New Roman" w:hAnsi="Times New Roman" w:cs="Times New Roman"/>
          <w:szCs w:val="24"/>
        </w:rPr>
      </w:pPr>
      <w:r w:rsidRPr="00765E23">
        <w:rPr>
          <w:rFonts w:ascii="Times New Roman" w:hAnsi="Times New Roman" w:cs="Times New Roman"/>
          <w:szCs w:val="24"/>
        </w:rPr>
        <w:t xml:space="preserve">6. </w:t>
      </w:r>
      <w:r w:rsidR="002E2746" w:rsidRPr="00765E23">
        <w:rPr>
          <w:rFonts w:ascii="Times New Roman" w:hAnsi="Times New Roman" w:cs="Times New Roman"/>
          <w:szCs w:val="24"/>
        </w:rPr>
        <w:t>Miesbach W, Makris M. COVID-19: Coagulopathy, Risk of Thrombosis, and the Rationale for Anticoagulation. Clin Appl Thromb Hemost. 2020;26</w:t>
      </w:r>
      <w:r w:rsidR="00765E23">
        <w:rPr>
          <w:rFonts w:ascii="Times New Roman" w:hAnsi="Times New Roman" w:cs="Times New Roman"/>
          <w:szCs w:val="24"/>
        </w:rPr>
        <w:t>.</w:t>
      </w:r>
    </w:p>
    <w:p w:rsidR="00765E23" w:rsidRDefault="002A1B5B" w:rsidP="00B21FB3">
      <w:pPr>
        <w:spacing w:after="200" w:line="480" w:lineRule="auto"/>
        <w:jc w:val="both"/>
        <w:rPr>
          <w:rFonts w:ascii="Times New Roman" w:hAnsi="Times New Roman" w:cs="Times New Roman"/>
          <w:szCs w:val="24"/>
        </w:rPr>
      </w:pPr>
      <w:r w:rsidRPr="00765E23">
        <w:rPr>
          <w:rFonts w:ascii="Times New Roman" w:hAnsi="Times New Roman" w:cs="Times New Roman"/>
          <w:szCs w:val="24"/>
        </w:rPr>
        <w:t xml:space="preserve">7. </w:t>
      </w:r>
      <w:r w:rsidR="002E2746" w:rsidRPr="00765E23">
        <w:rPr>
          <w:rFonts w:ascii="Times New Roman" w:hAnsi="Times New Roman" w:cs="Times New Roman"/>
          <w:szCs w:val="24"/>
        </w:rPr>
        <w:t xml:space="preserve">Klok FA, Kruip MJHA, van der Meer NJM, et al. Incidence of thrombotic complications in critically ill ICU patients with COVID-19. Thromb Res. 2020;191:145-147. </w:t>
      </w:r>
    </w:p>
    <w:p w:rsidR="002A1B5B" w:rsidRPr="00765E23" w:rsidRDefault="002A1B5B" w:rsidP="00B21FB3">
      <w:pPr>
        <w:spacing w:after="200" w:line="480" w:lineRule="auto"/>
        <w:jc w:val="both"/>
        <w:rPr>
          <w:rFonts w:ascii="Times New Roman" w:hAnsi="Times New Roman" w:cs="Times New Roman"/>
          <w:szCs w:val="24"/>
        </w:rPr>
      </w:pPr>
      <w:r w:rsidRPr="00765E23">
        <w:rPr>
          <w:rFonts w:ascii="Times New Roman" w:hAnsi="Times New Roman" w:cs="Times New Roman"/>
          <w:szCs w:val="24"/>
        </w:rPr>
        <w:t>8. Helms J, Tacquard C, Severac F</w:t>
      </w:r>
      <w:r w:rsidR="0099159F" w:rsidRPr="00765E23">
        <w:rPr>
          <w:rFonts w:ascii="Times New Roman" w:hAnsi="Times New Roman" w:cs="Times New Roman"/>
          <w:szCs w:val="24"/>
        </w:rPr>
        <w:t>, et al.</w:t>
      </w:r>
      <w:r w:rsidRPr="00765E23">
        <w:rPr>
          <w:rFonts w:ascii="Times New Roman" w:hAnsi="Times New Roman" w:cs="Times New Roman"/>
          <w:szCs w:val="24"/>
        </w:rPr>
        <w:t xml:space="preserve"> High risk of thrombosis in patients with severe SARS-CoV-2 infection: a multicenter prospective cohort study. Intensive Care Med. 2020 Jun;46(6):1089-1098</w:t>
      </w:r>
    </w:p>
    <w:p w:rsidR="002A1B5B" w:rsidRPr="00765E23" w:rsidRDefault="0099159F" w:rsidP="00B21FB3">
      <w:pPr>
        <w:spacing w:after="200" w:line="480" w:lineRule="auto"/>
        <w:jc w:val="both"/>
        <w:rPr>
          <w:rFonts w:ascii="Times New Roman" w:hAnsi="Times New Roman" w:cs="Times New Roman"/>
          <w:szCs w:val="24"/>
        </w:rPr>
      </w:pPr>
      <w:r w:rsidRPr="00765E23">
        <w:rPr>
          <w:rFonts w:ascii="Times New Roman" w:hAnsi="Times New Roman" w:cs="Times New Roman"/>
          <w:szCs w:val="24"/>
        </w:rPr>
        <w:t>9</w:t>
      </w:r>
      <w:r w:rsidR="002A1B5B" w:rsidRPr="00765E23">
        <w:rPr>
          <w:rFonts w:ascii="Times New Roman" w:hAnsi="Times New Roman" w:cs="Times New Roman"/>
          <w:szCs w:val="24"/>
        </w:rPr>
        <w:t>. Léonard-Lorant I, Delabranche X, Séverac F, et al. Acute Pulmonary Embolism in Patients with COVID-19 at CT Angiography and Relationship to d-Dimer Levels. Radiology. 2020;296(3):E189-E191</w:t>
      </w:r>
    </w:p>
    <w:p w:rsidR="008A3B90" w:rsidRPr="00765E23" w:rsidRDefault="008A3B90" w:rsidP="008D7D2A">
      <w:pPr>
        <w:spacing w:after="200" w:line="480" w:lineRule="auto"/>
        <w:rPr>
          <w:rFonts w:ascii="Times New Roman" w:hAnsi="Times New Roman" w:cs="Times New Roman"/>
        </w:rPr>
      </w:pPr>
    </w:p>
    <w:sectPr w:rsidR="008A3B90" w:rsidRPr="00765E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C6A"/>
    <w:rsid w:val="000D4423"/>
    <w:rsid w:val="00111EF8"/>
    <w:rsid w:val="001C0648"/>
    <w:rsid w:val="001E60DD"/>
    <w:rsid w:val="002206DC"/>
    <w:rsid w:val="002A1B5B"/>
    <w:rsid w:val="002D76AA"/>
    <w:rsid w:val="002E2746"/>
    <w:rsid w:val="003B68E7"/>
    <w:rsid w:val="00417DFB"/>
    <w:rsid w:val="004E0D01"/>
    <w:rsid w:val="00555801"/>
    <w:rsid w:val="00565283"/>
    <w:rsid w:val="005F4EA8"/>
    <w:rsid w:val="00600E62"/>
    <w:rsid w:val="00632820"/>
    <w:rsid w:val="00765E23"/>
    <w:rsid w:val="00811D74"/>
    <w:rsid w:val="008A3B90"/>
    <w:rsid w:val="008D7D2A"/>
    <w:rsid w:val="00920B5C"/>
    <w:rsid w:val="0099159F"/>
    <w:rsid w:val="009B1D2E"/>
    <w:rsid w:val="00A447B8"/>
    <w:rsid w:val="00A57C6A"/>
    <w:rsid w:val="00AD7BE9"/>
    <w:rsid w:val="00B21FB3"/>
    <w:rsid w:val="00BA6590"/>
    <w:rsid w:val="00BB6FEF"/>
    <w:rsid w:val="00BE336A"/>
    <w:rsid w:val="00C271E5"/>
    <w:rsid w:val="00CE6D32"/>
    <w:rsid w:val="00D954E9"/>
    <w:rsid w:val="00DA7865"/>
    <w:rsid w:val="00E03728"/>
    <w:rsid w:val="00E84C71"/>
    <w:rsid w:val="00F4195D"/>
    <w:rsid w:val="00F4238B"/>
    <w:rsid w:val="00FB5BC8"/>
    <w:rsid w:val="00FD70D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1CB24-568B-4B88-AB46-11E392222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HAnsi"/>
        <w:sz w:val="24"/>
        <w:szCs w:val="28"/>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0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03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S\Desktop\New%20Microsoft%20Excel%20Worksheet%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S\Desktop\New%20Microsoft%20Excel%20Worksheet%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S\Desktop\New%20Microsoft%20Excel%20Worksheet%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S\Desktop\New%20Microsoft%20Excel%20Worksheet%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S\Desktop\New%20Microsoft%20Excel%20Worksheet%20(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sr-Latn-RS"/>
        </a:p>
      </c:txPr>
    </c:title>
    <c:autoTitleDeleted val="0"/>
    <c:plotArea>
      <c:layout/>
      <c:barChart>
        <c:barDir val="col"/>
        <c:grouping val="clustered"/>
        <c:varyColors val="0"/>
        <c:ser>
          <c:idx val="0"/>
          <c:order val="0"/>
          <c:tx>
            <c:strRef>
              <c:f>Sheet1!$C$29</c:f>
              <c:strCache>
                <c:ptCount val="1"/>
                <c:pt idx="0">
                  <c:v>Alfa soj</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Sheet1!$D$28:$F$28</c:f>
              <c:strCache>
                <c:ptCount val="3"/>
                <c:pt idx="0">
                  <c:v>Plućna embolija</c:v>
                </c:pt>
                <c:pt idx="1">
                  <c:v>D-dimer</c:v>
                </c:pt>
                <c:pt idx="2">
                  <c:v>Tromboza</c:v>
                </c:pt>
              </c:strCache>
            </c:strRef>
          </c:cat>
          <c:val>
            <c:numRef>
              <c:f>Sheet1!$D$29:$F$29</c:f>
              <c:numCache>
                <c:formatCode>General</c:formatCode>
                <c:ptCount val="3"/>
                <c:pt idx="0">
                  <c:v>73</c:v>
                </c:pt>
                <c:pt idx="1">
                  <c:v>217</c:v>
                </c:pt>
                <c:pt idx="2">
                  <c:v>140</c:v>
                </c:pt>
              </c:numCache>
            </c:numRef>
          </c:val>
        </c:ser>
        <c:dLbls>
          <c:showLegendKey val="0"/>
          <c:showVal val="0"/>
          <c:showCatName val="0"/>
          <c:showSerName val="0"/>
          <c:showPercent val="0"/>
          <c:showBubbleSize val="0"/>
        </c:dLbls>
        <c:gapWidth val="100"/>
        <c:overlap val="-24"/>
        <c:axId val="412147192"/>
        <c:axId val="412144056"/>
      </c:barChart>
      <c:valAx>
        <c:axId val="41214405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sr-Latn-RS"/>
          </a:p>
        </c:txPr>
        <c:crossAx val="412147192"/>
        <c:crosses val="autoZero"/>
        <c:crossBetween val="between"/>
      </c:valAx>
      <c:catAx>
        <c:axId val="41214719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sr-Latn-RS"/>
          </a:p>
        </c:txPr>
        <c:crossAx val="4121440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sr-Latn-RS"/>
        </a:p>
      </c:txPr>
    </c:title>
    <c:autoTitleDeleted val="0"/>
    <c:plotArea>
      <c:layout/>
      <c:barChart>
        <c:barDir val="col"/>
        <c:grouping val="clustered"/>
        <c:varyColors val="0"/>
        <c:ser>
          <c:idx val="0"/>
          <c:order val="0"/>
          <c:tx>
            <c:strRef>
              <c:f>Sheet1!$C$33</c:f>
              <c:strCache>
                <c:ptCount val="1"/>
                <c:pt idx="0">
                  <c:v>Delta soj</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Sheet1!$D$32:$F$32</c:f>
              <c:strCache>
                <c:ptCount val="3"/>
                <c:pt idx="0">
                  <c:v>Plućna embolija</c:v>
                </c:pt>
                <c:pt idx="1">
                  <c:v>D-dimer</c:v>
                </c:pt>
                <c:pt idx="2">
                  <c:v>Tromboza</c:v>
                </c:pt>
              </c:strCache>
            </c:strRef>
          </c:cat>
          <c:val>
            <c:numRef>
              <c:f>Sheet1!$D$33:$F$33</c:f>
              <c:numCache>
                <c:formatCode>General</c:formatCode>
                <c:ptCount val="3"/>
                <c:pt idx="0">
                  <c:v>103</c:v>
                </c:pt>
                <c:pt idx="1">
                  <c:v>280</c:v>
                </c:pt>
                <c:pt idx="2">
                  <c:v>233</c:v>
                </c:pt>
              </c:numCache>
            </c:numRef>
          </c:val>
        </c:ser>
        <c:dLbls>
          <c:dLblPos val="outEnd"/>
          <c:showLegendKey val="0"/>
          <c:showVal val="1"/>
          <c:showCatName val="0"/>
          <c:showSerName val="0"/>
          <c:showPercent val="0"/>
          <c:showBubbleSize val="0"/>
        </c:dLbls>
        <c:gapWidth val="100"/>
        <c:overlap val="-24"/>
        <c:axId val="412144448"/>
        <c:axId val="412143664"/>
      </c:barChart>
      <c:catAx>
        <c:axId val="41214444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sr-Latn-RS"/>
          </a:p>
        </c:txPr>
        <c:crossAx val="412143664"/>
        <c:crosses val="autoZero"/>
        <c:auto val="1"/>
        <c:lblAlgn val="ctr"/>
        <c:lblOffset val="100"/>
        <c:noMultiLvlLbl val="0"/>
      </c:catAx>
      <c:valAx>
        <c:axId val="41214366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sr-Latn-RS"/>
          </a:p>
        </c:txPr>
        <c:crossAx val="412144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D-dimer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manualLayout>
          <c:layoutTarget val="inner"/>
          <c:xMode val="edge"/>
          <c:yMode val="edge"/>
          <c:x val="0.10974693535962569"/>
          <c:y val="0.15353255757706055"/>
          <c:w val="0.89019685039370078"/>
          <c:h val="0.72088764946048411"/>
        </c:manualLayout>
      </c:layout>
      <c:barChart>
        <c:barDir val="col"/>
        <c:grouping val="clustered"/>
        <c:varyColors val="0"/>
        <c:ser>
          <c:idx val="0"/>
          <c:order val="0"/>
          <c:tx>
            <c:strRef>
              <c:f>Sheet1!$D$8</c:f>
              <c:strCache>
                <c:ptCount val="1"/>
                <c:pt idx="0">
                  <c:v>D-dimer</c:v>
                </c:pt>
              </c:strCache>
            </c:strRef>
          </c:tx>
          <c:spPr>
            <a:solidFill>
              <a:schemeClr val="accent1"/>
            </a:solidFill>
            <a:ln>
              <a:noFill/>
            </a:ln>
            <a:effectLst/>
          </c:spPr>
          <c:invertIfNegative val="0"/>
          <c:cat>
            <c:strRef>
              <c:f>Sheet1!$C$9:$C$10</c:f>
              <c:strCache>
                <c:ptCount val="2"/>
                <c:pt idx="0">
                  <c:v>Alfa soj</c:v>
                </c:pt>
                <c:pt idx="1">
                  <c:v>Delta soj</c:v>
                </c:pt>
              </c:strCache>
            </c:strRef>
          </c:cat>
          <c:val>
            <c:numRef>
              <c:f>Sheet1!$D$9:$D$10</c:f>
              <c:numCache>
                <c:formatCode>General</c:formatCode>
                <c:ptCount val="2"/>
                <c:pt idx="0">
                  <c:v>217</c:v>
                </c:pt>
                <c:pt idx="1">
                  <c:v>280</c:v>
                </c:pt>
              </c:numCache>
            </c:numRef>
          </c:val>
        </c:ser>
        <c:dLbls>
          <c:showLegendKey val="0"/>
          <c:showVal val="0"/>
          <c:showCatName val="0"/>
          <c:showSerName val="0"/>
          <c:showPercent val="0"/>
          <c:showBubbleSize val="0"/>
        </c:dLbls>
        <c:gapWidth val="219"/>
        <c:overlap val="-27"/>
        <c:axId val="412145624"/>
        <c:axId val="412149936"/>
      </c:barChart>
      <c:catAx>
        <c:axId val="412145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sr-Latn-RS"/>
          </a:p>
        </c:txPr>
        <c:crossAx val="412149936"/>
        <c:crosses val="autoZero"/>
        <c:auto val="1"/>
        <c:lblAlgn val="ctr"/>
        <c:lblOffset val="100"/>
        <c:noMultiLvlLbl val="0"/>
      </c:catAx>
      <c:valAx>
        <c:axId val="412149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12145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Sheet1!$D$14</c:f>
              <c:strCache>
                <c:ptCount val="1"/>
                <c:pt idx="0">
                  <c:v>Tromboza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Sheet1!$C$15:$C$16</c:f>
              <c:strCache>
                <c:ptCount val="2"/>
                <c:pt idx="0">
                  <c:v>Alfa soj</c:v>
                </c:pt>
                <c:pt idx="1">
                  <c:v>Delta soj</c:v>
                </c:pt>
              </c:strCache>
            </c:strRef>
          </c:cat>
          <c:val>
            <c:numRef>
              <c:f>Sheet1!$D$15:$D$16</c:f>
              <c:numCache>
                <c:formatCode>General</c:formatCode>
                <c:ptCount val="2"/>
                <c:pt idx="0">
                  <c:v>140</c:v>
                </c:pt>
                <c:pt idx="1">
                  <c:v>233</c:v>
                </c:pt>
              </c:numCache>
            </c:numRef>
          </c:val>
        </c:ser>
        <c:dLbls>
          <c:dLblPos val="outEnd"/>
          <c:showLegendKey val="0"/>
          <c:showVal val="1"/>
          <c:showCatName val="0"/>
          <c:showSerName val="0"/>
          <c:showPercent val="0"/>
          <c:showBubbleSize val="0"/>
        </c:dLbls>
        <c:gapWidth val="219"/>
        <c:overlap val="-27"/>
        <c:axId val="412146016"/>
        <c:axId val="412146408"/>
      </c:barChart>
      <c:catAx>
        <c:axId val="412146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12146408"/>
        <c:crosses val="autoZero"/>
        <c:auto val="1"/>
        <c:lblAlgn val="ctr"/>
        <c:lblOffset val="100"/>
        <c:noMultiLvlLbl val="0"/>
      </c:catAx>
      <c:valAx>
        <c:axId val="412146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12146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manualLayout>
          <c:layoutTarget val="inner"/>
          <c:xMode val="edge"/>
          <c:yMode val="edge"/>
          <c:x val="7.9247594050743664E-2"/>
          <c:y val="0.16708333333333336"/>
          <c:w val="0.89019685039370078"/>
          <c:h val="0.72088764946048411"/>
        </c:manualLayout>
      </c:layout>
      <c:barChart>
        <c:barDir val="col"/>
        <c:grouping val="clustered"/>
        <c:varyColors val="0"/>
        <c:ser>
          <c:idx val="0"/>
          <c:order val="0"/>
          <c:tx>
            <c:strRef>
              <c:f>Sheet1!$D$21</c:f>
              <c:strCache>
                <c:ptCount val="1"/>
                <c:pt idx="0">
                  <c:v>Plućna embolija</c:v>
                </c:pt>
              </c:strCache>
            </c:strRef>
          </c:tx>
          <c:spPr>
            <a:solidFill>
              <a:schemeClr val="accent1"/>
            </a:solidFill>
            <a:ln>
              <a:noFill/>
            </a:ln>
            <a:effectLst/>
          </c:spPr>
          <c:invertIfNegative val="0"/>
          <c:cat>
            <c:strRef>
              <c:f>Sheet1!$C$22:$C$23</c:f>
              <c:strCache>
                <c:ptCount val="2"/>
                <c:pt idx="0">
                  <c:v>Alfa soj</c:v>
                </c:pt>
                <c:pt idx="1">
                  <c:v>Delta soj</c:v>
                </c:pt>
              </c:strCache>
            </c:strRef>
          </c:cat>
          <c:val>
            <c:numRef>
              <c:f>Sheet1!$D$22:$D$23</c:f>
              <c:numCache>
                <c:formatCode>General</c:formatCode>
                <c:ptCount val="2"/>
                <c:pt idx="0">
                  <c:v>73</c:v>
                </c:pt>
                <c:pt idx="1">
                  <c:v>103</c:v>
                </c:pt>
              </c:numCache>
            </c:numRef>
          </c:val>
        </c:ser>
        <c:dLbls>
          <c:showLegendKey val="0"/>
          <c:showVal val="0"/>
          <c:showCatName val="0"/>
          <c:showSerName val="0"/>
          <c:showPercent val="0"/>
          <c:showBubbleSize val="0"/>
        </c:dLbls>
        <c:gapWidth val="219"/>
        <c:overlap val="-27"/>
        <c:axId val="412147584"/>
        <c:axId val="412148368"/>
      </c:barChart>
      <c:catAx>
        <c:axId val="41214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12148368"/>
        <c:crosses val="autoZero"/>
        <c:auto val="1"/>
        <c:lblAlgn val="ctr"/>
        <c:lblOffset val="100"/>
        <c:noMultiLvlLbl val="0"/>
      </c:catAx>
      <c:valAx>
        <c:axId val="412148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412147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D4F62-F7A6-432E-91C3-DEDBCF447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1</Pages>
  <Words>1546</Words>
  <Characters>8816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rg-adguard</Company>
  <LinksUpToDate>false</LinksUpToDate>
  <CharactersWithSpaces>10342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dc:creator>
  <cp:keywords/>
  <dc:description/>
  <cp:lastModifiedBy>D S</cp:lastModifiedBy>
  <cp:revision>21</cp:revision>
  <dcterms:created xsi:type="dcterms:W3CDTF">2022-02-01T16:40:00Z</dcterms:created>
  <dcterms:modified xsi:type="dcterms:W3CDTF">2022-02-07T19:27:00Z</dcterms:modified>
</cp:coreProperties>
</file>