
<file path=[Content_Types].xml><?xml version="1.0" encoding="utf-8"?>
<Types xmlns="http://schemas.openxmlformats.org/package/2006/content-types">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7241" w:rsidRDefault="00AF16EE">
      <w:pPr>
        <w:spacing w:after="480" w:line="48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Primjena tocilizumaba kod COVID19 bolesnika u jedinici intenzivne medicine</w:t>
      </w:r>
    </w:p>
    <w:p w:rsidR="00CD7241" w:rsidRDefault="00AF16EE">
      <w:pPr>
        <w:spacing w:after="600"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Apstrakt</w:t>
      </w:r>
    </w:p>
    <w:p w:rsidR="00CD7241" w:rsidRDefault="00AF16E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Uvod</w:t>
      </w:r>
      <w:r>
        <w:rPr>
          <w:rFonts w:ascii="Times New Roman" w:eastAsia="Times New Roman" w:hAnsi="Times New Roman" w:cs="Times New Roman"/>
          <w:sz w:val="24"/>
          <w:szCs w:val="24"/>
        </w:rPr>
        <w:t xml:space="preserve">: Koronavirus je novi soj virusa koji se pojavio prvo u Kini decembra 2019. godine. Ubrzo je prepoznat kao uzrok COVID19 te je razvio pandemijske razmjere marta 2020. godine. S obzirom da se radi o relativno novoj bolesti, specifičan terapijski pristup još nije definisan. Tocilizumab predstavlja monoklonsko antitijelo, koje se veže za receptore IL-6 te blokira dalju citokinsku buru u ljudskom organizmu, a za koju se smatra da je uzrok nastanka akutnog respiratornog distres sindroma. Značajnu primjenu ovo monoklonsko antitijelo je našlo tokom pandemije virusom korona. </w:t>
      </w:r>
    </w:p>
    <w:p w:rsidR="00CD7241" w:rsidRDefault="00AF16E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Cilj:</w:t>
      </w:r>
      <w:r>
        <w:rPr>
          <w:rFonts w:ascii="Times New Roman" w:eastAsia="Times New Roman" w:hAnsi="Times New Roman" w:cs="Times New Roman"/>
          <w:sz w:val="24"/>
          <w:szCs w:val="24"/>
        </w:rPr>
        <w:t xml:space="preserve"> Ispitati da li je efikasna primjena tocilizumaba u terapiji teške forme COVID19.</w:t>
      </w:r>
    </w:p>
    <w:p w:rsidR="00CD7241" w:rsidRDefault="00AF16E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Metode</w:t>
      </w:r>
      <w:r>
        <w:rPr>
          <w:rFonts w:ascii="Times New Roman" w:eastAsia="Times New Roman" w:hAnsi="Times New Roman" w:cs="Times New Roman"/>
          <w:sz w:val="24"/>
          <w:szCs w:val="24"/>
        </w:rPr>
        <w:t xml:space="preserve">: Studija je dizajnirana kao restrospektivna opservaciona studija, koja se provela u Univerzitetskom kliničkom centru Republike Srpske, u Klinici intenzivne medicine za nehirurške grane. U studiju je bilo uključeno 30 pacijenata, koji su liječeni u Klinici intenzivne medicine za nehirurške grane u periodu jun 2020. – januar 2022. godine. Ukupno je bilo 7 osoba ženskog pola i 23 osobe muškog pola, starosne dobi od 31 do 80 godina. Primjena lijeka je zahtijevala prethodnu procjenu prema strogo određenim kriterijumima. </w:t>
      </w:r>
    </w:p>
    <w:p w:rsidR="00CD7241" w:rsidRDefault="00AF16E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Rezultati</w:t>
      </w:r>
      <w:r>
        <w:rPr>
          <w:rFonts w:ascii="Times New Roman" w:eastAsia="Times New Roman" w:hAnsi="Times New Roman" w:cs="Times New Roman"/>
          <w:sz w:val="24"/>
          <w:szCs w:val="24"/>
        </w:rPr>
        <w:t xml:space="preserve">: Na osnovu dobijenih podataka, primjena tocilizumaba se pokazala statistički značajnim kod pacijenata koji su razvili teške kliničke forme bolesti, odnosno pacijenti koji su razvili akutni respiratorni distres sindrom. Ukupna stopa preživljavanja je iznosila preko 83% kod onih pacijenata kod kojih je primjenjen tocilizumab, odnosno </w:t>
      </w:r>
      <w:r>
        <w:rPr>
          <w:rFonts w:ascii="Times New Roman" w:eastAsia="Times New Roman" w:hAnsi="Times New Roman" w:cs="Times New Roman"/>
          <w:sz w:val="24"/>
          <w:szCs w:val="24"/>
        </w:rPr>
        <w:lastRenderedPageBreak/>
        <w:t xml:space="preserve">smrtni ishod je nastupio u nešto manje od 17% slučajeva usljed razvoja komplikacija bolesti. </w:t>
      </w:r>
    </w:p>
    <w:p w:rsidR="00CD7241" w:rsidRDefault="00AF16E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Zaključak:</w:t>
      </w:r>
      <w:r>
        <w:rPr>
          <w:rFonts w:ascii="Times New Roman" w:eastAsia="Times New Roman" w:hAnsi="Times New Roman" w:cs="Times New Roman"/>
          <w:sz w:val="24"/>
          <w:szCs w:val="24"/>
        </w:rPr>
        <w:t xml:space="preserve"> Primjena biološke terapije, u ovom slučaju tocilizumaba kao blokatora receptora IL-6, imala je značajan uticaj na tok bolesti kod pacijenata koji su imali COVID19 sa teškom kliničkom formom bolesti. Primjena biološke terapije je značajno uticala na preživljavanje pacijenata kod kojih je indikovana ova terapija. </w:t>
      </w:r>
    </w:p>
    <w:p w:rsidR="00CD7241" w:rsidRDefault="00AF16EE">
      <w:pPr>
        <w:spacing w:after="600"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Ključne riječi:</w:t>
      </w:r>
      <w:r>
        <w:rPr>
          <w:rFonts w:ascii="Times New Roman" w:eastAsia="Times New Roman" w:hAnsi="Times New Roman" w:cs="Times New Roman"/>
          <w:sz w:val="24"/>
          <w:szCs w:val="24"/>
        </w:rPr>
        <w:t xml:space="preserve"> koronavirus, COVID19, tocilizumab, ARDS, jedinica intenzivne medicine</w:t>
      </w:r>
    </w:p>
    <w:p w:rsidR="00CD7241" w:rsidRDefault="00AF16EE">
      <w:pPr>
        <w:spacing w:line="480" w:lineRule="auto"/>
        <w:rPr>
          <w:rFonts w:ascii="Times New Roman" w:eastAsia="Times New Roman" w:hAnsi="Times New Roman" w:cs="Times New Roman"/>
          <w:b/>
          <w:sz w:val="24"/>
          <w:szCs w:val="24"/>
        </w:rPr>
      </w:pPr>
      <w:r>
        <w:br w:type="page"/>
      </w:r>
    </w:p>
    <w:p w:rsidR="00CD7241" w:rsidRDefault="00AF16EE">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Uvod</w:t>
      </w:r>
    </w:p>
    <w:p w:rsidR="00CD7241" w:rsidRDefault="00AF16EE">
      <w:pPr>
        <w:spacing w:line="480" w:lineRule="auto"/>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Koronavirus je novi soj virusa koji se pojavio prvo u Kini, Wuhan, decembra 2019. godine. Ubrzo je prepoznat kao uzrok bolesti COVID19 te je razvio pandemijske razmjere marta 2020. godine. Obzirom da se radi o relativno novoj bolesti, specifični terapijski pristup još uvijek nije definisan.</w:t>
      </w:r>
      <w:r>
        <w:rPr>
          <w:rFonts w:ascii="Times New Roman" w:eastAsia="Times New Roman" w:hAnsi="Times New Roman" w:cs="Times New Roman"/>
          <w:sz w:val="24"/>
          <w:szCs w:val="24"/>
          <w:vertAlign w:val="superscript"/>
        </w:rPr>
        <w:t>1,2</w:t>
      </w:r>
    </w:p>
    <w:p w:rsidR="00CD7241" w:rsidRDefault="00AF16E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Bolest se manifestuje opštim infektivnim sindromom, koji u manjem procentu slučajeva preraste ili odmah i započne agresivnom formom koja dovodi do nastanka akutne respiratorne insuficijencije tipa I, odnosno akutnog respiratornog distres sindroma, što dalje zahtijeva arteficijalnu respiratornu podršku, odnosno liječenje u jedinici intenzivne medicine. Od ranije je poznato da su osnovni medijatori zapaljenja citokini, od kojih najznačajniju ulogu igraju IL-1β, IL-6  i TNF-α. IL-6 je interleukin koji može da djeluje proinflamatorno (osteoblasti i glatko-mišićne ćelije, npr.) i antiinflamatorno (inhibicija TNF- α i IL-1), a produkt je T limfocita i makrofaga. Spada u medijatore akutne faze obzirom da prolazi krvno-moždanu barijeru indukuje sintezu PGE2 u hipotalamusu što dovodi do porasta tjelesne temperature.</w:t>
      </w:r>
      <w:r>
        <w:rPr>
          <w:rFonts w:ascii="Times New Roman" w:eastAsia="Times New Roman" w:hAnsi="Times New Roman" w:cs="Times New Roman"/>
          <w:sz w:val="24"/>
          <w:szCs w:val="24"/>
          <w:vertAlign w:val="superscript"/>
        </w:rPr>
        <w:t>3, 12,19</w:t>
      </w:r>
    </w:p>
    <w:p w:rsidR="00CD7241" w:rsidRDefault="00AF16EE">
      <w:pPr>
        <w:spacing w:line="480" w:lineRule="auto"/>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Tocilizumab predstavlja humano monoklonsko antitijelo, koje se veže za receptore IL-6 te blokira dalju citokinsku buru u ljudskom organizmu, a za koju se smatra da je uzrok nastanka ARDS.</w:t>
      </w:r>
      <w:r>
        <w:rPr>
          <w:rFonts w:ascii="Times New Roman" w:eastAsia="Times New Roman" w:hAnsi="Times New Roman" w:cs="Times New Roman"/>
          <w:sz w:val="24"/>
          <w:szCs w:val="24"/>
          <w:vertAlign w:val="superscript"/>
        </w:rPr>
        <w:t xml:space="preserve">4, 5 </w:t>
      </w:r>
    </w:p>
    <w:p w:rsidR="00CD7241" w:rsidRDefault="00AF16EE">
      <w:pPr>
        <w:spacing w:line="480" w:lineRule="auto"/>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 xml:space="preserve">Citokinska bura se smatra glavnim uzrokom razvoja teških formi COVID19, a nastaje usljed pretjeranog i neadekvatnog imunog odgovora na infekciju. Prvenstveno dovodi do respiratorne insuficijencije (ARDS), a kasnije i ostalih organa i organskih sistema (MODS) što vodi ka letalnom ishodu. </w:t>
      </w:r>
      <w:r>
        <w:rPr>
          <w:rFonts w:ascii="Times New Roman" w:eastAsia="Times New Roman" w:hAnsi="Times New Roman" w:cs="Times New Roman"/>
          <w:sz w:val="24"/>
          <w:szCs w:val="24"/>
          <w:vertAlign w:val="superscript"/>
        </w:rPr>
        <w:t>7, 13, 15</w:t>
      </w:r>
    </w:p>
    <w:p w:rsidR="00CD7241" w:rsidRDefault="00AF16EE">
      <w:pPr>
        <w:spacing w:line="480" w:lineRule="auto"/>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 xml:space="preserve">ARDS – akutni respiratorni distres sindrom, je akutna respiratorna insuficijencija tip I koja se karakteriše akutnom hipokesmijom. Prema berlinskoj definiciji iz 2014. godine </w:t>
      </w:r>
      <w:r>
        <w:rPr>
          <w:rFonts w:ascii="Times New Roman" w:eastAsia="Times New Roman" w:hAnsi="Times New Roman" w:cs="Times New Roman"/>
          <w:sz w:val="24"/>
          <w:szCs w:val="24"/>
        </w:rPr>
        <w:lastRenderedPageBreak/>
        <w:t>ARDS se definiše bilateralnim plućnim infiltratima na radiološkim snimcima, sniženim P/F odnosom (ispod 300mmHg), te akutnim početkom (unutar 7 dana), a u odsustvu kardijalne dekompenzacije. ARDS dovodi do povećane vaskularne propustljivosti plućnog parenhima što dovodi do intraalevolarnog plućnog edema, sa taloženjem hijalinskih membrana i hemoragičnog sadražaja, odnosno dovodi do smanjenja komplijanse plućnog parenhima.</w:t>
      </w:r>
      <w:r>
        <w:rPr>
          <w:rFonts w:ascii="Times New Roman" w:eastAsia="Times New Roman" w:hAnsi="Times New Roman" w:cs="Times New Roman"/>
          <w:sz w:val="24"/>
          <w:szCs w:val="24"/>
          <w:vertAlign w:val="superscript"/>
        </w:rPr>
        <w:t>6, 14-18, 21</w:t>
      </w:r>
    </w:p>
    <w:p w:rsidR="00CD7241" w:rsidRDefault="00AF16EE">
      <w:pPr>
        <w:spacing w:line="480" w:lineRule="auto"/>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 xml:space="preserve">Značajnu primjenu ovo monoklonsko antitijelo (tocilizumab) je našlo tokom pandemije virusom korona, a primarno se koristi u liječenju reumatoloških bolesti (reumatoidni artritis, juvenilni reumatoidni artritis) kao rezervna terapijska linija. </w:t>
      </w:r>
      <w:r>
        <w:rPr>
          <w:rFonts w:ascii="Times New Roman" w:eastAsia="Times New Roman" w:hAnsi="Times New Roman" w:cs="Times New Roman"/>
          <w:sz w:val="24"/>
          <w:szCs w:val="24"/>
          <w:vertAlign w:val="superscript"/>
        </w:rPr>
        <w:t>9-11, 20</w:t>
      </w:r>
    </w:p>
    <w:p w:rsidR="00CD7241" w:rsidRDefault="00AF16EE">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Cilj</w:t>
      </w:r>
    </w:p>
    <w:p w:rsidR="00CD7241" w:rsidRDefault="00AF16EE">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Cilj ove studije je ispitati efikasnost primjene tocilizumaba u terapiji teške forme COVID19. </w:t>
      </w:r>
    </w:p>
    <w:p w:rsidR="00CD7241" w:rsidRDefault="00AF16EE">
      <w:pPr>
        <w:spacing w:line="259"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Metode</w:t>
      </w:r>
    </w:p>
    <w:p w:rsidR="00CD7241" w:rsidRDefault="00AF16E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Studija je dizajnirana kao restrospektivna opservaciona studija, koja je sprovedena u Univerzitetskom kliničkom centru Republike Srpske, u Klinici intenzivne medicine za nehirurške grane. U studiju je bilo uključeno 30 pacijenata koji su primili tocilizumab, a koji su liječeni u Klinici intenzivne medicine za nehirurške grane u periodu jun 2020. – januar 2022. godine. Ukupno je bilo 7 osoba ženskog pola i 23 osobe muškog pola, starosne dobi od 31 do 80 godina. Od ukupno 30 pacijenata, bez komorbiditeta je bilo 12 pacijenata, 8 pacijenata je bilo sa jednim komorbiditetom, 10 sa dva komorbiditeta, od kojih je najviše pacijenata bilo sa ranijom arterijskom hipertenzijom, potom sa hroničnom kardiomiopatijom i dijabetesom, a najmanje pacijenata je bilo sa hroničnom opstruktivnom bolesti pluća od ranije. </w:t>
      </w:r>
    </w:p>
    <w:p w:rsidR="00CD7241" w:rsidRDefault="00AF16EE">
      <w:pPr>
        <w:spacing w:after="6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Studija je uključila sledeće pacijente: stariji od 18 godina, muškog ili ženskog pola, pozitivan RT-PCR SARS CoV2 test, teška klinička forma bolesti, hospitalizacija u jedinici intenzivne medicine, potreba za nekim od modova respiratorne podrške, početak bolesti unazad najviše 14 dana do momenta primjene lijeka, laboratorijski parametri (Zavod za laboratorijsku dijagnostiku UKC RS): povišen IL-6 (ref. vrijednosti 0-4.4 pg/ml), povišen feritin (ref. vrijednosti 22-322 ng/ml), povišen CRP (ref. vrijednosti 0-5 mg/L), negativan prokalcitonin (ref. vrijednosti &lt;0.5 ng/ml). </w:t>
      </w:r>
    </w:p>
    <w:p w:rsidR="00CD7241" w:rsidRDefault="00AF16EE">
      <w:pPr>
        <w:spacing w:after="600"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Rezultati</w:t>
      </w:r>
    </w:p>
    <w:p w:rsidR="00CD7241" w:rsidRDefault="00AF16E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 osnovu učinjenih mjerenja i istraživanja došlo se do sledećih rezultata: stopa preživljavanja kod pacijenata koji su primili tocilizumab u Klinici intenzivne medicine za nehirurške grane je iznosila preko 83.33% (25 od 30 pacijenata), pri čemu je bilo 7 osoba ženskog pola (23.33%), a 23 osobe muškog pola (76.67%). Od ukupnog broja umrlih pacijenata 80% su bili pacijenti muškog pola (4 od 5 pacijenata), a 20% ženskog pola (1 od 5 pacijenata), što je prikazano u tabeli 1. Prosjek godina starosti je iznosio 52.5 godina za pacijente muškog pola, a 55.5 godina za pacijente ženskog pola (tabela 2). Pacijenti bez komorbiditeta su imali stopu preživljavanja 100%, a od ukupnog broja umrlih 40% pacijenata je bilo sa jednim komorbiditetom (arterijska hipertenzija), a 60% umrlih pacijenata je imalo dva komorbiditeta (tabela 3). Prosječna vrijednost IL-6 po prijemu ovih pacijenata je iznosila 634.7 pg/ml + STD 1586 (najviša vrijednost 6016 pg/ml, a najniža vrijednost 25 pg/ml). Prosječna vrijednost IL-6 kod preminulih pacijenata iznosila je 158.67 pg/ml + STD 33.60 (tabela 4). Ukupan broj pacijenata, broj preživjelih i broj umrlih pacijenata, a koji su primili biološku terapiju (tocilizumab) je prikazan u tabeli 5 i grafikonu 1. </w:t>
      </w:r>
    </w:p>
    <w:p w:rsidR="00CD7241" w:rsidRDefault="00AF16E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Tabela 1. Ukupno preživljavanje, preživljavanje prema polnoj </w:t>
      </w:r>
      <w:sdt>
        <w:sdtPr>
          <w:tag w:val="goog_rdk_0"/>
          <w:id w:val="-196932836"/>
        </w:sdtPr>
        <w:sdtContent/>
      </w:sdt>
      <w:r>
        <w:rPr>
          <w:rFonts w:ascii="Times New Roman" w:eastAsia="Times New Roman" w:hAnsi="Times New Roman" w:cs="Times New Roman"/>
          <w:sz w:val="24"/>
          <w:szCs w:val="24"/>
        </w:rPr>
        <w:t>struktur</w:t>
      </w:r>
      <w:r w:rsidR="007016CE">
        <w:rPr>
          <w:rFonts w:ascii="Times New Roman" w:eastAsia="Times New Roman" w:hAnsi="Times New Roman" w:cs="Times New Roman"/>
          <w:sz w:val="24"/>
          <w:szCs w:val="24"/>
        </w:rPr>
        <w:t>i</w:t>
      </w:r>
    </w:p>
    <w:tbl>
      <w:tblPr>
        <w:tblStyle w:val="a"/>
        <w:tblW w:w="8487" w:type="dxa"/>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812"/>
        <w:gridCol w:w="1845"/>
        <w:gridCol w:w="1710"/>
        <w:gridCol w:w="1560"/>
        <w:gridCol w:w="1560"/>
      </w:tblGrid>
      <w:tr w:rsidR="00CD7241" w:rsidTr="00233A56">
        <w:tc>
          <w:tcPr>
            <w:tcW w:w="1812" w:type="dxa"/>
            <w:tcBorders>
              <w:left w:val="single" w:sz="4" w:space="0" w:color="FCFCFC"/>
            </w:tcBorders>
            <w:shd w:val="clear" w:color="auto" w:fill="FCE5CD"/>
            <w:vAlign w:val="center"/>
          </w:tcPr>
          <w:p w:rsidR="00CD7241" w:rsidRDefault="00CD7241" w:rsidP="00233A56">
            <w:pPr>
              <w:spacing w:line="480" w:lineRule="auto"/>
              <w:jc w:val="center"/>
              <w:rPr>
                <w:rFonts w:ascii="Times New Roman" w:eastAsia="Times New Roman" w:hAnsi="Times New Roman" w:cs="Times New Roman"/>
                <w:sz w:val="24"/>
                <w:szCs w:val="24"/>
              </w:rPr>
            </w:pPr>
          </w:p>
        </w:tc>
        <w:tc>
          <w:tcPr>
            <w:tcW w:w="1845" w:type="dxa"/>
            <w:shd w:val="clear" w:color="auto" w:fill="FCE5CD"/>
            <w:vAlign w:val="center"/>
          </w:tcPr>
          <w:p w:rsidR="00CD7241" w:rsidRDefault="00AF16EE" w:rsidP="00233A56">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preživjeli</w:t>
            </w:r>
          </w:p>
        </w:tc>
        <w:tc>
          <w:tcPr>
            <w:tcW w:w="1710" w:type="dxa"/>
            <w:shd w:val="clear" w:color="auto" w:fill="FCE5CD"/>
            <w:vAlign w:val="center"/>
          </w:tcPr>
          <w:p w:rsidR="00CD7241" w:rsidRDefault="00AF16EE" w:rsidP="00233A56">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preživjeli %</w:t>
            </w:r>
          </w:p>
        </w:tc>
        <w:tc>
          <w:tcPr>
            <w:tcW w:w="1560" w:type="dxa"/>
            <w:shd w:val="clear" w:color="auto" w:fill="FCE5CD"/>
            <w:vAlign w:val="center"/>
          </w:tcPr>
          <w:p w:rsidR="00CD7241" w:rsidRDefault="00AF16EE" w:rsidP="00233A56">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umrli</w:t>
            </w:r>
          </w:p>
        </w:tc>
        <w:tc>
          <w:tcPr>
            <w:tcW w:w="1560" w:type="dxa"/>
            <w:tcBorders>
              <w:right w:val="single" w:sz="4" w:space="0" w:color="FCFCFC"/>
            </w:tcBorders>
            <w:shd w:val="clear" w:color="auto" w:fill="FCE5CD"/>
            <w:vAlign w:val="center"/>
          </w:tcPr>
          <w:p w:rsidR="00CD7241" w:rsidRDefault="00AF16EE" w:rsidP="00233A56">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umrli %</w:t>
            </w:r>
          </w:p>
        </w:tc>
      </w:tr>
      <w:tr w:rsidR="00CD7241" w:rsidTr="00233A56">
        <w:tc>
          <w:tcPr>
            <w:tcW w:w="1812" w:type="dxa"/>
            <w:tcBorders>
              <w:left w:val="single" w:sz="4" w:space="0" w:color="FCFCFC"/>
            </w:tcBorders>
            <w:vAlign w:val="center"/>
          </w:tcPr>
          <w:p w:rsidR="00CD7241" w:rsidRDefault="00AF16EE" w:rsidP="00233A56">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muškarci</w:t>
            </w:r>
          </w:p>
        </w:tc>
        <w:tc>
          <w:tcPr>
            <w:tcW w:w="1845" w:type="dxa"/>
            <w:vAlign w:val="center"/>
          </w:tcPr>
          <w:p w:rsidR="00CD7241" w:rsidRDefault="00AF16EE" w:rsidP="00233A56">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19</w:t>
            </w:r>
          </w:p>
        </w:tc>
        <w:tc>
          <w:tcPr>
            <w:tcW w:w="1710" w:type="dxa"/>
            <w:vAlign w:val="center"/>
          </w:tcPr>
          <w:p w:rsidR="00CD7241" w:rsidRDefault="00AF16EE" w:rsidP="00233A56">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82.60%</w:t>
            </w:r>
          </w:p>
        </w:tc>
        <w:tc>
          <w:tcPr>
            <w:tcW w:w="1560" w:type="dxa"/>
            <w:vAlign w:val="center"/>
          </w:tcPr>
          <w:p w:rsidR="00CD7241" w:rsidRDefault="00AF16EE" w:rsidP="00233A56">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560" w:type="dxa"/>
            <w:tcBorders>
              <w:right w:val="single" w:sz="4" w:space="0" w:color="FCFCFC"/>
            </w:tcBorders>
            <w:vAlign w:val="center"/>
          </w:tcPr>
          <w:p w:rsidR="00CD7241" w:rsidRDefault="00AF16EE" w:rsidP="00233A56">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17.40%</w:t>
            </w:r>
          </w:p>
        </w:tc>
      </w:tr>
      <w:tr w:rsidR="00CD7241" w:rsidTr="00233A56">
        <w:tc>
          <w:tcPr>
            <w:tcW w:w="1812" w:type="dxa"/>
            <w:tcBorders>
              <w:left w:val="single" w:sz="4" w:space="0" w:color="FCFCFC"/>
            </w:tcBorders>
            <w:vAlign w:val="center"/>
          </w:tcPr>
          <w:p w:rsidR="00CD7241" w:rsidRDefault="00AF16EE" w:rsidP="00233A56">
            <w:pPr>
              <w:spacing w:line="480"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žene</w:t>
            </w:r>
            <w:proofErr w:type="spellEnd"/>
          </w:p>
        </w:tc>
        <w:tc>
          <w:tcPr>
            <w:tcW w:w="1845" w:type="dxa"/>
            <w:vAlign w:val="center"/>
          </w:tcPr>
          <w:p w:rsidR="00CD7241" w:rsidRDefault="00AF16EE" w:rsidP="00233A56">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1710" w:type="dxa"/>
            <w:vAlign w:val="center"/>
          </w:tcPr>
          <w:p w:rsidR="00CD7241" w:rsidRDefault="00AF16EE" w:rsidP="00233A56">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85.71%</w:t>
            </w:r>
          </w:p>
        </w:tc>
        <w:tc>
          <w:tcPr>
            <w:tcW w:w="1560" w:type="dxa"/>
            <w:vAlign w:val="center"/>
          </w:tcPr>
          <w:p w:rsidR="00CD7241" w:rsidRDefault="00AF16EE" w:rsidP="00233A56">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560" w:type="dxa"/>
            <w:tcBorders>
              <w:right w:val="single" w:sz="4" w:space="0" w:color="FCFCFC"/>
            </w:tcBorders>
            <w:vAlign w:val="center"/>
          </w:tcPr>
          <w:p w:rsidR="00CD7241" w:rsidRDefault="00AF16EE" w:rsidP="00233A56">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14.28%</w:t>
            </w:r>
          </w:p>
        </w:tc>
      </w:tr>
      <w:tr w:rsidR="00CD7241" w:rsidTr="00233A56">
        <w:tc>
          <w:tcPr>
            <w:tcW w:w="1812" w:type="dxa"/>
            <w:tcBorders>
              <w:left w:val="single" w:sz="4" w:space="0" w:color="FCFCFC"/>
            </w:tcBorders>
            <w:vAlign w:val="center"/>
          </w:tcPr>
          <w:p w:rsidR="00CD7241" w:rsidRDefault="00AF16EE" w:rsidP="00233A56">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ukupno</w:t>
            </w:r>
          </w:p>
        </w:tc>
        <w:tc>
          <w:tcPr>
            <w:tcW w:w="1845" w:type="dxa"/>
            <w:vAlign w:val="center"/>
          </w:tcPr>
          <w:p w:rsidR="00CD7241" w:rsidRDefault="00AF16EE" w:rsidP="00233A56">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w:t>
            </w:r>
          </w:p>
        </w:tc>
        <w:tc>
          <w:tcPr>
            <w:tcW w:w="1710" w:type="dxa"/>
            <w:vAlign w:val="center"/>
          </w:tcPr>
          <w:p w:rsidR="00CD7241" w:rsidRDefault="00AF16EE" w:rsidP="00233A56">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83.33%</w:t>
            </w:r>
          </w:p>
        </w:tc>
        <w:tc>
          <w:tcPr>
            <w:tcW w:w="1560" w:type="dxa"/>
            <w:vAlign w:val="center"/>
          </w:tcPr>
          <w:p w:rsidR="00CD7241" w:rsidRDefault="00AF16EE" w:rsidP="00233A56">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560" w:type="dxa"/>
            <w:tcBorders>
              <w:right w:val="single" w:sz="4" w:space="0" w:color="FCFCFC"/>
            </w:tcBorders>
            <w:vAlign w:val="center"/>
          </w:tcPr>
          <w:p w:rsidR="00CD7241" w:rsidRDefault="00AF16EE" w:rsidP="00233A56">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16.67%</w:t>
            </w:r>
          </w:p>
        </w:tc>
      </w:tr>
    </w:tbl>
    <w:p w:rsidR="00CD7241" w:rsidRDefault="00CD7241">
      <w:pPr>
        <w:spacing w:line="480" w:lineRule="auto"/>
        <w:jc w:val="both"/>
        <w:rPr>
          <w:rFonts w:ascii="Times New Roman" w:eastAsia="Times New Roman" w:hAnsi="Times New Roman" w:cs="Times New Roman"/>
          <w:sz w:val="24"/>
          <w:szCs w:val="24"/>
        </w:rPr>
      </w:pPr>
    </w:p>
    <w:p w:rsidR="00CD7241" w:rsidRDefault="00CD7241">
      <w:pPr>
        <w:spacing w:line="480" w:lineRule="auto"/>
        <w:jc w:val="both"/>
        <w:rPr>
          <w:rFonts w:ascii="Times New Roman" w:eastAsia="Times New Roman" w:hAnsi="Times New Roman" w:cs="Times New Roman"/>
          <w:sz w:val="24"/>
          <w:szCs w:val="24"/>
        </w:rPr>
      </w:pPr>
    </w:p>
    <w:p w:rsidR="00CD7241" w:rsidRDefault="00AF16E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Tabela 2. Polna i starosna struktura studijskih pacijenata</w:t>
      </w:r>
    </w:p>
    <w:tbl>
      <w:tblPr>
        <w:tblStyle w:val="a0"/>
        <w:tblW w:w="8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2831"/>
        <w:gridCol w:w="2832"/>
        <w:gridCol w:w="2832"/>
      </w:tblGrid>
      <w:tr w:rsidR="00CD7241" w:rsidTr="00233A56">
        <w:tc>
          <w:tcPr>
            <w:tcW w:w="2831" w:type="dxa"/>
            <w:tcBorders>
              <w:left w:val="single" w:sz="4" w:space="0" w:color="FCFCFC"/>
            </w:tcBorders>
            <w:shd w:val="clear" w:color="auto" w:fill="FCE5CD"/>
            <w:vAlign w:val="center"/>
          </w:tcPr>
          <w:p w:rsidR="00CD7241" w:rsidRDefault="00CD7241" w:rsidP="00233A56">
            <w:pPr>
              <w:spacing w:line="480" w:lineRule="auto"/>
              <w:jc w:val="center"/>
              <w:rPr>
                <w:rFonts w:ascii="Times New Roman" w:eastAsia="Times New Roman" w:hAnsi="Times New Roman" w:cs="Times New Roman"/>
                <w:sz w:val="24"/>
                <w:szCs w:val="24"/>
              </w:rPr>
            </w:pPr>
          </w:p>
        </w:tc>
        <w:tc>
          <w:tcPr>
            <w:tcW w:w="2832" w:type="dxa"/>
            <w:shd w:val="clear" w:color="auto" w:fill="FCE5CD"/>
            <w:vAlign w:val="center"/>
          </w:tcPr>
          <w:p w:rsidR="00CD7241" w:rsidRDefault="00AF16EE" w:rsidP="00233A56">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muškarci</w:t>
            </w:r>
          </w:p>
        </w:tc>
        <w:tc>
          <w:tcPr>
            <w:tcW w:w="2832" w:type="dxa"/>
            <w:tcBorders>
              <w:right w:val="single" w:sz="4" w:space="0" w:color="FCFCFC"/>
            </w:tcBorders>
            <w:shd w:val="clear" w:color="auto" w:fill="FCE5CD"/>
            <w:vAlign w:val="center"/>
          </w:tcPr>
          <w:p w:rsidR="00CD7241" w:rsidRDefault="00AF16EE" w:rsidP="00233A56">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žene</w:t>
            </w:r>
          </w:p>
        </w:tc>
      </w:tr>
      <w:tr w:rsidR="00CD7241" w:rsidTr="00233A56">
        <w:tc>
          <w:tcPr>
            <w:tcW w:w="2831" w:type="dxa"/>
            <w:tcBorders>
              <w:left w:val="single" w:sz="4" w:space="0" w:color="FCFCFC"/>
            </w:tcBorders>
            <w:vAlign w:val="center"/>
          </w:tcPr>
          <w:p w:rsidR="00CD7241" w:rsidRDefault="00AF16EE" w:rsidP="00233A56">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pol</w:t>
            </w:r>
          </w:p>
        </w:tc>
        <w:tc>
          <w:tcPr>
            <w:tcW w:w="2832" w:type="dxa"/>
            <w:vAlign w:val="center"/>
          </w:tcPr>
          <w:p w:rsidR="00CD7241" w:rsidRDefault="00AF16EE" w:rsidP="00233A56">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p>
        </w:tc>
        <w:tc>
          <w:tcPr>
            <w:tcW w:w="2832" w:type="dxa"/>
            <w:tcBorders>
              <w:right w:val="single" w:sz="4" w:space="0" w:color="FCFCFC"/>
            </w:tcBorders>
            <w:vAlign w:val="center"/>
          </w:tcPr>
          <w:p w:rsidR="00CD7241" w:rsidRDefault="00AF16EE" w:rsidP="00233A56">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r>
      <w:tr w:rsidR="00CD7241" w:rsidTr="00233A56">
        <w:tc>
          <w:tcPr>
            <w:tcW w:w="2831" w:type="dxa"/>
            <w:tcBorders>
              <w:left w:val="single" w:sz="4" w:space="0" w:color="FCFCFC"/>
            </w:tcBorders>
            <w:vAlign w:val="center"/>
          </w:tcPr>
          <w:p w:rsidR="00CD7241" w:rsidRDefault="00AF16EE" w:rsidP="00233A56">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godine starosti</w:t>
            </w:r>
          </w:p>
        </w:tc>
        <w:tc>
          <w:tcPr>
            <w:tcW w:w="2832" w:type="dxa"/>
            <w:vAlign w:val="center"/>
          </w:tcPr>
          <w:p w:rsidR="00CD7241" w:rsidRDefault="00AF16EE" w:rsidP="00233A56">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32-73 (prosjek 52.5)</w:t>
            </w:r>
          </w:p>
        </w:tc>
        <w:tc>
          <w:tcPr>
            <w:tcW w:w="2832" w:type="dxa"/>
            <w:tcBorders>
              <w:right w:val="single" w:sz="4" w:space="0" w:color="FCFCFC"/>
            </w:tcBorders>
            <w:vAlign w:val="center"/>
          </w:tcPr>
          <w:p w:rsidR="00CD7241" w:rsidRDefault="00AF16EE" w:rsidP="00233A56">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31-80 (prosjek 55.5)</w:t>
            </w:r>
          </w:p>
        </w:tc>
      </w:tr>
    </w:tbl>
    <w:p w:rsidR="00CD7241" w:rsidRDefault="00CD7241">
      <w:pPr>
        <w:spacing w:line="480" w:lineRule="auto"/>
        <w:jc w:val="both"/>
        <w:rPr>
          <w:rFonts w:ascii="Times New Roman" w:eastAsia="Times New Roman" w:hAnsi="Times New Roman" w:cs="Times New Roman"/>
          <w:sz w:val="24"/>
          <w:szCs w:val="24"/>
        </w:rPr>
      </w:pPr>
    </w:p>
    <w:p w:rsidR="00CD7241" w:rsidRDefault="00CD7241">
      <w:pPr>
        <w:spacing w:line="480" w:lineRule="auto"/>
        <w:jc w:val="both"/>
        <w:rPr>
          <w:rFonts w:ascii="Times New Roman" w:eastAsia="Times New Roman" w:hAnsi="Times New Roman" w:cs="Times New Roman"/>
          <w:sz w:val="24"/>
          <w:szCs w:val="24"/>
        </w:rPr>
      </w:pPr>
    </w:p>
    <w:p w:rsidR="00CD7241" w:rsidRDefault="00AF16E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Tabela 3. Udruženost mortaliteta sa komorbiditetima</w:t>
      </w:r>
    </w:p>
    <w:tbl>
      <w:tblPr>
        <w:tblStyle w:val="a1"/>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2121"/>
        <w:gridCol w:w="1276"/>
        <w:gridCol w:w="1699"/>
        <w:gridCol w:w="1699"/>
        <w:gridCol w:w="1699"/>
      </w:tblGrid>
      <w:tr w:rsidR="00CD7241" w:rsidTr="00233A56">
        <w:tc>
          <w:tcPr>
            <w:tcW w:w="2122" w:type="dxa"/>
            <w:tcBorders>
              <w:left w:val="single" w:sz="4" w:space="0" w:color="FCFCFC"/>
            </w:tcBorders>
            <w:shd w:val="clear" w:color="auto" w:fill="FCE5CD"/>
            <w:vAlign w:val="center"/>
          </w:tcPr>
          <w:p w:rsidR="00CD7241" w:rsidRDefault="00CD7241" w:rsidP="00233A56">
            <w:pPr>
              <w:spacing w:line="480" w:lineRule="auto"/>
              <w:jc w:val="center"/>
              <w:rPr>
                <w:rFonts w:ascii="Times New Roman" w:eastAsia="Times New Roman" w:hAnsi="Times New Roman" w:cs="Times New Roman"/>
                <w:sz w:val="24"/>
                <w:szCs w:val="24"/>
              </w:rPr>
            </w:pPr>
          </w:p>
        </w:tc>
        <w:tc>
          <w:tcPr>
            <w:tcW w:w="1276" w:type="dxa"/>
            <w:shd w:val="clear" w:color="auto" w:fill="FCE5CD"/>
            <w:vAlign w:val="center"/>
          </w:tcPr>
          <w:p w:rsidR="00CD7241" w:rsidRDefault="00AF16EE" w:rsidP="00233A56">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ukupno</w:t>
            </w:r>
          </w:p>
        </w:tc>
        <w:tc>
          <w:tcPr>
            <w:tcW w:w="1699" w:type="dxa"/>
            <w:shd w:val="clear" w:color="auto" w:fill="FCE5CD"/>
            <w:vAlign w:val="center"/>
          </w:tcPr>
          <w:p w:rsidR="00CD7241" w:rsidRDefault="00AF16EE" w:rsidP="00233A56">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muškarci (m)</w:t>
            </w:r>
          </w:p>
        </w:tc>
        <w:tc>
          <w:tcPr>
            <w:tcW w:w="1699" w:type="dxa"/>
            <w:shd w:val="clear" w:color="auto" w:fill="FCE5CD"/>
            <w:vAlign w:val="center"/>
          </w:tcPr>
          <w:p w:rsidR="00CD7241" w:rsidRDefault="00AF16EE" w:rsidP="00233A56">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žene (ž)</w:t>
            </w:r>
          </w:p>
        </w:tc>
        <w:tc>
          <w:tcPr>
            <w:tcW w:w="1699" w:type="dxa"/>
            <w:tcBorders>
              <w:right w:val="single" w:sz="4" w:space="0" w:color="FCFCFC"/>
            </w:tcBorders>
            <w:shd w:val="clear" w:color="auto" w:fill="FCE5CD"/>
            <w:vAlign w:val="center"/>
          </w:tcPr>
          <w:p w:rsidR="00CD7241" w:rsidRDefault="00AF16EE" w:rsidP="00233A56">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mortalitet</w:t>
            </w:r>
          </w:p>
        </w:tc>
      </w:tr>
      <w:tr w:rsidR="00CD7241" w:rsidTr="00233A56">
        <w:tc>
          <w:tcPr>
            <w:tcW w:w="2122" w:type="dxa"/>
            <w:tcBorders>
              <w:left w:val="single" w:sz="4" w:space="0" w:color="FCFCFC"/>
            </w:tcBorders>
            <w:vAlign w:val="center"/>
          </w:tcPr>
          <w:p w:rsidR="00CD7241" w:rsidRDefault="00AF16EE" w:rsidP="00233A56">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bez komorbiditeta</w:t>
            </w:r>
          </w:p>
        </w:tc>
        <w:tc>
          <w:tcPr>
            <w:tcW w:w="1276" w:type="dxa"/>
            <w:vAlign w:val="center"/>
          </w:tcPr>
          <w:p w:rsidR="00CD7241" w:rsidRDefault="00AF16EE" w:rsidP="00233A56">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c>
          <w:tcPr>
            <w:tcW w:w="1699" w:type="dxa"/>
            <w:vAlign w:val="center"/>
          </w:tcPr>
          <w:p w:rsidR="00CD7241" w:rsidRDefault="00AF16EE" w:rsidP="00233A56">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1699" w:type="dxa"/>
            <w:vAlign w:val="center"/>
          </w:tcPr>
          <w:p w:rsidR="00CD7241" w:rsidRDefault="00AF16EE" w:rsidP="00233A56">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699" w:type="dxa"/>
            <w:tcBorders>
              <w:right w:val="single" w:sz="4" w:space="0" w:color="FCFCFC"/>
            </w:tcBorders>
            <w:vAlign w:val="center"/>
          </w:tcPr>
          <w:p w:rsidR="00CD7241" w:rsidRDefault="00AF16EE" w:rsidP="00233A56">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r>
      <w:tr w:rsidR="00CD7241" w:rsidTr="00233A56">
        <w:tc>
          <w:tcPr>
            <w:tcW w:w="2122" w:type="dxa"/>
            <w:tcBorders>
              <w:left w:val="single" w:sz="4" w:space="0" w:color="FCFCFC"/>
            </w:tcBorders>
            <w:vAlign w:val="center"/>
          </w:tcPr>
          <w:p w:rsidR="00CD7241" w:rsidRDefault="00AF16EE" w:rsidP="00233A56">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 komorbiditet</w:t>
            </w:r>
          </w:p>
        </w:tc>
        <w:tc>
          <w:tcPr>
            <w:tcW w:w="1276" w:type="dxa"/>
            <w:vAlign w:val="center"/>
          </w:tcPr>
          <w:p w:rsidR="00CD7241" w:rsidRDefault="00AF16EE" w:rsidP="00233A56">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1699" w:type="dxa"/>
            <w:vAlign w:val="center"/>
          </w:tcPr>
          <w:p w:rsidR="00CD7241" w:rsidRDefault="00AF16EE" w:rsidP="00233A56">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1699" w:type="dxa"/>
            <w:vAlign w:val="center"/>
          </w:tcPr>
          <w:p w:rsidR="00CD7241" w:rsidRDefault="00AF16EE" w:rsidP="00233A56">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699" w:type="dxa"/>
            <w:tcBorders>
              <w:right w:val="single" w:sz="4" w:space="0" w:color="FCFCFC"/>
            </w:tcBorders>
            <w:vAlign w:val="center"/>
          </w:tcPr>
          <w:p w:rsidR="00CD7241" w:rsidRDefault="00AF16EE" w:rsidP="00233A56">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 (2m)</w:t>
            </w:r>
          </w:p>
        </w:tc>
      </w:tr>
      <w:tr w:rsidR="00CD7241" w:rsidTr="00233A56">
        <w:tc>
          <w:tcPr>
            <w:tcW w:w="2122" w:type="dxa"/>
            <w:tcBorders>
              <w:left w:val="single" w:sz="4" w:space="0" w:color="FCFCFC"/>
            </w:tcBorders>
            <w:vAlign w:val="center"/>
          </w:tcPr>
          <w:p w:rsidR="00CD7241" w:rsidRDefault="00AF16EE" w:rsidP="00233A56">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 komorbiditeta</w:t>
            </w:r>
          </w:p>
        </w:tc>
        <w:tc>
          <w:tcPr>
            <w:tcW w:w="1276" w:type="dxa"/>
            <w:vAlign w:val="center"/>
          </w:tcPr>
          <w:p w:rsidR="00CD7241" w:rsidRDefault="00AF16EE" w:rsidP="00233A56">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1699" w:type="dxa"/>
            <w:vAlign w:val="center"/>
          </w:tcPr>
          <w:p w:rsidR="00CD7241" w:rsidRDefault="00AF16EE" w:rsidP="00233A56">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1699" w:type="dxa"/>
            <w:vAlign w:val="center"/>
          </w:tcPr>
          <w:p w:rsidR="00CD7241" w:rsidRDefault="00AF16EE" w:rsidP="00233A56">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699" w:type="dxa"/>
            <w:tcBorders>
              <w:right w:val="single" w:sz="4" w:space="0" w:color="FCFCFC"/>
            </w:tcBorders>
            <w:vAlign w:val="center"/>
          </w:tcPr>
          <w:p w:rsidR="00CD7241" w:rsidRDefault="00AF16EE" w:rsidP="00233A56">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 (2m + 1ž)</w:t>
            </w:r>
          </w:p>
        </w:tc>
      </w:tr>
    </w:tbl>
    <w:p w:rsidR="00CD7241" w:rsidRDefault="00AF16EE">
      <w:pPr>
        <w:numPr>
          <w:ilvl w:val="0"/>
          <w:numId w:val="2"/>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 (muški pol); ž (ženski pol)</w:t>
      </w:r>
    </w:p>
    <w:p w:rsidR="00CD7241" w:rsidRDefault="00CD7241">
      <w:pPr>
        <w:spacing w:line="480" w:lineRule="auto"/>
        <w:jc w:val="both"/>
        <w:rPr>
          <w:rFonts w:ascii="Times New Roman" w:eastAsia="Times New Roman" w:hAnsi="Times New Roman" w:cs="Times New Roman"/>
          <w:sz w:val="24"/>
          <w:szCs w:val="24"/>
        </w:rPr>
      </w:pPr>
    </w:p>
    <w:p w:rsidR="00CD7241" w:rsidRDefault="00AF16EE">
      <w:pPr>
        <w:spacing w:line="480" w:lineRule="auto"/>
        <w:jc w:val="both"/>
        <w:rPr>
          <w:rFonts w:ascii="Times New Roman" w:eastAsia="Times New Roman" w:hAnsi="Times New Roman" w:cs="Times New Roman"/>
          <w:sz w:val="24"/>
          <w:szCs w:val="24"/>
        </w:rPr>
      </w:pPr>
      <w:r>
        <w:br w:type="page"/>
      </w:r>
    </w:p>
    <w:p w:rsidR="00CD7241" w:rsidRDefault="00AF16E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Tabela 4. Prosječna vrijednost IL-6 kod svih studijskih pacijenata, prosječna vrijednost IL-6 kod umrlih pacijenata + standardna devijacija (STD)</w:t>
      </w:r>
    </w:p>
    <w:tbl>
      <w:tblPr>
        <w:tblStyle w:val="a2"/>
        <w:tblW w:w="8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4065"/>
        <w:gridCol w:w="4290"/>
      </w:tblGrid>
      <w:tr w:rsidR="00CD7241" w:rsidTr="00233A56">
        <w:tc>
          <w:tcPr>
            <w:tcW w:w="4065" w:type="dxa"/>
            <w:tcBorders>
              <w:left w:val="single" w:sz="4" w:space="0" w:color="FCFCFC"/>
            </w:tcBorders>
            <w:shd w:val="clear" w:color="auto" w:fill="FCE5CD"/>
            <w:vAlign w:val="center"/>
          </w:tcPr>
          <w:p w:rsidR="00CD7241" w:rsidRDefault="00AF16EE" w:rsidP="00233A56">
            <w:pPr>
              <w:spacing w:line="480" w:lineRule="auto"/>
              <w:jc w:val="center"/>
              <w:rPr>
                <w:rFonts w:ascii="Times New Roman" w:eastAsia="Times New Roman" w:hAnsi="Times New Roman" w:cs="Times New Roman"/>
                <w:i/>
                <w:sz w:val="24"/>
                <w:szCs w:val="24"/>
              </w:rPr>
            </w:pPr>
            <w:r>
              <w:rPr>
                <w:rFonts w:ascii="Times New Roman" w:eastAsia="Times New Roman" w:hAnsi="Times New Roman" w:cs="Times New Roman"/>
                <w:sz w:val="24"/>
                <w:szCs w:val="24"/>
              </w:rPr>
              <w:t>prosječna vrijednost IL-6 (pg/ml) + STD</w:t>
            </w:r>
          </w:p>
        </w:tc>
        <w:tc>
          <w:tcPr>
            <w:tcW w:w="4290" w:type="dxa"/>
            <w:tcBorders>
              <w:right w:val="single" w:sz="4" w:space="0" w:color="FCFCFC"/>
            </w:tcBorders>
            <w:shd w:val="clear" w:color="auto" w:fill="FCE5CD"/>
            <w:vAlign w:val="center"/>
          </w:tcPr>
          <w:p w:rsidR="00CD7241" w:rsidRDefault="00AF16EE" w:rsidP="00233A56">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prosječna vrijednost IL-6 kod umrlih pacijenata (pg/ml) + STD</w:t>
            </w:r>
          </w:p>
        </w:tc>
      </w:tr>
      <w:tr w:rsidR="00CD7241" w:rsidTr="00233A56">
        <w:tc>
          <w:tcPr>
            <w:tcW w:w="4065" w:type="dxa"/>
            <w:tcBorders>
              <w:left w:val="single" w:sz="4" w:space="0" w:color="FCFCFC"/>
            </w:tcBorders>
            <w:vAlign w:val="center"/>
          </w:tcPr>
          <w:p w:rsidR="00CD7241" w:rsidRDefault="00AF16EE" w:rsidP="00233A56">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634.7 + 1586</w:t>
            </w:r>
          </w:p>
        </w:tc>
        <w:tc>
          <w:tcPr>
            <w:tcW w:w="4290" w:type="dxa"/>
            <w:tcBorders>
              <w:right w:val="single" w:sz="4" w:space="0" w:color="FCFCFC"/>
            </w:tcBorders>
            <w:vAlign w:val="center"/>
          </w:tcPr>
          <w:p w:rsidR="00CD7241" w:rsidRDefault="00AF16EE" w:rsidP="00233A56">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158.67 + 33.61</w:t>
            </w:r>
          </w:p>
        </w:tc>
      </w:tr>
    </w:tbl>
    <w:p w:rsidR="00CD7241" w:rsidRDefault="00CD7241">
      <w:pPr>
        <w:spacing w:line="480" w:lineRule="auto"/>
        <w:jc w:val="both"/>
        <w:rPr>
          <w:rFonts w:ascii="Times New Roman" w:eastAsia="Times New Roman" w:hAnsi="Times New Roman" w:cs="Times New Roman"/>
          <w:sz w:val="24"/>
          <w:szCs w:val="24"/>
        </w:rPr>
      </w:pPr>
    </w:p>
    <w:p w:rsidR="00CD7241" w:rsidRDefault="00AF16E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Tabela 5. Primjena tocilizumaba i preživljavanje - statistička značajnost</w:t>
      </w:r>
    </w:p>
    <w:tbl>
      <w:tblPr>
        <w:tblStyle w:val="a3"/>
        <w:tblW w:w="850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701"/>
        <w:gridCol w:w="1701"/>
        <w:gridCol w:w="1701"/>
        <w:gridCol w:w="1701"/>
        <w:gridCol w:w="1701"/>
      </w:tblGrid>
      <w:tr w:rsidR="00CD7241" w:rsidTr="00233A56">
        <w:trPr>
          <w:jc w:val="center"/>
        </w:trPr>
        <w:tc>
          <w:tcPr>
            <w:tcW w:w="1701" w:type="dxa"/>
            <w:tcBorders>
              <w:left w:val="single" w:sz="8" w:space="0" w:color="FCFCFC"/>
            </w:tcBorders>
            <w:shd w:val="clear" w:color="auto" w:fill="FCE5CD"/>
            <w:tcMar>
              <w:top w:w="100" w:type="dxa"/>
              <w:left w:w="100" w:type="dxa"/>
              <w:bottom w:w="100" w:type="dxa"/>
              <w:right w:w="100" w:type="dxa"/>
            </w:tcMar>
            <w:vAlign w:val="center"/>
          </w:tcPr>
          <w:p w:rsidR="00CD7241" w:rsidRDefault="00AF16EE" w:rsidP="00233A56">
            <w:pPr>
              <w:widowControl w:val="0"/>
              <w:pBdr>
                <w:top w:val="nil"/>
                <w:left w:val="nil"/>
                <w:bottom w:val="nil"/>
                <w:right w:val="nil"/>
                <w:between w:val="nil"/>
              </w:pBd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tocilizumab</w:t>
            </w:r>
          </w:p>
        </w:tc>
        <w:tc>
          <w:tcPr>
            <w:tcW w:w="1701" w:type="dxa"/>
            <w:shd w:val="clear" w:color="auto" w:fill="FCE5CD"/>
            <w:tcMar>
              <w:top w:w="100" w:type="dxa"/>
              <w:left w:w="100" w:type="dxa"/>
              <w:bottom w:w="100" w:type="dxa"/>
              <w:right w:w="100" w:type="dxa"/>
            </w:tcMar>
            <w:vAlign w:val="center"/>
          </w:tcPr>
          <w:p w:rsidR="00CD7241" w:rsidRDefault="00AF16EE" w:rsidP="00233A56">
            <w:pPr>
              <w:widowControl w:val="0"/>
              <w:pBdr>
                <w:top w:val="nil"/>
                <w:left w:val="nil"/>
                <w:bottom w:val="nil"/>
                <w:right w:val="nil"/>
                <w:between w:val="nil"/>
              </w:pBd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ukupan broj pacijenata</w:t>
            </w:r>
          </w:p>
        </w:tc>
        <w:tc>
          <w:tcPr>
            <w:tcW w:w="1701" w:type="dxa"/>
            <w:shd w:val="clear" w:color="auto" w:fill="FCE5CD"/>
            <w:tcMar>
              <w:top w:w="100" w:type="dxa"/>
              <w:left w:w="100" w:type="dxa"/>
              <w:bottom w:w="100" w:type="dxa"/>
              <w:right w:w="100" w:type="dxa"/>
            </w:tcMar>
            <w:vAlign w:val="center"/>
          </w:tcPr>
          <w:p w:rsidR="00CD7241" w:rsidRDefault="00AF16EE" w:rsidP="00233A56">
            <w:pPr>
              <w:widowControl w:val="0"/>
              <w:pBdr>
                <w:top w:val="nil"/>
                <w:left w:val="nil"/>
                <w:bottom w:val="nil"/>
                <w:right w:val="nil"/>
                <w:between w:val="nil"/>
              </w:pBd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broj  preživjelih pacijenata</w:t>
            </w:r>
          </w:p>
        </w:tc>
        <w:tc>
          <w:tcPr>
            <w:tcW w:w="1701" w:type="dxa"/>
            <w:shd w:val="clear" w:color="auto" w:fill="FCE5CD"/>
            <w:tcMar>
              <w:top w:w="100" w:type="dxa"/>
              <w:left w:w="100" w:type="dxa"/>
              <w:bottom w:w="100" w:type="dxa"/>
              <w:right w:w="100" w:type="dxa"/>
            </w:tcMar>
            <w:vAlign w:val="center"/>
          </w:tcPr>
          <w:p w:rsidR="00CD7241" w:rsidRDefault="00AF16EE" w:rsidP="00233A56">
            <w:pPr>
              <w:widowControl w:val="0"/>
              <w:pBdr>
                <w:top w:val="nil"/>
                <w:left w:val="nil"/>
                <w:bottom w:val="nil"/>
                <w:right w:val="nil"/>
                <w:between w:val="nil"/>
              </w:pBd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broj umrlih pacijenata</w:t>
            </w:r>
          </w:p>
        </w:tc>
        <w:tc>
          <w:tcPr>
            <w:tcW w:w="1701" w:type="dxa"/>
            <w:tcBorders>
              <w:right w:val="single" w:sz="8" w:space="0" w:color="FCFCFC"/>
            </w:tcBorders>
            <w:shd w:val="clear" w:color="auto" w:fill="FCE5CD"/>
            <w:tcMar>
              <w:top w:w="100" w:type="dxa"/>
              <w:left w:w="100" w:type="dxa"/>
              <w:bottom w:w="100" w:type="dxa"/>
              <w:right w:w="100" w:type="dxa"/>
            </w:tcMar>
            <w:vAlign w:val="center"/>
          </w:tcPr>
          <w:p w:rsidR="00CD7241" w:rsidRDefault="00AF16EE" w:rsidP="00233A56">
            <w:pPr>
              <w:widowControl w:val="0"/>
              <w:pBdr>
                <w:top w:val="nil"/>
                <w:left w:val="nil"/>
                <w:bottom w:val="nil"/>
                <w:right w:val="nil"/>
                <w:between w:val="nil"/>
              </w:pBd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statistička značajnost</w:t>
            </w:r>
          </w:p>
        </w:tc>
      </w:tr>
      <w:tr w:rsidR="00CD7241" w:rsidTr="00233A56">
        <w:trPr>
          <w:jc w:val="center"/>
        </w:trPr>
        <w:tc>
          <w:tcPr>
            <w:tcW w:w="1701" w:type="dxa"/>
            <w:tcBorders>
              <w:left w:val="single" w:sz="8" w:space="0" w:color="FCFCFC"/>
            </w:tcBorders>
            <w:shd w:val="clear" w:color="auto" w:fill="auto"/>
            <w:tcMar>
              <w:top w:w="100" w:type="dxa"/>
              <w:left w:w="100" w:type="dxa"/>
              <w:bottom w:w="100" w:type="dxa"/>
              <w:right w:w="100" w:type="dxa"/>
            </w:tcMar>
            <w:vAlign w:val="center"/>
          </w:tcPr>
          <w:p w:rsidR="00CD7241" w:rsidRDefault="00AF16EE" w:rsidP="00233A56">
            <w:pPr>
              <w:widowControl w:val="0"/>
              <w:pBdr>
                <w:top w:val="nil"/>
                <w:left w:val="nil"/>
                <w:bottom w:val="nil"/>
                <w:right w:val="nil"/>
                <w:between w:val="nil"/>
              </w:pBd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da</w:t>
            </w:r>
          </w:p>
        </w:tc>
        <w:tc>
          <w:tcPr>
            <w:tcW w:w="1701" w:type="dxa"/>
            <w:shd w:val="clear" w:color="auto" w:fill="auto"/>
            <w:tcMar>
              <w:top w:w="100" w:type="dxa"/>
              <w:left w:w="100" w:type="dxa"/>
              <w:bottom w:w="100" w:type="dxa"/>
              <w:right w:w="100" w:type="dxa"/>
            </w:tcMar>
            <w:vAlign w:val="center"/>
          </w:tcPr>
          <w:p w:rsidR="00CD7241" w:rsidRDefault="00AF16EE" w:rsidP="00233A56">
            <w:pPr>
              <w:widowControl w:val="0"/>
              <w:pBdr>
                <w:top w:val="nil"/>
                <w:left w:val="nil"/>
                <w:bottom w:val="nil"/>
                <w:right w:val="nil"/>
                <w:between w:val="nil"/>
              </w:pBd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w:t>
            </w:r>
          </w:p>
        </w:tc>
        <w:tc>
          <w:tcPr>
            <w:tcW w:w="1701" w:type="dxa"/>
            <w:shd w:val="clear" w:color="auto" w:fill="auto"/>
            <w:tcMar>
              <w:top w:w="100" w:type="dxa"/>
              <w:left w:w="100" w:type="dxa"/>
              <w:bottom w:w="100" w:type="dxa"/>
              <w:right w:w="100" w:type="dxa"/>
            </w:tcMar>
            <w:vAlign w:val="center"/>
          </w:tcPr>
          <w:p w:rsidR="00CD7241" w:rsidRDefault="00AF16EE" w:rsidP="00233A56">
            <w:pPr>
              <w:widowControl w:val="0"/>
              <w:pBdr>
                <w:top w:val="nil"/>
                <w:left w:val="nil"/>
                <w:bottom w:val="nil"/>
                <w:right w:val="nil"/>
                <w:between w:val="nil"/>
              </w:pBd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w:t>
            </w:r>
          </w:p>
        </w:tc>
        <w:tc>
          <w:tcPr>
            <w:tcW w:w="1701" w:type="dxa"/>
            <w:shd w:val="clear" w:color="auto" w:fill="auto"/>
            <w:tcMar>
              <w:top w:w="100" w:type="dxa"/>
              <w:left w:w="100" w:type="dxa"/>
              <w:bottom w:w="100" w:type="dxa"/>
              <w:right w:w="100" w:type="dxa"/>
            </w:tcMar>
            <w:vAlign w:val="center"/>
          </w:tcPr>
          <w:p w:rsidR="00CD7241" w:rsidRDefault="00AF16EE" w:rsidP="00233A56">
            <w:pPr>
              <w:widowControl w:val="0"/>
              <w:pBdr>
                <w:top w:val="nil"/>
                <w:left w:val="nil"/>
                <w:bottom w:val="nil"/>
                <w:right w:val="nil"/>
                <w:between w:val="nil"/>
              </w:pBd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701" w:type="dxa"/>
            <w:tcBorders>
              <w:right w:val="single" w:sz="8" w:space="0" w:color="FCFCFC"/>
            </w:tcBorders>
            <w:shd w:val="clear" w:color="auto" w:fill="auto"/>
            <w:tcMar>
              <w:top w:w="100" w:type="dxa"/>
              <w:left w:w="100" w:type="dxa"/>
              <w:bottom w:w="100" w:type="dxa"/>
              <w:right w:w="100" w:type="dxa"/>
            </w:tcMar>
            <w:vAlign w:val="center"/>
          </w:tcPr>
          <w:p w:rsidR="00CD7241" w:rsidRDefault="00AF16EE" w:rsidP="00233A56">
            <w:pPr>
              <w:widowControl w:val="0"/>
              <w:pBdr>
                <w:top w:val="nil"/>
                <w:left w:val="nil"/>
                <w:bottom w:val="nil"/>
                <w:right w:val="nil"/>
                <w:between w:val="nil"/>
              </w:pBd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p&lt;0.035</w:t>
            </w:r>
          </w:p>
        </w:tc>
      </w:tr>
      <w:tr w:rsidR="00CD7241" w:rsidTr="00233A56">
        <w:trPr>
          <w:jc w:val="center"/>
        </w:trPr>
        <w:tc>
          <w:tcPr>
            <w:tcW w:w="1701" w:type="dxa"/>
            <w:tcBorders>
              <w:left w:val="single" w:sz="8" w:space="0" w:color="FCFCFC"/>
            </w:tcBorders>
            <w:shd w:val="clear" w:color="auto" w:fill="auto"/>
            <w:tcMar>
              <w:top w:w="100" w:type="dxa"/>
              <w:left w:w="100" w:type="dxa"/>
              <w:bottom w:w="100" w:type="dxa"/>
              <w:right w:w="100" w:type="dxa"/>
            </w:tcMar>
            <w:vAlign w:val="center"/>
          </w:tcPr>
          <w:p w:rsidR="00CD7241" w:rsidRDefault="00AF16EE" w:rsidP="00233A56">
            <w:pPr>
              <w:widowControl w:val="0"/>
              <w:pBdr>
                <w:top w:val="nil"/>
                <w:left w:val="nil"/>
                <w:bottom w:val="nil"/>
                <w:right w:val="nil"/>
                <w:between w:val="nil"/>
              </w:pBd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ne</w:t>
            </w:r>
          </w:p>
        </w:tc>
        <w:tc>
          <w:tcPr>
            <w:tcW w:w="1701" w:type="dxa"/>
            <w:shd w:val="clear" w:color="auto" w:fill="auto"/>
            <w:tcMar>
              <w:top w:w="100" w:type="dxa"/>
              <w:left w:w="100" w:type="dxa"/>
              <w:bottom w:w="100" w:type="dxa"/>
              <w:right w:w="100" w:type="dxa"/>
            </w:tcMar>
            <w:vAlign w:val="center"/>
          </w:tcPr>
          <w:p w:rsidR="00CD7241" w:rsidRDefault="00AF16EE" w:rsidP="00233A56">
            <w:pPr>
              <w:widowControl w:val="0"/>
              <w:pBdr>
                <w:top w:val="nil"/>
                <w:left w:val="nil"/>
                <w:bottom w:val="nil"/>
                <w:right w:val="nil"/>
                <w:between w:val="nil"/>
              </w:pBd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235</w:t>
            </w:r>
          </w:p>
        </w:tc>
        <w:tc>
          <w:tcPr>
            <w:tcW w:w="1701" w:type="dxa"/>
            <w:shd w:val="clear" w:color="auto" w:fill="auto"/>
            <w:tcMar>
              <w:top w:w="100" w:type="dxa"/>
              <w:left w:w="100" w:type="dxa"/>
              <w:bottom w:w="100" w:type="dxa"/>
              <w:right w:w="100" w:type="dxa"/>
            </w:tcMar>
            <w:vAlign w:val="center"/>
          </w:tcPr>
          <w:p w:rsidR="00CD7241" w:rsidRDefault="00AF16EE" w:rsidP="00233A56">
            <w:pPr>
              <w:widowControl w:val="0"/>
              <w:pBdr>
                <w:top w:val="nil"/>
                <w:left w:val="nil"/>
                <w:bottom w:val="nil"/>
                <w:right w:val="nil"/>
                <w:between w:val="nil"/>
              </w:pBd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102</w:t>
            </w:r>
          </w:p>
        </w:tc>
        <w:tc>
          <w:tcPr>
            <w:tcW w:w="1701" w:type="dxa"/>
            <w:shd w:val="clear" w:color="auto" w:fill="auto"/>
            <w:tcMar>
              <w:top w:w="100" w:type="dxa"/>
              <w:left w:w="100" w:type="dxa"/>
              <w:bottom w:w="100" w:type="dxa"/>
              <w:right w:w="100" w:type="dxa"/>
            </w:tcMar>
            <w:vAlign w:val="center"/>
          </w:tcPr>
          <w:p w:rsidR="00CD7241" w:rsidRDefault="00AF16EE" w:rsidP="00233A56">
            <w:pPr>
              <w:widowControl w:val="0"/>
              <w:pBdr>
                <w:top w:val="nil"/>
                <w:left w:val="nil"/>
                <w:bottom w:val="nil"/>
                <w:right w:val="nil"/>
                <w:between w:val="nil"/>
              </w:pBd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133</w:t>
            </w:r>
          </w:p>
        </w:tc>
        <w:tc>
          <w:tcPr>
            <w:tcW w:w="1701" w:type="dxa"/>
            <w:tcBorders>
              <w:right w:val="single" w:sz="8" w:space="0" w:color="FCFCFC"/>
            </w:tcBorders>
            <w:shd w:val="clear" w:color="auto" w:fill="auto"/>
            <w:tcMar>
              <w:top w:w="100" w:type="dxa"/>
              <w:left w:w="100" w:type="dxa"/>
              <w:bottom w:w="100" w:type="dxa"/>
              <w:right w:w="100" w:type="dxa"/>
            </w:tcMar>
            <w:vAlign w:val="center"/>
          </w:tcPr>
          <w:p w:rsidR="00CD7241" w:rsidRDefault="00AF16EE" w:rsidP="00233A56">
            <w:pPr>
              <w:widowControl w:val="0"/>
              <w:pBdr>
                <w:top w:val="nil"/>
                <w:left w:val="nil"/>
                <w:bottom w:val="nil"/>
                <w:right w:val="nil"/>
                <w:between w:val="nil"/>
              </w:pBd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p&lt;0.035</w:t>
            </w:r>
          </w:p>
        </w:tc>
      </w:tr>
    </w:tbl>
    <w:p w:rsidR="00CD7241" w:rsidRDefault="00CD7241">
      <w:pPr>
        <w:spacing w:line="480" w:lineRule="auto"/>
        <w:jc w:val="both"/>
        <w:rPr>
          <w:rFonts w:ascii="Times New Roman" w:eastAsia="Times New Roman" w:hAnsi="Times New Roman" w:cs="Times New Roman"/>
          <w:sz w:val="24"/>
          <w:szCs w:val="24"/>
        </w:rPr>
      </w:pPr>
    </w:p>
    <w:p w:rsidR="00CD7241" w:rsidRDefault="00CD7241">
      <w:pPr>
        <w:spacing w:line="480" w:lineRule="auto"/>
        <w:jc w:val="both"/>
        <w:rPr>
          <w:rFonts w:ascii="Times New Roman" w:eastAsia="Times New Roman" w:hAnsi="Times New Roman" w:cs="Times New Roman"/>
          <w:sz w:val="24"/>
          <w:szCs w:val="24"/>
        </w:rPr>
      </w:pPr>
    </w:p>
    <w:p w:rsidR="00CD7241" w:rsidRDefault="00B175E3">
      <w:pPr>
        <w:spacing w:line="480" w:lineRule="auto"/>
        <w:jc w:val="center"/>
        <w:rPr>
          <w:rFonts w:ascii="Times New Roman" w:eastAsia="Times New Roman" w:hAnsi="Times New Roman" w:cs="Times New Roman"/>
          <w:sz w:val="24"/>
          <w:szCs w:val="24"/>
        </w:rPr>
      </w:pPr>
      <w:r w:rsidRPr="00B175E3">
        <w:rPr>
          <w:rFonts w:ascii="Times New Roman" w:eastAsia="Times New Roman" w:hAnsi="Times New Roman" w:cs="Times New Roman"/>
          <w:noProof/>
          <w:sz w:val="24"/>
          <w:szCs w:val="24"/>
        </w:rPr>
        <w:drawing>
          <wp:inline distT="0" distB="0" distL="0" distR="0">
            <wp:extent cx="4572000" cy="3185160"/>
            <wp:effectExtent l="19050" t="0" r="1905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CD7241" w:rsidRDefault="00AF16EE">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Grafikon 1. Primjena tocilizumaba i ukupno preživljavanje </w:t>
      </w:r>
    </w:p>
    <w:p w:rsidR="00CD7241" w:rsidRDefault="00AF16EE">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Diskusija</w:t>
      </w:r>
    </w:p>
    <w:p w:rsidR="00CD7241" w:rsidRDefault="00AF16E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 studiju je uključeno ukupno 30 pacijenata, 23 pacijenta su bila muškog pola, a njihova stopa preživljavanja iznosila je 82.6% (19 pacijenata), dok je kod osoba ženskog pola (7 osoba) stopa preživljavanja iznosila 85.71% (4 osobe). Značajan uticaj na preživljavanje pacijenata koji su primili biološku terapiju tocilizumabom je imalo prisustvo komorbiditeta. Pacijenti koji su bili bez komorbiditeta (12 pacijenata) a koji su primili  tocilizumab su imali stopu preživljavanja 100%, dok je preživljavanje kod pacijenata sa komorbiditetima (njih 18) iznosilo 72%. Vrijednosti IL-6 su se pokazale takođe statistički značajnim, pri čemu je srednja vrijednost IL-6 kod svih pacijenata iznosila 634.7 sa standardnom devijacijom 1586, a vrijednosti IL-6 kod preminulih pacijenata 158.67 sa standardnom devijacijom 33.60. Ukupan broj preminulih pacijenata je 5, što čini oko 17%, od čega je bilo 40% pacijenata sa jednim komorbiditetom (2 preminula pacijenta), a 60% pacijenata sa dva udružena komorbiditeta (3 preminula pacijenta). </w:t>
      </w:r>
    </w:p>
    <w:p w:rsidR="00CD7241" w:rsidRDefault="00AF16EE">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Zaključak</w:t>
      </w:r>
    </w:p>
    <w:p w:rsidR="00CD7241" w:rsidRDefault="00AF16E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Pandemija virusom korona odnijela je veliki broj ljudskih života. U borbi protiv infekcije u početku su postojali različiti terapijski pristupi, koji su s vremenom bili prihvaćeni ili odbačeni. Toclizumab je lijek koji spada u grupu humanih monoklonskih antitijela, blokira receptore IL-6, te se primarno koristi za liječenje reumatoloških bolesnika. Njegova primjena je našla značajno mjesto u liječenju teških kliničkih formi bolesnika zaraženih virusom korona. </w:t>
      </w:r>
    </w:p>
    <w:p w:rsidR="00CD7241" w:rsidRDefault="00AF16EE">
      <w:pPr>
        <w:spacing w:after="3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 osnovu svih dobijenih podataka, mjerenja i rezultata  u ovoj studiji može se zaključiti da je primjena tocilizumaba značajno uticala na izliječenje i preživljavanje (83% preživjelih) bolesnika sa teškom formom COVID19. </w:t>
      </w:r>
    </w:p>
    <w:p w:rsidR="00CD7241" w:rsidRDefault="00AF16EE">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Literatura</w:t>
      </w:r>
    </w:p>
    <w:p w:rsidR="00CD7241" w:rsidRDefault="00AF16EE">
      <w:pPr>
        <w:numPr>
          <w:ilvl w:val="0"/>
          <w:numId w:val="1"/>
        </w:num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color w:val="333333"/>
          <w:sz w:val="24"/>
          <w:szCs w:val="24"/>
          <w:shd w:val="clear" w:color="auto" w:fill="FCFCFC"/>
        </w:rPr>
        <w:t>Huang C, Wang Y, Li X, et al. Clinical features of patients with 2019 novel coronavirus in Wuhan, China. Lancet. 2020;395(10223):497–506.</w:t>
      </w:r>
    </w:p>
    <w:p w:rsidR="00CD7241" w:rsidRDefault="00AF16EE">
      <w:pPr>
        <w:numPr>
          <w:ilvl w:val="0"/>
          <w:numId w:val="1"/>
        </w:numPr>
        <w:spacing w:after="0" w:line="480" w:lineRule="auto"/>
        <w:jc w:val="both"/>
        <w:rPr>
          <w:rFonts w:ascii="Times New Roman" w:eastAsia="Times New Roman" w:hAnsi="Times New Roman" w:cs="Times New Roman"/>
          <w:color w:val="333333"/>
          <w:sz w:val="24"/>
          <w:szCs w:val="24"/>
          <w:shd w:val="clear" w:color="auto" w:fill="FCFCFC"/>
        </w:rPr>
      </w:pPr>
      <w:r>
        <w:rPr>
          <w:rFonts w:ascii="Times New Roman" w:eastAsia="Times New Roman" w:hAnsi="Times New Roman" w:cs="Times New Roman"/>
          <w:color w:val="333333"/>
          <w:sz w:val="24"/>
          <w:szCs w:val="24"/>
          <w:shd w:val="clear" w:color="auto" w:fill="FCFCFC"/>
        </w:rPr>
        <w:t xml:space="preserve">World Health Organization. Coronavirus disease (COVID-19) outbreak. </w:t>
      </w:r>
      <w:hyperlink r:id="rId7">
        <w:r>
          <w:rPr>
            <w:rFonts w:ascii="Times New Roman" w:eastAsia="Times New Roman" w:hAnsi="Times New Roman" w:cs="Times New Roman"/>
            <w:color w:val="1155CC"/>
            <w:sz w:val="24"/>
            <w:szCs w:val="24"/>
            <w:u w:val="single"/>
            <w:shd w:val="clear" w:color="auto" w:fill="FCFCFC"/>
          </w:rPr>
          <w:t>https://www.who.int/</w:t>
        </w:r>
      </w:hyperlink>
      <w:r>
        <w:rPr>
          <w:rFonts w:ascii="Times New Roman" w:eastAsia="Times New Roman" w:hAnsi="Times New Roman" w:cs="Times New Roman"/>
          <w:color w:val="333333"/>
          <w:sz w:val="24"/>
          <w:szCs w:val="24"/>
          <w:shd w:val="clear" w:color="auto" w:fill="FCFCFC"/>
        </w:rPr>
        <w:t xml:space="preserve"> - pristupljeno 05.04.2022. </w:t>
      </w:r>
    </w:p>
    <w:p w:rsidR="00CD7241" w:rsidRDefault="00AF16EE">
      <w:pPr>
        <w:numPr>
          <w:ilvl w:val="0"/>
          <w:numId w:val="1"/>
        </w:numPr>
        <w:spacing w:after="0" w:line="480" w:lineRule="auto"/>
        <w:jc w:val="both"/>
        <w:rPr>
          <w:rFonts w:ascii="Times New Roman" w:eastAsia="Times New Roman" w:hAnsi="Times New Roman" w:cs="Times New Roman"/>
          <w:color w:val="333333"/>
          <w:sz w:val="24"/>
          <w:szCs w:val="24"/>
          <w:shd w:val="clear" w:color="auto" w:fill="FCFCFC"/>
        </w:rPr>
      </w:pPr>
      <w:r>
        <w:rPr>
          <w:rFonts w:ascii="Times New Roman" w:eastAsia="Times New Roman" w:hAnsi="Times New Roman" w:cs="Times New Roman"/>
          <w:color w:val="2E2E2E"/>
          <w:sz w:val="24"/>
          <w:szCs w:val="24"/>
          <w:shd w:val="clear" w:color="auto" w:fill="FCFCFC"/>
        </w:rPr>
        <w:t>X. Li, M. Geng, Y. Peng, L. Meng, S. Lu. Molecular immune pathogenesis and diagnosis of COVID-19. J. Pharm. Anal., 10. 2020; 102-108.</w:t>
      </w:r>
    </w:p>
    <w:p w:rsidR="00CD7241" w:rsidRDefault="00AF16EE">
      <w:pPr>
        <w:numPr>
          <w:ilvl w:val="0"/>
          <w:numId w:val="1"/>
        </w:numPr>
        <w:spacing w:after="0" w:line="480" w:lineRule="auto"/>
        <w:jc w:val="both"/>
        <w:rPr>
          <w:rFonts w:ascii="Times New Roman" w:eastAsia="Times New Roman" w:hAnsi="Times New Roman" w:cs="Times New Roman"/>
          <w:color w:val="333333"/>
          <w:sz w:val="24"/>
          <w:szCs w:val="24"/>
          <w:shd w:val="clear" w:color="auto" w:fill="FCFCFC"/>
        </w:rPr>
      </w:pPr>
      <w:r>
        <w:rPr>
          <w:rFonts w:ascii="Times New Roman" w:eastAsia="Times New Roman" w:hAnsi="Times New Roman" w:cs="Times New Roman"/>
          <w:color w:val="2E2E2E"/>
          <w:sz w:val="24"/>
          <w:szCs w:val="24"/>
          <w:shd w:val="clear" w:color="auto" w:fill="FCFCFC"/>
        </w:rPr>
        <w:t xml:space="preserve">X Yang, Y Yu, J Xu, </w:t>
      </w:r>
      <w:r>
        <w:rPr>
          <w:rFonts w:ascii="Times New Roman" w:eastAsia="Times New Roman" w:hAnsi="Times New Roman" w:cs="Times New Roman"/>
          <w:i/>
          <w:color w:val="2E2E2E"/>
          <w:sz w:val="24"/>
          <w:szCs w:val="24"/>
          <w:shd w:val="clear" w:color="auto" w:fill="FCFCFC"/>
        </w:rPr>
        <w:t xml:space="preserve">et al. </w:t>
      </w:r>
      <w:r>
        <w:rPr>
          <w:rFonts w:ascii="Times New Roman" w:eastAsia="Times New Roman" w:hAnsi="Times New Roman" w:cs="Times New Roman"/>
          <w:color w:val="2E2E2E"/>
          <w:sz w:val="24"/>
          <w:szCs w:val="24"/>
          <w:shd w:val="clear" w:color="auto" w:fill="FCFCFC"/>
        </w:rPr>
        <w:t>Clinical course and outcomes of critically ill patients with SARS-CoV-2 pneumonia in Wuhan, China: a single-centered, retrospective, observational study. Lancet Respir Med, 8. 2020; 475-481.</w:t>
      </w:r>
    </w:p>
    <w:p w:rsidR="00CD7241" w:rsidRDefault="00AF16EE">
      <w:pPr>
        <w:numPr>
          <w:ilvl w:val="0"/>
          <w:numId w:val="1"/>
        </w:numPr>
        <w:spacing w:after="0" w:line="480" w:lineRule="auto"/>
        <w:jc w:val="both"/>
        <w:rPr>
          <w:rFonts w:ascii="Times New Roman" w:eastAsia="Times New Roman" w:hAnsi="Times New Roman" w:cs="Times New Roman"/>
          <w:color w:val="333333"/>
          <w:sz w:val="24"/>
          <w:szCs w:val="24"/>
          <w:shd w:val="clear" w:color="auto" w:fill="FCFCFC"/>
        </w:rPr>
      </w:pPr>
      <w:r>
        <w:rPr>
          <w:rFonts w:ascii="Times New Roman" w:eastAsia="Times New Roman" w:hAnsi="Times New Roman" w:cs="Times New Roman"/>
          <w:color w:val="2E2E2E"/>
          <w:sz w:val="24"/>
          <w:szCs w:val="24"/>
          <w:shd w:val="clear" w:color="auto" w:fill="FCFCFC"/>
        </w:rPr>
        <w:t xml:space="preserve">F Zhou, T Yu, R Du, </w:t>
      </w:r>
      <w:r>
        <w:rPr>
          <w:rFonts w:ascii="Times New Roman" w:eastAsia="Times New Roman" w:hAnsi="Times New Roman" w:cs="Times New Roman"/>
          <w:i/>
          <w:color w:val="2E2E2E"/>
          <w:sz w:val="24"/>
          <w:szCs w:val="24"/>
          <w:shd w:val="clear" w:color="auto" w:fill="FCFCFC"/>
        </w:rPr>
        <w:t xml:space="preserve">et al. </w:t>
      </w:r>
      <w:r>
        <w:rPr>
          <w:rFonts w:ascii="Times New Roman" w:eastAsia="Times New Roman" w:hAnsi="Times New Roman" w:cs="Times New Roman"/>
          <w:color w:val="2E2E2E"/>
          <w:sz w:val="24"/>
          <w:szCs w:val="24"/>
          <w:shd w:val="clear" w:color="auto" w:fill="FCFCFC"/>
        </w:rPr>
        <w:t>Clinical course and risk factors for mortality of adult inpatients with COVID-19 in Wuhan, China: a retrospective cohort study. Lancet. 2020; 1054-1062.</w:t>
      </w:r>
    </w:p>
    <w:p w:rsidR="00CD7241" w:rsidRDefault="00AF16EE">
      <w:pPr>
        <w:pStyle w:val="Heading1"/>
        <w:keepNext w:val="0"/>
        <w:keepLines w:val="0"/>
        <w:numPr>
          <w:ilvl w:val="0"/>
          <w:numId w:val="1"/>
        </w:numPr>
        <w:spacing w:before="0" w:after="0" w:line="480" w:lineRule="auto"/>
        <w:jc w:val="both"/>
        <w:rPr>
          <w:rFonts w:ascii="Times New Roman" w:eastAsia="Times New Roman" w:hAnsi="Times New Roman" w:cs="Times New Roman"/>
          <w:b w:val="0"/>
          <w:color w:val="333333"/>
          <w:sz w:val="24"/>
          <w:szCs w:val="24"/>
          <w:shd w:val="clear" w:color="auto" w:fill="FCFCFC"/>
        </w:rPr>
      </w:pPr>
      <w:bookmarkStart w:id="0" w:name="_heading=h.8xcs643t2dbs" w:colFirst="0" w:colLast="0"/>
      <w:bookmarkEnd w:id="0"/>
      <w:r>
        <w:rPr>
          <w:rFonts w:ascii="Times New Roman" w:eastAsia="Times New Roman" w:hAnsi="Times New Roman" w:cs="Times New Roman"/>
          <w:b w:val="0"/>
          <w:color w:val="505050"/>
          <w:sz w:val="24"/>
          <w:szCs w:val="24"/>
          <w:shd w:val="clear" w:color="auto" w:fill="FCFCFC"/>
        </w:rPr>
        <w:t xml:space="preserve">G Guaraldi, M Meschiari, A Cozzi-Lepri, </w:t>
      </w:r>
      <w:r>
        <w:rPr>
          <w:rFonts w:ascii="Times New Roman" w:eastAsia="Times New Roman" w:hAnsi="Times New Roman" w:cs="Times New Roman"/>
          <w:b w:val="0"/>
          <w:i/>
          <w:color w:val="505050"/>
          <w:sz w:val="24"/>
          <w:szCs w:val="24"/>
          <w:shd w:val="clear" w:color="auto" w:fill="FCFCFC"/>
        </w:rPr>
        <w:t>et al.</w:t>
      </w:r>
      <w:r>
        <w:rPr>
          <w:rFonts w:ascii="Times New Roman" w:eastAsia="Times New Roman" w:hAnsi="Times New Roman" w:cs="Times New Roman"/>
          <w:b w:val="0"/>
          <w:color w:val="505050"/>
          <w:sz w:val="24"/>
          <w:szCs w:val="24"/>
          <w:shd w:val="clear" w:color="auto" w:fill="FCFCFC"/>
        </w:rPr>
        <w:t xml:space="preserve"> Tocilizumab in patients with severe COVID-19: a retrospective cohort study. Lancet. </w:t>
      </w:r>
      <w:r>
        <w:rPr>
          <w:rFonts w:ascii="Times New Roman" w:eastAsia="Times New Roman" w:hAnsi="Times New Roman" w:cs="Times New Roman"/>
          <w:b w:val="0"/>
          <w:color w:val="2E2E2E"/>
          <w:sz w:val="24"/>
          <w:szCs w:val="24"/>
          <w:shd w:val="clear" w:color="auto" w:fill="FCFCFC"/>
        </w:rPr>
        <w:t xml:space="preserve">2020; 474-484. </w:t>
      </w:r>
    </w:p>
    <w:p w:rsidR="00CD7241" w:rsidRDefault="00AF16EE">
      <w:pPr>
        <w:pStyle w:val="Heading1"/>
        <w:keepNext w:val="0"/>
        <w:keepLines w:val="0"/>
        <w:numPr>
          <w:ilvl w:val="0"/>
          <w:numId w:val="1"/>
        </w:numPr>
        <w:spacing w:before="0" w:after="0" w:line="480" w:lineRule="auto"/>
        <w:jc w:val="both"/>
        <w:rPr>
          <w:rFonts w:ascii="Times New Roman" w:eastAsia="Times New Roman" w:hAnsi="Times New Roman" w:cs="Times New Roman"/>
          <w:b w:val="0"/>
          <w:color w:val="333333"/>
          <w:sz w:val="24"/>
          <w:szCs w:val="24"/>
          <w:shd w:val="clear" w:color="auto" w:fill="FCFCFC"/>
        </w:rPr>
      </w:pPr>
      <w:bookmarkStart w:id="1" w:name="_heading=h.ex34beda0shq" w:colFirst="0" w:colLast="0"/>
      <w:bookmarkEnd w:id="1"/>
      <w:r>
        <w:rPr>
          <w:rFonts w:ascii="Times New Roman" w:eastAsia="Times New Roman" w:hAnsi="Times New Roman" w:cs="Times New Roman"/>
          <w:b w:val="0"/>
          <w:color w:val="1C1D1E"/>
          <w:sz w:val="24"/>
          <w:szCs w:val="24"/>
          <w:highlight w:val="white"/>
        </w:rPr>
        <w:t xml:space="preserve">Mehta P, McAuley DF, Brown M, </w:t>
      </w:r>
      <w:r>
        <w:rPr>
          <w:rFonts w:ascii="Times New Roman" w:eastAsia="Times New Roman" w:hAnsi="Times New Roman" w:cs="Times New Roman"/>
          <w:b w:val="0"/>
          <w:i/>
          <w:color w:val="1C1D1E"/>
          <w:sz w:val="24"/>
          <w:szCs w:val="24"/>
          <w:highlight w:val="white"/>
        </w:rPr>
        <w:t>et al</w:t>
      </w:r>
      <w:r>
        <w:rPr>
          <w:rFonts w:ascii="Times New Roman" w:eastAsia="Times New Roman" w:hAnsi="Times New Roman" w:cs="Times New Roman"/>
          <w:b w:val="0"/>
          <w:color w:val="1C1D1E"/>
          <w:sz w:val="24"/>
          <w:szCs w:val="24"/>
          <w:highlight w:val="white"/>
        </w:rPr>
        <w:t>. COVID-19: consider cytokine storm syndromes and immunosuppression. Lancet</w:t>
      </w:r>
      <w:r>
        <w:rPr>
          <w:rFonts w:ascii="Times New Roman" w:eastAsia="Times New Roman" w:hAnsi="Times New Roman" w:cs="Times New Roman"/>
          <w:b w:val="0"/>
          <w:i/>
          <w:color w:val="1C1D1E"/>
          <w:sz w:val="24"/>
          <w:szCs w:val="24"/>
          <w:highlight w:val="white"/>
        </w:rPr>
        <w:t>.</w:t>
      </w:r>
      <w:r>
        <w:rPr>
          <w:rFonts w:ascii="Times New Roman" w:eastAsia="Times New Roman" w:hAnsi="Times New Roman" w:cs="Times New Roman"/>
          <w:b w:val="0"/>
          <w:color w:val="1C1D1E"/>
          <w:sz w:val="24"/>
          <w:szCs w:val="24"/>
          <w:highlight w:val="white"/>
        </w:rPr>
        <w:t xml:space="preserve"> 2020; 395(10229): 1033- 1034.</w:t>
      </w:r>
    </w:p>
    <w:p w:rsidR="00CD7241" w:rsidRDefault="00AF16EE">
      <w:pPr>
        <w:pStyle w:val="Heading1"/>
        <w:keepNext w:val="0"/>
        <w:keepLines w:val="0"/>
        <w:numPr>
          <w:ilvl w:val="0"/>
          <w:numId w:val="1"/>
        </w:numPr>
        <w:spacing w:before="0" w:after="0" w:line="480" w:lineRule="auto"/>
        <w:jc w:val="both"/>
        <w:rPr>
          <w:rFonts w:ascii="Times New Roman" w:eastAsia="Times New Roman" w:hAnsi="Times New Roman" w:cs="Times New Roman"/>
          <w:b w:val="0"/>
          <w:color w:val="333333"/>
          <w:sz w:val="24"/>
          <w:szCs w:val="24"/>
          <w:shd w:val="clear" w:color="auto" w:fill="FCFCFC"/>
        </w:rPr>
      </w:pPr>
      <w:bookmarkStart w:id="2" w:name="_heading=h.w7wlt73gpe9n" w:colFirst="0" w:colLast="0"/>
      <w:bookmarkEnd w:id="2"/>
      <w:r>
        <w:rPr>
          <w:rFonts w:ascii="Times New Roman" w:eastAsia="Times New Roman" w:hAnsi="Times New Roman" w:cs="Times New Roman"/>
          <w:b w:val="0"/>
          <w:color w:val="1C1D1E"/>
          <w:sz w:val="24"/>
          <w:szCs w:val="24"/>
          <w:highlight w:val="white"/>
        </w:rPr>
        <w:t xml:space="preserve">Xu Z, Shi L, Wang Y, </w:t>
      </w:r>
      <w:r>
        <w:rPr>
          <w:rFonts w:ascii="Times New Roman" w:eastAsia="Times New Roman" w:hAnsi="Times New Roman" w:cs="Times New Roman"/>
          <w:b w:val="0"/>
          <w:i/>
          <w:color w:val="1C1D1E"/>
          <w:sz w:val="24"/>
          <w:szCs w:val="24"/>
          <w:highlight w:val="white"/>
        </w:rPr>
        <w:t>et al.</w:t>
      </w:r>
      <w:r>
        <w:rPr>
          <w:rFonts w:ascii="Times New Roman" w:eastAsia="Times New Roman" w:hAnsi="Times New Roman" w:cs="Times New Roman"/>
          <w:b w:val="0"/>
          <w:color w:val="1C1D1E"/>
          <w:sz w:val="24"/>
          <w:szCs w:val="24"/>
          <w:highlight w:val="white"/>
        </w:rPr>
        <w:t xml:space="preserve"> Pathological findings of COVID-19 associated with acute respiratory distress syndrome. Lancet Respir Med. 2020; 8(4): 420- 422.</w:t>
      </w:r>
    </w:p>
    <w:p w:rsidR="00CD7241" w:rsidRDefault="00AF16EE">
      <w:pPr>
        <w:numPr>
          <w:ilvl w:val="0"/>
          <w:numId w:val="1"/>
        </w:numPr>
        <w:spacing w:after="0" w:line="480" w:lineRule="auto"/>
        <w:jc w:val="both"/>
        <w:rPr>
          <w:rFonts w:ascii="Times New Roman" w:eastAsia="Times New Roman" w:hAnsi="Times New Roman" w:cs="Times New Roman"/>
          <w:color w:val="333333"/>
          <w:sz w:val="24"/>
          <w:szCs w:val="24"/>
          <w:shd w:val="clear" w:color="auto" w:fill="FCFCFC"/>
        </w:rPr>
      </w:pPr>
      <w:r>
        <w:rPr>
          <w:rFonts w:ascii="Times New Roman" w:eastAsia="Times New Roman" w:hAnsi="Times New Roman" w:cs="Times New Roman"/>
          <w:color w:val="1C1D1E"/>
          <w:sz w:val="24"/>
          <w:szCs w:val="24"/>
          <w:highlight w:val="white"/>
        </w:rPr>
        <w:t xml:space="preserve">Azkur AK, Akdis M, Azkur D, </w:t>
      </w:r>
      <w:r>
        <w:rPr>
          <w:rFonts w:ascii="Times New Roman" w:eastAsia="Times New Roman" w:hAnsi="Times New Roman" w:cs="Times New Roman"/>
          <w:i/>
          <w:color w:val="1C1D1E"/>
          <w:sz w:val="24"/>
          <w:szCs w:val="24"/>
          <w:highlight w:val="white"/>
        </w:rPr>
        <w:t>et al.</w:t>
      </w:r>
      <w:r>
        <w:rPr>
          <w:rFonts w:ascii="Times New Roman" w:eastAsia="Times New Roman" w:hAnsi="Times New Roman" w:cs="Times New Roman"/>
          <w:color w:val="1C1D1E"/>
          <w:sz w:val="24"/>
          <w:szCs w:val="24"/>
          <w:highlight w:val="white"/>
        </w:rPr>
        <w:t xml:space="preserve"> Immune response to SARS-CoV-2 and mechanisms of immunopathological changes in COVID-19. Allergy. 2020; 75(7): 1564- 1581.</w:t>
      </w:r>
    </w:p>
    <w:p w:rsidR="00CD7241" w:rsidRDefault="00AF16EE">
      <w:pPr>
        <w:pStyle w:val="Heading1"/>
        <w:keepNext w:val="0"/>
        <w:keepLines w:val="0"/>
        <w:numPr>
          <w:ilvl w:val="0"/>
          <w:numId w:val="1"/>
        </w:numPr>
        <w:spacing w:before="0" w:after="0" w:line="480" w:lineRule="auto"/>
        <w:jc w:val="both"/>
        <w:rPr>
          <w:rFonts w:ascii="Times New Roman" w:eastAsia="Times New Roman" w:hAnsi="Times New Roman" w:cs="Times New Roman"/>
          <w:b w:val="0"/>
          <w:color w:val="1C1D1E"/>
          <w:sz w:val="24"/>
          <w:szCs w:val="24"/>
          <w:highlight w:val="white"/>
        </w:rPr>
      </w:pPr>
      <w:bookmarkStart w:id="3" w:name="_heading=h.84h4hz9hmqay" w:colFirst="0" w:colLast="0"/>
      <w:bookmarkEnd w:id="3"/>
      <w:r>
        <w:rPr>
          <w:rFonts w:ascii="Times New Roman" w:eastAsia="Times New Roman" w:hAnsi="Times New Roman" w:cs="Times New Roman"/>
          <w:b w:val="0"/>
          <w:color w:val="1C1D1E"/>
          <w:sz w:val="24"/>
          <w:szCs w:val="24"/>
          <w:highlight w:val="white"/>
        </w:rPr>
        <w:t xml:space="preserve">Cortegiani A, Ippolito M, Greco M, </w:t>
      </w:r>
      <w:r>
        <w:rPr>
          <w:rFonts w:ascii="Times New Roman" w:eastAsia="Times New Roman" w:hAnsi="Times New Roman" w:cs="Times New Roman"/>
          <w:b w:val="0"/>
          <w:i/>
          <w:color w:val="1C1D1E"/>
          <w:sz w:val="24"/>
          <w:szCs w:val="24"/>
          <w:highlight w:val="white"/>
        </w:rPr>
        <w:t>et al.</w:t>
      </w:r>
      <w:r>
        <w:rPr>
          <w:rFonts w:ascii="Times New Roman" w:eastAsia="Times New Roman" w:hAnsi="Times New Roman" w:cs="Times New Roman"/>
          <w:b w:val="0"/>
          <w:color w:val="505050"/>
          <w:sz w:val="24"/>
          <w:szCs w:val="24"/>
          <w:highlight w:val="white"/>
        </w:rPr>
        <w:t xml:space="preserve">Rationale and evidence on the use of tocilizumab in COVID-19: a systematic review. ScienceDirect. Pulmonology. </w:t>
      </w:r>
      <w:r>
        <w:rPr>
          <w:rFonts w:ascii="Arial" w:eastAsia="Arial" w:hAnsi="Arial" w:cs="Arial"/>
          <w:b w:val="0"/>
          <w:color w:val="2E2E2E"/>
          <w:sz w:val="21"/>
          <w:szCs w:val="21"/>
          <w:highlight w:val="white"/>
        </w:rPr>
        <w:t>2021; 27(1); 52-66.</w:t>
      </w:r>
    </w:p>
    <w:p w:rsidR="00CD7241" w:rsidRDefault="00AF16EE">
      <w:pPr>
        <w:pStyle w:val="Heading1"/>
        <w:keepNext w:val="0"/>
        <w:keepLines w:val="0"/>
        <w:numPr>
          <w:ilvl w:val="0"/>
          <w:numId w:val="1"/>
        </w:numPr>
        <w:shd w:val="clear" w:color="auto" w:fill="FFFFFF"/>
        <w:spacing w:before="0" w:after="0" w:line="480" w:lineRule="auto"/>
        <w:jc w:val="both"/>
        <w:rPr>
          <w:rFonts w:ascii="Times New Roman" w:eastAsia="Times New Roman" w:hAnsi="Times New Roman" w:cs="Times New Roman"/>
          <w:b w:val="0"/>
          <w:color w:val="1C1D1E"/>
          <w:sz w:val="24"/>
          <w:szCs w:val="24"/>
          <w:highlight w:val="white"/>
        </w:rPr>
      </w:pPr>
      <w:bookmarkStart w:id="4" w:name="_heading=h.5jiyj5h7kjtw" w:colFirst="0" w:colLast="0"/>
      <w:bookmarkEnd w:id="4"/>
      <w:r>
        <w:rPr>
          <w:rFonts w:ascii="Times New Roman" w:eastAsia="Times New Roman" w:hAnsi="Times New Roman" w:cs="Times New Roman"/>
          <w:b w:val="0"/>
          <w:color w:val="1C1D1E"/>
          <w:sz w:val="24"/>
          <w:szCs w:val="24"/>
          <w:highlight w:val="white"/>
        </w:rPr>
        <w:lastRenderedPageBreak/>
        <w:t xml:space="preserve">Coomes A. E, Haghbayan H. Interleukin-6 in Covid-19: A systematic review and meta-analysis. Medical Virology. 2020; 30(6); 1-9. </w:t>
      </w:r>
    </w:p>
    <w:p w:rsidR="00CD7241" w:rsidRDefault="00AF16EE">
      <w:pPr>
        <w:pStyle w:val="Heading1"/>
        <w:keepNext w:val="0"/>
        <w:keepLines w:val="0"/>
        <w:numPr>
          <w:ilvl w:val="0"/>
          <w:numId w:val="1"/>
        </w:numPr>
        <w:shd w:val="clear" w:color="auto" w:fill="FFFFFF"/>
        <w:spacing w:before="0" w:after="0" w:line="480" w:lineRule="auto"/>
        <w:jc w:val="both"/>
        <w:rPr>
          <w:rFonts w:ascii="Times New Roman" w:eastAsia="Times New Roman" w:hAnsi="Times New Roman" w:cs="Times New Roman"/>
          <w:b w:val="0"/>
          <w:color w:val="1C1D1E"/>
          <w:sz w:val="24"/>
          <w:szCs w:val="24"/>
          <w:highlight w:val="white"/>
        </w:rPr>
      </w:pPr>
      <w:bookmarkStart w:id="5" w:name="_heading=h.msewl83mfdxe" w:colFirst="0" w:colLast="0"/>
      <w:bookmarkEnd w:id="5"/>
      <w:r>
        <w:rPr>
          <w:rFonts w:ascii="Times New Roman" w:eastAsia="Times New Roman" w:hAnsi="Times New Roman" w:cs="Times New Roman"/>
          <w:b w:val="0"/>
          <w:color w:val="1A1A1A"/>
          <w:sz w:val="24"/>
          <w:szCs w:val="24"/>
          <w:highlight w:val="white"/>
        </w:rPr>
        <w:t xml:space="preserve">Salama C, Han J, Yau L, </w:t>
      </w:r>
      <w:r>
        <w:rPr>
          <w:rFonts w:ascii="Times New Roman" w:eastAsia="Times New Roman" w:hAnsi="Times New Roman" w:cs="Times New Roman"/>
          <w:b w:val="0"/>
          <w:i/>
          <w:color w:val="1A1A1A"/>
          <w:sz w:val="24"/>
          <w:szCs w:val="24"/>
          <w:highlight w:val="white"/>
        </w:rPr>
        <w:t>et al.</w:t>
      </w:r>
      <w:r>
        <w:rPr>
          <w:rFonts w:ascii="Times New Roman" w:eastAsia="Times New Roman" w:hAnsi="Times New Roman" w:cs="Times New Roman"/>
          <w:b w:val="0"/>
          <w:color w:val="1A1A1A"/>
          <w:sz w:val="24"/>
          <w:szCs w:val="24"/>
          <w:highlight w:val="white"/>
        </w:rPr>
        <w:t xml:space="preserve"> Tocilizumab in Patients Hospitalized with Covid-19 Pneumonia. N Engl J Med. </w:t>
      </w:r>
      <w:r>
        <w:rPr>
          <w:rFonts w:ascii="Times New Roman" w:eastAsia="Times New Roman" w:hAnsi="Times New Roman" w:cs="Times New Roman"/>
          <w:b w:val="0"/>
          <w:color w:val="666666"/>
          <w:sz w:val="24"/>
          <w:szCs w:val="24"/>
          <w:highlight w:val="white"/>
        </w:rPr>
        <w:t>2021; 384; 20-30.</w:t>
      </w:r>
    </w:p>
    <w:p w:rsidR="00CD7241" w:rsidRDefault="00AF16EE">
      <w:pPr>
        <w:numPr>
          <w:ilvl w:val="0"/>
          <w:numId w:val="1"/>
        </w:numPr>
        <w:spacing w:line="480" w:lineRule="auto"/>
        <w:rPr>
          <w:sz w:val="24"/>
          <w:szCs w:val="24"/>
        </w:rPr>
      </w:pPr>
      <w:r>
        <w:rPr>
          <w:rFonts w:ascii="Times New Roman" w:eastAsia="Times New Roman" w:hAnsi="Times New Roman" w:cs="Times New Roman"/>
          <w:color w:val="4D4D4D"/>
          <w:sz w:val="24"/>
          <w:szCs w:val="24"/>
          <w:highlight w:val="white"/>
        </w:rPr>
        <w:t>Gupta S, Hayek SS, Wang W, et al. Factors associated with death in critically ill patients with coronavirus disease 2019 in the US. JAMA Intern Med 2020;180:1-12.</w:t>
      </w:r>
    </w:p>
    <w:p w:rsidR="00CD7241" w:rsidRDefault="00AF16EE">
      <w:pPr>
        <w:numPr>
          <w:ilvl w:val="0"/>
          <w:numId w:val="1"/>
        </w:numPr>
        <w:spacing w:line="480" w:lineRule="auto"/>
        <w:jc w:val="both"/>
        <w:rPr>
          <w:rFonts w:ascii="Times New Roman" w:eastAsia="Times New Roman" w:hAnsi="Times New Roman" w:cs="Times New Roman"/>
          <w:color w:val="4D4D4D"/>
          <w:sz w:val="24"/>
          <w:szCs w:val="24"/>
          <w:highlight w:val="white"/>
        </w:rPr>
      </w:pPr>
      <w:r>
        <w:rPr>
          <w:rFonts w:ascii="Times New Roman" w:eastAsia="Times New Roman" w:hAnsi="Times New Roman" w:cs="Times New Roman"/>
          <w:color w:val="4D4D4D"/>
          <w:sz w:val="24"/>
          <w:szCs w:val="24"/>
          <w:highlight w:val="white"/>
        </w:rPr>
        <w:t>Fan E, Beitler JR, Brochard L, et al. COVID-19-associated acute respiratory distress syndrome: is a different approach to management warranted? Lancet Respir Med 2020;8:816-821.</w:t>
      </w:r>
    </w:p>
    <w:p w:rsidR="00CD7241" w:rsidRDefault="00AF16EE">
      <w:pPr>
        <w:numPr>
          <w:ilvl w:val="0"/>
          <w:numId w:val="1"/>
        </w:numPr>
        <w:spacing w:line="480" w:lineRule="auto"/>
        <w:jc w:val="both"/>
        <w:rPr>
          <w:rFonts w:ascii="Times New Roman" w:eastAsia="Times New Roman" w:hAnsi="Times New Roman" w:cs="Times New Roman"/>
          <w:color w:val="4D4D4D"/>
          <w:sz w:val="24"/>
          <w:szCs w:val="24"/>
          <w:highlight w:val="white"/>
        </w:rPr>
      </w:pPr>
      <w:r>
        <w:rPr>
          <w:rFonts w:ascii="Times New Roman" w:eastAsia="Times New Roman" w:hAnsi="Times New Roman" w:cs="Times New Roman"/>
          <w:color w:val="4D4D4D"/>
          <w:sz w:val="24"/>
          <w:szCs w:val="24"/>
          <w:highlight w:val="white"/>
        </w:rPr>
        <w:t>Giamarellos-Bourboulis EJ, Netea MG, Rovina N, et al. Complex immune dysregulation in COVID-19 patients with severe respiratory failure. Cell Host Microbe 2020;27(6):992-1000.</w:t>
      </w:r>
    </w:p>
    <w:p w:rsidR="00CD7241" w:rsidRDefault="00AF16EE">
      <w:pPr>
        <w:numPr>
          <w:ilvl w:val="0"/>
          <w:numId w:val="1"/>
        </w:numPr>
        <w:spacing w:line="480" w:lineRule="auto"/>
        <w:jc w:val="both"/>
        <w:rPr>
          <w:rFonts w:ascii="Times New Roman" w:eastAsia="Times New Roman" w:hAnsi="Times New Roman" w:cs="Times New Roman"/>
          <w:color w:val="4D4D4D"/>
          <w:sz w:val="24"/>
          <w:szCs w:val="24"/>
          <w:highlight w:val="white"/>
        </w:rPr>
      </w:pPr>
      <w:r>
        <w:rPr>
          <w:rFonts w:ascii="Times New Roman" w:eastAsia="Times New Roman" w:hAnsi="Times New Roman" w:cs="Times New Roman"/>
          <w:color w:val="4D4D4D"/>
          <w:sz w:val="24"/>
          <w:szCs w:val="24"/>
          <w:highlight w:val="white"/>
        </w:rPr>
        <w:t>Aziz M, Fatima R, Assaly R. Elevated interleukin-6 and severe COVID-19: a meta-analysis. J Med Virol 2020;92:2283-2285.</w:t>
      </w:r>
    </w:p>
    <w:p w:rsidR="00CD7241" w:rsidRDefault="00AF16EE">
      <w:pPr>
        <w:numPr>
          <w:ilvl w:val="0"/>
          <w:numId w:val="1"/>
        </w:numPr>
        <w:spacing w:line="480" w:lineRule="auto"/>
        <w:jc w:val="both"/>
        <w:rPr>
          <w:rFonts w:ascii="Times New Roman" w:eastAsia="Times New Roman" w:hAnsi="Times New Roman" w:cs="Times New Roman"/>
          <w:color w:val="4D4D4D"/>
          <w:sz w:val="24"/>
          <w:szCs w:val="24"/>
          <w:highlight w:val="white"/>
        </w:rPr>
      </w:pPr>
      <w:r>
        <w:rPr>
          <w:rFonts w:ascii="Times New Roman" w:eastAsia="Times New Roman" w:hAnsi="Times New Roman" w:cs="Times New Roman"/>
          <w:color w:val="4D4D4D"/>
          <w:sz w:val="24"/>
          <w:szCs w:val="24"/>
          <w:highlight w:val="white"/>
        </w:rPr>
        <w:t xml:space="preserve">Zhu J, Pang J, Ji P, et al. Elevated interleukin-6 is associated with severity of COVID-19: a meta-analysis. J Med Virol 2020. </w:t>
      </w:r>
    </w:p>
    <w:p w:rsidR="00CD7241" w:rsidRDefault="00AF16EE">
      <w:pPr>
        <w:numPr>
          <w:ilvl w:val="0"/>
          <w:numId w:val="1"/>
        </w:numPr>
        <w:spacing w:line="480" w:lineRule="auto"/>
        <w:jc w:val="both"/>
        <w:rPr>
          <w:rFonts w:ascii="Times New Roman" w:eastAsia="Times New Roman" w:hAnsi="Times New Roman" w:cs="Times New Roman"/>
          <w:color w:val="4D4D4D"/>
          <w:sz w:val="24"/>
          <w:szCs w:val="24"/>
          <w:highlight w:val="white"/>
        </w:rPr>
      </w:pPr>
      <w:r>
        <w:rPr>
          <w:rFonts w:ascii="Times New Roman" w:eastAsia="Times New Roman" w:hAnsi="Times New Roman" w:cs="Times New Roman"/>
          <w:color w:val="4D4D4D"/>
          <w:sz w:val="24"/>
          <w:szCs w:val="24"/>
          <w:highlight w:val="white"/>
        </w:rPr>
        <w:t>Herold T, Jurinovic V, Arnreich C, et al. Elevated levels of IL-6 and CRP predict the need for mechanical ventilation in COVID-19. J Allergy Clin Immunol 2020;146(1):128-136.</w:t>
      </w:r>
    </w:p>
    <w:p w:rsidR="00CD7241" w:rsidRDefault="00AF16EE">
      <w:pPr>
        <w:numPr>
          <w:ilvl w:val="0"/>
          <w:numId w:val="1"/>
        </w:numPr>
        <w:spacing w:line="480" w:lineRule="auto"/>
        <w:jc w:val="both"/>
        <w:rPr>
          <w:rFonts w:ascii="Times New Roman" w:eastAsia="Times New Roman" w:hAnsi="Times New Roman" w:cs="Times New Roman"/>
          <w:color w:val="4D4D4D"/>
          <w:sz w:val="24"/>
          <w:szCs w:val="24"/>
          <w:highlight w:val="white"/>
        </w:rPr>
      </w:pPr>
      <w:r>
        <w:rPr>
          <w:rFonts w:ascii="Times New Roman" w:eastAsia="Times New Roman" w:hAnsi="Times New Roman" w:cs="Times New Roman"/>
          <w:color w:val="4D4D4D"/>
          <w:sz w:val="24"/>
          <w:szCs w:val="24"/>
          <w:highlight w:val="white"/>
        </w:rPr>
        <w:t>Xu X, Han M, Li T, et al. Effective treatment of severe COVID-19 patients with tocilizumab. Proc Natl Acad Sci U S A 2020;117:10970-10975.</w:t>
      </w:r>
    </w:p>
    <w:p w:rsidR="00CD7241" w:rsidRDefault="00AF16EE">
      <w:pPr>
        <w:numPr>
          <w:ilvl w:val="0"/>
          <w:numId w:val="1"/>
        </w:numPr>
        <w:spacing w:line="480" w:lineRule="auto"/>
        <w:jc w:val="both"/>
        <w:rPr>
          <w:rFonts w:ascii="Times New Roman" w:eastAsia="Times New Roman" w:hAnsi="Times New Roman" w:cs="Times New Roman"/>
          <w:color w:val="4D4D4D"/>
          <w:sz w:val="24"/>
          <w:szCs w:val="24"/>
          <w:highlight w:val="white"/>
        </w:rPr>
      </w:pPr>
      <w:r>
        <w:rPr>
          <w:rFonts w:ascii="Times New Roman" w:eastAsia="Times New Roman" w:hAnsi="Times New Roman" w:cs="Times New Roman"/>
          <w:color w:val="2A2A2A"/>
          <w:sz w:val="24"/>
          <w:szCs w:val="24"/>
          <w:highlight w:val="white"/>
        </w:rPr>
        <w:lastRenderedPageBreak/>
        <w:t>Somers C. E, Eschenauer A. G, Troost P. J,</w:t>
      </w:r>
      <w:r>
        <w:rPr>
          <w:rFonts w:ascii="Times New Roman" w:eastAsia="Times New Roman" w:hAnsi="Times New Roman" w:cs="Times New Roman"/>
          <w:i/>
          <w:color w:val="2A2A2A"/>
          <w:sz w:val="24"/>
          <w:szCs w:val="24"/>
          <w:highlight w:val="white"/>
        </w:rPr>
        <w:t xml:space="preserve"> et al.</w:t>
      </w:r>
      <w:r>
        <w:rPr>
          <w:rFonts w:ascii="Times New Roman" w:eastAsia="Times New Roman" w:hAnsi="Times New Roman" w:cs="Times New Roman"/>
          <w:color w:val="2A2A2A"/>
          <w:sz w:val="24"/>
          <w:szCs w:val="24"/>
          <w:highlight w:val="white"/>
        </w:rPr>
        <w:t xml:space="preserve"> Tocilizumab for Treatment of Mechanically Ventilated Patients With COVID-19. Clinical Infectious Diseases. 2021; 73(2); 445–454.</w:t>
      </w:r>
    </w:p>
    <w:p w:rsidR="00CD7241" w:rsidRDefault="00AF16EE">
      <w:pPr>
        <w:numPr>
          <w:ilvl w:val="0"/>
          <w:numId w:val="1"/>
        </w:numPr>
        <w:spacing w:line="480" w:lineRule="auto"/>
        <w:jc w:val="both"/>
        <w:rPr>
          <w:rFonts w:ascii="Times New Roman" w:eastAsia="Times New Roman" w:hAnsi="Times New Roman" w:cs="Times New Roman"/>
          <w:color w:val="2A2A2A"/>
          <w:sz w:val="24"/>
          <w:szCs w:val="24"/>
          <w:highlight w:val="white"/>
        </w:rPr>
      </w:pPr>
      <w:r>
        <w:rPr>
          <w:rFonts w:ascii="Times New Roman" w:eastAsia="Times New Roman" w:hAnsi="Times New Roman" w:cs="Times New Roman"/>
          <w:color w:val="2A2A2A"/>
          <w:sz w:val="24"/>
          <w:szCs w:val="24"/>
          <w:highlight w:val="white"/>
        </w:rPr>
        <w:t>Wu   C, Chen X, Cai Y,</w:t>
      </w:r>
      <w:r>
        <w:rPr>
          <w:rFonts w:ascii="Times New Roman" w:eastAsia="Times New Roman" w:hAnsi="Times New Roman" w:cs="Times New Roman"/>
          <w:i/>
          <w:color w:val="2A2A2A"/>
          <w:sz w:val="24"/>
          <w:szCs w:val="24"/>
          <w:highlight w:val="white"/>
        </w:rPr>
        <w:t>et al.</w:t>
      </w:r>
      <w:r>
        <w:rPr>
          <w:rFonts w:ascii="Times New Roman" w:eastAsia="Times New Roman" w:hAnsi="Times New Roman" w:cs="Times New Roman"/>
          <w:color w:val="2A2A2A"/>
          <w:sz w:val="24"/>
          <w:szCs w:val="24"/>
          <w:highlight w:val="white"/>
        </w:rPr>
        <w:t xml:space="preserve">   Risk factors associated  with acute respiratory distress syndrome and death in patients with coronavirus disease 2019 pneumonia in Wuhan, China. </w:t>
      </w:r>
      <w:r>
        <w:rPr>
          <w:rFonts w:ascii="Times New Roman" w:eastAsia="Times New Roman" w:hAnsi="Times New Roman" w:cs="Times New Roman"/>
          <w:i/>
          <w:color w:val="2A2A2A"/>
          <w:sz w:val="24"/>
          <w:szCs w:val="24"/>
          <w:highlight w:val="white"/>
        </w:rPr>
        <w:t xml:space="preserve">JAMA Intern Med </w:t>
      </w:r>
      <w:r>
        <w:rPr>
          <w:rFonts w:ascii="Times New Roman" w:eastAsia="Times New Roman" w:hAnsi="Times New Roman" w:cs="Times New Roman"/>
          <w:color w:val="2A2A2A"/>
          <w:sz w:val="24"/>
          <w:szCs w:val="24"/>
          <w:highlight w:val="white"/>
        </w:rPr>
        <w:t>2020; 180; 1–11.</w:t>
      </w:r>
    </w:p>
    <w:p w:rsidR="00CD7241" w:rsidRDefault="00CD7241">
      <w:pPr>
        <w:spacing w:line="480" w:lineRule="auto"/>
        <w:jc w:val="both"/>
        <w:rPr>
          <w:rFonts w:ascii="Times New Roman" w:eastAsia="Times New Roman" w:hAnsi="Times New Roman" w:cs="Times New Roman"/>
          <w:b/>
          <w:sz w:val="24"/>
          <w:szCs w:val="24"/>
        </w:rPr>
      </w:pPr>
    </w:p>
    <w:sectPr w:rsidR="00CD7241" w:rsidSect="001F29EA">
      <w:pgSz w:w="11907" w:h="16840"/>
      <w:pgMar w:top="1440" w:right="1134" w:bottom="1440" w:left="2268" w:header="720" w:footer="720" w:gutter="0"/>
      <w:pgNumType w:start="1"/>
      <w:cols w:space="72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000008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05869A" w16cex:dateUtc="2022-04-16T12: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0000089" w16cid:durableId="2605869A"/>
</w16cid:commentsId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3A4DCE"/>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26A11968"/>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hyphenationZone w:val="425"/>
  <w:evenAndOddHeaders/>
  <w:characterSpacingControl w:val="doNotCompress"/>
  <w:compat/>
  <w:rsids>
    <w:rsidRoot w:val="00CD7241"/>
    <w:rsid w:val="001F29EA"/>
    <w:rsid w:val="00233A56"/>
    <w:rsid w:val="007016CE"/>
    <w:rsid w:val="00AF16EE"/>
    <w:rsid w:val="00B175E3"/>
    <w:rsid w:val="00CD7241"/>
    <w:rsid w:val="00E7016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en-US" w:eastAsia="en-US" w:bidi="ar-SA"/>
      </w:rPr>
    </w:rPrDefault>
    <w:pPrDefault>
      <w:pPr>
        <w:spacing w:after="160" w:line="25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47C0"/>
  </w:style>
  <w:style w:type="paragraph" w:styleId="Heading1">
    <w:name w:val="heading 1"/>
    <w:basedOn w:val="Normal"/>
    <w:next w:val="Normal"/>
    <w:uiPriority w:val="9"/>
    <w:qFormat/>
    <w:rsid w:val="001F29EA"/>
    <w:pPr>
      <w:keepNext/>
      <w:keepLines/>
      <w:spacing w:before="480" w:after="120"/>
      <w:outlineLvl w:val="0"/>
    </w:pPr>
    <w:rPr>
      <w:b/>
      <w:sz w:val="48"/>
      <w:szCs w:val="48"/>
    </w:rPr>
  </w:style>
  <w:style w:type="paragraph" w:styleId="Heading2">
    <w:name w:val="heading 2"/>
    <w:basedOn w:val="Normal"/>
    <w:next w:val="Normal"/>
    <w:uiPriority w:val="9"/>
    <w:semiHidden/>
    <w:unhideWhenUsed/>
    <w:qFormat/>
    <w:rsid w:val="001F29EA"/>
    <w:pPr>
      <w:keepNext/>
      <w:keepLines/>
      <w:spacing w:before="360" w:after="80"/>
      <w:outlineLvl w:val="1"/>
    </w:pPr>
    <w:rPr>
      <w:b/>
      <w:sz w:val="36"/>
      <w:szCs w:val="36"/>
    </w:rPr>
  </w:style>
  <w:style w:type="paragraph" w:styleId="Heading3">
    <w:name w:val="heading 3"/>
    <w:basedOn w:val="Normal"/>
    <w:next w:val="Normal"/>
    <w:uiPriority w:val="9"/>
    <w:semiHidden/>
    <w:unhideWhenUsed/>
    <w:qFormat/>
    <w:rsid w:val="001F29EA"/>
    <w:pPr>
      <w:keepNext/>
      <w:keepLines/>
      <w:spacing w:before="280" w:after="80"/>
      <w:outlineLvl w:val="2"/>
    </w:pPr>
    <w:rPr>
      <w:b/>
      <w:sz w:val="28"/>
      <w:szCs w:val="28"/>
    </w:rPr>
  </w:style>
  <w:style w:type="paragraph" w:styleId="Heading4">
    <w:name w:val="heading 4"/>
    <w:basedOn w:val="Normal"/>
    <w:next w:val="Normal"/>
    <w:uiPriority w:val="9"/>
    <w:semiHidden/>
    <w:unhideWhenUsed/>
    <w:qFormat/>
    <w:rsid w:val="001F29EA"/>
    <w:pPr>
      <w:keepNext/>
      <w:keepLines/>
      <w:spacing w:before="240" w:after="40"/>
      <w:outlineLvl w:val="3"/>
    </w:pPr>
    <w:rPr>
      <w:b/>
      <w:sz w:val="24"/>
      <w:szCs w:val="24"/>
    </w:rPr>
  </w:style>
  <w:style w:type="paragraph" w:styleId="Heading5">
    <w:name w:val="heading 5"/>
    <w:basedOn w:val="Normal"/>
    <w:next w:val="Normal"/>
    <w:uiPriority w:val="9"/>
    <w:semiHidden/>
    <w:unhideWhenUsed/>
    <w:qFormat/>
    <w:rsid w:val="001F29EA"/>
    <w:pPr>
      <w:keepNext/>
      <w:keepLines/>
      <w:spacing w:before="220" w:after="40"/>
      <w:outlineLvl w:val="4"/>
    </w:pPr>
    <w:rPr>
      <w:b/>
    </w:rPr>
  </w:style>
  <w:style w:type="paragraph" w:styleId="Heading6">
    <w:name w:val="heading 6"/>
    <w:basedOn w:val="Normal"/>
    <w:next w:val="Normal"/>
    <w:uiPriority w:val="9"/>
    <w:semiHidden/>
    <w:unhideWhenUsed/>
    <w:qFormat/>
    <w:rsid w:val="001F29EA"/>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rsid w:val="001F29EA"/>
    <w:tblPr>
      <w:tblCellMar>
        <w:top w:w="0" w:type="dxa"/>
        <w:left w:w="0" w:type="dxa"/>
        <w:bottom w:w="0" w:type="dxa"/>
        <w:right w:w="0" w:type="dxa"/>
      </w:tblCellMar>
    </w:tblPr>
  </w:style>
  <w:style w:type="paragraph" w:styleId="Title">
    <w:name w:val="Title"/>
    <w:basedOn w:val="Normal"/>
    <w:next w:val="Normal"/>
    <w:uiPriority w:val="10"/>
    <w:qFormat/>
    <w:rsid w:val="001F29EA"/>
    <w:pPr>
      <w:keepNext/>
      <w:keepLines/>
      <w:spacing w:before="480" w:after="120"/>
    </w:pPr>
    <w:rPr>
      <w:b/>
      <w:sz w:val="72"/>
      <w:szCs w:val="72"/>
    </w:rPr>
  </w:style>
  <w:style w:type="paragraph" w:styleId="Header">
    <w:name w:val="header"/>
    <w:basedOn w:val="Normal"/>
    <w:link w:val="HeaderChar"/>
    <w:uiPriority w:val="99"/>
    <w:unhideWhenUsed/>
    <w:rsid w:val="00526E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6E5E"/>
  </w:style>
  <w:style w:type="paragraph" w:styleId="Footer">
    <w:name w:val="footer"/>
    <w:basedOn w:val="Normal"/>
    <w:link w:val="FooterChar"/>
    <w:uiPriority w:val="99"/>
    <w:unhideWhenUsed/>
    <w:rsid w:val="00526E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6E5E"/>
  </w:style>
  <w:style w:type="table" w:styleId="TableGrid">
    <w:name w:val="Table Grid"/>
    <w:basedOn w:val="TableNormal"/>
    <w:uiPriority w:val="39"/>
    <w:rsid w:val="00F07EE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next w:val="Normal"/>
    <w:uiPriority w:val="11"/>
    <w:qFormat/>
    <w:rsid w:val="001F29EA"/>
    <w:pPr>
      <w:keepNext/>
      <w:keepLines/>
      <w:spacing w:before="360" w:after="80"/>
    </w:pPr>
    <w:rPr>
      <w:rFonts w:ascii="Georgia" w:eastAsia="Georgia" w:hAnsi="Georgia" w:cs="Georgia"/>
      <w:i/>
      <w:color w:val="666666"/>
      <w:sz w:val="48"/>
      <w:szCs w:val="48"/>
    </w:rPr>
  </w:style>
  <w:style w:type="table" w:customStyle="1" w:styleId="a">
    <w:basedOn w:val="TableNormal"/>
    <w:rsid w:val="001F29EA"/>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0">
    <w:basedOn w:val="TableNormal"/>
    <w:rsid w:val="001F29EA"/>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1">
    <w:basedOn w:val="TableNormal"/>
    <w:rsid w:val="001F29EA"/>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2">
    <w:basedOn w:val="TableNormal"/>
    <w:rsid w:val="001F29EA"/>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3">
    <w:basedOn w:val="TableNormal"/>
    <w:rsid w:val="001F29EA"/>
    <w:tblPr>
      <w:tblStyleRowBandSize w:val="1"/>
      <w:tblStyleColBandSize w:val="1"/>
      <w:tblInd w:w="0" w:type="dxa"/>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1F29EA"/>
    <w:pPr>
      <w:spacing w:line="240" w:lineRule="auto"/>
    </w:pPr>
    <w:rPr>
      <w:sz w:val="20"/>
      <w:szCs w:val="20"/>
    </w:rPr>
  </w:style>
  <w:style w:type="character" w:customStyle="1" w:styleId="CommentTextChar">
    <w:name w:val="Comment Text Char"/>
    <w:basedOn w:val="DefaultParagraphFont"/>
    <w:link w:val="CommentText"/>
    <w:uiPriority w:val="99"/>
    <w:semiHidden/>
    <w:rsid w:val="001F29EA"/>
    <w:rPr>
      <w:sz w:val="20"/>
      <w:szCs w:val="20"/>
    </w:rPr>
  </w:style>
  <w:style w:type="character" w:styleId="CommentReference">
    <w:name w:val="annotation reference"/>
    <w:basedOn w:val="DefaultParagraphFont"/>
    <w:uiPriority w:val="99"/>
    <w:semiHidden/>
    <w:unhideWhenUsed/>
    <w:rsid w:val="001F29EA"/>
    <w:rPr>
      <w:sz w:val="16"/>
      <w:szCs w:val="16"/>
    </w:rPr>
  </w:style>
  <w:style w:type="paragraph" w:styleId="BalloonText">
    <w:name w:val="Balloon Text"/>
    <w:basedOn w:val="Normal"/>
    <w:link w:val="BalloonTextChar"/>
    <w:uiPriority w:val="99"/>
    <w:semiHidden/>
    <w:unhideWhenUsed/>
    <w:rsid w:val="00B175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75E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who.int/" TargetMode="Externa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11" Type="http://schemas.microsoft.com/office/2011/relationships/commentsExtended" Target="commentsExtended.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sz="1200" b="0"/>
            </a:pPr>
            <a:r>
              <a:rPr lang="sr-Latn-CS" sz="1200" b="0">
                <a:latin typeface="Times New Roman" pitchFamily="18" charset="0"/>
                <a:cs typeface="Times New Roman" pitchFamily="18" charset="0"/>
              </a:rPr>
              <a:t>Terapija</a:t>
            </a:r>
            <a:r>
              <a:rPr lang="sr-Latn-CS" sz="1200" b="0" baseline="0">
                <a:latin typeface="Times New Roman" pitchFamily="18" charset="0"/>
                <a:cs typeface="Times New Roman" pitchFamily="18" charset="0"/>
              </a:rPr>
              <a:t> tocilizumabom</a:t>
            </a:r>
            <a:endParaRPr lang="en-US" sz="1200" b="0">
              <a:latin typeface="Times New Roman" pitchFamily="18" charset="0"/>
              <a:cs typeface="Times New Roman" pitchFamily="18" charset="0"/>
            </a:endParaRPr>
          </a:p>
        </c:rich>
      </c:tx>
    </c:title>
    <c:view3D>
      <c:rAngAx val="1"/>
    </c:view3D>
    <c:plotArea>
      <c:layout/>
      <c:bar3DChart>
        <c:barDir val="col"/>
        <c:grouping val="clustered"/>
        <c:ser>
          <c:idx val="0"/>
          <c:order val="0"/>
          <c:tx>
            <c:strRef>
              <c:f>Sheet1!$B$4</c:f>
              <c:strCache>
                <c:ptCount val="1"/>
                <c:pt idx="0">
                  <c:v>da</c:v>
                </c:pt>
              </c:strCache>
            </c:strRef>
          </c:tx>
          <c:dLbls>
            <c:showVal val="1"/>
          </c:dLbls>
          <c:cat>
            <c:strRef>
              <c:f>Sheet1!$C$3:$E$3</c:f>
              <c:strCache>
                <c:ptCount val="3"/>
                <c:pt idx="0">
                  <c:v>ukupan broj pacijenata</c:v>
                </c:pt>
                <c:pt idx="1">
                  <c:v>broj  preživjelih pacijenata</c:v>
                </c:pt>
                <c:pt idx="2">
                  <c:v>broj umrlih pacijenata</c:v>
                </c:pt>
              </c:strCache>
            </c:strRef>
          </c:cat>
          <c:val>
            <c:numRef>
              <c:f>Sheet1!$C$4:$E$4</c:f>
              <c:numCache>
                <c:formatCode>General</c:formatCode>
                <c:ptCount val="3"/>
                <c:pt idx="0">
                  <c:v>30</c:v>
                </c:pt>
                <c:pt idx="1">
                  <c:v>25</c:v>
                </c:pt>
                <c:pt idx="2">
                  <c:v>5</c:v>
                </c:pt>
              </c:numCache>
            </c:numRef>
          </c:val>
        </c:ser>
        <c:ser>
          <c:idx val="1"/>
          <c:order val="1"/>
          <c:tx>
            <c:strRef>
              <c:f>Sheet1!$B$5</c:f>
              <c:strCache>
                <c:ptCount val="1"/>
                <c:pt idx="0">
                  <c:v>ne</c:v>
                </c:pt>
              </c:strCache>
            </c:strRef>
          </c:tx>
          <c:dLbls>
            <c:showVal val="1"/>
          </c:dLbls>
          <c:cat>
            <c:strRef>
              <c:f>Sheet1!$C$3:$E$3</c:f>
              <c:strCache>
                <c:ptCount val="3"/>
                <c:pt idx="0">
                  <c:v>ukupan broj pacijenata</c:v>
                </c:pt>
                <c:pt idx="1">
                  <c:v>broj  preživjelih pacijenata</c:v>
                </c:pt>
                <c:pt idx="2">
                  <c:v>broj umrlih pacijenata</c:v>
                </c:pt>
              </c:strCache>
            </c:strRef>
          </c:cat>
          <c:val>
            <c:numRef>
              <c:f>Sheet1!$C$5:$E$5</c:f>
              <c:numCache>
                <c:formatCode>General</c:formatCode>
                <c:ptCount val="3"/>
                <c:pt idx="0">
                  <c:v>235</c:v>
                </c:pt>
                <c:pt idx="1">
                  <c:v>102</c:v>
                </c:pt>
                <c:pt idx="2">
                  <c:v>133</c:v>
                </c:pt>
              </c:numCache>
            </c:numRef>
          </c:val>
        </c:ser>
        <c:shape val="box"/>
        <c:axId val="61659392"/>
        <c:axId val="61691776"/>
        <c:axId val="0"/>
      </c:bar3DChart>
      <c:catAx>
        <c:axId val="61659392"/>
        <c:scaling>
          <c:orientation val="minMax"/>
        </c:scaling>
        <c:axPos val="b"/>
        <c:majorTickMark val="none"/>
        <c:tickLblPos val="nextTo"/>
        <c:crossAx val="61691776"/>
        <c:crosses val="autoZero"/>
        <c:auto val="1"/>
        <c:lblAlgn val="ctr"/>
        <c:lblOffset val="100"/>
      </c:catAx>
      <c:valAx>
        <c:axId val="61691776"/>
        <c:scaling>
          <c:orientation val="minMax"/>
        </c:scaling>
        <c:axPos val="l"/>
        <c:majorGridlines/>
        <c:numFmt formatCode="General" sourceLinked="1"/>
        <c:majorTickMark val="none"/>
        <c:tickLblPos val="nextTo"/>
        <c:crossAx val="61659392"/>
        <c:crosses val="autoZero"/>
        <c:crossBetween val="between"/>
      </c:valAx>
    </c:plotArea>
    <c:legend>
      <c:legendPos val="r"/>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Gkz4ys0ikL8K7LoVDuEwf4oqlQA==">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11</Pages>
  <Words>2023</Words>
  <Characters>11535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Jovana Cavka</dc:creator>
  <cp:lastModifiedBy>jovana.malic</cp:lastModifiedBy>
  <cp:revision>4</cp:revision>
  <dcterms:created xsi:type="dcterms:W3CDTF">2022-04-16T16:17:00Z</dcterms:created>
  <dcterms:modified xsi:type="dcterms:W3CDTF">2022-04-17T19:54:00Z</dcterms:modified>
</cp:coreProperties>
</file>