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B4BCB" w14:textId="28BCFBC1" w:rsidR="00CD691A" w:rsidRPr="007F409A" w:rsidRDefault="00CD691A" w:rsidP="00544D85">
      <w:pPr>
        <w:spacing w:line="480" w:lineRule="auto"/>
        <w:rPr>
          <w:rFonts w:ascii="Times New Roman" w:hAnsi="Times New Roman"/>
          <w:lang w:val="hr-HR"/>
        </w:rPr>
      </w:pPr>
      <w:r w:rsidRPr="00211836">
        <w:rPr>
          <w:rFonts w:ascii="Times New Roman" w:hAnsi="Times New Roman" w:cs="Times New Roman"/>
          <w:b/>
          <w:bCs/>
          <w:sz w:val="24"/>
          <w:szCs w:val="24"/>
        </w:rPr>
        <w:t>Apstrakt</w:t>
      </w:r>
    </w:p>
    <w:p w14:paraId="2C415DFA" w14:textId="0E95C13F" w:rsidR="00CD691A" w:rsidRPr="00CD691A" w:rsidRDefault="00CD691A" w:rsidP="00544D85">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Uvod: Postoperativna bol nakon ugradnje totalne endoproteze koljena (TEP) predstavlja jedan od osnovnih razloga otežane rane rehabilitacije i sporijeg oporavka pacijenata nakon ove procedure. Uvođenjem lokalne infiltrativne analgezije (LIA) koja se sastoji od kombinacije anestetika, nesteroidnog antiinflamantornog lijeka (NSAIL) i adrenalina nastoji se smanjiti postoperativni bol te smanjiti neželjeni efekti upotrebe veće doze opioidnih analgetika. Cilj ovog rada je procjena efekta upotrebe LIA kod pacijenata sa TEP koljena na postoperativnu bol i dozu korištenih opioidnih analgetika, brzinu postizanja boljeg obima pokreta kao i trajanje hospitalizacije.</w:t>
      </w:r>
    </w:p>
    <w:p w14:paraId="62BEFB29"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Metode: Ovo je retrospektivna kohortna studija provedena na Ortopedskom odjeljenju ZZFMR „Dr Miroslav Zotović“ gdje su regrutovani pacijenti sa dijagnozom degenerativne artroze koljena kojima je implantirana primarna TEP koljena u periodu 1.1.2022.god. do 31.6.2022.god. Pacijenti sa hroničnim zapaljenskim oboljenjima, kontraindikacijama za LIA kao i dementni pacijenti su isključeni iz studije. Pacijenti su podijeljeni u dvije grupe gdje je prva grupa pacijenata tokom operativnog zahvata primila jednu dozu LIA dok je druga grupa pacijenata primila placebo (fiziološka otopina). Postoperativno smo pratili stepen bola, količinu korištenih opioidnih analgetika, obim pokreta i dužinu hospitalizacije. </w:t>
      </w:r>
    </w:p>
    <w:p w14:paraId="53B64EB3"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Rezultati: Ukupno 136 pacijenata je uključeno u studiju, po 68 pacijenata u svakoj grupi. Postoperativni bol kao i zahtjevi za opioidnim analgeticima u periodu od prvog do četvrtog postoperativnig dana su bili manji u LIA grupi pacijenata u odnosu na kontrolnu. Obim pokreta je takođe bio veći u ovoj grupi u odnosu na pacijente u kontrolnoj grupi. Nije bilo značajne razlike u dužini trajanja hospitalizacije između LIA i kontrole grupe.</w:t>
      </w:r>
    </w:p>
    <w:p w14:paraId="13F61E11" w14:textId="5F6A77AE" w:rsid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lastRenderedPageBreak/>
        <w:t>Zaključak: Upotreba LIA intraoperativno efikasno smanjuje stepen postoperativne boli, smanjuje potrebu za većim dozama opioidnih analgetika te samim tim olakšava i ranu rehabilitaciju pacijenata podvrgnutih ugradnji TEP koljena.</w:t>
      </w:r>
    </w:p>
    <w:p w14:paraId="127E35EA" w14:textId="3D899990" w:rsidR="004A0FFC" w:rsidRPr="00EF4C2E" w:rsidRDefault="004A0FFC" w:rsidP="00EF4C2E">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Ključne riječi: lokalna infiltrativna analgezija, totalna endoproteza koljena, bol, rehabilitacija</w:t>
      </w:r>
    </w:p>
    <w:p w14:paraId="2D5398E3" w14:textId="2FC10AE5"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Uvod</w:t>
      </w:r>
    </w:p>
    <w:p w14:paraId="734F0A1B" w14:textId="3057E4AA" w:rsidR="00FE71FA" w:rsidRPr="00CD691A" w:rsidRDefault="005C0338"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Totalna artroplastika koljena predstavlja jednu od često izvođenih procedura u ortopedskoj hirurgiji i ona je jedno od rješenja za pacijente sa teškim oblicima degenerativne artroze koljena, naročito sada u skladu sa sve starijom populacijom, povećanom incidencom degeneratinih oboljenja zglobova te modernim shvatanjima poboljšanja kvaliteta života. </w:t>
      </w:r>
      <w:r w:rsidR="005E6507" w:rsidRPr="00CD691A">
        <w:rPr>
          <w:rFonts w:ascii="Times New Roman" w:hAnsi="Times New Roman" w:cs="Times New Roman"/>
          <w:sz w:val="24"/>
          <w:szCs w:val="24"/>
        </w:rPr>
        <w:t>Ugradnja totalne endoproteze (TEP) koljena je povezana sa značajnim stepenom boli postoperativno koji može otežati ranu rehabilitaciju te dovesti do potrebe za povećanim korištećenjem opioidnih analgetika.</w:t>
      </w:r>
      <w:r w:rsidR="005A188F" w:rsidRPr="00CD691A">
        <w:rPr>
          <w:rFonts w:ascii="Times New Roman" w:hAnsi="Times New Roman" w:cs="Times New Roman"/>
          <w:sz w:val="24"/>
          <w:szCs w:val="24"/>
        </w:rPr>
        <w:t>(1)</w:t>
      </w:r>
      <w:r w:rsidR="005E6507" w:rsidRPr="00CD691A">
        <w:rPr>
          <w:rFonts w:ascii="Times New Roman" w:hAnsi="Times New Roman" w:cs="Times New Roman"/>
          <w:sz w:val="24"/>
          <w:szCs w:val="24"/>
        </w:rPr>
        <w:t xml:space="preserve"> Postoje razne metode kojima se pokušava smanjiti stepen ove boli a neke od tih metoda podrazumjevaju </w:t>
      </w:r>
      <w:r w:rsidR="0083758A" w:rsidRPr="00CD691A">
        <w:rPr>
          <w:rFonts w:ascii="Times New Roman" w:hAnsi="Times New Roman" w:cs="Times New Roman"/>
          <w:sz w:val="24"/>
          <w:szCs w:val="24"/>
        </w:rPr>
        <w:t xml:space="preserve">epiduralnu analgeziju, </w:t>
      </w:r>
      <w:r w:rsidR="005E6507" w:rsidRPr="00CD691A">
        <w:rPr>
          <w:rFonts w:ascii="Times New Roman" w:hAnsi="Times New Roman" w:cs="Times New Roman"/>
          <w:sz w:val="24"/>
          <w:szCs w:val="24"/>
        </w:rPr>
        <w:t xml:space="preserve">periferne nervne blokove, lokalnu infiltrativnu analgeziju, intravensku analgeziju te i peroralnu analgeziju. </w:t>
      </w:r>
      <w:r w:rsidR="0083758A" w:rsidRPr="00CD691A">
        <w:rPr>
          <w:rFonts w:ascii="Times New Roman" w:hAnsi="Times New Roman" w:cs="Times New Roman"/>
          <w:sz w:val="24"/>
          <w:szCs w:val="24"/>
        </w:rPr>
        <w:t>Svaka od ovih metoda ima i svoje prateće neželjene efekte poput postoperativnih glavobolja ili intraoperativne hipotenzije u slučaju spinalne analgezije, pa do muke, povraćanja i somnolencije u slučaju korištenja peroralnih analgetika.</w:t>
      </w:r>
      <w:r w:rsidR="005A188F" w:rsidRPr="00CD691A">
        <w:rPr>
          <w:rFonts w:ascii="Times New Roman" w:hAnsi="Times New Roman" w:cs="Times New Roman"/>
          <w:sz w:val="24"/>
          <w:szCs w:val="24"/>
        </w:rPr>
        <w:t>(2)</w:t>
      </w:r>
      <w:r w:rsidR="0083758A" w:rsidRPr="00CD691A">
        <w:rPr>
          <w:rFonts w:ascii="Times New Roman" w:hAnsi="Times New Roman" w:cs="Times New Roman"/>
          <w:sz w:val="24"/>
          <w:szCs w:val="24"/>
        </w:rPr>
        <w:t xml:space="preserve"> Svrha kombinovanja LIA sa drugim metodama analgezije jeste u tome da u slučaju manje postoperativne boli možemo smanjti potrebu za drugim metodama analgezije i time izbjeći i njihove potencijalne neželjene efekte.</w:t>
      </w:r>
      <w:r w:rsidR="005A188F" w:rsidRPr="00CD691A">
        <w:rPr>
          <w:rFonts w:ascii="Times New Roman" w:hAnsi="Times New Roman" w:cs="Times New Roman"/>
          <w:sz w:val="24"/>
          <w:szCs w:val="24"/>
        </w:rPr>
        <w:t>(3)</w:t>
      </w:r>
    </w:p>
    <w:p w14:paraId="2A601757" w14:textId="56A29900" w:rsidR="0083758A" w:rsidRPr="00CD691A" w:rsidRDefault="0083758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Lokalna infiltrativa analgezija je predstavljena 2008.god. kada su je opisali Kerr i Kohan. Ona podrazumjeva kombinaciju anestetika sa nesteroidnim antiinflamatornim </w:t>
      </w:r>
      <w:r w:rsidRPr="00CD691A">
        <w:rPr>
          <w:rFonts w:ascii="Times New Roman" w:hAnsi="Times New Roman" w:cs="Times New Roman"/>
          <w:sz w:val="24"/>
          <w:szCs w:val="24"/>
        </w:rPr>
        <w:lastRenderedPageBreak/>
        <w:t>lijekom, kojoj se može dodati adrenalin ili kortikosteroid.</w:t>
      </w:r>
      <w:r w:rsidR="005A188F" w:rsidRPr="00CD691A">
        <w:rPr>
          <w:rFonts w:ascii="Times New Roman" w:hAnsi="Times New Roman" w:cs="Times New Roman"/>
          <w:sz w:val="24"/>
          <w:szCs w:val="24"/>
        </w:rPr>
        <w:t>(4)</w:t>
      </w:r>
      <w:r w:rsidRPr="00CD691A">
        <w:rPr>
          <w:rFonts w:ascii="Times New Roman" w:hAnsi="Times New Roman" w:cs="Times New Roman"/>
          <w:sz w:val="24"/>
          <w:szCs w:val="24"/>
        </w:rPr>
        <w:t xml:space="preserve"> Ova analgezija se primjenjuje intraoperativno injekcijom u predio zadnje kapsule koljena te u okolna meka tkiva. Postoji više do sada objavljenih studija koje govore o prednostima korištenja LIA ali i onih koje govore da nema prednosti</w:t>
      </w:r>
      <w:r w:rsidR="00797D1A" w:rsidRPr="00CD691A">
        <w:rPr>
          <w:rFonts w:ascii="Times New Roman" w:hAnsi="Times New Roman" w:cs="Times New Roman"/>
          <w:sz w:val="24"/>
          <w:szCs w:val="24"/>
        </w:rPr>
        <w:t xml:space="preserve"> korištenja</w:t>
      </w:r>
      <w:r w:rsidRPr="00CD691A">
        <w:rPr>
          <w:rFonts w:ascii="Times New Roman" w:hAnsi="Times New Roman" w:cs="Times New Roman"/>
          <w:sz w:val="24"/>
          <w:szCs w:val="24"/>
        </w:rPr>
        <w:t xml:space="preserve"> ove metode u odnosu na ostale metode analgezije.</w:t>
      </w:r>
      <w:r w:rsidR="005A188F" w:rsidRPr="00CD691A">
        <w:rPr>
          <w:rFonts w:ascii="Times New Roman" w:hAnsi="Times New Roman" w:cs="Times New Roman"/>
          <w:sz w:val="24"/>
          <w:szCs w:val="24"/>
        </w:rPr>
        <w:t>(3)</w:t>
      </w:r>
    </w:p>
    <w:p w14:paraId="462489B6" w14:textId="6FB885B3" w:rsidR="00797D1A" w:rsidRPr="00CD691A" w:rsidRDefault="00797D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Naš cilj je bio da istražimo efikasnost korištenja LIA kod pacijenata sa degenerativnom artrozom podvrgnutih implantaciji TEP koljena. Namjeravali smo</w:t>
      </w:r>
      <w:r w:rsidR="005A188F" w:rsidRPr="00CD691A">
        <w:rPr>
          <w:rFonts w:ascii="Times New Roman" w:hAnsi="Times New Roman" w:cs="Times New Roman"/>
          <w:sz w:val="24"/>
          <w:szCs w:val="24"/>
        </w:rPr>
        <w:t xml:space="preserve"> da</w:t>
      </w:r>
      <w:r w:rsidRPr="00CD691A">
        <w:rPr>
          <w:rFonts w:ascii="Times New Roman" w:hAnsi="Times New Roman" w:cs="Times New Roman"/>
          <w:sz w:val="24"/>
          <w:szCs w:val="24"/>
        </w:rPr>
        <w:t xml:space="preserve"> tokom postoperativne hospitalizacije do otpusta iz bolnice (četiri postoperativna dana) prati</w:t>
      </w:r>
      <w:r w:rsidR="005A188F" w:rsidRPr="00CD691A">
        <w:rPr>
          <w:rFonts w:ascii="Times New Roman" w:hAnsi="Times New Roman" w:cs="Times New Roman"/>
          <w:sz w:val="24"/>
          <w:szCs w:val="24"/>
        </w:rPr>
        <w:t>mo</w:t>
      </w:r>
      <w:r w:rsidRPr="00CD691A">
        <w:rPr>
          <w:rFonts w:ascii="Times New Roman" w:hAnsi="Times New Roman" w:cs="Times New Roman"/>
          <w:sz w:val="24"/>
          <w:szCs w:val="24"/>
        </w:rPr>
        <w:t xml:space="preserve"> postoperativni stepen bola, potrebu za opioidnim analgeticima, obim pokreta u operisanom koljenu te moguće učinke ove analgezije na potencijalno duže ili kraće trajanje hospitalizacije.</w:t>
      </w:r>
    </w:p>
    <w:p w14:paraId="10B59C32" w14:textId="64D9C740"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Metode</w:t>
      </w:r>
    </w:p>
    <w:p w14:paraId="11BDD8B7" w14:textId="09786283" w:rsidR="00797D1A" w:rsidRPr="00CD691A" w:rsidRDefault="00A70D49"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Ovo je bila retrospektivna kohortna studija provedena na Ortopedskom odjeljenju ZZFMR „Dr Miroslav Zotović“ Banja Luka. Svi</w:t>
      </w:r>
      <w:r w:rsidR="00745AA8" w:rsidRPr="00CD691A">
        <w:rPr>
          <w:rFonts w:ascii="Times New Roman" w:hAnsi="Times New Roman" w:cs="Times New Roman"/>
          <w:sz w:val="24"/>
          <w:szCs w:val="24"/>
        </w:rPr>
        <w:t>h 136</w:t>
      </w:r>
      <w:r w:rsidRPr="00CD691A">
        <w:rPr>
          <w:rFonts w:ascii="Times New Roman" w:hAnsi="Times New Roman" w:cs="Times New Roman"/>
          <w:sz w:val="24"/>
          <w:szCs w:val="24"/>
        </w:rPr>
        <w:t xml:space="preserve"> pacijen</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t</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 xml:space="preserve"> su bili stariji od 18 godina, sa dijagnozom degenerativne artroze koljena a koji su planirani za implantaciju TEP koljena u periodu 1.1.2022.god. do 31.6.2022.god. Isključujući kriterijumi su bili alergija na neki od korištenih lijekova, dijagnostikovan reumatoidni artritis ili neka druga hronična zapaljenska bolest kao i demencija.</w:t>
      </w:r>
      <w:r w:rsidR="00745AA8" w:rsidRPr="00CD691A">
        <w:rPr>
          <w:rFonts w:ascii="Times New Roman" w:hAnsi="Times New Roman" w:cs="Times New Roman"/>
          <w:sz w:val="24"/>
          <w:szCs w:val="24"/>
        </w:rPr>
        <w:t>(5)</w:t>
      </w:r>
      <w:r w:rsidRPr="00CD691A">
        <w:rPr>
          <w:rFonts w:ascii="Times New Roman" w:hAnsi="Times New Roman" w:cs="Times New Roman"/>
          <w:sz w:val="24"/>
          <w:szCs w:val="24"/>
        </w:rPr>
        <w:t xml:space="preserve"> </w:t>
      </w:r>
      <w:r w:rsidR="00A47BEF" w:rsidRPr="00CD691A">
        <w:rPr>
          <w:rFonts w:ascii="Times New Roman" w:hAnsi="Times New Roman" w:cs="Times New Roman"/>
          <w:sz w:val="24"/>
          <w:szCs w:val="24"/>
        </w:rPr>
        <w:t>Pacijente smo podijelili u dvije grupe</w:t>
      </w:r>
      <w:r w:rsidR="00745AA8" w:rsidRPr="00CD691A">
        <w:rPr>
          <w:rFonts w:ascii="Times New Roman" w:hAnsi="Times New Roman" w:cs="Times New Roman"/>
          <w:sz w:val="24"/>
          <w:szCs w:val="24"/>
        </w:rPr>
        <w:t xml:space="preserve"> od po 68</w:t>
      </w:r>
      <w:r w:rsidR="00A47BEF" w:rsidRPr="00CD691A">
        <w:rPr>
          <w:rFonts w:ascii="Times New Roman" w:hAnsi="Times New Roman" w:cs="Times New Roman"/>
          <w:sz w:val="24"/>
          <w:szCs w:val="24"/>
        </w:rPr>
        <w:t xml:space="preserve"> tako da su u jednoj grupi bili pacijenti operisani od strane jednog hirurga koji svim pacijentima aplikuje LIA tokom implantacije TEP koljena dok su drugu grupu sačinjavali pacijenti koje je operisao drugi hirurg koji ovu metodu rutinski ne primjenjuje. </w:t>
      </w:r>
    </w:p>
    <w:p w14:paraId="12BE5977" w14:textId="2794AC84" w:rsidR="0085182C" w:rsidRPr="00CD691A" w:rsidRDefault="007A56C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Isti protokol je provođen za sve pacijente, preoperativna priprema kao i RTG snimci. Svi pacijenti su potpisali informisani pristanak na ugradnju TEP koljena sa </w:t>
      </w:r>
      <w:r w:rsidRPr="00CD691A">
        <w:rPr>
          <w:rFonts w:ascii="Times New Roman" w:hAnsi="Times New Roman" w:cs="Times New Roman"/>
          <w:sz w:val="24"/>
          <w:szCs w:val="24"/>
        </w:rPr>
        <w:lastRenderedPageBreak/>
        <w:t>korištenjem svih neophodnih dodatnih lijekova. Sva terapija, t</w:t>
      </w:r>
      <w:r w:rsidR="0085182C" w:rsidRPr="00CD691A">
        <w:rPr>
          <w:rFonts w:ascii="Times New Roman" w:hAnsi="Times New Roman" w:cs="Times New Roman"/>
          <w:sz w:val="24"/>
          <w:szCs w:val="24"/>
        </w:rPr>
        <w:t xml:space="preserve">romboprofilaksa kao i antibiotska profilaksa provođeni su po protokolu ustanove. Pacijenti su operisani u spinalnoj anesteziji, kroz medijalni parapatelarni pristup, uz korištenje tourniquet-a, implantirane su cementne endoproteze koljena. </w:t>
      </w:r>
    </w:p>
    <w:p w14:paraId="0DAB182D" w14:textId="3A84790D" w:rsidR="0085182C" w:rsidRPr="00CD691A" w:rsidRDefault="0085182C"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Jednoj grupi pacijenata je tokom operativnog zahvata aplikovana LIA koja se sastojala od 15mg meloksikama, 300mg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bupivakaina i 0,3mg adrenalina. Ova mješavina se </w:t>
      </w:r>
      <w:r w:rsidR="00183BC7">
        <w:rPr>
          <w:rFonts w:ascii="Times New Roman" w:hAnsi="Times New Roman" w:cs="Times New Roman"/>
          <w:sz w:val="24"/>
          <w:szCs w:val="24"/>
        </w:rPr>
        <w:t xml:space="preserve">u </w:t>
      </w:r>
      <w:r w:rsidRPr="00CD691A">
        <w:rPr>
          <w:rFonts w:ascii="Times New Roman" w:hAnsi="Times New Roman" w:cs="Times New Roman"/>
          <w:sz w:val="24"/>
          <w:szCs w:val="24"/>
        </w:rPr>
        <w:t>sterilnim uslovima razblažuje sa fiziološkom otopinom do ukupne količine od 60ml koja se potom aplikuje u tri podije</w:t>
      </w:r>
      <w:r w:rsidR="005A188F" w:rsidRPr="00CD691A">
        <w:rPr>
          <w:rFonts w:ascii="Times New Roman" w:hAnsi="Times New Roman" w:cs="Times New Roman"/>
          <w:sz w:val="24"/>
          <w:szCs w:val="24"/>
        </w:rPr>
        <w:t>l</w:t>
      </w:r>
      <w:r w:rsidRPr="00CD691A">
        <w:rPr>
          <w:rFonts w:ascii="Times New Roman" w:hAnsi="Times New Roman" w:cs="Times New Roman"/>
          <w:sz w:val="24"/>
          <w:szCs w:val="24"/>
        </w:rPr>
        <w:t>jene doze od po 20ml u različitim fazama operacije. Prva doza se aplikuje nakon otvaranja zglobne kapsule, druga doza nakon pripreme koštanih struktura dok se treća doza aplikuje nakon ugradnje endoproteze. Aplikacija se takođe provodi određenim redom</w:t>
      </w:r>
      <w:r w:rsidR="0070315B" w:rsidRPr="00CD691A">
        <w:rPr>
          <w:rFonts w:ascii="Times New Roman" w:hAnsi="Times New Roman" w:cs="Times New Roman"/>
          <w:sz w:val="24"/>
          <w:szCs w:val="24"/>
        </w:rPr>
        <w:t xml:space="preserve">, prvo u zglobnu kapsulu, potom u sinoviju te u potkožno masno tkivo. Tokom infiltracije izbjegava se srednji aspekt zadnje kapsule zbog blizine neurovaskularnih struktura. </w:t>
      </w:r>
      <w:r w:rsidR="005A188F" w:rsidRPr="00CD691A">
        <w:rPr>
          <w:rFonts w:ascii="Times New Roman" w:hAnsi="Times New Roman" w:cs="Times New Roman"/>
          <w:sz w:val="24"/>
          <w:szCs w:val="24"/>
        </w:rPr>
        <w:t xml:space="preserve">(4) </w:t>
      </w:r>
      <w:r w:rsidR="0070315B" w:rsidRPr="00CD691A">
        <w:rPr>
          <w:rFonts w:ascii="Times New Roman" w:hAnsi="Times New Roman" w:cs="Times New Roman"/>
          <w:sz w:val="24"/>
          <w:szCs w:val="24"/>
        </w:rPr>
        <w:t xml:space="preserve">U kontrolnoj grupi pacijenata nije aplikovana LIA. Svim pacijentima je aplikovan dren koji se odstrani drugi postoperativni dan. </w:t>
      </w:r>
    </w:p>
    <w:p w14:paraId="203694D7" w14:textId="1C9D984C" w:rsidR="0017706C" w:rsidRPr="00CD691A" w:rsidRDefault="00CD187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Postoperativno su provođeni isti protokoli, </w:t>
      </w:r>
      <w:r w:rsidR="00D9220E" w:rsidRPr="00CD691A">
        <w:rPr>
          <w:rFonts w:ascii="Times New Roman" w:hAnsi="Times New Roman" w:cs="Times New Roman"/>
          <w:sz w:val="24"/>
          <w:szCs w:val="24"/>
        </w:rPr>
        <w:t>pacijenti su dobijali analgetsku terapiju prva dva postoperativna dana parenteralno, te potom još dva dana do otpusta peroralno.</w:t>
      </w:r>
      <w:r w:rsidR="0053240A">
        <w:rPr>
          <w:rFonts w:ascii="Times New Roman" w:hAnsi="Times New Roman" w:cs="Times New Roman"/>
          <w:sz w:val="24"/>
          <w:szCs w:val="24"/>
        </w:rPr>
        <w:t>(3)</w:t>
      </w:r>
      <w:r w:rsidR="00D9220E" w:rsidRPr="00CD691A">
        <w:rPr>
          <w:rFonts w:ascii="Times New Roman" w:hAnsi="Times New Roman" w:cs="Times New Roman"/>
          <w:sz w:val="24"/>
          <w:szCs w:val="24"/>
        </w:rPr>
        <w:t xml:space="preserve"> </w:t>
      </w:r>
      <w:r w:rsidR="003459E9" w:rsidRPr="00CD691A">
        <w:rPr>
          <w:rFonts w:ascii="Times New Roman" w:hAnsi="Times New Roman" w:cs="Times New Roman"/>
          <w:sz w:val="24"/>
          <w:szCs w:val="24"/>
        </w:rPr>
        <w:t xml:space="preserve">Ordinirana je redovna analgetska terapija u vidu kombinacija </w:t>
      </w:r>
      <w:r w:rsidR="00A42215">
        <w:rPr>
          <w:rFonts w:ascii="Times New Roman" w:hAnsi="Times New Roman" w:cs="Times New Roman"/>
          <w:sz w:val="24"/>
          <w:szCs w:val="24"/>
        </w:rPr>
        <w:t>n</w:t>
      </w:r>
      <w:r w:rsidR="003459E9" w:rsidRPr="00CD691A">
        <w:rPr>
          <w:rFonts w:ascii="Times New Roman" w:hAnsi="Times New Roman" w:cs="Times New Roman"/>
          <w:sz w:val="24"/>
          <w:szCs w:val="24"/>
        </w:rPr>
        <w:t xml:space="preserve">ovalgetola i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prvih dana, te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i </w:t>
      </w:r>
      <w:r w:rsidR="00A42215">
        <w:rPr>
          <w:rFonts w:ascii="Times New Roman" w:hAnsi="Times New Roman" w:cs="Times New Roman"/>
          <w:sz w:val="24"/>
          <w:szCs w:val="24"/>
        </w:rPr>
        <w:t>d</w:t>
      </w:r>
      <w:r w:rsidR="003459E9" w:rsidRPr="00CD691A">
        <w:rPr>
          <w:rFonts w:ascii="Times New Roman" w:hAnsi="Times New Roman" w:cs="Times New Roman"/>
          <w:sz w:val="24"/>
          <w:szCs w:val="24"/>
        </w:rPr>
        <w:t>iklofenaka naredna dva dana.</w:t>
      </w:r>
      <w:r w:rsidR="00745AA8" w:rsidRPr="00CD691A">
        <w:rPr>
          <w:rFonts w:ascii="Times New Roman" w:hAnsi="Times New Roman" w:cs="Times New Roman"/>
          <w:sz w:val="24"/>
          <w:szCs w:val="24"/>
        </w:rPr>
        <w:t>(2)</w:t>
      </w:r>
      <w:r w:rsidR="003459E9" w:rsidRPr="00CD691A">
        <w:rPr>
          <w:rFonts w:ascii="Times New Roman" w:hAnsi="Times New Roman" w:cs="Times New Roman"/>
          <w:sz w:val="24"/>
          <w:szCs w:val="24"/>
        </w:rPr>
        <w:t xml:space="preserve"> U slučaju probijanja bolova pacijenti bi se javili</w:t>
      </w:r>
      <w:r w:rsidR="0053240A">
        <w:rPr>
          <w:rFonts w:ascii="Times New Roman" w:hAnsi="Times New Roman" w:cs="Times New Roman"/>
          <w:sz w:val="24"/>
          <w:szCs w:val="24"/>
        </w:rPr>
        <w:t xml:space="preserve"> dežurnom ljekaru</w:t>
      </w:r>
      <w:r w:rsidR="003459E9" w:rsidRPr="00CD691A">
        <w:rPr>
          <w:rFonts w:ascii="Times New Roman" w:hAnsi="Times New Roman" w:cs="Times New Roman"/>
          <w:sz w:val="24"/>
          <w:szCs w:val="24"/>
        </w:rPr>
        <w:t xml:space="preserve"> i dobili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ramadol parenteralno u toku prva dva dana, odnosno</w:t>
      </w:r>
      <w:r w:rsidR="0053240A">
        <w:rPr>
          <w:rFonts w:ascii="Times New Roman" w:hAnsi="Times New Roman" w:cs="Times New Roman"/>
          <w:sz w:val="24"/>
          <w:szCs w:val="24"/>
        </w:rPr>
        <w:t xml:space="preserve"> u</w:t>
      </w:r>
      <w:r w:rsidR="003459E9" w:rsidRPr="00CD691A">
        <w:rPr>
          <w:rFonts w:ascii="Times New Roman" w:hAnsi="Times New Roman" w:cs="Times New Roman"/>
          <w:sz w:val="24"/>
          <w:szCs w:val="24"/>
        </w:rPr>
        <w:t xml:space="preserve"> peroralno</w:t>
      </w:r>
      <w:r w:rsidR="0053240A">
        <w:rPr>
          <w:rFonts w:ascii="Times New Roman" w:hAnsi="Times New Roman" w:cs="Times New Roman"/>
          <w:sz w:val="24"/>
          <w:szCs w:val="24"/>
        </w:rPr>
        <w:t>m obliku</w:t>
      </w:r>
      <w:r w:rsidR="003459E9" w:rsidRPr="00CD691A">
        <w:rPr>
          <w:rFonts w:ascii="Times New Roman" w:hAnsi="Times New Roman" w:cs="Times New Roman"/>
          <w:sz w:val="24"/>
          <w:szCs w:val="24"/>
        </w:rPr>
        <w:t xml:space="preserve"> naredna dva dana. Intenzitet bola smo mjerili vizelnom analognom skalom bola (VAS) ocjenama od 0 do 10, gdje je 0 stanje bez bola dok je 10 stanje najjačeg bola koji pacijent može zamisliti. Dozu dodatnih analgetika smo određivali tako što smo zapisivali koliko je dodatnog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 xml:space="preserve">ramadola svaki pacijent zahtjevao postoperativno, </w:t>
      </w:r>
      <w:r w:rsidR="003459E9" w:rsidRPr="00CD691A">
        <w:rPr>
          <w:rFonts w:ascii="Times New Roman" w:hAnsi="Times New Roman" w:cs="Times New Roman"/>
          <w:sz w:val="24"/>
          <w:szCs w:val="24"/>
        </w:rPr>
        <w:lastRenderedPageBreak/>
        <w:t xml:space="preserve">odnosno koliko je svaki pacijent iz obe grupe koji dan dobio. Pokrete u koljenu smo mjerili goniometrom u vidu mogućnosti </w:t>
      </w:r>
      <w:r w:rsidR="006F702E" w:rsidRPr="00CD691A">
        <w:rPr>
          <w:rFonts w:ascii="Times New Roman" w:hAnsi="Times New Roman" w:cs="Times New Roman"/>
          <w:sz w:val="24"/>
          <w:szCs w:val="24"/>
        </w:rPr>
        <w:t xml:space="preserve">aktivnog </w:t>
      </w:r>
      <w:r w:rsidR="003459E9" w:rsidRPr="00CD691A">
        <w:rPr>
          <w:rFonts w:ascii="Times New Roman" w:hAnsi="Times New Roman" w:cs="Times New Roman"/>
          <w:sz w:val="24"/>
          <w:szCs w:val="24"/>
        </w:rPr>
        <w:t xml:space="preserve">pokreta fleksije svaki dan postoperativno. Dužinu hospitalizacije smo određivali brojem dana koje je pacijent proveo u bolnici nakon ugradnje TEP koljena. </w:t>
      </w:r>
    </w:p>
    <w:p w14:paraId="49855266" w14:textId="77777777" w:rsidR="00211836" w:rsidRDefault="0017706C" w:rsidP="00762933">
      <w:pPr>
        <w:spacing w:line="480" w:lineRule="auto"/>
        <w:jc w:val="both"/>
        <w:rPr>
          <w:rFonts w:ascii="Times New Roman" w:hAnsi="Times New Roman" w:cs="Times New Roman"/>
          <w:color w:val="000000"/>
          <w:sz w:val="24"/>
          <w:szCs w:val="24"/>
        </w:rPr>
      </w:pPr>
      <w:r w:rsidRPr="00CD691A">
        <w:rPr>
          <w:rFonts w:ascii="Times New Roman" w:hAnsi="Times New Roman" w:cs="Times New Roman"/>
          <w:sz w:val="24"/>
          <w:szCs w:val="24"/>
        </w:rPr>
        <w:t xml:space="preserve">Statistička obrada podataka izvedena je korištenjem programa SPSS (Windows version 23.0; IBM Corp, Armonk , United States). Hi kvadrat test je korišten za analizu varijabli izmeću LIA grupe i kontrolne grupe. Shapiro-Wilk test je korišten za provjeru normalnosti distribucije podataka. </w:t>
      </w:r>
      <w:r w:rsidRPr="00CD691A">
        <w:rPr>
          <w:rFonts w:ascii="Times New Roman" w:hAnsi="Times New Roman" w:cs="Times New Roman"/>
          <w:color w:val="000000"/>
          <w:sz w:val="24"/>
          <w:szCs w:val="24"/>
        </w:rPr>
        <w:t>Normalno distribuirane kontinuirane promjenljive su upoređivane Student t-testom dok su promjenljive koje ne prate normalnu raspodjelu poređene pomoću Mann-Whitney testa.</w:t>
      </w:r>
      <w:r w:rsidR="00172AED" w:rsidRPr="00CD691A">
        <w:rPr>
          <w:rFonts w:ascii="Times New Roman" w:hAnsi="Times New Roman" w:cs="Times New Roman"/>
          <w:color w:val="000000"/>
          <w:sz w:val="24"/>
          <w:szCs w:val="24"/>
        </w:rPr>
        <w:t xml:space="preserve"> Kao minimalni uslov za postojanje statistički značajne razlike smatrana je vjerovatnoća P ≤0,05.</w:t>
      </w:r>
    </w:p>
    <w:p w14:paraId="3814695A" w14:textId="15466B0B" w:rsidR="0017706C" w:rsidRPr="00211836" w:rsidRDefault="00172AED"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Rezultati</w:t>
      </w:r>
    </w:p>
    <w:p w14:paraId="2E891E50" w14:textId="71930EF2" w:rsidR="00172AED" w:rsidRDefault="00172AED"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Upotrebom Mann-Whitney testa uporedili smo podatke o intenzitetu bola postoperativno u LIA i kontrolnoj grupi</w:t>
      </w:r>
      <w:r w:rsidR="000244E9" w:rsidRPr="00CD691A">
        <w:rPr>
          <w:rStyle w:val="fontstyle01"/>
          <w:rFonts w:ascii="Times New Roman" w:hAnsi="Times New Roman" w:cs="Times New Roman"/>
        </w:rPr>
        <w:t xml:space="preserve"> (P&lt;0,001)</w:t>
      </w:r>
      <w:r w:rsidRPr="00CD691A">
        <w:rPr>
          <w:rStyle w:val="fontstyle01"/>
          <w:rFonts w:ascii="Times New Roman" w:hAnsi="Times New Roman" w:cs="Times New Roman"/>
        </w:rPr>
        <w:t xml:space="preserve">. Pacijenti u LIA grupi su imali značajno niži intenzitet bola u periodu od prva četiri postoperativna dana u poređenju sa kontrolnom grupom. Na prvi postoperativni dan VAS boli je prosječno iznosio 5,32 za LIA grupu, dok je za kontrolnu grupu ovaj skor bio 7,25. Drugog postoperativnog dana ovaj skor je iznosio 4,84 u LIA grupi a u kontrolnoj grupi iznosio je 6,48. Razlike u ovim skorovima na treći i četvrti postoperativni dan su manje, ali i dalje statistički značajne, treće dan je VAS skor iznosio 3,14 za LIA grupu odnosno 3,42 za kontrolnu, do je četvrtog dana ovaj skor bio 2,83 u grupi kojoj je aplikovana LIA a 2,91 u grupi koja je predstavljala kontrolnu grupu. </w:t>
      </w:r>
      <w:r w:rsidR="00734555" w:rsidRPr="00CD691A">
        <w:rPr>
          <w:rStyle w:val="fontstyle01"/>
          <w:rFonts w:ascii="Times New Roman" w:hAnsi="Times New Roman" w:cs="Times New Roman"/>
        </w:rPr>
        <w:t>(gr</w:t>
      </w:r>
      <w:r w:rsidR="00544D85">
        <w:rPr>
          <w:rStyle w:val="fontstyle01"/>
          <w:rFonts w:ascii="Times New Roman" w:hAnsi="Times New Roman" w:cs="Times New Roman"/>
        </w:rPr>
        <w:t>a</w:t>
      </w:r>
      <w:r w:rsidR="00734555" w:rsidRPr="00CD691A">
        <w:rPr>
          <w:rStyle w:val="fontstyle01"/>
          <w:rFonts w:ascii="Times New Roman" w:hAnsi="Times New Roman" w:cs="Times New Roman"/>
        </w:rPr>
        <w:t>fikon 1.)</w:t>
      </w:r>
    </w:p>
    <w:p w14:paraId="07F4BCFA" w14:textId="77777777" w:rsidR="00E3377F" w:rsidRDefault="00E3377F" w:rsidP="00544D85">
      <w:pPr>
        <w:spacing w:line="240" w:lineRule="auto"/>
        <w:jc w:val="center"/>
        <w:rPr>
          <w:rStyle w:val="fontstyle01"/>
          <w:rFonts w:ascii="Times New Roman" w:hAnsi="Times New Roman" w:cs="Times New Roman"/>
        </w:rPr>
      </w:pPr>
    </w:p>
    <w:p w14:paraId="20DFEF04" w14:textId="77777777" w:rsidR="00E3377F" w:rsidRDefault="00E3377F" w:rsidP="00544D85">
      <w:pPr>
        <w:spacing w:line="240" w:lineRule="auto"/>
        <w:jc w:val="center"/>
        <w:rPr>
          <w:rStyle w:val="fontstyle01"/>
          <w:rFonts w:ascii="Times New Roman" w:hAnsi="Times New Roman" w:cs="Times New Roman"/>
        </w:rPr>
      </w:pPr>
    </w:p>
    <w:p w14:paraId="5F1F41C6" w14:textId="77777777" w:rsidR="00E3377F" w:rsidRDefault="00E3377F" w:rsidP="00544D85">
      <w:pPr>
        <w:spacing w:line="240" w:lineRule="auto"/>
        <w:jc w:val="center"/>
        <w:rPr>
          <w:rStyle w:val="fontstyle01"/>
          <w:rFonts w:ascii="Times New Roman" w:hAnsi="Times New Roman" w:cs="Times New Roman"/>
        </w:rPr>
      </w:pPr>
    </w:p>
    <w:p w14:paraId="5E17B32A" w14:textId="49E130F0" w:rsidR="00544D85" w:rsidRDefault="00544D85" w:rsidP="00544D85">
      <w:pPr>
        <w:spacing w:line="240" w:lineRule="auto"/>
        <w:jc w:val="center"/>
        <w:rPr>
          <w:rStyle w:val="fontstyle01"/>
          <w:rFonts w:ascii="Times New Roman" w:hAnsi="Times New Roman" w:cs="Times New Roman"/>
        </w:rPr>
      </w:pPr>
      <w:r>
        <w:rPr>
          <w:rStyle w:val="fontstyle01"/>
          <w:rFonts w:ascii="Times New Roman" w:hAnsi="Times New Roman" w:cs="Times New Roman"/>
        </w:rPr>
        <w:lastRenderedPageBreak/>
        <w:t>Grafikon 1. Skala boli u prva četiri postroperativna dana</w:t>
      </w:r>
    </w:p>
    <w:p w14:paraId="16005231" w14:textId="1AB6DEE2" w:rsidR="00CD691A" w:rsidRDefault="00CD691A" w:rsidP="00544D85">
      <w:pPr>
        <w:spacing w:line="240" w:lineRule="auto"/>
        <w:jc w:val="both"/>
        <w:rPr>
          <w:rStyle w:val="fontstyle01"/>
          <w:rFonts w:ascii="Times New Roman" w:hAnsi="Times New Roman" w:cs="Times New Roman"/>
        </w:rPr>
      </w:pPr>
      <w:r>
        <w:rPr>
          <w:noProof/>
        </w:rPr>
        <w:drawing>
          <wp:inline distT="0" distB="0" distL="0" distR="0" wp14:anchorId="74209C83" wp14:editId="0F5F6A23">
            <wp:extent cx="5279366" cy="2674189"/>
            <wp:effectExtent l="0" t="0" r="17145" b="12065"/>
            <wp:docPr id="1" name="Chart 1">
              <a:extLst xmlns:a="http://schemas.openxmlformats.org/drawingml/2006/main">
                <a:ext uri="{FF2B5EF4-FFF2-40B4-BE49-F238E27FC236}">
                  <a16:creationId xmlns:a16="http://schemas.microsoft.com/office/drawing/2014/main" id="{76056825-2F9A-EADA-F009-87D07028A4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E02A444" w14:textId="49058B91" w:rsidR="00544D85" w:rsidRDefault="000244E9" w:rsidP="00544D85">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t xml:space="preserve">Količina ordiniranog Tramadola je iznosila prosječno </w:t>
      </w:r>
      <w:r w:rsidR="00734555" w:rsidRPr="00CD691A">
        <w:rPr>
          <w:rFonts w:ascii="Times New Roman" w:hAnsi="Times New Roman" w:cs="Times New Roman"/>
          <w:sz w:val="24"/>
          <w:szCs w:val="24"/>
        </w:rPr>
        <w:t xml:space="preserve">86,81 mg za LIA grupu tokom četiri postoperativna dana dok je u kontrolnoj grupi ova prosječna doza bila 108,66 mg što nam predstavlja statistički značajnu razliku </w:t>
      </w:r>
      <w:r w:rsidR="00734555" w:rsidRPr="00CD691A">
        <w:rPr>
          <w:rStyle w:val="fontstyle01"/>
          <w:rFonts w:ascii="Times New Roman" w:hAnsi="Times New Roman" w:cs="Times New Roman"/>
        </w:rPr>
        <w:t>(P&lt;0,001, Mann-Whitney test). Ako pogledamo distribuciju po postoperativnim danima možemo vidjeti kako se ta razlika u dozi tramadola postopertivno smanjuje iz dana u dan, ali postoji do samog otpusta iz bolnice. (grafikon 2.)</w:t>
      </w:r>
    </w:p>
    <w:p w14:paraId="6EBC2192" w14:textId="6A1E797B" w:rsidR="00544D85" w:rsidRDefault="00544D85" w:rsidP="00544D85">
      <w:pPr>
        <w:spacing w:line="240" w:lineRule="auto"/>
        <w:jc w:val="center"/>
        <w:rPr>
          <w:rStyle w:val="fontstyle01"/>
          <w:rFonts w:ascii="Times New Roman" w:hAnsi="Times New Roman" w:cs="Times New Roman"/>
        </w:rPr>
      </w:pPr>
      <w:r>
        <w:rPr>
          <w:rStyle w:val="fontstyle01"/>
          <w:rFonts w:ascii="Times New Roman" w:hAnsi="Times New Roman" w:cs="Times New Roman"/>
        </w:rPr>
        <w:t>Grafikon 2.</w:t>
      </w:r>
      <w:r>
        <w:rPr>
          <w:rStyle w:val="fontstyle01"/>
          <w:rFonts w:ascii="Times New Roman" w:hAnsi="Times New Roman" w:cs="Times New Roman"/>
        </w:rPr>
        <w:t xml:space="preserve"> Količina ordiniranog tramadola</w:t>
      </w:r>
    </w:p>
    <w:p w14:paraId="5358906D" w14:textId="01908CB1" w:rsidR="00CD691A" w:rsidRDefault="00CD691A" w:rsidP="00544D85">
      <w:pPr>
        <w:spacing w:line="240" w:lineRule="auto"/>
        <w:jc w:val="both"/>
        <w:rPr>
          <w:rStyle w:val="fontstyle01"/>
          <w:rFonts w:ascii="Times New Roman" w:hAnsi="Times New Roman" w:cs="Times New Roman"/>
        </w:rPr>
      </w:pPr>
      <w:r>
        <w:rPr>
          <w:noProof/>
        </w:rPr>
        <w:drawing>
          <wp:inline distT="0" distB="0" distL="0" distR="0" wp14:anchorId="20D662B3" wp14:editId="137EE038">
            <wp:extent cx="5400675" cy="3053715"/>
            <wp:effectExtent l="0" t="0" r="9525" b="13335"/>
            <wp:docPr id="2" name="Chart 2">
              <a:extLst xmlns:a="http://schemas.openxmlformats.org/drawingml/2006/main">
                <a:ext uri="{FF2B5EF4-FFF2-40B4-BE49-F238E27FC236}">
                  <a16:creationId xmlns:a16="http://schemas.microsoft.com/office/drawing/2014/main" id="{295725DB-567F-6263-4619-614B4F145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AE033E9" w14:textId="653C5251" w:rsidR="00734555" w:rsidRDefault="004D11B4" w:rsidP="00762933">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lastRenderedPageBreak/>
        <w:t xml:space="preserve">Obim pokretljivosti je bio značajno bolji u LIA grupi u odnosu na kontrolnu grupu za period mjerenja od prva četiri postroperativna dana </w:t>
      </w:r>
      <w:r w:rsidRPr="00CD691A">
        <w:rPr>
          <w:rStyle w:val="fontstyle01"/>
          <w:rFonts w:ascii="Times New Roman" w:hAnsi="Times New Roman" w:cs="Times New Roman"/>
        </w:rPr>
        <w:t>(P&lt;0,05, Mann-Whitney test). (tabela 1)</w:t>
      </w:r>
    </w:p>
    <w:p w14:paraId="562EE383" w14:textId="640F486E" w:rsidR="00544D85" w:rsidRDefault="00544D85" w:rsidP="00544D85">
      <w:pPr>
        <w:spacing w:line="240" w:lineRule="auto"/>
        <w:jc w:val="center"/>
        <w:rPr>
          <w:rStyle w:val="fontstyle01"/>
          <w:rFonts w:ascii="Times New Roman" w:hAnsi="Times New Roman" w:cs="Times New Roman"/>
        </w:rPr>
      </w:pPr>
      <w:r>
        <w:rPr>
          <w:rStyle w:val="fontstyle01"/>
          <w:rFonts w:ascii="Times New Roman" w:hAnsi="Times New Roman" w:cs="Times New Roman"/>
        </w:rPr>
        <w:t>Tabela 1. Obim pokreta aktivne fleksije</w:t>
      </w:r>
    </w:p>
    <w:tbl>
      <w:tblPr>
        <w:tblStyle w:val="GridTable1Light-Accent1"/>
        <w:tblW w:w="0" w:type="auto"/>
        <w:tblLook w:val="04A0" w:firstRow="1" w:lastRow="0" w:firstColumn="1" w:lastColumn="0" w:noHBand="0" w:noVBand="1"/>
      </w:tblPr>
      <w:tblGrid>
        <w:gridCol w:w="1286"/>
        <w:gridCol w:w="2297"/>
        <w:gridCol w:w="2573"/>
        <w:gridCol w:w="2032"/>
      </w:tblGrid>
      <w:tr w:rsidR="00CD691A" w:rsidRPr="00CD691A" w14:paraId="2E970FA8" w14:textId="77777777" w:rsidTr="00BB26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C68AFE1" w14:textId="77777777" w:rsidR="00CD691A" w:rsidRPr="00CD691A" w:rsidRDefault="00CD691A" w:rsidP="00544D85">
            <w:pPr>
              <w:spacing w:line="480" w:lineRule="auto"/>
              <w:jc w:val="center"/>
              <w:rPr>
                <w:rFonts w:ascii="Times New Roman" w:hAnsi="Times New Roman" w:cs="Times New Roman"/>
                <w:sz w:val="24"/>
                <w:szCs w:val="24"/>
              </w:rPr>
            </w:pPr>
          </w:p>
        </w:tc>
        <w:tc>
          <w:tcPr>
            <w:tcW w:w="2551" w:type="dxa"/>
          </w:tcPr>
          <w:p w14:paraId="073039C9" w14:textId="77777777" w:rsidR="00CD691A" w:rsidRPr="00CD691A" w:rsidRDefault="00CD691A" w:rsidP="00544D8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LIA grupa</w:t>
            </w:r>
          </w:p>
        </w:tc>
        <w:tc>
          <w:tcPr>
            <w:tcW w:w="2798" w:type="dxa"/>
          </w:tcPr>
          <w:p w14:paraId="60258EFD" w14:textId="77777777" w:rsidR="00CD691A" w:rsidRPr="00CD691A" w:rsidRDefault="00CD691A" w:rsidP="00544D8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Kontrolna grupa</w:t>
            </w:r>
          </w:p>
        </w:tc>
        <w:tc>
          <w:tcPr>
            <w:tcW w:w="2254" w:type="dxa"/>
          </w:tcPr>
          <w:p w14:paraId="1BEB57E1" w14:textId="77777777" w:rsidR="00CD691A" w:rsidRPr="00CD691A" w:rsidRDefault="00CD691A" w:rsidP="00544D8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P</w:t>
            </w:r>
          </w:p>
        </w:tc>
      </w:tr>
      <w:tr w:rsidR="00CD691A" w:rsidRPr="00CD691A" w14:paraId="28BA7207" w14:textId="77777777" w:rsidTr="00BB26F9">
        <w:tc>
          <w:tcPr>
            <w:cnfStyle w:val="001000000000" w:firstRow="0" w:lastRow="0" w:firstColumn="1" w:lastColumn="0" w:oddVBand="0" w:evenVBand="0" w:oddHBand="0" w:evenHBand="0" w:firstRowFirstColumn="0" w:firstRowLastColumn="0" w:lastRowFirstColumn="0" w:lastRowLastColumn="0"/>
            <w:tcW w:w="1413" w:type="dxa"/>
          </w:tcPr>
          <w:p w14:paraId="74406D5B"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 dan</w:t>
            </w:r>
          </w:p>
        </w:tc>
        <w:tc>
          <w:tcPr>
            <w:tcW w:w="2551" w:type="dxa"/>
          </w:tcPr>
          <w:p w14:paraId="66B0274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36,25</w:t>
            </w:r>
            <w:r w:rsidRPr="00CD691A">
              <w:rPr>
                <w:rFonts w:ascii="Times New Roman" w:hAnsi="Times New Roman" w:cs="Times New Roman"/>
                <w:sz w:val="24"/>
                <w:szCs w:val="24"/>
                <w:vertAlign w:val="superscript"/>
              </w:rPr>
              <w:t>o</w:t>
            </w:r>
          </w:p>
        </w:tc>
        <w:tc>
          <w:tcPr>
            <w:tcW w:w="2798" w:type="dxa"/>
          </w:tcPr>
          <w:p w14:paraId="0EDFCC4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30,07</w:t>
            </w:r>
            <w:r w:rsidRPr="00CD691A">
              <w:rPr>
                <w:rFonts w:ascii="Times New Roman" w:hAnsi="Times New Roman" w:cs="Times New Roman"/>
                <w:sz w:val="24"/>
                <w:szCs w:val="24"/>
                <w:vertAlign w:val="superscript"/>
              </w:rPr>
              <w:t>o</w:t>
            </w:r>
          </w:p>
        </w:tc>
        <w:tc>
          <w:tcPr>
            <w:tcW w:w="2254" w:type="dxa"/>
          </w:tcPr>
          <w:p w14:paraId="3AAD62F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0,049</w:t>
            </w:r>
          </w:p>
        </w:tc>
      </w:tr>
      <w:tr w:rsidR="00CD691A" w:rsidRPr="00CD691A" w14:paraId="6B788817" w14:textId="77777777" w:rsidTr="00BB26F9">
        <w:tc>
          <w:tcPr>
            <w:cnfStyle w:val="001000000000" w:firstRow="0" w:lastRow="0" w:firstColumn="1" w:lastColumn="0" w:oddVBand="0" w:evenVBand="0" w:oddHBand="0" w:evenHBand="0" w:firstRowFirstColumn="0" w:firstRowLastColumn="0" w:lastRowFirstColumn="0" w:lastRowLastColumn="0"/>
            <w:tcW w:w="1413" w:type="dxa"/>
          </w:tcPr>
          <w:p w14:paraId="13B5374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 dan</w:t>
            </w:r>
          </w:p>
        </w:tc>
        <w:tc>
          <w:tcPr>
            <w:tcW w:w="2551" w:type="dxa"/>
          </w:tcPr>
          <w:p w14:paraId="2A169C99"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49,34</w:t>
            </w:r>
            <w:r w:rsidRPr="00CD691A">
              <w:rPr>
                <w:rFonts w:ascii="Times New Roman" w:hAnsi="Times New Roman" w:cs="Times New Roman"/>
                <w:sz w:val="24"/>
                <w:szCs w:val="24"/>
                <w:vertAlign w:val="superscript"/>
              </w:rPr>
              <w:t>o</w:t>
            </w:r>
          </w:p>
        </w:tc>
        <w:tc>
          <w:tcPr>
            <w:tcW w:w="2798" w:type="dxa"/>
          </w:tcPr>
          <w:p w14:paraId="4082727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41,84</w:t>
            </w:r>
            <w:r w:rsidRPr="00CD691A">
              <w:rPr>
                <w:rFonts w:ascii="Times New Roman" w:hAnsi="Times New Roman" w:cs="Times New Roman"/>
                <w:sz w:val="24"/>
                <w:szCs w:val="24"/>
                <w:vertAlign w:val="superscript"/>
              </w:rPr>
              <w:t>o</w:t>
            </w:r>
          </w:p>
        </w:tc>
        <w:tc>
          <w:tcPr>
            <w:tcW w:w="2254" w:type="dxa"/>
          </w:tcPr>
          <w:p w14:paraId="676D699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0,023</w:t>
            </w:r>
          </w:p>
        </w:tc>
      </w:tr>
      <w:tr w:rsidR="00CD691A" w:rsidRPr="00CD691A" w14:paraId="1BC28178" w14:textId="77777777" w:rsidTr="00BB26F9">
        <w:tc>
          <w:tcPr>
            <w:cnfStyle w:val="001000000000" w:firstRow="0" w:lastRow="0" w:firstColumn="1" w:lastColumn="0" w:oddVBand="0" w:evenVBand="0" w:oddHBand="0" w:evenHBand="0" w:firstRowFirstColumn="0" w:firstRowLastColumn="0" w:lastRowFirstColumn="0" w:lastRowLastColumn="0"/>
            <w:tcW w:w="1413" w:type="dxa"/>
          </w:tcPr>
          <w:p w14:paraId="0A09CA14"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III dan</w:t>
            </w:r>
          </w:p>
        </w:tc>
        <w:tc>
          <w:tcPr>
            <w:tcW w:w="2551" w:type="dxa"/>
          </w:tcPr>
          <w:p w14:paraId="349A0E2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62,28</w:t>
            </w:r>
            <w:r w:rsidRPr="00CD691A">
              <w:rPr>
                <w:rFonts w:ascii="Times New Roman" w:hAnsi="Times New Roman" w:cs="Times New Roman"/>
                <w:sz w:val="24"/>
                <w:szCs w:val="24"/>
                <w:vertAlign w:val="superscript"/>
              </w:rPr>
              <w:t>o</w:t>
            </w:r>
          </w:p>
        </w:tc>
        <w:tc>
          <w:tcPr>
            <w:tcW w:w="2798" w:type="dxa"/>
          </w:tcPr>
          <w:p w14:paraId="151D9A14"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53,91</w:t>
            </w:r>
            <w:r w:rsidRPr="00CD691A">
              <w:rPr>
                <w:rFonts w:ascii="Times New Roman" w:hAnsi="Times New Roman" w:cs="Times New Roman"/>
                <w:sz w:val="24"/>
                <w:szCs w:val="24"/>
                <w:vertAlign w:val="superscript"/>
              </w:rPr>
              <w:t>o</w:t>
            </w:r>
          </w:p>
        </w:tc>
        <w:tc>
          <w:tcPr>
            <w:tcW w:w="2254" w:type="dxa"/>
          </w:tcPr>
          <w:p w14:paraId="2BACB5A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w:t>
            </w:r>
          </w:p>
        </w:tc>
      </w:tr>
      <w:tr w:rsidR="00CD691A" w:rsidRPr="00CD691A" w14:paraId="5C9121B5" w14:textId="77777777" w:rsidTr="00BB26F9">
        <w:tc>
          <w:tcPr>
            <w:cnfStyle w:val="001000000000" w:firstRow="0" w:lastRow="0" w:firstColumn="1" w:lastColumn="0" w:oddVBand="0" w:evenVBand="0" w:oddHBand="0" w:evenHBand="0" w:firstRowFirstColumn="0" w:firstRowLastColumn="0" w:lastRowFirstColumn="0" w:lastRowLastColumn="0"/>
            <w:tcW w:w="1413" w:type="dxa"/>
          </w:tcPr>
          <w:p w14:paraId="0FEDA75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IV dan</w:t>
            </w:r>
          </w:p>
        </w:tc>
        <w:tc>
          <w:tcPr>
            <w:tcW w:w="2551" w:type="dxa"/>
          </w:tcPr>
          <w:p w14:paraId="2B39B12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72,35</w:t>
            </w:r>
            <w:r w:rsidRPr="00CD691A">
              <w:rPr>
                <w:rFonts w:ascii="Times New Roman" w:hAnsi="Times New Roman" w:cs="Times New Roman"/>
                <w:sz w:val="24"/>
                <w:szCs w:val="24"/>
                <w:vertAlign w:val="superscript"/>
              </w:rPr>
              <w:t>o</w:t>
            </w:r>
          </w:p>
        </w:tc>
        <w:tc>
          <w:tcPr>
            <w:tcW w:w="2798" w:type="dxa"/>
          </w:tcPr>
          <w:p w14:paraId="5F4D6135"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62,50</w:t>
            </w:r>
            <w:r w:rsidRPr="00CD691A">
              <w:rPr>
                <w:rFonts w:ascii="Times New Roman" w:hAnsi="Times New Roman" w:cs="Times New Roman"/>
                <w:sz w:val="24"/>
                <w:szCs w:val="24"/>
                <w:vertAlign w:val="superscript"/>
              </w:rPr>
              <w:t>o</w:t>
            </w:r>
          </w:p>
        </w:tc>
        <w:tc>
          <w:tcPr>
            <w:tcW w:w="2254" w:type="dxa"/>
          </w:tcPr>
          <w:p w14:paraId="369711C2"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w:t>
            </w:r>
          </w:p>
        </w:tc>
      </w:tr>
    </w:tbl>
    <w:p w14:paraId="13376CBB" w14:textId="77777777" w:rsidR="00544D85" w:rsidRDefault="00544D85" w:rsidP="00762933">
      <w:pPr>
        <w:spacing w:line="480" w:lineRule="auto"/>
        <w:jc w:val="both"/>
        <w:rPr>
          <w:rStyle w:val="fontstyle01"/>
          <w:rFonts w:ascii="Times New Roman" w:hAnsi="Times New Roman" w:cs="Times New Roman"/>
        </w:rPr>
      </w:pPr>
    </w:p>
    <w:p w14:paraId="743F4A42" w14:textId="27AC2C97" w:rsidR="004D11B4" w:rsidRPr="00CD691A" w:rsidRDefault="004D11B4"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Nije bilo statističke značajnosti u odnosu na dužinu hospitalizacije ove dvije praćene grupe pacijenata, 4,49 dana za LIA odnosno 5,29 dana za kontrolnu grupu (P=0,092, Mann-Whitney test).</w:t>
      </w:r>
    </w:p>
    <w:p w14:paraId="1E3C9F9E" w14:textId="62CD4793" w:rsidR="004D11B4" w:rsidRPr="00211836" w:rsidRDefault="004D11B4"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Diskusija</w:t>
      </w:r>
    </w:p>
    <w:p w14:paraId="55046B9C" w14:textId="149E932E"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Bol</w:t>
      </w:r>
      <w:r w:rsidR="00DB55A0" w:rsidRPr="00CD691A">
        <w:rPr>
          <w:rFonts w:ascii="Times New Roman" w:hAnsi="Times New Roman" w:cs="Times New Roman"/>
          <w:sz w:val="24"/>
          <w:szCs w:val="24"/>
        </w:rPr>
        <w:t xml:space="preserve"> predstavlja jednu od naših najvažnijih briga tokom i odmah nakon implantacije TEP koljena jer utiče direktno na kvalitet života pacijenta te otežava ranu rehabilitaciju.</w:t>
      </w:r>
      <w:r w:rsidR="006635DF">
        <w:rPr>
          <w:rFonts w:ascii="Times New Roman" w:hAnsi="Times New Roman" w:cs="Times New Roman"/>
          <w:sz w:val="24"/>
          <w:szCs w:val="24"/>
        </w:rPr>
        <w:t>(1)</w:t>
      </w:r>
      <w:r w:rsidR="00DB55A0" w:rsidRPr="00CD691A">
        <w:rPr>
          <w:rFonts w:ascii="Times New Roman" w:hAnsi="Times New Roman" w:cs="Times New Roman"/>
          <w:sz w:val="24"/>
          <w:szCs w:val="24"/>
        </w:rPr>
        <w:t xml:space="preserve"> Naša kombinacija intraoperativne LIA sačinjena od meloksikama, </w:t>
      </w:r>
      <w:r w:rsidR="004E2714" w:rsidRPr="00CD691A">
        <w:rPr>
          <w:rFonts w:ascii="Times New Roman" w:hAnsi="Times New Roman" w:cs="Times New Roman"/>
          <w:sz w:val="24"/>
          <w:szCs w:val="24"/>
        </w:rPr>
        <w:t>levo</w:t>
      </w:r>
      <w:r w:rsidR="00DB55A0" w:rsidRPr="00CD691A">
        <w:rPr>
          <w:rFonts w:ascii="Times New Roman" w:hAnsi="Times New Roman" w:cs="Times New Roman"/>
          <w:sz w:val="24"/>
          <w:szCs w:val="24"/>
        </w:rPr>
        <w:t xml:space="preserve">bupivakaina i adrenalina </w:t>
      </w:r>
      <w:r w:rsidR="003463D0" w:rsidRPr="00CD691A">
        <w:rPr>
          <w:rFonts w:ascii="Times New Roman" w:hAnsi="Times New Roman" w:cs="Times New Roman"/>
          <w:sz w:val="24"/>
          <w:szCs w:val="24"/>
        </w:rPr>
        <w:t xml:space="preserve">aplikovanih u jednoj dozi dokazano je unaprijedila mogućnost kontrole postoperativne boli što smo i pokazali redukcijom VAS skorova tokom prva četiri postoperativna dana, ako i smanjenom potrebom za dodatnom opioidnom terapijom u istom periodu. Ranije izvođene studije su imale različite rezultate, u nekima nije bilo značajne razlike u ovim grupama još od prvog postoperativnog dana, dok je u skorije rađenim studijama (Vaishya et al) dokazan efekat na smanjenje bola tokom trećeg postoperativnog dana, nalaz sličan kao i u našoj </w:t>
      </w:r>
      <w:r w:rsidR="003463D0" w:rsidRPr="00CD691A">
        <w:rPr>
          <w:rFonts w:ascii="Times New Roman" w:hAnsi="Times New Roman" w:cs="Times New Roman"/>
          <w:sz w:val="24"/>
          <w:szCs w:val="24"/>
        </w:rPr>
        <w:lastRenderedPageBreak/>
        <w:t>studiji.</w:t>
      </w:r>
      <w:r w:rsidR="00745AA8" w:rsidRPr="00CD691A">
        <w:rPr>
          <w:rFonts w:ascii="Times New Roman" w:hAnsi="Times New Roman" w:cs="Times New Roman"/>
          <w:sz w:val="24"/>
          <w:szCs w:val="24"/>
        </w:rPr>
        <w:t>(6)</w:t>
      </w:r>
      <w:r w:rsidR="003463D0" w:rsidRPr="00CD691A">
        <w:rPr>
          <w:rFonts w:ascii="Times New Roman" w:hAnsi="Times New Roman" w:cs="Times New Roman"/>
          <w:sz w:val="24"/>
          <w:szCs w:val="24"/>
        </w:rPr>
        <w:t xml:space="preserve"> Mi takođe možemo zaključiti da je razlika među ovim grupama veća tokom prvog i drugog postoperativnog dana u odnosu na razliku tokom trećeg i četvrtog dana.</w:t>
      </w:r>
      <w:r w:rsidRPr="00CD691A">
        <w:rPr>
          <w:rFonts w:ascii="Times New Roman" w:hAnsi="Times New Roman" w:cs="Times New Roman"/>
          <w:sz w:val="24"/>
          <w:szCs w:val="24"/>
        </w:rPr>
        <w:t xml:space="preserve"> Mogućnost rane rehabilitacije je takođe dokazano veća u LIA grupi što smo dakazali većim obimima aktivne fleksije postoperativno kod ove grupe pacijenarta u odnosu na kontrolnu.</w:t>
      </w:r>
      <w:r w:rsidR="003463D0" w:rsidRPr="00CD691A">
        <w:rPr>
          <w:rFonts w:ascii="Times New Roman" w:hAnsi="Times New Roman" w:cs="Times New Roman"/>
          <w:sz w:val="24"/>
          <w:szCs w:val="24"/>
        </w:rPr>
        <w:t xml:space="preserve"> </w:t>
      </w:r>
      <w:r w:rsidR="00745AA8" w:rsidRPr="00CD691A">
        <w:rPr>
          <w:rFonts w:ascii="Times New Roman" w:hAnsi="Times New Roman" w:cs="Times New Roman"/>
          <w:sz w:val="24"/>
          <w:szCs w:val="24"/>
        </w:rPr>
        <w:t>(7)</w:t>
      </w:r>
    </w:p>
    <w:p w14:paraId="0CEE8E61" w14:textId="0A9FB32A" w:rsidR="004D11B4" w:rsidRPr="00CD691A" w:rsidRDefault="003463D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Još uvijek ne postoji zlatni stadnard za LIA. Uglavnom se ona sastoji od lokalnog anestetika, nesteroidnog antiinflamatornog lijeka i adrenalina, dok neki autori takođe dodaju i morfij ili kortikosteriode u ovaj koktel lijekova.</w:t>
      </w:r>
      <w:r w:rsidR="00745AA8" w:rsidRPr="00CD691A">
        <w:rPr>
          <w:rFonts w:ascii="Times New Roman" w:hAnsi="Times New Roman" w:cs="Times New Roman"/>
          <w:sz w:val="24"/>
          <w:szCs w:val="24"/>
        </w:rPr>
        <w:t>(8)</w:t>
      </w:r>
      <w:r w:rsidRPr="00CD691A">
        <w:rPr>
          <w:rFonts w:ascii="Times New Roman" w:hAnsi="Times New Roman" w:cs="Times New Roman"/>
          <w:sz w:val="24"/>
          <w:szCs w:val="24"/>
        </w:rPr>
        <w:t xml:space="preserve"> Mi smo </w:t>
      </w:r>
      <w:r w:rsidR="00745AA8" w:rsidRPr="00CD691A">
        <w:rPr>
          <w:rFonts w:ascii="Times New Roman" w:hAnsi="Times New Roman" w:cs="Times New Roman"/>
          <w:sz w:val="24"/>
          <w:szCs w:val="24"/>
        </w:rPr>
        <w:t>kao</w:t>
      </w:r>
      <w:r w:rsidRPr="00CD691A">
        <w:rPr>
          <w:rFonts w:ascii="Times New Roman" w:hAnsi="Times New Roman" w:cs="Times New Roman"/>
          <w:sz w:val="24"/>
          <w:szCs w:val="24"/>
        </w:rPr>
        <w:t xml:space="preserve"> anestetik</w:t>
      </w:r>
      <w:r w:rsidR="00745AA8" w:rsidRPr="00CD691A">
        <w:rPr>
          <w:rFonts w:ascii="Times New Roman" w:hAnsi="Times New Roman" w:cs="Times New Roman"/>
          <w:sz w:val="24"/>
          <w:szCs w:val="24"/>
        </w:rPr>
        <w:t xml:space="preserve"> u ovoj kombinaciji</w:t>
      </w:r>
      <w:r w:rsidRPr="00CD691A">
        <w:rPr>
          <w:rFonts w:ascii="Times New Roman" w:hAnsi="Times New Roman" w:cs="Times New Roman"/>
          <w:sz w:val="24"/>
          <w:szCs w:val="24"/>
        </w:rPr>
        <w:t xml:space="preserve"> koristili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 zbog dostupnosti lijeka (naši anesteziolozi ga koriste tokom spinalne anestezije), mada kroz literaturu možemo vidjeti da </w:t>
      </w:r>
      <w:r w:rsidR="004E2714" w:rsidRPr="00CD691A">
        <w:rPr>
          <w:rFonts w:ascii="Times New Roman" w:hAnsi="Times New Roman" w:cs="Times New Roman"/>
          <w:sz w:val="24"/>
          <w:szCs w:val="24"/>
        </w:rPr>
        <w:t xml:space="preserve">je </w:t>
      </w:r>
      <w:r w:rsidRPr="00CD691A">
        <w:rPr>
          <w:rFonts w:ascii="Times New Roman" w:hAnsi="Times New Roman" w:cs="Times New Roman"/>
          <w:sz w:val="24"/>
          <w:szCs w:val="24"/>
        </w:rPr>
        <w:t xml:space="preserve">većina autora </w:t>
      </w:r>
      <w:r w:rsidR="004E2714" w:rsidRPr="00CD691A">
        <w:rPr>
          <w:rFonts w:ascii="Times New Roman" w:hAnsi="Times New Roman" w:cs="Times New Roman"/>
          <w:sz w:val="24"/>
          <w:szCs w:val="24"/>
        </w:rPr>
        <w:t>ranije koristila bupivakain. Kasnijim studijama je dokazano manji potencijalno toksični efekat levobupivakaina i ropivakaina u odnosu na bupivakain te se oni u zadnje vrijeme preporučuju.</w:t>
      </w:r>
      <w:r w:rsidR="00745AA8" w:rsidRPr="00CD691A">
        <w:rPr>
          <w:rFonts w:ascii="Times New Roman" w:hAnsi="Times New Roman" w:cs="Times New Roman"/>
          <w:sz w:val="24"/>
          <w:szCs w:val="24"/>
        </w:rPr>
        <w:t>(9)</w:t>
      </w:r>
      <w:r w:rsidR="00D31910" w:rsidRPr="00CD691A">
        <w:rPr>
          <w:rFonts w:ascii="Times New Roman" w:hAnsi="Times New Roman" w:cs="Times New Roman"/>
          <w:sz w:val="24"/>
          <w:szCs w:val="24"/>
        </w:rPr>
        <w:t xml:space="preserve"> Baš zbog svih ovih različitih mogućnosti i mogućih kombinacija, još uvijek nemamo identifikovanu najefektivniju kombinaciju koja bi predstavljala zlatni standard za LIA.</w:t>
      </w:r>
      <w:r w:rsidR="00745AA8" w:rsidRPr="00CD691A">
        <w:rPr>
          <w:rFonts w:ascii="Times New Roman" w:hAnsi="Times New Roman" w:cs="Times New Roman"/>
          <w:sz w:val="24"/>
          <w:szCs w:val="24"/>
        </w:rPr>
        <w:t>(10)</w:t>
      </w:r>
      <w:r w:rsidR="00D31910" w:rsidRPr="00CD691A">
        <w:rPr>
          <w:rFonts w:ascii="Times New Roman" w:hAnsi="Times New Roman" w:cs="Times New Roman"/>
          <w:sz w:val="24"/>
          <w:szCs w:val="24"/>
        </w:rPr>
        <w:t xml:space="preserve"> Sama ova činjenica predstavlja i razlog mnogih radova na ovu temu u literaturi u zadnje vrijeme.</w:t>
      </w:r>
    </w:p>
    <w:p w14:paraId="08DAEBC7" w14:textId="7EFCBD5C" w:rsidR="00D31910" w:rsidRPr="00211836" w:rsidRDefault="00D31910"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Zaključak</w:t>
      </w:r>
    </w:p>
    <w:p w14:paraId="40F96C7B" w14:textId="0536A20A"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Intraoperativna aplikacija LIA u jednoj dozi redukuje intenzitet bola u periodu od prvog do četvrtog postoperativnog dana te umanjuje potrebu za korištenjem dodatnih opioidnih analgetika </w:t>
      </w:r>
      <w:r w:rsidR="007A5218" w:rsidRPr="00CD691A">
        <w:rPr>
          <w:rFonts w:ascii="Times New Roman" w:hAnsi="Times New Roman" w:cs="Times New Roman"/>
          <w:sz w:val="24"/>
          <w:szCs w:val="24"/>
        </w:rPr>
        <w:t>pa je samim tim možemo preporučiti za upotrebu kod pacijenata podvrgnutih implantaciji TEP koljena. Buduća istraživanja bi nam trebala pokazati učinak LIA na dugotrajne efekte nakon implantacije TEP</w:t>
      </w:r>
      <w:r w:rsidR="006635DF">
        <w:rPr>
          <w:rFonts w:ascii="Times New Roman" w:hAnsi="Times New Roman" w:cs="Times New Roman"/>
          <w:sz w:val="24"/>
          <w:szCs w:val="24"/>
        </w:rPr>
        <w:t xml:space="preserve"> koljena</w:t>
      </w:r>
      <w:r w:rsidR="007A5218" w:rsidRPr="00CD691A">
        <w:rPr>
          <w:rFonts w:ascii="Times New Roman" w:hAnsi="Times New Roman" w:cs="Times New Roman"/>
          <w:sz w:val="24"/>
          <w:szCs w:val="24"/>
        </w:rPr>
        <w:t>, te ustanoviti najefikasniju kombinaciju lijekova za ovu vrstu analgezije.</w:t>
      </w:r>
    </w:p>
    <w:p w14:paraId="0E59E948" w14:textId="77777777" w:rsidR="00E3377F" w:rsidRDefault="00E3377F" w:rsidP="00762933">
      <w:pPr>
        <w:spacing w:line="480" w:lineRule="auto"/>
        <w:jc w:val="both"/>
        <w:rPr>
          <w:rFonts w:ascii="Times New Roman" w:hAnsi="Times New Roman" w:cs="Times New Roman"/>
          <w:b/>
          <w:bCs/>
          <w:sz w:val="24"/>
          <w:szCs w:val="24"/>
        </w:rPr>
      </w:pPr>
    </w:p>
    <w:p w14:paraId="7C41E3AD" w14:textId="4D2B39EC" w:rsidR="007A5218" w:rsidRPr="00211836" w:rsidRDefault="007A5218"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lastRenderedPageBreak/>
        <w:t>Literatura</w:t>
      </w:r>
    </w:p>
    <w:p w14:paraId="52058CF8" w14:textId="3501040D" w:rsidR="00A35F4A" w:rsidRPr="00CD691A" w:rsidRDefault="00A35F4A"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Blakeney WG, Vendittoli PA. The Future of TKA. 2020 Jul 1. In: Rivière C, Vendittoli PA, editors. Personalized Hip and Knee Joint Replacement [Internet]. Cham (CH): Springer; 2020. Chapter 15.</w:t>
      </w:r>
    </w:p>
    <w:p w14:paraId="678C362F"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 JW, Ma YS, Xiao LK. Postoperative Pain Management in Total Knee Arthroplasty. Orthop Surg. 2019;11(5):755-61.</w:t>
      </w:r>
    </w:p>
    <w:p w14:paraId="0B52D1BA"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Lamplot JD, Wagner ER, Manning DW. Muiltimodal pain management in total knee arthroplasty: a prospective randomized controlled trial. J Arthroplasty 2014;29:329-34.</w:t>
      </w:r>
    </w:p>
    <w:p w14:paraId="57733C3A" w14:textId="3AA6D715" w:rsidR="007A5218" w:rsidRPr="00CD691A" w:rsidRDefault="007A521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Affas F. Local infiltration analgesia in knee and hip arthroplasty efficacy and safety. Scand J Pain 2016</w:t>
      </w:r>
      <w:r w:rsidR="004E2714" w:rsidRPr="00CD691A">
        <w:rPr>
          <w:rFonts w:ascii="Times New Roman" w:hAnsi="Times New Roman" w:cs="Times New Roman"/>
          <w:sz w:val="24"/>
          <w:szCs w:val="24"/>
        </w:rPr>
        <w:t>; 13:59-66.</w:t>
      </w:r>
    </w:p>
    <w:p w14:paraId="747B6ED7"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 xml:space="preserve">Keijsers R, van Delft R, van den Bekerom, Nolte PA. Local infiltration analgesia following total knee arthroplasty: effect on postoperative pain and opioid consumption- a meta analysis Knee Surg Sports Traumatol Arthrosc 2015; 23: 1956-63 </w:t>
      </w:r>
    </w:p>
    <w:p w14:paraId="12AF319C"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Vaishya R, Wani AM, Vijay V. Local infiltration analgesia reduces pain and hospital stay after primary TKA: randomized controlled double blind trial. Acta Orthop Belg 2015;81:720-9.</w:t>
      </w:r>
    </w:p>
    <w:p w14:paraId="1C354F31" w14:textId="77777777" w:rsidR="00745AA8" w:rsidRPr="00CD691A" w:rsidRDefault="00745AA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Lisi C, Caspani P, Bruggi M, Carlisi E, Scolè D, Benazzo F, Dalla Toffola E. Early rehabilitation after elective total knee arthroplasty. Acta Biomed. 2017; 88(4S):56-61</w:t>
      </w:r>
    </w:p>
    <w:p w14:paraId="5638DD69" w14:textId="24438BB9" w:rsidR="000276BF"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Unver B, Yuksel E, Eymir M, Maltepe F, Karatosun V. Effect of Local Infiltration Analgesia on Functional Outcomes in Total Knee Arthroplasty: A Randomized, Placebo-Controlled, Double-Blind Clinical Trial. J Knee Surg. 2022;35(4):367-74.</w:t>
      </w:r>
    </w:p>
    <w:p w14:paraId="4E53EB28" w14:textId="395D94D9" w:rsidR="007E49C4"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lastRenderedPageBreak/>
        <w:t>Derogatis MJ, Sodhi N, Anis HK, Ehiorobo JO, Bhave A, Mont MA. Pain Management Strategies To Reduce Opioid Use Following Total Knee Arthroplasty. Surg Technol Int. 2019;35:301-10.</w:t>
      </w:r>
    </w:p>
    <w:p w14:paraId="56242A76" w14:textId="2A571AC4" w:rsidR="007E49C4" w:rsidRPr="00E3377F" w:rsidRDefault="00067AA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Selznick A, Chhina T, Sennik VB, Tam K, El Beheiry H. The effects of adding local infiltration analgesia of the knee to a multimodal pain protocol for total arthroplasty: A matched pair retrospective study. Can J Pain. 2019;3(1):98-105</w:t>
      </w:r>
    </w:p>
    <w:p w14:paraId="6AAAA01A" w14:textId="305815C5" w:rsidR="00E3377F" w:rsidRDefault="00E3377F" w:rsidP="00E3377F">
      <w:pPr>
        <w:spacing w:line="480" w:lineRule="auto"/>
        <w:jc w:val="both"/>
        <w:rPr>
          <w:rFonts w:ascii="Times New Roman" w:hAnsi="Times New Roman" w:cs="Times New Roman"/>
          <w:sz w:val="24"/>
          <w:szCs w:val="24"/>
        </w:rPr>
      </w:pPr>
    </w:p>
    <w:p w14:paraId="3E47FB89" w14:textId="6A898FDB" w:rsidR="00E3377F" w:rsidRDefault="00E3377F" w:rsidP="00E3377F">
      <w:pPr>
        <w:spacing w:line="480" w:lineRule="auto"/>
        <w:jc w:val="both"/>
        <w:rPr>
          <w:rFonts w:ascii="Times New Roman" w:hAnsi="Times New Roman" w:cs="Times New Roman"/>
          <w:sz w:val="24"/>
          <w:szCs w:val="24"/>
        </w:rPr>
      </w:pPr>
    </w:p>
    <w:p w14:paraId="3A60C3A3" w14:textId="2D3E2074" w:rsidR="00E3377F" w:rsidRDefault="00E3377F" w:rsidP="00E3377F">
      <w:pPr>
        <w:spacing w:line="480" w:lineRule="auto"/>
        <w:jc w:val="both"/>
        <w:rPr>
          <w:rFonts w:ascii="Times New Roman" w:hAnsi="Times New Roman" w:cs="Times New Roman"/>
          <w:sz w:val="24"/>
          <w:szCs w:val="24"/>
        </w:rPr>
      </w:pPr>
    </w:p>
    <w:p w14:paraId="436FCC9F" w14:textId="3309B85E" w:rsidR="00E3377F" w:rsidRDefault="00E3377F" w:rsidP="00E3377F">
      <w:pPr>
        <w:spacing w:line="480" w:lineRule="auto"/>
        <w:jc w:val="both"/>
        <w:rPr>
          <w:rFonts w:ascii="Times New Roman" w:hAnsi="Times New Roman" w:cs="Times New Roman"/>
          <w:sz w:val="24"/>
          <w:szCs w:val="24"/>
        </w:rPr>
      </w:pPr>
    </w:p>
    <w:p w14:paraId="16F2C85D" w14:textId="7AFD65EF" w:rsidR="00E3377F" w:rsidRDefault="00E3377F" w:rsidP="00E3377F">
      <w:pPr>
        <w:spacing w:line="480" w:lineRule="auto"/>
        <w:jc w:val="both"/>
        <w:rPr>
          <w:rFonts w:ascii="Times New Roman" w:hAnsi="Times New Roman" w:cs="Times New Roman"/>
          <w:sz w:val="24"/>
          <w:szCs w:val="24"/>
        </w:rPr>
      </w:pPr>
    </w:p>
    <w:p w14:paraId="663C6CF8" w14:textId="372D5CB5" w:rsidR="00E3377F" w:rsidRDefault="00E3377F" w:rsidP="00E3377F">
      <w:pPr>
        <w:spacing w:line="480" w:lineRule="auto"/>
        <w:jc w:val="both"/>
        <w:rPr>
          <w:rFonts w:ascii="Times New Roman" w:hAnsi="Times New Roman" w:cs="Times New Roman"/>
          <w:sz w:val="24"/>
          <w:szCs w:val="24"/>
        </w:rPr>
      </w:pPr>
    </w:p>
    <w:p w14:paraId="624A53D5" w14:textId="587F088A" w:rsidR="00E3377F" w:rsidRDefault="00E3377F" w:rsidP="00E3377F">
      <w:pPr>
        <w:spacing w:line="480" w:lineRule="auto"/>
        <w:jc w:val="both"/>
        <w:rPr>
          <w:rFonts w:ascii="Times New Roman" w:hAnsi="Times New Roman" w:cs="Times New Roman"/>
          <w:sz w:val="24"/>
          <w:szCs w:val="24"/>
        </w:rPr>
      </w:pPr>
    </w:p>
    <w:p w14:paraId="1C778122" w14:textId="2FA1B784" w:rsidR="00E3377F" w:rsidRDefault="00E3377F" w:rsidP="00E3377F">
      <w:pPr>
        <w:spacing w:line="480" w:lineRule="auto"/>
        <w:jc w:val="both"/>
        <w:rPr>
          <w:rFonts w:ascii="Times New Roman" w:hAnsi="Times New Roman" w:cs="Times New Roman"/>
          <w:sz w:val="24"/>
          <w:szCs w:val="24"/>
        </w:rPr>
      </w:pPr>
    </w:p>
    <w:p w14:paraId="6A0A0556" w14:textId="1D7BB1E6" w:rsidR="00E3377F" w:rsidRDefault="00E3377F" w:rsidP="00E3377F">
      <w:pPr>
        <w:spacing w:line="480" w:lineRule="auto"/>
        <w:jc w:val="both"/>
        <w:rPr>
          <w:rFonts w:ascii="Times New Roman" w:hAnsi="Times New Roman" w:cs="Times New Roman"/>
          <w:sz w:val="24"/>
          <w:szCs w:val="24"/>
        </w:rPr>
      </w:pPr>
    </w:p>
    <w:p w14:paraId="2D648F7C" w14:textId="05E1541A" w:rsidR="00E3377F" w:rsidRDefault="00E3377F" w:rsidP="00E3377F">
      <w:pPr>
        <w:spacing w:line="480" w:lineRule="auto"/>
        <w:jc w:val="both"/>
        <w:rPr>
          <w:rFonts w:ascii="Times New Roman" w:hAnsi="Times New Roman" w:cs="Times New Roman"/>
          <w:sz w:val="24"/>
          <w:szCs w:val="24"/>
        </w:rPr>
      </w:pPr>
    </w:p>
    <w:p w14:paraId="30642AEF" w14:textId="0DCFE33A" w:rsidR="00E3377F" w:rsidRDefault="00E3377F" w:rsidP="00E3377F">
      <w:pPr>
        <w:spacing w:line="480" w:lineRule="auto"/>
        <w:jc w:val="both"/>
        <w:rPr>
          <w:rFonts w:ascii="Times New Roman" w:hAnsi="Times New Roman" w:cs="Times New Roman"/>
          <w:sz w:val="24"/>
          <w:szCs w:val="24"/>
        </w:rPr>
      </w:pPr>
    </w:p>
    <w:p w14:paraId="7B4CD7B9" w14:textId="4DFCC220" w:rsidR="00E3377F" w:rsidRDefault="00E3377F" w:rsidP="00E3377F">
      <w:pPr>
        <w:spacing w:line="480" w:lineRule="auto"/>
        <w:jc w:val="both"/>
        <w:rPr>
          <w:rFonts w:ascii="Times New Roman" w:hAnsi="Times New Roman" w:cs="Times New Roman"/>
          <w:sz w:val="24"/>
          <w:szCs w:val="24"/>
        </w:rPr>
      </w:pPr>
    </w:p>
    <w:p w14:paraId="74B03172" w14:textId="2665CADE" w:rsidR="00E3377F" w:rsidRDefault="00E3377F" w:rsidP="00E3377F">
      <w:pPr>
        <w:spacing w:line="480" w:lineRule="auto"/>
        <w:jc w:val="both"/>
        <w:rPr>
          <w:rFonts w:ascii="Times New Roman" w:hAnsi="Times New Roman" w:cs="Times New Roman"/>
          <w:sz w:val="24"/>
          <w:szCs w:val="24"/>
        </w:rPr>
      </w:pPr>
    </w:p>
    <w:p w14:paraId="2A246238" w14:textId="50D8C154" w:rsidR="00E3377F" w:rsidRDefault="00E3377F" w:rsidP="00E3377F">
      <w:pPr>
        <w:spacing w:line="480" w:lineRule="auto"/>
        <w:jc w:val="both"/>
        <w:rPr>
          <w:rFonts w:ascii="Times New Roman" w:hAnsi="Times New Roman" w:cs="Times New Roman"/>
          <w:sz w:val="24"/>
          <w:szCs w:val="24"/>
        </w:rPr>
      </w:pPr>
    </w:p>
    <w:p w14:paraId="267D9C31" w14:textId="3BDDD420" w:rsidR="00E3377F" w:rsidRDefault="00E3377F" w:rsidP="00E3377F">
      <w:pPr>
        <w:spacing w:line="480" w:lineRule="auto"/>
        <w:jc w:val="both"/>
        <w:rPr>
          <w:rFonts w:ascii="Times New Roman" w:hAnsi="Times New Roman" w:cs="Times New Roman"/>
          <w:sz w:val="24"/>
          <w:szCs w:val="24"/>
        </w:rPr>
      </w:pPr>
    </w:p>
    <w:p w14:paraId="00171E88" w14:textId="77777777" w:rsidR="00E3377F" w:rsidRPr="00EF4C2E" w:rsidRDefault="00E3377F" w:rsidP="00E3377F">
      <w:pPr>
        <w:spacing w:line="480" w:lineRule="auto"/>
        <w:rPr>
          <w:rFonts w:ascii="Times New Roman" w:hAnsi="Times New Roman" w:cs="Times New Roman"/>
          <w:b/>
          <w:bCs/>
          <w:sz w:val="24"/>
          <w:szCs w:val="24"/>
        </w:rPr>
      </w:pPr>
      <w:r w:rsidRPr="00EF4C2E">
        <w:rPr>
          <w:rFonts w:ascii="Times New Roman" w:hAnsi="Times New Roman" w:cs="Times New Roman"/>
          <w:b/>
          <w:bCs/>
          <w:sz w:val="24"/>
          <w:szCs w:val="24"/>
        </w:rPr>
        <w:lastRenderedPageBreak/>
        <w:t>Abstract</w:t>
      </w:r>
    </w:p>
    <w:p w14:paraId="11FAE60E" w14:textId="77777777" w:rsidR="00E3377F" w:rsidRPr="00EF4C2E" w:rsidRDefault="00E3377F" w:rsidP="00E3377F">
      <w:pPr>
        <w:spacing w:line="480" w:lineRule="auto"/>
        <w:rPr>
          <w:rFonts w:ascii="Times New Roman" w:hAnsi="Times New Roman" w:cs="Times New Roman"/>
          <w:sz w:val="24"/>
          <w:szCs w:val="24"/>
        </w:rPr>
      </w:pPr>
      <w:r w:rsidRPr="00EF4C2E">
        <w:rPr>
          <w:rFonts w:ascii="Times New Roman" w:hAnsi="Times New Roman" w:cs="Times New Roman"/>
          <w:sz w:val="24"/>
          <w:szCs w:val="24"/>
        </w:rPr>
        <w:t xml:space="preserve">Intro: Postoperative pain in total knee arthroplasty (TKA) can hinder early rehabilitation and cause slow recovery of these patiens after this procedure. Local infiltration analgesia (LIA) is a combination of anaesthetic drug, non-steroidal anti-inlammatory drug and adrenaline has been introduced to reduce pain and systemic side-effects after opioid use. This study evaluated the efficacy of LIA in TKA with respect to postoperative pain scores, opioid drug consumption , the speed of reaching the range of motion and postoperative length of stay. </w:t>
      </w:r>
    </w:p>
    <w:p w14:paraId="615865BA" w14:textId="77777777" w:rsidR="00E3377F" w:rsidRPr="00EF4C2E" w:rsidRDefault="00E3377F" w:rsidP="00E3377F">
      <w:pPr>
        <w:spacing w:line="480" w:lineRule="auto"/>
        <w:rPr>
          <w:rFonts w:ascii="Times New Roman" w:hAnsi="Times New Roman" w:cs="Times New Roman"/>
          <w:sz w:val="24"/>
          <w:szCs w:val="24"/>
        </w:rPr>
      </w:pPr>
      <w:r w:rsidRPr="00EF4C2E">
        <w:rPr>
          <w:rFonts w:ascii="Times New Roman" w:hAnsi="Times New Roman" w:cs="Times New Roman"/>
          <w:sz w:val="24"/>
          <w:szCs w:val="24"/>
        </w:rPr>
        <w:t xml:space="preserve">Methods: This was a retrospective cohort study conducted in Department of Orthopedics, Institute for physical medicine and rehabilitation  „Dr. Miroslav Zotović“ Banja Luka, recruited patients with diagnosis of knee osteoarthritis who have implanted TKA in period from 1/1/2022 to 30/6/2022. Patients with chronic inflammatory disease, contraindications for LIA and dementia were excluded. Patients were divided into two groups, patients in LIA group were administered LIA intraoperatively while those in control group were not. Postoperatively we folowed outcomes in pain score intensity, usage of opioid drugs, range of motion and postoperative length of stay. </w:t>
      </w:r>
    </w:p>
    <w:p w14:paraId="17437260" w14:textId="77777777" w:rsidR="00E3377F" w:rsidRPr="00EF4C2E" w:rsidRDefault="00E3377F" w:rsidP="00E3377F">
      <w:pPr>
        <w:spacing w:line="480" w:lineRule="auto"/>
        <w:rPr>
          <w:rFonts w:ascii="Times New Roman" w:hAnsi="Times New Roman" w:cs="Times New Roman"/>
          <w:sz w:val="24"/>
          <w:szCs w:val="24"/>
        </w:rPr>
      </w:pPr>
      <w:r w:rsidRPr="00EF4C2E">
        <w:rPr>
          <w:rFonts w:ascii="Times New Roman" w:hAnsi="Times New Roman" w:cs="Times New Roman"/>
          <w:sz w:val="24"/>
          <w:szCs w:val="24"/>
        </w:rPr>
        <w:t>Results: In total, 136 patients were recruited, 68 patients per group. Postoperatice pain intensity and demands for opioid drugs were lower in LIA group for first four postoperative days than in the control group. The range of motion was higher in LIA group than in control group. Postoperative length of stay were not significantly different between groups.</w:t>
      </w:r>
    </w:p>
    <w:p w14:paraId="11877A0F" w14:textId="77777777" w:rsidR="00E3377F" w:rsidRDefault="00E3377F" w:rsidP="00E3377F">
      <w:pPr>
        <w:spacing w:line="480" w:lineRule="auto"/>
        <w:rPr>
          <w:rFonts w:ascii="Times New Roman" w:hAnsi="Times New Roman" w:cs="Times New Roman"/>
          <w:sz w:val="24"/>
          <w:szCs w:val="24"/>
        </w:rPr>
      </w:pPr>
      <w:r w:rsidRPr="00EF4C2E">
        <w:rPr>
          <w:rFonts w:ascii="Times New Roman" w:hAnsi="Times New Roman" w:cs="Times New Roman"/>
          <w:sz w:val="24"/>
          <w:szCs w:val="24"/>
        </w:rPr>
        <w:lastRenderedPageBreak/>
        <w:t>Conclusions: Intraoperative usage of LIA can efficiently reduce postoperative pain, demands for usage of opioid drugs and with all this can improve early rehabilitation of these patients.</w:t>
      </w:r>
    </w:p>
    <w:p w14:paraId="1562593C" w14:textId="77777777" w:rsidR="00E3377F" w:rsidRPr="00CD691A" w:rsidRDefault="00E3377F" w:rsidP="00E3377F">
      <w:pPr>
        <w:spacing w:line="480" w:lineRule="auto"/>
        <w:jc w:val="both"/>
        <w:rPr>
          <w:rFonts w:ascii="Times New Roman" w:hAnsi="Times New Roman" w:cs="Times New Roman"/>
          <w:sz w:val="24"/>
          <w:szCs w:val="24"/>
        </w:rPr>
      </w:pPr>
      <w:r>
        <w:rPr>
          <w:rFonts w:ascii="Times New Roman" w:hAnsi="Times New Roman" w:cs="Times New Roman"/>
          <w:sz w:val="24"/>
          <w:szCs w:val="24"/>
        </w:rPr>
        <w:t>Keywords: local infiltrative analgesia, TKA, pain, rehabilitation</w:t>
      </w:r>
    </w:p>
    <w:p w14:paraId="481F9EAD" w14:textId="77777777" w:rsidR="00E3377F" w:rsidRPr="00E3377F" w:rsidRDefault="00E3377F" w:rsidP="00E3377F">
      <w:pPr>
        <w:spacing w:line="480" w:lineRule="auto"/>
        <w:jc w:val="both"/>
        <w:rPr>
          <w:rFonts w:ascii="Times New Roman" w:hAnsi="Times New Roman" w:cs="Times New Roman"/>
          <w:sz w:val="24"/>
          <w:szCs w:val="24"/>
        </w:rPr>
      </w:pPr>
    </w:p>
    <w:sectPr w:rsidR="00E3377F" w:rsidRPr="00E3377F" w:rsidSect="00762933">
      <w:pgSz w:w="11906" w:h="16838"/>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605F9"/>
    <w:multiLevelType w:val="hybridMultilevel"/>
    <w:tmpl w:val="2B48B250"/>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125809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5D"/>
    <w:rsid w:val="000244E9"/>
    <w:rsid w:val="000276BF"/>
    <w:rsid w:val="00067AAF"/>
    <w:rsid w:val="00172AED"/>
    <w:rsid w:val="0017706C"/>
    <w:rsid w:val="00183BC7"/>
    <w:rsid w:val="00211836"/>
    <w:rsid w:val="002B2DB5"/>
    <w:rsid w:val="00324E8C"/>
    <w:rsid w:val="003459E9"/>
    <w:rsid w:val="003463D0"/>
    <w:rsid w:val="00434E5D"/>
    <w:rsid w:val="004A0FFC"/>
    <w:rsid w:val="004D11B4"/>
    <w:rsid w:val="004E2714"/>
    <w:rsid w:val="0053240A"/>
    <w:rsid w:val="00544D85"/>
    <w:rsid w:val="005A188F"/>
    <w:rsid w:val="005C0338"/>
    <w:rsid w:val="005E6507"/>
    <w:rsid w:val="006635DF"/>
    <w:rsid w:val="006F702E"/>
    <w:rsid w:val="0070315B"/>
    <w:rsid w:val="00734555"/>
    <w:rsid w:val="00745AA8"/>
    <w:rsid w:val="00762933"/>
    <w:rsid w:val="00797D1A"/>
    <w:rsid w:val="007A5218"/>
    <w:rsid w:val="007A56CA"/>
    <w:rsid w:val="007E49C4"/>
    <w:rsid w:val="007F409A"/>
    <w:rsid w:val="0083758A"/>
    <w:rsid w:val="0085182C"/>
    <w:rsid w:val="009F54F4"/>
    <w:rsid w:val="00A35F4A"/>
    <w:rsid w:val="00A42215"/>
    <w:rsid w:val="00A47BEF"/>
    <w:rsid w:val="00A70D49"/>
    <w:rsid w:val="00B80550"/>
    <w:rsid w:val="00B84099"/>
    <w:rsid w:val="00C40A26"/>
    <w:rsid w:val="00C948AC"/>
    <w:rsid w:val="00CD1870"/>
    <w:rsid w:val="00CD691A"/>
    <w:rsid w:val="00D31910"/>
    <w:rsid w:val="00D9220E"/>
    <w:rsid w:val="00DB55A0"/>
    <w:rsid w:val="00E3377F"/>
    <w:rsid w:val="00EF4C2E"/>
    <w:rsid w:val="00FA36E9"/>
    <w:rsid w:val="00FE71FA"/>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4C66"/>
  <w15:chartTrackingRefBased/>
  <w15:docId w15:val="{769B8B93-EBB1-4E04-BEBD-01660B5A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72AED"/>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7A5218"/>
    <w:pPr>
      <w:ind w:left="720"/>
      <w:contextualSpacing/>
    </w:pPr>
  </w:style>
  <w:style w:type="table" w:styleId="GridTable1Light-Accent1">
    <w:name w:val="Grid Table 1 Light Accent 1"/>
    <w:basedOn w:val="TableNormal"/>
    <w:uiPriority w:val="46"/>
    <w:rsid w:val="00CD69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a:t>VAS</a:t>
            </a:r>
            <a:r>
              <a:rPr lang="sr-Latn-RS" sz="1600"/>
              <a:t> boli</a:t>
            </a:r>
            <a:endParaRPr lang="en-US" sz="1600"/>
          </a:p>
        </c:rich>
      </c:tx>
      <c:layout>
        <c:manualLayout>
          <c:xMode val="edge"/>
          <c:yMode val="edge"/>
          <c:x val="0.38362795772866898"/>
          <c:y val="5.22441225362146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Sheet1!$G$2</c:f>
              <c:strCache>
                <c:ptCount val="1"/>
                <c:pt idx="0">
                  <c:v> LIA grupa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Sheet1!$H$1:$K$1</c:f>
              <c:strCache>
                <c:ptCount val="4"/>
                <c:pt idx="0">
                  <c:v>I dan</c:v>
                </c:pt>
                <c:pt idx="1">
                  <c:v>II dan</c:v>
                </c:pt>
                <c:pt idx="2">
                  <c:v>III dan</c:v>
                </c:pt>
                <c:pt idx="3">
                  <c:v>IV dan</c:v>
                </c:pt>
              </c:strCache>
            </c:strRef>
          </c:cat>
          <c:val>
            <c:numRef>
              <c:f>Sheet1!$H$2:$K$2</c:f>
              <c:numCache>
                <c:formatCode>General</c:formatCode>
                <c:ptCount val="4"/>
                <c:pt idx="0">
                  <c:v>5.3188405797101446</c:v>
                </c:pt>
                <c:pt idx="1">
                  <c:v>4.8382352941176467</c:v>
                </c:pt>
                <c:pt idx="2">
                  <c:v>3.1470588235294117</c:v>
                </c:pt>
                <c:pt idx="3">
                  <c:v>2.8382352941176472</c:v>
                </c:pt>
              </c:numCache>
            </c:numRef>
          </c:val>
          <c:smooth val="0"/>
          <c:extLst>
            <c:ext xmlns:c16="http://schemas.microsoft.com/office/drawing/2014/chart" uri="{C3380CC4-5D6E-409C-BE32-E72D297353CC}">
              <c16:uniqueId val="{00000000-213E-4C8D-A820-603F77B266EA}"/>
            </c:ext>
          </c:extLst>
        </c:ser>
        <c:ser>
          <c:idx val="1"/>
          <c:order val="1"/>
          <c:tx>
            <c:strRef>
              <c:f>Sheet1!$G$3</c:f>
              <c:strCache>
                <c:ptCount val="1"/>
                <c:pt idx="0">
                  <c:v>Kontrola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Sheet1!$H$1:$K$1</c:f>
              <c:strCache>
                <c:ptCount val="4"/>
                <c:pt idx="0">
                  <c:v>I dan</c:v>
                </c:pt>
                <c:pt idx="1">
                  <c:v>II dan</c:v>
                </c:pt>
                <c:pt idx="2">
                  <c:v>III dan</c:v>
                </c:pt>
                <c:pt idx="3">
                  <c:v>IV dan</c:v>
                </c:pt>
              </c:strCache>
            </c:strRef>
          </c:cat>
          <c:val>
            <c:numRef>
              <c:f>Sheet1!$H$3:$K$3</c:f>
              <c:numCache>
                <c:formatCode>General</c:formatCode>
                <c:ptCount val="4"/>
                <c:pt idx="0">
                  <c:v>7.25</c:v>
                </c:pt>
                <c:pt idx="1">
                  <c:v>6.4852941176470589</c:v>
                </c:pt>
                <c:pt idx="2">
                  <c:v>3.4117647058823528</c:v>
                </c:pt>
                <c:pt idx="3">
                  <c:v>2.8823529411764706</c:v>
                </c:pt>
              </c:numCache>
            </c:numRef>
          </c:val>
          <c:smooth val="0"/>
          <c:extLst>
            <c:ext xmlns:c16="http://schemas.microsoft.com/office/drawing/2014/chart" uri="{C3380CC4-5D6E-409C-BE32-E72D297353CC}">
              <c16:uniqueId val="{00000001-213E-4C8D-A820-603F77B266EA}"/>
            </c:ext>
          </c:extLst>
        </c:ser>
        <c:dLbls>
          <c:showLegendKey val="0"/>
          <c:showVal val="0"/>
          <c:showCatName val="0"/>
          <c:showSerName val="0"/>
          <c:showPercent val="0"/>
          <c:showBubbleSize val="0"/>
        </c:dLbls>
        <c:marker val="1"/>
        <c:smooth val="0"/>
        <c:axId val="102480528"/>
        <c:axId val="102480944"/>
      </c:lineChart>
      <c:catAx>
        <c:axId val="10248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80944"/>
        <c:crosses val="autoZero"/>
        <c:auto val="1"/>
        <c:lblAlgn val="ctr"/>
        <c:lblOffset val="100"/>
        <c:noMultiLvlLbl val="0"/>
      </c:catAx>
      <c:valAx>
        <c:axId val="10248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2480528"/>
        <c:crosses val="autoZero"/>
        <c:crossBetween val="between"/>
      </c:valAx>
      <c:spPr>
        <a:noFill/>
        <a:ln>
          <a:noFill/>
        </a:ln>
        <a:effectLst/>
      </c:spPr>
    </c:plotArea>
    <c:legend>
      <c:legendPos val="b"/>
      <c:layout>
        <c:manualLayout>
          <c:xMode val="edge"/>
          <c:yMode val="edge"/>
          <c:x val="0.26902460902239261"/>
          <c:y val="0.87618741316798709"/>
          <c:w val="0.44200590551181101"/>
          <c:h val="8.6535797608632253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a:t>Doza Tramadola</a:t>
            </a:r>
            <a:r>
              <a:rPr lang="sr-Latn-RS" baseline="0"/>
              <a:t> u mg</a:t>
            </a:r>
            <a:endParaRPr lang="sr-Latn-R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LIA grupa</c:v>
          </c:tx>
          <c:spPr>
            <a:solidFill>
              <a:schemeClr val="accent1"/>
            </a:solidFill>
            <a:ln>
              <a:noFill/>
            </a:ln>
            <a:effectLst/>
          </c:spPr>
          <c:invertIfNegative val="0"/>
          <c:cat>
            <c:strRef>
              <c:f>Sheet1!$J$30:$M$30</c:f>
              <c:strCache>
                <c:ptCount val="4"/>
                <c:pt idx="0">
                  <c:v>I dan</c:v>
                </c:pt>
                <c:pt idx="1">
                  <c:v>II dan</c:v>
                </c:pt>
                <c:pt idx="2">
                  <c:v>III dan</c:v>
                </c:pt>
                <c:pt idx="3">
                  <c:v>IV dan</c:v>
                </c:pt>
              </c:strCache>
            </c:strRef>
          </c:cat>
          <c:val>
            <c:numRef>
              <c:f>Sheet1!$J$31:$M$31</c:f>
              <c:numCache>
                <c:formatCode>General</c:formatCode>
                <c:ptCount val="4"/>
                <c:pt idx="0">
                  <c:v>120.35</c:v>
                </c:pt>
                <c:pt idx="1">
                  <c:v>110.3</c:v>
                </c:pt>
                <c:pt idx="2">
                  <c:v>85.4</c:v>
                </c:pt>
                <c:pt idx="3">
                  <c:v>31.2</c:v>
                </c:pt>
              </c:numCache>
            </c:numRef>
          </c:val>
          <c:extLst>
            <c:ext xmlns:c16="http://schemas.microsoft.com/office/drawing/2014/chart" uri="{C3380CC4-5D6E-409C-BE32-E72D297353CC}">
              <c16:uniqueId val="{00000000-1947-43D3-B0BF-7EF02A5BDAA5}"/>
            </c:ext>
          </c:extLst>
        </c:ser>
        <c:ser>
          <c:idx val="1"/>
          <c:order val="1"/>
          <c:tx>
            <c:v>Kontrola</c:v>
          </c:tx>
          <c:spPr>
            <a:solidFill>
              <a:schemeClr val="accent2"/>
            </a:solidFill>
            <a:ln>
              <a:noFill/>
            </a:ln>
            <a:effectLst/>
          </c:spPr>
          <c:invertIfNegative val="0"/>
          <c:cat>
            <c:strRef>
              <c:f>Sheet1!$J$30:$M$30</c:f>
              <c:strCache>
                <c:ptCount val="4"/>
                <c:pt idx="0">
                  <c:v>I dan</c:v>
                </c:pt>
                <c:pt idx="1">
                  <c:v>II dan</c:v>
                </c:pt>
                <c:pt idx="2">
                  <c:v>III dan</c:v>
                </c:pt>
                <c:pt idx="3">
                  <c:v>IV dan</c:v>
                </c:pt>
              </c:strCache>
            </c:strRef>
          </c:cat>
          <c:val>
            <c:numRef>
              <c:f>Sheet1!$J$32:$M$32</c:f>
              <c:numCache>
                <c:formatCode>General</c:formatCode>
                <c:ptCount val="4"/>
                <c:pt idx="0">
                  <c:v>165.23</c:v>
                </c:pt>
                <c:pt idx="1">
                  <c:v>140.80000000000001</c:v>
                </c:pt>
                <c:pt idx="2">
                  <c:v>95.5</c:v>
                </c:pt>
                <c:pt idx="3">
                  <c:v>33.1</c:v>
                </c:pt>
              </c:numCache>
            </c:numRef>
          </c:val>
          <c:extLst>
            <c:ext xmlns:c16="http://schemas.microsoft.com/office/drawing/2014/chart" uri="{C3380CC4-5D6E-409C-BE32-E72D297353CC}">
              <c16:uniqueId val="{00000001-1947-43D3-B0BF-7EF02A5BDAA5}"/>
            </c:ext>
          </c:extLst>
        </c:ser>
        <c:dLbls>
          <c:showLegendKey val="0"/>
          <c:showVal val="0"/>
          <c:showCatName val="0"/>
          <c:showSerName val="0"/>
          <c:showPercent val="0"/>
          <c:showBubbleSize val="0"/>
        </c:dLbls>
        <c:gapWidth val="219"/>
        <c:overlap val="-27"/>
        <c:axId val="2003465584"/>
        <c:axId val="2003465168"/>
      </c:barChart>
      <c:catAx>
        <c:axId val="200346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168"/>
        <c:crosses val="autoZero"/>
        <c:auto val="1"/>
        <c:lblAlgn val="ctr"/>
        <c:lblOffset val="100"/>
        <c:noMultiLvlLbl val="0"/>
      </c:catAx>
      <c:valAx>
        <c:axId val="200346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584"/>
        <c:crosses val="autoZero"/>
        <c:crossBetween val="between"/>
      </c:valAx>
      <c:spPr>
        <a:noFill/>
        <a:ln>
          <a:noFill/>
        </a:ln>
        <a:effectLst/>
      </c:spPr>
    </c:plotArea>
    <c:legend>
      <c:legendPos val="b"/>
      <c:layout>
        <c:manualLayout>
          <c:xMode val="edge"/>
          <c:yMode val="edge"/>
          <c:x val="0.26244466316710408"/>
          <c:y val="0.88020778652668419"/>
          <c:w val="0.5751106736657918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Zotovic Instalacija Account</dc:creator>
  <cp:keywords/>
  <dc:description/>
  <cp:lastModifiedBy>Tablet instalacija</cp:lastModifiedBy>
  <cp:revision>2</cp:revision>
  <dcterms:created xsi:type="dcterms:W3CDTF">2023-01-17T12:37:00Z</dcterms:created>
  <dcterms:modified xsi:type="dcterms:W3CDTF">2023-01-17T12:37:00Z</dcterms:modified>
</cp:coreProperties>
</file>