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4097" w14:textId="77777777" w:rsidR="00EB1DD2" w:rsidRDefault="00EB1DD2" w:rsidP="00EB1DD2">
      <w:pPr>
        <w:spacing w:line="48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COVID 19 pneumonija kod pacijenta sa kombiniranom varijabilnom imunodeficijencijom</w:t>
      </w:r>
    </w:p>
    <w:p w14:paraId="71C077AA"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7FBBA1B3" w14:textId="77777777" w:rsidR="00EB1DD2" w:rsidRDefault="00EB1DD2" w:rsidP="00EB1DD2">
      <w:pPr>
        <w:pStyle w:val="Heading1"/>
        <w:rPr>
          <w:vertAlign w:val="superscript"/>
        </w:rPr>
      </w:pPr>
      <w:r w:rsidRPr="007D257A">
        <w:rPr>
          <w:vertAlign w:val="superscript"/>
        </w:rPr>
        <w:t>SAŽETAK</w:t>
      </w:r>
    </w:p>
    <w:p w14:paraId="5C37546D" w14:textId="77777777" w:rsidR="00EB1DD2" w:rsidRPr="007D257A" w:rsidRDefault="00EB1DD2" w:rsidP="00EB1DD2"/>
    <w:p w14:paraId="51AEB1F0" w14:textId="77777777" w:rsidR="00EB1DD2" w:rsidRDefault="00EB1DD2" w:rsidP="00EB1DD2">
      <w:pPr>
        <w:spacing w:line="480" w:lineRule="auto"/>
        <w:jc w:val="both"/>
        <w:rPr>
          <w:rFonts w:ascii="Times New Roman" w:hAnsi="Times New Roman" w:cs="Times New Roman"/>
          <w:color w:val="000000" w:themeColor="text1"/>
          <w:sz w:val="24"/>
          <w:szCs w:val="24"/>
        </w:rPr>
      </w:pPr>
      <w:r w:rsidRPr="008F433F">
        <w:rPr>
          <w:rFonts w:ascii="Times New Roman" w:hAnsi="Times New Roman" w:cs="Times New Roman"/>
          <w:color w:val="000000" w:themeColor="text1"/>
          <w:sz w:val="24"/>
          <w:szCs w:val="24"/>
        </w:rPr>
        <w:t>Obična varijabilna imunodeficijencija (eng. common variable immunodeficiency – CVID) je klinički sindrom karakteriziran značajnim manjkom protutijela svih klasa.</w:t>
      </w:r>
      <w:r w:rsidRPr="008F433F">
        <w:rPr>
          <w:rFonts w:ascii="Times New Roman" w:hAnsi="Times New Roman" w:cs="Times New Roman"/>
          <w:color w:val="000000" w:themeColor="text1"/>
          <w:sz w:val="24"/>
          <w:szCs w:val="24"/>
          <w:vertAlign w:val="superscript"/>
        </w:rPr>
        <w:t xml:space="preserve">  </w:t>
      </w:r>
      <w:r w:rsidRPr="008F433F">
        <w:rPr>
          <w:rFonts w:ascii="Times New Roman" w:hAnsi="Times New Roman" w:cs="Times New Roman"/>
          <w:color w:val="000000" w:themeColor="text1"/>
          <w:sz w:val="24"/>
          <w:szCs w:val="24"/>
          <w:shd w:val="clear" w:color="auto" w:fill="FFFFFF"/>
        </w:rPr>
        <w:t>CVID obuhvaća najveću skupinu simptomatskih primarnih imunodeficijencija. Korona virusna bolest 2019 (COVID-19), uzrokovana novim teškim akutnim respiratornim sindromom coronavirus, postala je globalna pandemija najvišeg prioriteta. Do danas su samo tri odvojene studije prijavile slučajeve primarnih imunodeficijencija-a koji su razvili COVID-19.</w:t>
      </w:r>
      <w:r w:rsidRPr="008F433F">
        <w:rPr>
          <w:rFonts w:ascii="Times New Roman" w:hAnsi="Times New Roman" w:cs="Times New Roman"/>
          <w:color w:val="000000" w:themeColor="text1"/>
          <w:sz w:val="24"/>
          <w:szCs w:val="24"/>
          <w:shd w:val="clear" w:color="auto" w:fill="FFFFFF"/>
          <w:vertAlign w:val="superscript"/>
        </w:rPr>
        <w:t xml:space="preserve"> </w:t>
      </w:r>
      <w:r w:rsidRPr="008F433F">
        <w:rPr>
          <w:rFonts w:ascii="Times New Roman" w:hAnsi="Times New Roman" w:cs="Times New Roman"/>
          <w:color w:val="000000" w:themeColor="text1"/>
          <w:sz w:val="24"/>
          <w:szCs w:val="24"/>
          <w:shd w:val="clear" w:color="auto" w:fill="FFFFFF"/>
        </w:rPr>
        <w:t xml:space="preserve">Čini se da oštećena funkcija B- i T-stanica, limfopenija i biološka terapija ne povećavaju težinu bolesti COVID-19. </w:t>
      </w:r>
      <w:r w:rsidRPr="008F433F">
        <w:rPr>
          <w:rFonts w:ascii="Times New Roman" w:hAnsi="Times New Roman" w:cs="Times New Roman"/>
          <w:color w:val="000000" w:themeColor="text1"/>
          <w:sz w:val="24"/>
          <w:szCs w:val="24"/>
        </w:rPr>
        <w:t xml:space="preserve">Tridesetšestogodišnji muškarac je primljen na Centar Urgentne Medicine i žali se na povećanu temperaturu, kašalj i dispneju primljen je u veljači 2023. u SKB, Mostar, Bosna i Hercegovina. Simptomi su počeli 6 dana ranije i postupno su se pogoršavali. Najvažnija točka u  povijesti bolesti bila je dijagnoza CVID-a koji je dijagnosticiran prije 25 godina,  te je liječen jednom mjesečno intravenskim imunoglobulinom (IVIG). Pacijent je nakon inicijalne kliničke obrade koja je pokazala obostranu pneumoniju po tipu mliječnog stakla te visoke upalne parametre, hospitaliziran na 7 dana.  Pacijent je  liječen je infuzionim rasvorima kritaloida, </w:t>
      </w:r>
      <w:r w:rsidRPr="008F433F">
        <w:rPr>
          <w:rFonts w:ascii="Times New Roman" w:eastAsia="Times New Roman" w:hAnsi="Times New Roman" w:cs="Times New Roman"/>
          <w:color w:val="000000" w:themeColor="text1"/>
          <w:sz w:val="24"/>
          <w:szCs w:val="24"/>
          <w:lang w:eastAsia="hr-HR"/>
        </w:rPr>
        <w:t xml:space="preserve">remdesivir (200 mg dnevno prvi dan i 100 mg dnevno sljedeća 4 dana), deksametazon (8 mg dnevno tijekom 5 dana),vorikonazol (6 mg/kg svakih 12 h prvi dan i 4 mg/kg svakih 12 h sljedećih 7 dana),i zamjenu injektibilnog ganciklovira (5 mg/kg svakih 12 h prvi dan i 5 mg/kg dnevno sljedećih 13 dana) umjesto valganciklovira. Također, </w:t>
      </w:r>
      <w:r w:rsidRPr="008F433F">
        <w:rPr>
          <w:rFonts w:ascii="Times New Roman" w:eastAsia="Times New Roman" w:hAnsi="Times New Roman" w:cs="Times New Roman"/>
          <w:color w:val="000000" w:themeColor="text1"/>
          <w:sz w:val="24"/>
          <w:szCs w:val="24"/>
          <w:lang w:eastAsia="hr-HR"/>
        </w:rPr>
        <w:lastRenderedPageBreak/>
        <w:t xml:space="preserve">tijekom cijele hospitalizacije pacijent je primao kisik s jednostavnom maskom (6-10 L/min). </w:t>
      </w:r>
      <w:r w:rsidRPr="008F433F">
        <w:rPr>
          <w:rFonts w:ascii="Times New Roman" w:hAnsi="Times New Roman" w:cs="Times New Roman"/>
          <w:color w:val="000000" w:themeColor="text1"/>
          <w:sz w:val="24"/>
          <w:szCs w:val="24"/>
        </w:rPr>
        <w:t xml:space="preserve">Sedmog dana hospitalizacije pacijentu su svi parametrki krvne slike u poboljšanju te se otpušta na kućno liječenje. U toku epediemije COVID-19 treba misliti na imunokompromitirane pacijente, te iste preventivno liječiti antimikrobnim lijekovima. </w:t>
      </w:r>
    </w:p>
    <w:p w14:paraId="35ED23F2"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6588D9FF" w14:textId="77777777" w:rsidR="00EB1DD2" w:rsidRDefault="00EB1DD2" w:rsidP="00EB1DD2">
      <w:pPr>
        <w:spacing w:line="480" w:lineRule="auto"/>
        <w:jc w:val="both"/>
        <w:rPr>
          <w:rFonts w:ascii="Times New Roman" w:hAnsi="Times New Roman" w:cs="Times New Roman"/>
          <w:color w:val="000000" w:themeColor="text1"/>
          <w:sz w:val="24"/>
          <w:szCs w:val="24"/>
        </w:rPr>
      </w:pPr>
      <w:r w:rsidRPr="008F433F">
        <w:rPr>
          <w:rFonts w:ascii="Times New Roman" w:hAnsi="Times New Roman" w:cs="Times New Roman"/>
          <w:b/>
          <w:bCs/>
          <w:color w:val="000000" w:themeColor="text1"/>
          <w:sz w:val="24"/>
          <w:szCs w:val="24"/>
        </w:rPr>
        <w:t xml:space="preserve">Ključne Riječi: </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Kombinirana varijabilna imunodeficijencija, COVID-19, pneumonija, akutni respiratorni sindorm.</w:t>
      </w:r>
    </w:p>
    <w:p w14:paraId="4E1FF8BB"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3B9609C2"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06011991"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733E8B17"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416AF322"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3EFE29E8"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379A78DB"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3C1B3FA7" w14:textId="77777777" w:rsidR="00EB1DD2" w:rsidRDefault="00EB1DD2" w:rsidP="00EB1DD2">
      <w:pPr>
        <w:spacing w:line="480" w:lineRule="auto"/>
        <w:jc w:val="both"/>
        <w:rPr>
          <w:rFonts w:ascii="Times New Roman" w:hAnsi="Times New Roman" w:cs="Times New Roman"/>
          <w:color w:val="000000" w:themeColor="text1"/>
          <w:sz w:val="24"/>
          <w:szCs w:val="24"/>
        </w:rPr>
      </w:pPr>
    </w:p>
    <w:p w14:paraId="7C65B831" w14:textId="77777777" w:rsidR="00EB1DD2" w:rsidRPr="008F433F" w:rsidRDefault="00EB1DD2" w:rsidP="00EB1DD2">
      <w:pPr>
        <w:spacing w:line="480" w:lineRule="auto"/>
        <w:jc w:val="both"/>
        <w:rPr>
          <w:rFonts w:ascii="Times New Roman" w:hAnsi="Times New Roman" w:cs="Times New Roman"/>
          <w:sz w:val="24"/>
          <w:szCs w:val="24"/>
        </w:rPr>
      </w:pPr>
    </w:p>
    <w:p w14:paraId="6558176D"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7F879286" w14:textId="77777777" w:rsidR="00EB1DD2" w:rsidRDefault="00EB1DD2" w:rsidP="00EB1DD2">
      <w:pPr>
        <w:pStyle w:val="Heading1"/>
        <w:rPr>
          <w:vertAlign w:val="superscript"/>
        </w:rPr>
      </w:pPr>
      <w:r>
        <w:rPr>
          <w:vertAlign w:val="superscript"/>
        </w:rPr>
        <w:t>ABSTRACT</w:t>
      </w:r>
    </w:p>
    <w:p w14:paraId="0F0D2E65" w14:textId="77777777" w:rsidR="00EB1DD2" w:rsidRPr="001F521D" w:rsidRDefault="00EB1DD2" w:rsidP="00EB1DD2">
      <w:pPr>
        <w:spacing w:line="480" w:lineRule="auto"/>
        <w:jc w:val="both"/>
        <w:rPr>
          <w:rFonts w:ascii="Times New Roman" w:hAnsi="Times New Roman" w:cs="Times New Roman"/>
          <w:sz w:val="24"/>
          <w:szCs w:val="24"/>
        </w:rPr>
      </w:pPr>
    </w:p>
    <w:p w14:paraId="07B99B28" w14:textId="77777777" w:rsidR="00EB1DD2" w:rsidRPr="001F521D" w:rsidRDefault="00EB1DD2" w:rsidP="00EB1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b/>
          <w:bCs/>
          <w:sz w:val="24"/>
          <w:szCs w:val="24"/>
          <w:lang w:eastAsia="hr-HR"/>
        </w:rPr>
      </w:pPr>
      <w:r w:rsidRPr="001F521D">
        <w:rPr>
          <w:rFonts w:ascii="Times New Roman" w:eastAsia="Times New Roman" w:hAnsi="Times New Roman" w:cs="Times New Roman"/>
          <w:b/>
          <w:bCs/>
          <w:sz w:val="24"/>
          <w:szCs w:val="24"/>
          <w:lang w:val="en" w:eastAsia="hr-HR"/>
        </w:rPr>
        <w:t>COVID 19 pneumonia in a patient with combined variable immunodeficiency</w:t>
      </w:r>
    </w:p>
    <w:p w14:paraId="7682056D" w14:textId="77777777" w:rsidR="00EB1DD2" w:rsidRDefault="00EB1DD2" w:rsidP="00EB1DD2">
      <w:pPr>
        <w:spacing w:line="480" w:lineRule="auto"/>
        <w:jc w:val="both"/>
      </w:pPr>
    </w:p>
    <w:p w14:paraId="751713C4" w14:textId="77777777" w:rsidR="00EB1DD2" w:rsidRPr="003754F7" w:rsidRDefault="00EB1DD2" w:rsidP="00EB1DD2">
      <w:pPr>
        <w:spacing w:line="480" w:lineRule="auto"/>
        <w:jc w:val="both"/>
        <w:rPr>
          <w:rFonts w:ascii="Times New Roman" w:hAnsi="Times New Roman" w:cs="Times New Roman"/>
          <w:sz w:val="24"/>
          <w:szCs w:val="24"/>
        </w:rPr>
      </w:pPr>
      <w:r w:rsidRPr="003754F7">
        <w:rPr>
          <w:rFonts w:ascii="Times New Roman" w:hAnsi="Times New Roman" w:cs="Times New Roman"/>
          <w:sz w:val="24"/>
          <w:szCs w:val="24"/>
        </w:rPr>
        <w:t xml:space="preserve">Common variable immunodeficiency (CVID) is a clinical syndrome characterized by a significant lack of antibodies of all classes. CVID comprises the largest group of symptomatic primary immunodeficiencies. Corona virus disease 2019 (COVID-19), caused by the new severe acute respiratory syndrome coronavirus, has become a global pandemic of the highest priority. To date, only three separate studies have reported primary immunodeficiency cases that developed COVID-19. Impaired B- and T-cell function, lymphopenia, and biologic therapy do not appear to increase the severity of COVID-19 disease. A thirty-six-year-old man was admitted to the Center of Urgent Medicine and complained of an increased temperature, cough and dyspnea. He was admitted in February 2023 in SKB, Mostar, Bosnia and Herzegovina. Symptoms started 6 days earlier and gradually worsened. The most important point in the medical history was the diagnosis of CVID, which was diagnosed 25 years ago, and was treated once a month with intravenous immunoglobulin (IVIG). The patient was hospitalized for 7 days after the initial clinical workup, which showed bilateral ground glass type pneumonia and high inflammatory parameters. The patient was treated with crytaloid infusion solutions, remdesivir (200 mg per day on the first day and 100 mg per day for the next 4 days), dexamethasone (8 mg per day for 5 days), voriconazole (6 mg/kg every 12 hours on the first day and 4 mg/kg every 12 h for the next 7 days), and replacing injectable ganciclovir (5 mg/kg every 12 h on the first day and 5 mg/kg daily for the next 13 days) instead of valganciclovir. Also, during the entire hospitalization, the patient received oxygen with a simple mask (6-10 L/min). On the seventh day of hospitalization, all parameters of the patient's blood count improved and he was discharged to home treatment. During the epidemic of COVID-19, </w:t>
      </w:r>
      <w:r w:rsidRPr="003754F7">
        <w:rPr>
          <w:rFonts w:ascii="Times New Roman" w:hAnsi="Times New Roman" w:cs="Times New Roman"/>
          <w:sz w:val="24"/>
          <w:szCs w:val="24"/>
        </w:rPr>
        <w:lastRenderedPageBreak/>
        <w:t>immunocompromised patients should be considered and treated preventively with antimicrobial drugs.</w:t>
      </w:r>
    </w:p>
    <w:p w14:paraId="115E3912" w14:textId="77777777" w:rsidR="00EB1DD2" w:rsidRPr="003754F7" w:rsidRDefault="00EB1DD2" w:rsidP="00EB1DD2">
      <w:pPr>
        <w:spacing w:line="480" w:lineRule="auto"/>
        <w:jc w:val="both"/>
        <w:rPr>
          <w:rFonts w:ascii="Times New Roman" w:hAnsi="Times New Roman" w:cs="Times New Roman"/>
          <w:sz w:val="24"/>
          <w:szCs w:val="24"/>
        </w:rPr>
      </w:pPr>
    </w:p>
    <w:p w14:paraId="66C02C8C" w14:textId="77777777" w:rsidR="00EB1DD2" w:rsidRPr="003754F7" w:rsidRDefault="00EB1DD2" w:rsidP="00EB1DD2">
      <w:pPr>
        <w:spacing w:line="480" w:lineRule="auto"/>
        <w:jc w:val="both"/>
        <w:rPr>
          <w:rFonts w:ascii="Times New Roman" w:hAnsi="Times New Roman" w:cs="Times New Roman"/>
          <w:sz w:val="24"/>
          <w:szCs w:val="24"/>
        </w:rPr>
      </w:pPr>
      <w:r w:rsidRPr="007D257A">
        <w:rPr>
          <w:rFonts w:ascii="Times New Roman" w:hAnsi="Times New Roman" w:cs="Times New Roman"/>
          <w:b/>
          <w:bCs/>
          <w:sz w:val="24"/>
          <w:szCs w:val="24"/>
        </w:rPr>
        <w:t>Keywords:</w:t>
      </w:r>
      <w:r w:rsidRPr="003754F7">
        <w:rPr>
          <w:rFonts w:ascii="Times New Roman" w:hAnsi="Times New Roman" w:cs="Times New Roman"/>
          <w:sz w:val="24"/>
          <w:szCs w:val="24"/>
        </w:rPr>
        <w:t xml:space="preserve"> Combined variable immunodeficiency, COVID-19, pneumonia, acute respiratory syndrome.</w:t>
      </w:r>
    </w:p>
    <w:p w14:paraId="7579DBDC"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5EF4816E"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65163233"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1F90B52E"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0D8379B5"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07E0DFFC"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58FD881C"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115B718B"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7C1F8D07"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617233D6"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753B80F7"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06CF76F9"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6013F005"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77EBC72E"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2B4527F9" w14:textId="77777777" w:rsidR="00EB1DD2" w:rsidRDefault="00EB1DD2" w:rsidP="00EB1DD2">
      <w:pPr>
        <w:spacing w:line="480" w:lineRule="auto"/>
        <w:rPr>
          <w:rFonts w:ascii="Times New Roman" w:hAnsi="Times New Roman" w:cs="Times New Roman"/>
          <w:color w:val="000000" w:themeColor="text1"/>
          <w:sz w:val="24"/>
          <w:szCs w:val="24"/>
          <w:vertAlign w:val="superscript"/>
        </w:rPr>
      </w:pPr>
    </w:p>
    <w:p w14:paraId="171B4377" w14:textId="77777777" w:rsidR="00EB1DD2" w:rsidRPr="00963EF3" w:rsidRDefault="00EB1DD2" w:rsidP="00EB1DD2">
      <w:pPr>
        <w:pStyle w:val="Heading1"/>
        <w:spacing w:line="480" w:lineRule="auto"/>
      </w:pPr>
      <w:r w:rsidRPr="00963EF3">
        <w:lastRenderedPageBreak/>
        <w:t>UVOD</w:t>
      </w:r>
    </w:p>
    <w:p w14:paraId="0BF7F510" w14:textId="77777777" w:rsidR="00EB1DD2" w:rsidRDefault="00EB1DD2" w:rsidP="00EB1DD2">
      <w:pPr>
        <w:spacing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rPr>
        <w:t>Obična varijabilna imunodeficijencija (eng.</w:t>
      </w:r>
      <w:r>
        <w:rPr>
          <w:rFonts w:ascii="Times New Roman" w:hAnsi="Times New Roman" w:cs="Times New Roman"/>
          <w:color w:val="000000" w:themeColor="text1"/>
          <w:sz w:val="24"/>
          <w:szCs w:val="24"/>
        </w:rPr>
        <w:t xml:space="preserve"> </w:t>
      </w:r>
      <w:r w:rsidRPr="00963EF3">
        <w:rPr>
          <w:rFonts w:ascii="Times New Roman" w:hAnsi="Times New Roman" w:cs="Times New Roman"/>
          <w:color w:val="000000" w:themeColor="text1"/>
          <w:sz w:val="24"/>
          <w:szCs w:val="24"/>
        </w:rPr>
        <w:t>common variable immunodeficiency – CVID)je klinički sindrom karakteriziran značajnim</w:t>
      </w:r>
      <w:r>
        <w:rPr>
          <w:rFonts w:ascii="Times New Roman" w:hAnsi="Times New Roman" w:cs="Times New Roman"/>
          <w:color w:val="000000" w:themeColor="text1"/>
          <w:sz w:val="24"/>
          <w:szCs w:val="24"/>
        </w:rPr>
        <w:t xml:space="preserve"> </w:t>
      </w:r>
      <w:r w:rsidRPr="00963EF3">
        <w:rPr>
          <w:rFonts w:ascii="Times New Roman" w:hAnsi="Times New Roman" w:cs="Times New Roman"/>
          <w:color w:val="000000" w:themeColor="text1"/>
          <w:sz w:val="24"/>
          <w:szCs w:val="24"/>
        </w:rPr>
        <w:t xml:space="preserve">manjkom protutijela svih klasa </w:t>
      </w:r>
      <w:r w:rsidRPr="00963EF3">
        <w:rPr>
          <w:rFonts w:ascii="Times New Roman" w:hAnsi="Times New Roman" w:cs="Times New Roman"/>
          <w:color w:val="000000" w:themeColor="text1"/>
          <w:sz w:val="24"/>
          <w:szCs w:val="24"/>
          <w:vertAlign w:val="superscript"/>
        </w:rPr>
        <w:t xml:space="preserve">1, 2  </w:t>
      </w:r>
      <w:r w:rsidRPr="00963EF3">
        <w:rPr>
          <w:rFonts w:ascii="Times New Roman" w:hAnsi="Times New Roman" w:cs="Times New Roman"/>
          <w:color w:val="000000" w:themeColor="text1"/>
          <w:sz w:val="24"/>
          <w:szCs w:val="24"/>
          <w:shd w:val="clear" w:color="auto" w:fill="FFFFFF"/>
        </w:rPr>
        <w:t>CVID obuhvaća najveću skupinu simptomatskih primarnih imunodeficijencija, s procijenjenom incidencijom između 1:10 000 i 1:50 000</w:t>
      </w:r>
      <w:r w:rsidRPr="00963EF3">
        <w:rPr>
          <w:rFonts w:ascii="Times New Roman" w:hAnsi="Times New Roman" w:cs="Times New Roman"/>
          <w:color w:val="000000" w:themeColor="text1"/>
          <w:sz w:val="24"/>
          <w:szCs w:val="24"/>
          <w:shd w:val="clear" w:color="auto" w:fill="FFFFFF"/>
          <w:vertAlign w:val="superscript"/>
        </w:rPr>
        <w:t>3,4</w:t>
      </w:r>
      <w:r w:rsidRPr="00963EF3">
        <w:rPr>
          <w:rFonts w:ascii="Times New Roman" w:hAnsi="Times New Roman" w:cs="Times New Roman"/>
          <w:color w:val="000000" w:themeColor="text1"/>
          <w:sz w:val="24"/>
          <w:szCs w:val="24"/>
          <w:shd w:val="clear" w:color="auto" w:fill="FFFFFF"/>
        </w:rPr>
        <w:t xml:space="preserve"> Postoje regionalne razlike u incidenciji, pri čemu je CVID rijetka dijagnoza među Azijatima i Afroamerikancima </w:t>
      </w:r>
      <w:r w:rsidRPr="00963EF3">
        <w:rPr>
          <w:rFonts w:ascii="Times New Roman" w:hAnsi="Times New Roman" w:cs="Times New Roman"/>
          <w:color w:val="000000" w:themeColor="text1"/>
          <w:sz w:val="24"/>
          <w:szCs w:val="24"/>
          <w:shd w:val="clear" w:color="auto" w:fill="FFFFFF"/>
          <w:vertAlign w:val="superscript"/>
        </w:rPr>
        <w:t>5,6</w:t>
      </w:r>
      <w:r w:rsidRPr="00963EF3">
        <w:rPr>
          <w:rFonts w:ascii="Times New Roman" w:hAnsi="Times New Roman" w:cs="Times New Roman"/>
          <w:color w:val="000000" w:themeColor="text1"/>
          <w:sz w:val="24"/>
          <w:szCs w:val="24"/>
          <w:shd w:val="clear" w:color="auto" w:fill="FFFFFF"/>
        </w:rPr>
        <w:t>. Korona virusna bolest 2019 (COVID-19), uzrokovana novim teškim akutnim respiratornim sindromom coronavirus 2 (SARS-CoV-2), postala je globalna pandemija najvišeg prioriteta</w:t>
      </w:r>
      <w:r w:rsidRPr="00963EF3">
        <w:rPr>
          <w:rFonts w:ascii="Times New Roman" w:hAnsi="Times New Roman" w:cs="Times New Roman"/>
          <w:color w:val="000000" w:themeColor="text1"/>
          <w:sz w:val="24"/>
          <w:szCs w:val="24"/>
          <w:shd w:val="clear" w:color="auto" w:fill="FFFFFF"/>
          <w:vertAlign w:val="superscript"/>
        </w:rPr>
        <w:t xml:space="preserve">7  </w:t>
      </w:r>
      <w:r w:rsidRPr="00963EF3">
        <w:rPr>
          <w:rFonts w:ascii="Times New Roman" w:hAnsi="Times New Roman" w:cs="Times New Roman"/>
          <w:color w:val="000000" w:themeColor="text1"/>
          <w:sz w:val="24"/>
          <w:szCs w:val="24"/>
          <w:shd w:val="clear" w:color="auto" w:fill="FFFFFF"/>
        </w:rPr>
        <w:t xml:space="preserve">Budući da većina slučajeva pacijenata sa primarnom imunodeficijencijom ima veliki nedostatak u barem jednoj komponenti humoralne ili stanične imunosti, očekivana je sklonost virusnim i bakterijskim infekcijama. Suprotno tome, mali je broj prijavljenih slučajeva COVID-19 s primarnom imunodeficijencijom. Do danas su samo tri odvojene studije prijavile slučajeve </w:t>
      </w:r>
      <w:r>
        <w:rPr>
          <w:rFonts w:ascii="Times New Roman" w:hAnsi="Times New Roman" w:cs="Times New Roman"/>
          <w:color w:val="000000" w:themeColor="text1"/>
          <w:sz w:val="24"/>
          <w:szCs w:val="24"/>
          <w:shd w:val="clear" w:color="auto" w:fill="FFFFFF"/>
        </w:rPr>
        <w:t>primarnih imunodeficijencija</w:t>
      </w:r>
      <w:r w:rsidRPr="00963EF3">
        <w:rPr>
          <w:rFonts w:ascii="Times New Roman" w:hAnsi="Times New Roman" w:cs="Times New Roman"/>
          <w:color w:val="000000" w:themeColor="text1"/>
          <w:sz w:val="24"/>
          <w:szCs w:val="24"/>
          <w:shd w:val="clear" w:color="auto" w:fill="FFFFFF"/>
        </w:rPr>
        <w:t>-a koji su razvili COVID-19</w:t>
      </w:r>
      <w:r>
        <w:rPr>
          <w:rFonts w:ascii="Times New Roman" w:hAnsi="Times New Roman" w:cs="Times New Roman"/>
          <w:color w:val="000000" w:themeColor="text1"/>
          <w:sz w:val="24"/>
          <w:szCs w:val="24"/>
          <w:shd w:val="clear" w:color="auto" w:fill="FFFFFF"/>
        </w:rPr>
        <w:t>.</w:t>
      </w:r>
      <w:r w:rsidRPr="00963EF3">
        <w:rPr>
          <w:rFonts w:ascii="Times New Roman" w:hAnsi="Times New Roman" w:cs="Times New Roman"/>
          <w:color w:val="000000" w:themeColor="text1"/>
          <w:sz w:val="24"/>
          <w:szCs w:val="24"/>
          <w:shd w:val="clear" w:color="auto" w:fill="FFFFFF"/>
          <w:vertAlign w:val="superscript"/>
        </w:rPr>
        <w:t xml:space="preserve">8 </w:t>
      </w:r>
      <w:r>
        <w:rPr>
          <w:rFonts w:ascii="Times New Roman" w:hAnsi="Times New Roman" w:cs="Times New Roman"/>
          <w:color w:val="000000" w:themeColor="text1"/>
          <w:sz w:val="24"/>
          <w:szCs w:val="24"/>
          <w:shd w:val="clear" w:color="auto" w:fill="FFFFFF"/>
        </w:rPr>
        <w:t xml:space="preserve">Čini se da oštećena funkcija B- i T-stanica, limfopenija i biološka terapija ne povećavaju težinu bolesti COVID-19. umjesto toga, disregulacija mijeloičnih odjeljaka, uključujući rezidentne plućne makrofage, zapravo može biti pokretač upale i razlikovati teške COVID-19 od blagih </w:t>
      </w:r>
      <w:r w:rsidRPr="002F1E06">
        <w:rPr>
          <w:rFonts w:ascii="Times New Roman" w:hAnsi="Times New Roman" w:cs="Times New Roman"/>
          <w:color w:val="000000" w:themeColor="text1"/>
          <w:sz w:val="24"/>
          <w:szCs w:val="24"/>
          <w:shd w:val="clear" w:color="auto" w:fill="FFFFFF"/>
        </w:rPr>
        <w:t>slučajeva</w:t>
      </w:r>
      <w:r>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vertAlign w:val="superscript"/>
        </w:rPr>
        <w:t>9</w:t>
      </w:r>
      <w:r>
        <w:rPr>
          <w:rFonts w:ascii="Times New Roman" w:hAnsi="Times New Roman" w:cs="Times New Roman"/>
          <w:color w:val="000000" w:themeColor="text1"/>
          <w:sz w:val="24"/>
          <w:szCs w:val="24"/>
          <w:shd w:val="clear" w:color="auto" w:fill="FFFFFF"/>
        </w:rPr>
        <w:t xml:space="preserve">  U zemljama jugoistočne Europe ekstrapolacijom podataka prilazali smo incidenciju CVID-a iz studije „Global distrubution of Comon Variable Immunodeficiency (CVID) in the Light of the UNDB Human Development index.</w:t>
      </w:r>
      <w:r>
        <w:rPr>
          <w:rFonts w:ascii="Times New Roman" w:hAnsi="Times New Roman" w:cs="Times New Roman"/>
          <w:color w:val="000000" w:themeColor="text1"/>
          <w:sz w:val="28"/>
          <w:szCs w:val="28"/>
          <w:shd w:val="clear" w:color="auto" w:fill="FFFFFF"/>
          <w:vertAlign w:val="superscript"/>
        </w:rPr>
        <w:t>10</w:t>
      </w:r>
      <w:r>
        <w:rPr>
          <w:rFonts w:ascii="Times New Roman" w:hAnsi="Times New Roman" w:cs="Times New Roman"/>
          <w:color w:val="000000" w:themeColor="text1"/>
          <w:sz w:val="24"/>
          <w:szCs w:val="24"/>
          <w:shd w:val="clear" w:color="auto" w:fill="FFFFFF"/>
        </w:rPr>
        <w:t xml:space="preserve"> (Grafikon 1). Sistemskim pretraživanjem literature unatrag 5 godina </w:t>
      </w:r>
      <w:r w:rsidRPr="00963EF3">
        <w:rPr>
          <w:rFonts w:ascii="Times New Roman" w:hAnsi="Times New Roman" w:cs="Times New Roman"/>
          <w:color w:val="000000" w:themeColor="text1"/>
          <w:sz w:val="24"/>
          <w:szCs w:val="24"/>
          <w:shd w:val="clear" w:color="auto" w:fill="FFFFFF"/>
        </w:rPr>
        <w:t>u literaturi nismo pronašli prikaz slučaja COVID 19 pneumonije kod pacijenata sa CVID</w:t>
      </w:r>
      <w:r>
        <w:rPr>
          <w:rFonts w:ascii="Times New Roman" w:hAnsi="Times New Roman" w:cs="Times New Roman"/>
          <w:color w:val="000000" w:themeColor="text1"/>
          <w:sz w:val="24"/>
          <w:szCs w:val="24"/>
          <w:shd w:val="clear" w:color="auto" w:fill="FFFFFF"/>
        </w:rPr>
        <w:t>.</w:t>
      </w:r>
    </w:p>
    <w:p w14:paraId="42812F91" w14:textId="77777777" w:rsidR="00EB1DD2" w:rsidRDefault="00EB1DD2" w:rsidP="00EB1DD2">
      <w:pPr>
        <w:keepNext/>
        <w:spacing w:line="480" w:lineRule="auto"/>
        <w:jc w:val="center"/>
      </w:pPr>
      <w:r>
        <w:rPr>
          <w:rFonts w:ascii="Times New Roman" w:hAnsi="Times New Roman" w:cs="Times New Roman"/>
          <w:noProof/>
          <w:color w:val="000000" w:themeColor="text1"/>
          <w:sz w:val="24"/>
          <w:szCs w:val="24"/>
          <w:shd w:val="clear" w:color="auto" w:fill="FFFFFF"/>
        </w:rPr>
        <w:lastRenderedPageBreak/>
        <w:drawing>
          <wp:inline distT="0" distB="0" distL="0" distR="0" wp14:anchorId="368CEF40" wp14:editId="57C334BA">
            <wp:extent cx="5219700" cy="30448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10AB5D3" w14:textId="77777777" w:rsidR="00EB1DD2" w:rsidRPr="00963EF3" w:rsidRDefault="00EB1DD2" w:rsidP="00EB1DD2">
      <w:pPr>
        <w:pStyle w:val="Caption"/>
        <w:jc w:val="center"/>
        <w:rPr>
          <w:rFonts w:ascii="Times New Roman" w:hAnsi="Times New Roman" w:cs="Times New Roman"/>
          <w:color w:val="000000" w:themeColor="text1"/>
          <w:sz w:val="24"/>
          <w:szCs w:val="24"/>
          <w:shd w:val="clear" w:color="auto" w:fill="FFFFFF"/>
        </w:rPr>
      </w:pPr>
      <w:r>
        <w:t>Grafikon 1. Incidencija CVID-a u zemljama jugositočne europe na kompletno stanovništvu.</w:t>
      </w:r>
      <w:r>
        <w:br/>
        <w:t xml:space="preserve"> Ekstrapolacija podataka. </w:t>
      </w:r>
    </w:p>
    <w:p w14:paraId="42EE4BED" w14:textId="77777777" w:rsidR="00EB1DD2" w:rsidRPr="00963EF3" w:rsidRDefault="00EB1DD2" w:rsidP="00EB1DD2">
      <w:pPr>
        <w:spacing w:line="480" w:lineRule="auto"/>
        <w:rPr>
          <w:rFonts w:ascii="Times New Roman" w:hAnsi="Times New Roman" w:cs="Times New Roman"/>
          <w:color w:val="000000" w:themeColor="text1"/>
          <w:sz w:val="24"/>
          <w:szCs w:val="24"/>
          <w:shd w:val="clear" w:color="auto" w:fill="FFFFFF"/>
        </w:rPr>
      </w:pPr>
    </w:p>
    <w:p w14:paraId="4AE388B5" w14:textId="77777777" w:rsidR="00EB1DD2" w:rsidRPr="00963EF3" w:rsidRDefault="00EB1DD2" w:rsidP="00EB1DD2">
      <w:pPr>
        <w:pStyle w:val="Heading1"/>
        <w:spacing w:line="480" w:lineRule="auto"/>
        <w:rPr>
          <w:rFonts w:ascii="Times New Roman" w:hAnsi="Times New Roman" w:cs="Times New Roman"/>
          <w:color w:val="000000" w:themeColor="text1"/>
          <w:sz w:val="24"/>
          <w:szCs w:val="24"/>
        </w:rPr>
      </w:pPr>
      <w:r>
        <w:t>POVIJEST SLUČAJA</w:t>
      </w:r>
    </w:p>
    <w:p w14:paraId="160057C8" w14:textId="77777777" w:rsidR="00EB1DD2" w:rsidRDefault="00EB1DD2" w:rsidP="00EB1DD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t>Tridesetšestogodišnji muškarac je primljen na Centar Urgentne Medicine i žali se na povećanu temperaturu, kašalj i dispneju primljen je u veljači 2023. u SKB, Most</w:t>
      </w:r>
      <w:r>
        <w:rPr>
          <w:color w:val="000000" w:themeColor="text1"/>
        </w:rPr>
        <w:t>ar</w:t>
      </w:r>
      <w:r w:rsidRPr="00963EF3">
        <w:rPr>
          <w:color w:val="000000" w:themeColor="text1"/>
        </w:rPr>
        <w:t>, Bosna i Hercegovina. Simptomi su počeli 6 dana ranije i postupno su se pogoršavali. Najvažnija točka u  povijesti bolesti bila je dijagnoza CVID-a koji je dijagnosticiran prije 25 godina,  te je liječen jednom mjesečno intravenskim imunoglobulinom (IVIG) .  U povijesti bolesti zabilježeni su adolescentskoj dobi česti tonzilofaringitisi, pacijent je sa 14 godina apendektomiran. U  trenutku prijema njegovi vitalni parametri bili su sljedeći: brzina disanja = 32 /min, puls = 124 /min, krvni tlak = 110/85, temperatura = 37.6°C i zasićenje perifernog kisika (SpO 2 </w:t>
      </w:r>
      <w:r w:rsidRPr="00963EF3">
        <w:rPr>
          <w:color w:val="000000" w:themeColor="text1"/>
          <w:vertAlign w:val="subscript"/>
        </w:rPr>
        <w:t>)</w:t>
      </w:r>
      <w:r w:rsidRPr="00963EF3">
        <w:rPr>
          <w:color w:val="000000" w:themeColor="text1"/>
        </w:rPr>
        <w:t> bez oksigenoterapije = 87%.</w:t>
      </w:r>
    </w:p>
    <w:p w14:paraId="263446D6" w14:textId="77777777" w:rsidR="00EB1DD2" w:rsidRDefault="00EB1DD2" w:rsidP="00EB1DD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lastRenderedPageBreak/>
        <w:t xml:space="preserve">Pacijent je podvrgnut laboratorijskim pretragama i </w:t>
      </w:r>
      <w:r>
        <w:rPr>
          <w:color w:val="000000" w:themeColor="text1"/>
        </w:rPr>
        <w:t>radiografskoj obradi</w:t>
      </w:r>
      <w:r w:rsidRPr="00963EF3">
        <w:rPr>
          <w:color w:val="000000" w:themeColor="text1"/>
        </w:rPr>
        <w:t>. Rezultat brzog antigenskog testa na prisustvo virusa COVID 19 je je bio pozitivan. Naknadno je putem lančane reakcije polimeraze reverzne transkripcije (RT-PCR) iz nazofaringealnog sekreta uzorak bio pozitivan na SARS-CoV-2. RTG srca i pluća u AP pokazuje obostranu pneumoniju kompatibilnu sa COVID-19 infekcijom (Slika 1.). </w:t>
      </w:r>
      <w:r>
        <w:rPr>
          <w:color w:val="000000" w:themeColor="text1"/>
        </w:rPr>
        <w:t xml:space="preserve">U tabeli 1. prikazani su labaratorijski parametri u toku hospitalizacije. </w:t>
      </w:r>
    </w:p>
    <w:p w14:paraId="3E8E358B" w14:textId="77777777" w:rsidR="00EB1DD2" w:rsidRDefault="00EB1DD2" w:rsidP="00EB1DD2">
      <w:pPr>
        <w:pStyle w:val="p"/>
        <w:keepNext/>
        <w:shd w:val="clear" w:color="auto" w:fill="FFFFFF"/>
        <w:spacing w:before="400" w:beforeAutospacing="0" w:after="400" w:afterAutospacing="0" w:line="480" w:lineRule="auto"/>
        <w:jc w:val="center"/>
      </w:pPr>
      <w:r>
        <w:rPr>
          <w:noProof/>
          <w:color w:val="000000" w:themeColor="text1"/>
        </w:rPr>
        <w:drawing>
          <wp:inline distT="0" distB="0" distL="0" distR="0" wp14:anchorId="76CAB289" wp14:editId="59303258">
            <wp:extent cx="2790000" cy="217080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790000" cy="2170800"/>
                    </a:xfrm>
                    <a:prstGeom prst="rect">
                      <a:avLst/>
                    </a:prstGeom>
                  </pic:spPr>
                </pic:pic>
              </a:graphicData>
            </a:graphic>
          </wp:inline>
        </w:drawing>
      </w:r>
    </w:p>
    <w:p w14:paraId="70A8D901" w14:textId="77777777" w:rsidR="00EB1DD2" w:rsidRDefault="00EB1DD2" w:rsidP="00EB1DD2">
      <w:pPr>
        <w:pStyle w:val="Caption"/>
        <w:jc w:val="center"/>
      </w:pPr>
      <w:r>
        <w:t>Slika 1. Na RTG snimku u AP profilu vidljiva je obostrana upala</w:t>
      </w:r>
    </w:p>
    <w:p w14:paraId="1899EE75" w14:textId="77777777" w:rsidR="00EB1DD2" w:rsidRDefault="00EB1DD2" w:rsidP="00EB1DD2">
      <w:pPr>
        <w:pStyle w:val="Caption"/>
        <w:jc w:val="center"/>
      </w:pPr>
      <w:r>
        <w:t>pluća po tipu mliječnog stakla što odgovara infekciji COVID-19</w:t>
      </w:r>
    </w:p>
    <w:p w14:paraId="645DB1FA" w14:textId="77777777" w:rsidR="00EB1DD2" w:rsidRPr="00963EF3" w:rsidRDefault="00EB1DD2" w:rsidP="00EB1DD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t xml:space="preserve"> </w:t>
      </w:r>
    </w:p>
    <w:p w14:paraId="7981BBDA"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r w:rsidRPr="00963EF3">
        <w:rPr>
          <w:rFonts w:ascii="Times New Roman" w:hAnsi="Times New Roman" w:cs="Times New Roman"/>
          <w:color w:val="000000" w:themeColor="text1"/>
          <w:sz w:val="24"/>
          <w:szCs w:val="24"/>
        </w:rPr>
        <w:t xml:space="preserve">Pacijent je hospitaliziran i liječen je infuzionim rasvorima kritaloida, </w:t>
      </w:r>
      <w:r w:rsidRPr="00963EF3">
        <w:rPr>
          <w:rFonts w:ascii="Times New Roman" w:eastAsia="Times New Roman" w:hAnsi="Times New Roman" w:cs="Times New Roman"/>
          <w:color w:val="000000" w:themeColor="text1"/>
          <w:sz w:val="24"/>
          <w:szCs w:val="24"/>
          <w:lang w:eastAsia="hr-HR"/>
        </w:rPr>
        <w:t>remdesivir (200 mg dnevno prvi dan i 100 mg dnevno sljedeća 4 dana), deksametazon (8 mg dnevno tijekom 5 dana),vorikonazol (6 mg/kg svakih 12 h prvi dan i 4 mg/kg svakih 12 h sljedećih 7 dana),i zamjenu injektibilnog ganciklovira (5 mg/kg svakih 12 h prvi dan i 5 mg/kg dnevno sljedećih 13 dana) umjesto valganciklovira. Također, tijekom cijele hospitalizacije pacijent je primao kisik s jednostavnom maskom (6-10 L/min).</w:t>
      </w:r>
      <w:r>
        <w:rPr>
          <w:rFonts w:ascii="Times New Roman" w:eastAsia="Times New Roman" w:hAnsi="Times New Roman" w:cs="Times New Roman"/>
          <w:color w:val="000000" w:themeColor="text1"/>
          <w:sz w:val="24"/>
          <w:szCs w:val="24"/>
          <w:lang w:eastAsia="hr-HR"/>
        </w:rPr>
        <w:t xml:space="preserve"> </w:t>
      </w:r>
      <w:r w:rsidRPr="00963EF3">
        <w:rPr>
          <w:rFonts w:ascii="Times New Roman" w:hAnsi="Times New Roman" w:cs="Times New Roman"/>
          <w:color w:val="000000" w:themeColor="text1"/>
          <w:sz w:val="24"/>
          <w:szCs w:val="24"/>
        </w:rPr>
        <w:t xml:space="preserve">Sedmog dana hospitalizacije pacijentu su svi parametrki krvne slike u poboljšanju. Hb 136, Hct 0.387,Leukociti 7.0 Limfociti 3.03, </w:t>
      </w:r>
      <w:r w:rsidRPr="00404456">
        <w:rPr>
          <w:rFonts w:ascii="Times New Roman" w:hAnsi="Times New Roman" w:cs="Times New Roman"/>
          <w:color w:val="000000" w:themeColor="text1"/>
          <w:sz w:val="24"/>
          <w:szCs w:val="24"/>
        </w:rPr>
        <w:t xml:space="preserve">Limfociti Neutrofili 3.20, CRP 10.  Od početka </w:t>
      </w:r>
      <w:r w:rsidRPr="00404456">
        <w:rPr>
          <w:rFonts w:ascii="Times New Roman" w:hAnsi="Times New Roman" w:cs="Times New Roman"/>
          <w:color w:val="000000" w:themeColor="text1"/>
          <w:sz w:val="24"/>
          <w:szCs w:val="24"/>
        </w:rPr>
        <w:lastRenderedPageBreak/>
        <w:t xml:space="preserve">simtoma. Tek 19 dana nakon početka simptoma pacijent je na RT-PCR testu bio negativan. </w:t>
      </w:r>
      <w:r>
        <w:rPr>
          <w:rFonts w:ascii="Times New Roman" w:hAnsi="Times New Roman" w:cs="Times New Roman"/>
          <w:color w:val="000000" w:themeColor="text1"/>
          <w:sz w:val="24"/>
          <w:szCs w:val="24"/>
        </w:rPr>
        <w:t>Predpostavljamo da je ograničeni odgovor protutijela pridonio oslabljenom klirensu virusa iz nazofarinksa, s obzirom na višestruke RT-PCR pozitivne testove na SARS-COv-2.</w:t>
      </w:r>
      <w:r>
        <w:rPr>
          <w:rFonts w:ascii="Times New Roman" w:hAnsi="Times New Roman" w:cs="Times New Roman"/>
          <w:color w:val="000000" w:themeColor="text1"/>
          <w:sz w:val="24"/>
          <w:szCs w:val="24"/>
          <w:vertAlign w:val="superscript"/>
        </w:rPr>
        <w:t>11</w:t>
      </w:r>
    </w:p>
    <w:p w14:paraId="011099F4"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74EECD93"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0851797E"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38AE83CE"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1A03560C"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0D08C688"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24B4FD6A"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4E6A9337"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699E784C"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7F79FB35"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05A72D46"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79808435" w14:textId="77777777" w:rsidR="00EB1DD2"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525CE4C8" w14:textId="77777777" w:rsidR="00EB1DD2" w:rsidRPr="006420D5" w:rsidRDefault="00EB1DD2" w:rsidP="00EB1DD2">
      <w:pPr>
        <w:pStyle w:val="Caption"/>
        <w:keepNext/>
        <w:jc w:val="right"/>
        <w:rPr>
          <w:i w:val="0"/>
          <w:iCs w:val="0"/>
        </w:rPr>
      </w:pPr>
      <w:r>
        <w:lastRenderedPageBreak/>
        <w:t xml:space="preserve"> </w:t>
      </w:r>
      <w:r w:rsidRPr="006420D5">
        <w:rPr>
          <w:i w:val="0"/>
          <w:iCs w:val="0"/>
        </w:rPr>
        <w:t>Tablica 1</w:t>
      </w:r>
      <w:r>
        <w:rPr>
          <w:i w:val="0"/>
          <w:iCs w:val="0"/>
        </w:rPr>
        <w:t>: Labaroatorijski parametri u toku hospitalizacije</w:t>
      </w:r>
    </w:p>
    <w:tbl>
      <w:tblPr>
        <w:tblStyle w:val="ListTable1Light"/>
        <w:tblW w:w="5000" w:type="pct"/>
        <w:jc w:val="center"/>
        <w:tblLook w:val="04A0" w:firstRow="1" w:lastRow="0" w:firstColumn="1" w:lastColumn="0" w:noHBand="0" w:noVBand="1"/>
      </w:tblPr>
      <w:tblGrid>
        <w:gridCol w:w="2335"/>
        <w:gridCol w:w="1043"/>
        <w:gridCol w:w="1614"/>
        <w:gridCol w:w="1614"/>
        <w:gridCol w:w="1614"/>
      </w:tblGrid>
      <w:tr w:rsidR="00EB1DD2" w:rsidRPr="005C4AED" w14:paraId="602F4518" w14:textId="77777777" w:rsidTr="00EE24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50C1AC7D" w14:textId="77777777" w:rsidR="00EB1DD2" w:rsidRPr="005C4AED" w:rsidRDefault="00EB1DD2" w:rsidP="00EE248E">
            <w:pPr>
              <w:spacing w:line="480" w:lineRule="auto"/>
              <w:jc w:val="center"/>
              <w:rPr>
                <w:rFonts w:ascii="Times New Roman" w:hAnsi="Times New Roman" w:cs="Times New Roman"/>
                <w:sz w:val="24"/>
                <w:szCs w:val="24"/>
              </w:rPr>
            </w:pPr>
            <w:r w:rsidRPr="005C4AED">
              <w:rPr>
                <w:rFonts w:ascii="Times New Roman" w:hAnsi="Times New Roman" w:cs="Times New Roman"/>
                <w:sz w:val="24"/>
                <w:szCs w:val="24"/>
              </w:rPr>
              <w:t>Parametri</w:t>
            </w:r>
          </w:p>
        </w:tc>
        <w:tc>
          <w:tcPr>
            <w:tcW w:w="634" w:type="pct"/>
          </w:tcPr>
          <w:p w14:paraId="31031D77" w14:textId="77777777" w:rsidR="00EB1DD2" w:rsidRPr="005C4AED" w:rsidRDefault="00EB1DD2" w:rsidP="00EE248E">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Pri prijemu</w:t>
            </w:r>
          </w:p>
        </w:tc>
        <w:tc>
          <w:tcPr>
            <w:tcW w:w="982" w:type="pct"/>
          </w:tcPr>
          <w:p w14:paraId="5F8E20D7" w14:textId="77777777" w:rsidR="00EB1DD2" w:rsidRPr="005C4AED" w:rsidRDefault="00EB1DD2" w:rsidP="00EE248E">
            <w:pPr>
              <w:pStyle w:val="ListParagraph"/>
              <w:numPr>
                <w:ilvl w:val="0"/>
                <w:numId w:val="3"/>
              </w:num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Dan</w:t>
            </w:r>
          </w:p>
        </w:tc>
        <w:tc>
          <w:tcPr>
            <w:tcW w:w="982" w:type="pct"/>
          </w:tcPr>
          <w:p w14:paraId="6A8EC44D" w14:textId="77777777" w:rsidR="00EB1DD2" w:rsidRPr="005C4AED" w:rsidRDefault="00EB1DD2" w:rsidP="00EE248E">
            <w:pPr>
              <w:pStyle w:val="ListParagraph"/>
              <w:numPr>
                <w:ilvl w:val="0"/>
                <w:numId w:val="3"/>
              </w:num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Dan</w:t>
            </w:r>
          </w:p>
        </w:tc>
        <w:tc>
          <w:tcPr>
            <w:tcW w:w="982" w:type="pct"/>
          </w:tcPr>
          <w:p w14:paraId="020DA2E8" w14:textId="77777777" w:rsidR="00EB1DD2" w:rsidRPr="005C4AED" w:rsidRDefault="00EB1DD2" w:rsidP="00EE248E">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r w:rsidRPr="005C4AED">
              <w:rPr>
                <w:rFonts w:ascii="Times New Roman" w:hAnsi="Times New Roman" w:cs="Times New Roman"/>
                <w:sz w:val="24"/>
                <w:szCs w:val="24"/>
              </w:rPr>
              <w:t>. dan</w:t>
            </w:r>
          </w:p>
        </w:tc>
      </w:tr>
      <w:tr w:rsidR="00EB1DD2" w:rsidRPr="005C4AED" w14:paraId="46DBF03D"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107A8703"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Leukociti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479A27AD"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30.6</w:t>
            </w:r>
          </w:p>
        </w:tc>
        <w:tc>
          <w:tcPr>
            <w:tcW w:w="982" w:type="pct"/>
          </w:tcPr>
          <w:p w14:paraId="7FF0EA6A"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31.2</w:t>
            </w:r>
          </w:p>
        </w:tc>
        <w:tc>
          <w:tcPr>
            <w:tcW w:w="982" w:type="pct"/>
          </w:tcPr>
          <w:p w14:paraId="585DEB27"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22.1</w:t>
            </w:r>
          </w:p>
        </w:tc>
        <w:tc>
          <w:tcPr>
            <w:tcW w:w="982" w:type="pct"/>
          </w:tcPr>
          <w:p w14:paraId="261320BE"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9.6</w:t>
            </w:r>
          </w:p>
        </w:tc>
      </w:tr>
      <w:tr w:rsidR="00EB1DD2" w:rsidRPr="005C4AED" w14:paraId="4834AAD4"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7E9C3E7B"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Neutrofilni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4B15EB38"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27.34</w:t>
            </w:r>
          </w:p>
        </w:tc>
        <w:tc>
          <w:tcPr>
            <w:tcW w:w="982" w:type="pct"/>
          </w:tcPr>
          <w:p w14:paraId="22EDAAF9"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12C4CDF4"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231DC5A9"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B1DD2" w:rsidRPr="005C4AED" w14:paraId="346FC051"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278A56F7"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Eozinofilni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0137144E"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0.02</w:t>
            </w:r>
          </w:p>
        </w:tc>
        <w:tc>
          <w:tcPr>
            <w:tcW w:w="982" w:type="pct"/>
          </w:tcPr>
          <w:p w14:paraId="3912AE4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1CB3DD1E"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3B367D3F"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B1DD2" w:rsidRPr="005C4AED" w14:paraId="6A02CF82"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3E31A284"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Bazofilni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1134798C"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0.14</w:t>
            </w:r>
          </w:p>
        </w:tc>
        <w:tc>
          <w:tcPr>
            <w:tcW w:w="982" w:type="pct"/>
          </w:tcPr>
          <w:p w14:paraId="2527B04D"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7EA3358A"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5649D87B"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B1DD2" w:rsidRPr="005C4AED" w14:paraId="3BCB4C85"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08DF8C7D"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Monociti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031D5E39"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1.58</w:t>
            </w:r>
          </w:p>
        </w:tc>
        <w:tc>
          <w:tcPr>
            <w:tcW w:w="982" w:type="pct"/>
          </w:tcPr>
          <w:p w14:paraId="18B456C6"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5971A7E6"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7842F559"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B1DD2" w:rsidRPr="005C4AED" w14:paraId="52490C23"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01436775"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Nezreli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11E49E84"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0.21</w:t>
            </w:r>
          </w:p>
        </w:tc>
        <w:tc>
          <w:tcPr>
            <w:tcW w:w="982" w:type="pct"/>
          </w:tcPr>
          <w:p w14:paraId="0AA1EB79"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00D344CF"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44036BBD"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B1DD2" w:rsidRPr="005C4AED" w14:paraId="07518712"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57637993"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CRP (mg/L)</w:t>
            </w:r>
          </w:p>
        </w:tc>
        <w:tc>
          <w:tcPr>
            <w:tcW w:w="634" w:type="pct"/>
          </w:tcPr>
          <w:p w14:paraId="1E3BD498"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120</w:t>
            </w:r>
          </w:p>
        </w:tc>
        <w:tc>
          <w:tcPr>
            <w:tcW w:w="982" w:type="pct"/>
          </w:tcPr>
          <w:p w14:paraId="78579D0A"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118</w:t>
            </w:r>
          </w:p>
        </w:tc>
        <w:tc>
          <w:tcPr>
            <w:tcW w:w="982" w:type="pct"/>
          </w:tcPr>
          <w:p w14:paraId="54306FF5"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113.2</w:t>
            </w:r>
          </w:p>
        </w:tc>
        <w:tc>
          <w:tcPr>
            <w:tcW w:w="982" w:type="pct"/>
          </w:tcPr>
          <w:p w14:paraId="6143F66C"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w:t>
            </w:r>
          </w:p>
        </w:tc>
      </w:tr>
      <w:tr w:rsidR="00EB1DD2" w:rsidRPr="005C4AED" w14:paraId="0306CACD"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5DB77E5A"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Eritrociti ((x10</w:t>
            </w:r>
            <w:r w:rsidRPr="005C4AED">
              <w:rPr>
                <w:rFonts w:ascii="Times New Roman" w:hAnsi="Times New Roman" w:cs="Times New Roman"/>
                <w:sz w:val="24"/>
                <w:szCs w:val="24"/>
                <w:vertAlign w:val="superscript"/>
              </w:rPr>
              <w:t>12</w:t>
            </w:r>
            <w:r w:rsidRPr="005C4AED">
              <w:rPr>
                <w:rFonts w:ascii="Times New Roman" w:hAnsi="Times New Roman" w:cs="Times New Roman"/>
                <w:sz w:val="24"/>
                <w:szCs w:val="24"/>
              </w:rPr>
              <w:t>/L))</w:t>
            </w:r>
          </w:p>
        </w:tc>
        <w:tc>
          <w:tcPr>
            <w:tcW w:w="634" w:type="pct"/>
          </w:tcPr>
          <w:p w14:paraId="6377211A"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5.22</w:t>
            </w:r>
          </w:p>
        </w:tc>
        <w:tc>
          <w:tcPr>
            <w:tcW w:w="982" w:type="pct"/>
          </w:tcPr>
          <w:p w14:paraId="6C3DDD8D"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4.80</w:t>
            </w:r>
          </w:p>
        </w:tc>
        <w:tc>
          <w:tcPr>
            <w:tcW w:w="982" w:type="pct"/>
          </w:tcPr>
          <w:p w14:paraId="1C6954C6"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4.32</w:t>
            </w:r>
          </w:p>
        </w:tc>
        <w:tc>
          <w:tcPr>
            <w:tcW w:w="982" w:type="pct"/>
          </w:tcPr>
          <w:p w14:paraId="0FE5EECC"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4.56</w:t>
            </w:r>
          </w:p>
        </w:tc>
      </w:tr>
      <w:tr w:rsidR="00EB1DD2" w:rsidRPr="005C4AED" w14:paraId="7ACBC77F"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369EC0E9"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Hemoglobin (g/L)</w:t>
            </w:r>
          </w:p>
        </w:tc>
        <w:tc>
          <w:tcPr>
            <w:tcW w:w="634" w:type="pct"/>
          </w:tcPr>
          <w:p w14:paraId="035B8B75"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154</w:t>
            </w:r>
          </w:p>
        </w:tc>
        <w:tc>
          <w:tcPr>
            <w:tcW w:w="982" w:type="pct"/>
          </w:tcPr>
          <w:p w14:paraId="6A01C5B1"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140</w:t>
            </w:r>
          </w:p>
        </w:tc>
        <w:tc>
          <w:tcPr>
            <w:tcW w:w="982" w:type="pct"/>
          </w:tcPr>
          <w:p w14:paraId="610A0E5C"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128</w:t>
            </w:r>
          </w:p>
        </w:tc>
        <w:tc>
          <w:tcPr>
            <w:tcW w:w="982" w:type="pct"/>
          </w:tcPr>
          <w:p w14:paraId="59D5D150"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134</w:t>
            </w:r>
          </w:p>
        </w:tc>
      </w:tr>
      <w:tr w:rsidR="00EB1DD2" w:rsidRPr="005C4AED" w14:paraId="3859E029"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76B14061"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Hematokrit (L/L)</w:t>
            </w:r>
          </w:p>
        </w:tc>
        <w:tc>
          <w:tcPr>
            <w:tcW w:w="634" w:type="pct"/>
          </w:tcPr>
          <w:p w14:paraId="08FFC326"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0.434</w:t>
            </w:r>
          </w:p>
        </w:tc>
        <w:tc>
          <w:tcPr>
            <w:tcW w:w="982" w:type="pct"/>
          </w:tcPr>
          <w:p w14:paraId="56EE50A9"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0.428</w:t>
            </w:r>
          </w:p>
        </w:tc>
        <w:tc>
          <w:tcPr>
            <w:tcW w:w="982" w:type="pct"/>
          </w:tcPr>
          <w:p w14:paraId="0F9944A8"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0.365</w:t>
            </w:r>
          </w:p>
        </w:tc>
        <w:tc>
          <w:tcPr>
            <w:tcW w:w="982" w:type="pct"/>
          </w:tcPr>
          <w:p w14:paraId="05EB8BAB"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0.380</w:t>
            </w:r>
          </w:p>
        </w:tc>
      </w:tr>
      <w:tr w:rsidR="00EB1DD2" w:rsidRPr="005C4AED" w14:paraId="77BCCF96"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6AF951D8"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MCV (fL)</w:t>
            </w:r>
          </w:p>
        </w:tc>
        <w:tc>
          <w:tcPr>
            <w:tcW w:w="634" w:type="pct"/>
          </w:tcPr>
          <w:p w14:paraId="79C5BA36"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83.1</w:t>
            </w:r>
          </w:p>
        </w:tc>
        <w:tc>
          <w:tcPr>
            <w:tcW w:w="982" w:type="pct"/>
          </w:tcPr>
          <w:p w14:paraId="31859571"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89.3</w:t>
            </w:r>
          </w:p>
        </w:tc>
        <w:tc>
          <w:tcPr>
            <w:tcW w:w="982" w:type="pct"/>
          </w:tcPr>
          <w:p w14:paraId="6CC2D236"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84.5</w:t>
            </w:r>
          </w:p>
        </w:tc>
        <w:tc>
          <w:tcPr>
            <w:tcW w:w="982" w:type="pct"/>
          </w:tcPr>
          <w:p w14:paraId="09074A5F"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83.3</w:t>
            </w:r>
          </w:p>
        </w:tc>
      </w:tr>
      <w:tr w:rsidR="00EB1DD2" w:rsidRPr="005C4AED" w14:paraId="26FBC3C0"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2174ACB9"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MCH (pg)</w:t>
            </w:r>
          </w:p>
        </w:tc>
        <w:tc>
          <w:tcPr>
            <w:tcW w:w="634" w:type="pct"/>
          </w:tcPr>
          <w:p w14:paraId="1412F92C"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29.5</w:t>
            </w:r>
          </w:p>
        </w:tc>
        <w:tc>
          <w:tcPr>
            <w:tcW w:w="982" w:type="pct"/>
          </w:tcPr>
          <w:p w14:paraId="36EDB6CC"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29.1</w:t>
            </w:r>
          </w:p>
        </w:tc>
        <w:tc>
          <w:tcPr>
            <w:tcW w:w="982" w:type="pct"/>
          </w:tcPr>
          <w:p w14:paraId="588A7139"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29.6</w:t>
            </w:r>
          </w:p>
        </w:tc>
        <w:tc>
          <w:tcPr>
            <w:tcW w:w="982" w:type="pct"/>
          </w:tcPr>
          <w:p w14:paraId="52266BA0"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29.4</w:t>
            </w:r>
          </w:p>
        </w:tc>
      </w:tr>
      <w:tr w:rsidR="00EB1DD2" w:rsidRPr="005C4AED" w14:paraId="7C4B54F6"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2391626F"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MCHC (g/L)</w:t>
            </w:r>
          </w:p>
        </w:tc>
        <w:tc>
          <w:tcPr>
            <w:tcW w:w="634" w:type="pct"/>
          </w:tcPr>
          <w:p w14:paraId="1B7A135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355</w:t>
            </w:r>
          </w:p>
        </w:tc>
        <w:tc>
          <w:tcPr>
            <w:tcW w:w="982" w:type="pct"/>
          </w:tcPr>
          <w:p w14:paraId="3543DFD8"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326.0</w:t>
            </w:r>
          </w:p>
        </w:tc>
        <w:tc>
          <w:tcPr>
            <w:tcW w:w="982" w:type="pct"/>
          </w:tcPr>
          <w:p w14:paraId="07EF3E0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351</w:t>
            </w:r>
          </w:p>
        </w:tc>
        <w:tc>
          <w:tcPr>
            <w:tcW w:w="982" w:type="pct"/>
          </w:tcPr>
          <w:p w14:paraId="002A92B8"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353.3</w:t>
            </w:r>
          </w:p>
        </w:tc>
      </w:tr>
      <w:tr w:rsidR="00EB1DD2" w:rsidRPr="005C4AED" w14:paraId="5E04A09F"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71076371"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Trombociti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437EDADD"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354</w:t>
            </w:r>
          </w:p>
        </w:tc>
        <w:tc>
          <w:tcPr>
            <w:tcW w:w="982" w:type="pct"/>
          </w:tcPr>
          <w:p w14:paraId="749F3104"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326</w:t>
            </w:r>
          </w:p>
        </w:tc>
        <w:tc>
          <w:tcPr>
            <w:tcW w:w="982" w:type="pct"/>
          </w:tcPr>
          <w:p w14:paraId="1A285367"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294</w:t>
            </w:r>
          </w:p>
        </w:tc>
        <w:tc>
          <w:tcPr>
            <w:tcW w:w="982" w:type="pct"/>
          </w:tcPr>
          <w:p w14:paraId="18144E18"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303</w:t>
            </w:r>
          </w:p>
        </w:tc>
      </w:tr>
      <w:tr w:rsidR="00EB1DD2" w:rsidRPr="005C4AED" w14:paraId="2155BBE3"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7292CC8D"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Glukoza (mmol/L)</w:t>
            </w:r>
          </w:p>
        </w:tc>
        <w:tc>
          <w:tcPr>
            <w:tcW w:w="634" w:type="pct"/>
          </w:tcPr>
          <w:p w14:paraId="04BE206F"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6.2</w:t>
            </w:r>
          </w:p>
        </w:tc>
        <w:tc>
          <w:tcPr>
            <w:tcW w:w="982" w:type="pct"/>
          </w:tcPr>
          <w:p w14:paraId="0CEEE25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5.9</w:t>
            </w:r>
          </w:p>
        </w:tc>
        <w:tc>
          <w:tcPr>
            <w:tcW w:w="982" w:type="pct"/>
          </w:tcPr>
          <w:p w14:paraId="436D2CC5"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5.0</w:t>
            </w:r>
          </w:p>
        </w:tc>
        <w:tc>
          <w:tcPr>
            <w:tcW w:w="982" w:type="pct"/>
          </w:tcPr>
          <w:p w14:paraId="4E5B584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6.0</w:t>
            </w:r>
          </w:p>
        </w:tc>
      </w:tr>
      <w:tr w:rsidR="00EB1DD2" w:rsidRPr="005C4AED" w14:paraId="0AAA0693"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7115BA1F"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Natrij (mmol/L)</w:t>
            </w:r>
          </w:p>
        </w:tc>
        <w:tc>
          <w:tcPr>
            <w:tcW w:w="634" w:type="pct"/>
          </w:tcPr>
          <w:p w14:paraId="69921C1D"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139</w:t>
            </w:r>
          </w:p>
        </w:tc>
        <w:tc>
          <w:tcPr>
            <w:tcW w:w="982" w:type="pct"/>
          </w:tcPr>
          <w:p w14:paraId="254D7142"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143</w:t>
            </w:r>
          </w:p>
        </w:tc>
        <w:tc>
          <w:tcPr>
            <w:tcW w:w="982" w:type="pct"/>
          </w:tcPr>
          <w:p w14:paraId="26FEB9F5"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140</w:t>
            </w:r>
          </w:p>
        </w:tc>
        <w:tc>
          <w:tcPr>
            <w:tcW w:w="982" w:type="pct"/>
          </w:tcPr>
          <w:p w14:paraId="1530C2B3"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143</w:t>
            </w:r>
          </w:p>
        </w:tc>
      </w:tr>
      <w:tr w:rsidR="00EB1DD2" w:rsidRPr="005C4AED" w14:paraId="59237D91" w14:textId="77777777" w:rsidTr="00EE24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37CAFC10"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Kalij (mmol/L)</w:t>
            </w:r>
          </w:p>
        </w:tc>
        <w:tc>
          <w:tcPr>
            <w:tcW w:w="634" w:type="pct"/>
          </w:tcPr>
          <w:p w14:paraId="0134B04F"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3.9</w:t>
            </w:r>
          </w:p>
        </w:tc>
        <w:tc>
          <w:tcPr>
            <w:tcW w:w="982" w:type="pct"/>
          </w:tcPr>
          <w:p w14:paraId="5D5C668B"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2.7</w:t>
            </w:r>
          </w:p>
        </w:tc>
        <w:tc>
          <w:tcPr>
            <w:tcW w:w="982" w:type="pct"/>
          </w:tcPr>
          <w:p w14:paraId="3CD6C3E8"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w:t>
            </w:r>
          </w:p>
        </w:tc>
        <w:tc>
          <w:tcPr>
            <w:tcW w:w="982" w:type="pct"/>
          </w:tcPr>
          <w:p w14:paraId="16265F52" w14:textId="77777777" w:rsidR="00EB1DD2" w:rsidRPr="005C4AED" w:rsidRDefault="00EB1DD2" w:rsidP="00EE248E">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3.9</w:t>
            </w:r>
          </w:p>
        </w:tc>
      </w:tr>
      <w:tr w:rsidR="00EB1DD2" w:rsidRPr="005C4AED" w14:paraId="3CEAC954" w14:textId="77777777" w:rsidTr="00EE248E">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41950708" w14:textId="77777777" w:rsidR="00EB1DD2" w:rsidRPr="005C4AED" w:rsidRDefault="00EB1DD2" w:rsidP="00EE248E">
            <w:pPr>
              <w:spacing w:line="480" w:lineRule="auto"/>
              <w:rPr>
                <w:rFonts w:ascii="Times New Roman" w:hAnsi="Times New Roman" w:cs="Times New Roman"/>
                <w:sz w:val="24"/>
                <w:szCs w:val="24"/>
              </w:rPr>
            </w:pPr>
            <w:r w:rsidRPr="005C4AED">
              <w:rPr>
                <w:rFonts w:ascii="Times New Roman" w:hAnsi="Times New Roman" w:cs="Times New Roman"/>
                <w:sz w:val="24"/>
                <w:szCs w:val="24"/>
              </w:rPr>
              <w:t>Kloridi (mmol/L)</w:t>
            </w:r>
          </w:p>
        </w:tc>
        <w:tc>
          <w:tcPr>
            <w:tcW w:w="634" w:type="pct"/>
          </w:tcPr>
          <w:p w14:paraId="0D3B9234"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107</w:t>
            </w:r>
          </w:p>
        </w:tc>
        <w:tc>
          <w:tcPr>
            <w:tcW w:w="982" w:type="pct"/>
          </w:tcPr>
          <w:p w14:paraId="416495A1"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105</w:t>
            </w:r>
          </w:p>
        </w:tc>
        <w:tc>
          <w:tcPr>
            <w:tcW w:w="982" w:type="pct"/>
          </w:tcPr>
          <w:p w14:paraId="4ACD18EE"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106</w:t>
            </w:r>
          </w:p>
        </w:tc>
        <w:tc>
          <w:tcPr>
            <w:tcW w:w="982" w:type="pct"/>
          </w:tcPr>
          <w:p w14:paraId="39423B54" w14:textId="77777777" w:rsidR="00EB1DD2" w:rsidRPr="005C4AED" w:rsidRDefault="00EB1DD2" w:rsidP="00EE248E">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108</w:t>
            </w:r>
          </w:p>
        </w:tc>
      </w:tr>
    </w:tbl>
    <w:p w14:paraId="163A5DC1" w14:textId="77777777" w:rsidR="00EB1DD2" w:rsidRPr="00C56236" w:rsidRDefault="00EB1DD2" w:rsidP="00EB1DD2">
      <w:pPr>
        <w:spacing w:line="480" w:lineRule="auto"/>
      </w:pPr>
    </w:p>
    <w:p w14:paraId="582B7E78" w14:textId="77777777" w:rsidR="00EB1DD2" w:rsidRPr="00963EF3" w:rsidRDefault="00EB1DD2" w:rsidP="00EB1DD2">
      <w:pPr>
        <w:pStyle w:val="Heading1"/>
        <w:spacing w:line="480" w:lineRule="auto"/>
      </w:pPr>
      <w:r>
        <w:lastRenderedPageBreak/>
        <w:t>RASPRAVA</w:t>
      </w:r>
    </w:p>
    <w:p w14:paraId="179F94C4" w14:textId="77777777" w:rsidR="00EB1DD2" w:rsidRPr="00963EF3"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shd w:val="clear" w:color="auto" w:fill="FFFFFF"/>
        </w:rPr>
        <w:t>U bolesnika s CVID-om obično je oslabljen humoralni imunitet, dok je stanični imunitet donekle učinkovit. Hipogamaglobulinemija je česta u bolesnika s CVID-om, što ih čini osjetljivijima na rekurentne respiratorne i gastrointestinalne infekcije. Oni postaju više zaraženi bakterijskim patogenima zbog oslabljenog humoralnog imuniteta. Nasuprot tome, gljivični i virusni uzročnici su rjeđi u njima, jer je vjerojatnije da će zaraziti ljude sa staničnom imunodeficijencijom.</w:t>
      </w:r>
      <w:r w:rsidRPr="00963EF3">
        <w:rPr>
          <w:rFonts w:ascii="Times New Roman" w:hAnsi="Times New Roman" w:cs="Times New Roman"/>
          <w:color w:val="000000" w:themeColor="text1"/>
          <w:sz w:val="24"/>
          <w:szCs w:val="24"/>
          <w:shd w:val="clear" w:color="auto" w:fill="FFFFFF"/>
          <w:vertAlign w:val="superscript"/>
        </w:rPr>
        <w:t xml:space="preserve">9 </w:t>
      </w:r>
      <w:r w:rsidRPr="00963EF3">
        <w:rPr>
          <w:rFonts w:ascii="Times New Roman" w:hAnsi="Times New Roman" w:cs="Times New Roman"/>
          <w:color w:val="000000" w:themeColor="text1"/>
          <w:sz w:val="24"/>
          <w:szCs w:val="24"/>
          <w:shd w:val="clear" w:color="auto" w:fill="FFFFFF"/>
        </w:rPr>
        <w:t xml:space="preserve">Ovaj prikaz slučaja prezentira atipičnu, jasnu virusnu intersticijalnu upalu pluća što je iznimno rijedak slučaj kod pacijenata s CVID-om. U terapiju smo uveli, kao preventivnu mjeru antibakterijske lijekove. Pacijent se potpuno oporavio od COVID infekcije te je nastavio sa redovitim terapijama za CVID. </w:t>
      </w:r>
    </w:p>
    <w:p w14:paraId="601AEE81" w14:textId="77777777" w:rsidR="00EB1DD2" w:rsidRPr="00963EF3" w:rsidRDefault="00EB1DD2" w:rsidP="00EB1DD2">
      <w:pPr>
        <w:shd w:val="clear" w:color="auto" w:fill="FFFFFF"/>
        <w:spacing w:before="100" w:beforeAutospacing="1" w:after="100" w:afterAutospacing="1" w:line="480" w:lineRule="auto"/>
        <w:rPr>
          <w:rFonts w:ascii="Times New Roman" w:hAnsi="Times New Roman" w:cs="Times New Roman"/>
          <w:color w:val="000000" w:themeColor="text1"/>
          <w:sz w:val="24"/>
          <w:szCs w:val="24"/>
          <w:shd w:val="clear" w:color="auto" w:fill="FFFFFF"/>
        </w:rPr>
      </w:pPr>
    </w:p>
    <w:p w14:paraId="043CB9C3" w14:textId="77777777" w:rsidR="00EB1DD2" w:rsidRPr="00963EF3" w:rsidRDefault="00EB1DD2" w:rsidP="00EB1DD2">
      <w:pPr>
        <w:pStyle w:val="Heading1"/>
        <w:spacing w:line="480" w:lineRule="auto"/>
        <w:rPr>
          <w:shd w:val="clear" w:color="auto" w:fill="FFFFFF"/>
        </w:rPr>
      </w:pPr>
      <w:r>
        <w:rPr>
          <w:shd w:val="clear" w:color="auto" w:fill="FFFFFF"/>
        </w:rPr>
        <w:t>ZAKLJUČAK</w:t>
      </w:r>
    </w:p>
    <w:p w14:paraId="28AF1AB9" w14:textId="77777777" w:rsidR="00EB1DD2" w:rsidRPr="00963EF3" w:rsidRDefault="00EB1DD2" w:rsidP="00EB1DD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shd w:val="clear" w:color="auto" w:fill="FFFFFF"/>
        </w:rPr>
        <w:t>Tijekom COVID 19 infekcije, posebnu pažnju treba posvetit imunokompromitiranim pacijentima, koje treba liječiti multisciplinaro i uvijek imati u primisli oportunističke infekcije kod imunokompromitiranih pacijenata te ih srpiječiti preventivnim mjerama</w:t>
      </w:r>
    </w:p>
    <w:p w14:paraId="60A0FD7A" w14:textId="77777777" w:rsidR="00EB1DD2" w:rsidRPr="00963EF3" w:rsidRDefault="00EB1DD2" w:rsidP="00EB1DD2">
      <w:pPr>
        <w:spacing w:line="480" w:lineRule="auto"/>
        <w:rPr>
          <w:rFonts w:ascii="Times New Roman" w:hAnsi="Times New Roman" w:cs="Times New Roman"/>
          <w:color w:val="000000" w:themeColor="text1"/>
          <w:sz w:val="24"/>
          <w:szCs w:val="24"/>
        </w:rPr>
      </w:pPr>
    </w:p>
    <w:p w14:paraId="1B291C18" w14:textId="77777777" w:rsidR="00EB1DD2" w:rsidRPr="00963EF3" w:rsidRDefault="00EB1DD2" w:rsidP="00EB1DD2">
      <w:pPr>
        <w:spacing w:line="480" w:lineRule="auto"/>
        <w:rPr>
          <w:rFonts w:ascii="Times New Roman" w:hAnsi="Times New Roman" w:cs="Times New Roman"/>
          <w:color w:val="000000" w:themeColor="text1"/>
          <w:sz w:val="24"/>
          <w:szCs w:val="24"/>
        </w:rPr>
      </w:pPr>
    </w:p>
    <w:p w14:paraId="13279857" w14:textId="77777777" w:rsidR="00EB1DD2" w:rsidRDefault="00EB1DD2" w:rsidP="00EB1DD2">
      <w:pPr>
        <w:spacing w:line="480" w:lineRule="auto"/>
        <w:rPr>
          <w:rFonts w:ascii="Times New Roman" w:hAnsi="Times New Roman" w:cs="Times New Roman"/>
          <w:color w:val="000000" w:themeColor="text1"/>
          <w:sz w:val="24"/>
          <w:szCs w:val="24"/>
        </w:rPr>
      </w:pPr>
    </w:p>
    <w:p w14:paraId="710C105A" w14:textId="77777777" w:rsidR="00EB1DD2" w:rsidRPr="00963EF3" w:rsidRDefault="00EB1DD2" w:rsidP="00EB1DD2">
      <w:pPr>
        <w:spacing w:line="480" w:lineRule="auto"/>
        <w:rPr>
          <w:rFonts w:ascii="Times New Roman" w:hAnsi="Times New Roman" w:cs="Times New Roman"/>
          <w:color w:val="000000" w:themeColor="text1"/>
          <w:sz w:val="24"/>
          <w:szCs w:val="24"/>
        </w:rPr>
      </w:pPr>
    </w:p>
    <w:p w14:paraId="76DC4939" w14:textId="77777777" w:rsidR="00EB1DD2" w:rsidRDefault="00EB1DD2" w:rsidP="00EB1DD2">
      <w:pPr>
        <w:pStyle w:val="Heading1"/>
      </w:pPr>
      <w:r w:rsidRPr="00963EF3">
        <w:lastRenderedPageBreak/>
        <w:t>Literatura:</w:t>
      </w:r>
    </w:p>
    <w:p w14:paraId="7BF20BB6" w14:textId="77777777" w:rsidR="00EB1DD2" w:rsidRPr="00286A92" w:rsidRDefault="00EB1DD2" w:rsidP="00EB1DD2"/>
    <w:p w14:paraId="0FB836A3"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rPr>
        <w:t xml:space="preserve"> Bonilla FA,Geha RS. Common variable immunodeficiency. Pediat Res 2009; 65: 13R–9R.</w:t>
      </w:r>
    </w:p>
    <w:p w14:paraId="2914C5E3"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rPr>
        <w:t>Fried AJ, Bonilla FA. Pathogenesis, diagnosis, and management of primary antibody deficiencies and infections. Clin Microbiol Rev 2009; 22: 396–414.</w:t>
      </w:r>
    </w:p>
    <w:p w14:paraId="1CF8518F"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Conley ME: Diagnostic guidelines - An International Consensus document. Clin Immunol. 1999, 93: 189</w:t>
      </w:r>
      <w:r>
        <w:rPr>
          <w:rFonts w:ascii="Times New Roman" w:hAnsi="Times New Roman" w:cs="Times New Roman"/>
          <w:color w:val="000000" w:themeColor="text1"/>
          <w:sz w:val="24"/>
          <w:szCs w:val="24"/>
          <w:shd w:val="clear" w:color="auto" w:fill="FFFFFF"/>
        </w:rPr>
        <w:t>-</w:t>
      </w:r>
      <w:r w:rsidRPr="00963EF3">
        <w:rPr>
          <w:rFonts w:ascii="Times New Roman" w:hAnsi="Times New Roman" w:cs="Times New Roman"/>
          <w:color w:val="000000" w:themeColor="text1"/>
          <w:sz w:val="24"/>
          <w:szCs w:val="24"/>
          <w:shd w:val="clear" w:color="auto" w:fill="FFFFFF"/>
        </w:rPr>
        <w:t>1006/clim.1999.</w:t>
      </w:r>
    </w:p>
    <w:p w14:paraId="7D5DA859"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Bonilla FA, Bernstein IL, Khan DA, Ballas ZK, Chinen J, Frank MM, </w:t>
      </w:r>
      <w:r>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American Academy of Allergy, Asthma and Immunology, American College of Allergy, Asthma and Immunology, Joint Council of Allergy, Asthma and Immunology: Practice parameter for the diagnosis and management of primary immunodeficiency. Ann Allergy Asthma Immunol. 2005,S1-63.</w:t>
      </w:r>
    </w:p>
    <w:p w14:paraId="0D105087"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Cunningham-Rundles C, Bodian C: Common variable immunodeficiency: clinical and immunological features of 248 patients. Clin Immunol. 1999, 92: 34-48.1999.</w:t>
      </w:r>
    </w:p>
    <w:p w14:paraId="45EDF7A0"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Oksenhendler E, Gérard L, Fieschi C, Malphettes M, Mouillot G, Jaussaud R, </w:t>
      </w:r>
      <w:r>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xml:space="preserve"> DEFI Study Group: Infections in 252 patients with common variable immunodeficiency. Clin Infect Dis. 2008, 46:</w:t>
      </w:r>
    </w:p>
    <w:p w14:paraId="554191E3" w14:textId="77777777" w:rsidR="00EB1DD2" w:rsidRPr="00963EF3"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Ahmed S, Karim MM, Ross AG, Hossain MS, Clemens JD, Sumiya MK, </w:t>
      </w:r>
      <w:r>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A five-day course of ivermectin for the treatment of COVID-19 may reduce the duration of illness. Int J Infect Dis. 2021 Feb;103:214-216. 2020 Dec 2.</w:t>
      </w:r>
    </w:p>
    <w:p w14:paraId="4F86865C" w14:textId="77777777" w:rsidR="00EB1DD2" w:rsidRPr="002F1E06" w:rsidRDefault="00EB1DD2" w:rsidP="00EB1DD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Babaha F, Rezaei N. Primary Immunodeficiency Diseases in COVID-19 Pandemic: A Predisposing or Protective Factor? Am J Med Sci. 2020 Dec;360(6):740-741. </w:t>
      </w:r>
    </w:p>
    <w:p w14:paraId="76DD498A" w14:textId="77777777" w:rsidR="00EB1DD2" w:rsidRPr="001F249A" w:rsidRDefault="00EB1DD2" w:rsidP="00EB1DD2">
      <w:pPr>
        <w:pStyle w:val="ListParagraph"/>
        <w:numPr>
          <w:ilvl w:val="0"/>
          <w:numId w:val="1"/>
        </w:numPr>
        <w:spacing w:line="480" w:lineRule="auto"/>
        <w:rPr>
          <w:rStyle w:val="element-citation"/>
          <w:rFonts w:ascii="Times New Roman" w:hAnsi="Times New Roman" w:cs="Times New Roman"/>
          <w:color w:val="000000" w:themeColor="text1"/>
          <w:sz w:val="24"/>
          <w:szCs w:val="24"/>
        </w:rPr>
      </w:pPr>
      <w:r>
        <w:rPr>
          <w:rFonts w:ascii="Cambria" w:hAnsi="Cambria"/>
          <w:color w:val="212121"/>
          <w:sz w:val="26"/>
          <w:szCs w:val="26"/>
          <w:shd w:val="clear" w:color="auto" w:fill="FFFFFF"/>
        </w:rPr>
        <w:lastRenderedPageBreak/>
        <w:t> </w:t>
      </w:r>
      <w:r w:rsidRPr="002F1E06">
        <w:rPr>
          <w:rStyle w:val="element-citation"/>
          <w:rFonts w:ascii="Times New Roman" w:hAnsi="Times New Roman" w:cs="Times New Roman"/>
          <w:color w:val="212121"/>
          <w:sz w:val="24"/>
          <w:szCs w:val="24"/>
          <w:shd w:val="clear" w:color="auto" w:fill="FFFFFF"/>
        </w:rPr>
        <w:t>Chevrier S., Zurbuchen Y., Cervia C., Adamo S., Raeber M.E., de Souza N.</w:t>
      </w:r>
      <w:r>
        <w:rPr>
          <w:rStyle w:val="element-citation"/>
          <w:rFonts w:ascii="Times New Roman" w:hAnsi="Times New Roman" w:cs="Times New Roman"/>
          <w:color w:val="212121"/>
          <w:sz w:val="24"/>
          <w:szCs w:val="24"/>
          <w:shd w:val="clear" w:color="auto" w:fill="FFFFFF"/>
        </w:rPr>
        <w:t xml:space="preserve"> Et.al. </w:t>
      </w:r>
      <w:r w:rsidRPr="002F1E06">
        <w:rPr>
          <w:rStyle w:val="element-citation"/>
          <w:rFonts w:ascii="Times New Roman" w:hAnsi="Times New Roman" w:cs="Times New Roman"/>
          <w:color w:val="212121"/>
          <w:sz w:val="24"/>
          <w:szCs w:val="24"/>
          <w:shd w:val="clear" w:color="auto" w:fill="FFFFFF"/>
        </w:rPr>
        <w:t xml:space="preserve"> A distinct innate immune signature marks progression from mild to severe COVID-19</w:t>
      </w:r>
      <w:r>
        <w:rPr>
          <w:rStyle w:val="element-citation"/>
          <w:rFonts w:ascii="Times New Roman" w:hAnsi="Times New Roman" w:cs="Times New Roman"/>
          <w:color w:val="212121"/>
          <w:sz w:val="24"/>
          <w:szCs w:val="24"/>
          <w:shd w:val="clear" w:color="auto" w:fill="FFFFFF"/>
        </w:rPr>
        <w:t>, 2020</w:t>
      </w:r>
    </w:p>
    <w:p w14:paraId="204036D1" w14:textId="711AEE32" w:rsidR="00EB1DD2" w:rsidRPr="000809EB" w:rsidRDefault="00EB1DD2" w:rsidP="000809EB">
      <w:pPr>
        <w:pStyle w:val="ListParagraph"/>
        <w:numPr>
          <w:ilvl w:val="0"/>
          <w:numId w:val="1"/>
        </w:numPr>
        <w:shd w:val="clear" w:color="auto" w:fill="FFFFFF"/>
        <w:spacing w:after="0" w:line="480" w:lineRule="auto"/>
        <w:jc w:val="both"/>
        <w:rPr>
          <w:rStyle w:val="element-citation"/>
          <w:rFonts w:ascii="Times New Roman" w:eastAsia="Times New Roman" w:hAnsi="Times New Roman" w:cs="Times New Roman"/>
          <w:color w:val="000000" w:themeColor="text1"/>
          <w:sz w:val="24"/>
          <w:szCs w:val="24"/>
          <w:lang w:eastAsia="hr-HR"/>
        </w:rPr>
      </w:pPr>
      <w:r w:rsidRPr="001F249A">
        <w:rPr>
          <w:rFonts w:ascii="Times New Roman" w:eastAsia="Times New Roman" w:hAnsi="Times New Roman" w:cs="Times New Roman"/>
          <w:color w:val="212121"/>
          <w:sz w:val="24"/>
          <w:szCs w:val="24"/>
          <w:lang w:eastAsia="hr-HR"/>
        </w:rPr>
        <w:t xml:space="preserve">Weifenbach N, Schneckenburger AAC, Lötters S. Global Distribution of Common Variable Immunodeficiency (CVID) in the Light of the UNDP Human Development Index (HDI): A Preliminary Perspective of a Rare Disease. J Immunol Res. 2020 </w:t>
      </w:r>
    </w:p>
    <w:p w14:paraId="5A83C4E5" w14:textId="77777777" w:rsidR="00EB1DD2" w:rsidRPr="001F249A" w:rsidRDefault="00EB1DD2" w:rsidP="00EB1DD2">
      <w:pPr>
        <w:pStyle w:val="ListParagraph"/>
        <w:numPr>
          <w:ilvl w:val="0"/>
          <w:numId w:val="1"/>
        </w:numPr>
        <w:spacing w:line="480" w:lineRule="auto"/>
        <w:rPr>
          <w:rStyle w:val="element-citation"/>
          <w:rFonts w:ascii="Times New Roman" w:hAnsi="Times New Roman" w:cs="Times New Roman"/>
          <w:color w:val="000000" w:themeColor="text1"/>
          <w:sz w:val="24"/>
          <w:szCs w:val="24"/>
        </w:rPr>
      </w:pPr>
      <w:r>
        <w:rPr>
          <w:rStyle w:val="element-citation"/>
          <w:rFonts w:ascii="Times New Roman" w:hAnsi="Times New Roman" w:cs="Times New Roman"/>
          <w:color w:val="212121"/>
          <w:sz w:val="24"/>
          <w:szCs w:val="24"/>
          <w:shd w:val="clear" w:color="auto" w:fill="FFFFFF"/>
        </w:rPr>
        <w:t>Muller J., Wang A., Feldweg A., A fatal case ofcoronavirus disease 2019 in a patient whit common variable immunodeficiency, August, 2020</w:t>
      </w:r>
    </w:p>
    <w:p w14:paraId="0C255E49" w14:textId="77777777" w:rsidR="00EB1DD2" w:rsidRDefault="00EB1DD2" w:rsidP="00EB1DD2">
      <w:pPr>
        <w:spacing w:line="480" w:lineRule="auto"/>
        <w:rPr>
          <w:rFonts w:ascii="Times New Roman" w:hAnsi="Times New Roman" w:cs="Times New Roman"/>
          <w:color w:val="000000" w:themeColor="text1"/>
          <w:sz w:val="24"/>
          <w:szCs w:val="24"/>
        </w:rPr>
      </w:pPr>
    </w:p>
    <w:p w14:paraId="109EC8E0" w14:textId="77777777" w:rsidR="00EB1DD2" w:rsidRPr="001F249A" w:rsidRDefault="00EB1DD2" w:rsidP="00EB1DD2">
      <w:pPr>
        <w:spacing w:line="480" w:lineRule="auto"/>
        <w:rPr>
          <w:rFonts w:ascii="Times New Roman" w:hAnsi="Times New Roman" w:cs="Times New Roman"/>
          <w:color w:val="000000" w:themeColor="text1"/>
          <w:sz w:val="24"/>
          <w:szCs w:val="24"/>
        </w:rPr>
      </w:pPr>
    </w:p>
    <w:p w14:paraId="6734BE91" w14:textId="1C4BAB7B" w:rsidR="00EB3846" w:rsidRPr="00EB1DD2" w:rsidRDefault="00EB3846" w:rsidP="00EB1DD2"/>
    <w:sectPr w:rsidR="00EB3846" w:rsidRPr="00EB1DD2" w:rsidSect="00EB1DD2">
      <w:pgSz w:w="11906" w:h="16838"/>
      <w:pgMar w:top="1418" w:right="1418" w:bottom="1418"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15BF"/>
    <w:multiLevelType w:val="multilevel"/>
    <w:tmpl w:val="EFDA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4D149C"/>
    <w:multiLevelType w:val="hybridMultilevel"/>
    <w:tmpl w:val="BE125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608F17EC"/>
    <w:multiLevelType w:val="hybridMultilevel"/>
    <w:tmpl w:val="5176A8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43069784">
    <w:abstractNumId w:val="1"/>
  </w:num>
  <w:num w:numId="2" w16cid:durableId="1500074168">
    <w:abstractNumId w:val="0"/>
  </w:num>
  <w:num w:numId="3" w16cid:durableId="1842965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FB"/>
    <w:rsid w:val="000809EB"/>
    <w:rsid w:val="00097F77"/>
    <w:rsid w:val="000B3403"/>
    <w:rsid w:val="000F1782"/>
    <w:rsid w:val="000F7FFB"/>
    <w:rsid w:val="00137A59"/>
    <w:rsid w:val="00261955"/>
    <w:rsid w:val="00264AC1"/>
    <w:rsid w:val="00286A92"/>
    <w:rsid w:val="002F1E06"/>
    <w:rsid w:val="00404456"/>
    <w:rsid w:val="004167D7"/>
    <w:rsid w:val="00517AB9"/>
    <w:rsid w:val="00524196"/>
    <w:rsid w:val="005B6D62"/>
    <w:rsid w:val="005C07D6"/>
    <w:rsid w:val="005C4AED"/>
    <w:rsid w:val="005C6950"/>
    <w:rsid w:val="006420D5"/>
    <w:rsid w:val="0067394A"/>
    <w:rsid w:val="007A6962"/>
    <w:rsid w:val="007F4E46"/>
    <w:rsid w:val="00881D37"/>
    <w:rsid w:val="00963EF3"/>
    <w:rsid w:val="00A31BAA"/>
    <w:rsid w:val="00A52136"/>
    <w:rsid w:val="00A74BB7"/>
    <w:rsid w:val="00AA3EC8"/>
    <w:rsid w:val="00BD2C60"/>
    <w:rsid w:val="00C47109"/>
    <w:rsid w:val="00DD4BD7"/>
    <w:rsid w:val="00DE4714"/>
    <w:rsid w:val="00E13A28"/>
    <w:rsid w:val="00E46AFB"/>
    <w:rsid w:val="00E46C3D"/>
    <w:rsid w:val="00E71075"/>
    <w:rsid w:val="00E93FDA"/>
    <w:rsid w:val="00EB1DD2"/>
    <w:rsid w:val="00EB38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986F"/>
  <w15:chartTrackingRefBased/>
  <w15:docId w15:val="{0F4062EC-611A-42FA-8A2F-252E3728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E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AB9"/>
    <w:pPr>
      <w:ind w:left="720"/>
      <w:contextualSpacing/>
    </w:pPr>
  </w:style>
  <w:style w:type="character" w:styleId="Hyperlink">
    <w:name w:val="Hyperlink"/>
    <w:basedOn w:val="DefaultParagraphFont"/>
    <w:uiPriority w:val="99"/>
    <w:semiHidden/>
    <w:unhideWhenUsed/>
    <w:rsid w:val="00517AB9"/>
    <w:rPr>
      <w:color w:val="0000FF"/>
      <w:u w:val="single"/>
    </w:rPr>
  </w:style>
  <w:style w:type="paragraph" w:customStyle="1" w:styleId="p">
    <w:name w:val="p"/>
    <w:basedOn w:val="Normal"/>
    <w:rsid w:val="00BD2C60"/>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NormalWeb">
    <w:name w:val="Normal (Web)"/>
    <w:basedOn w:val="Normal"/>
    <w:uiPriority w:val="99"/>
    <w:semiHidden/>
    <w:unhideWhenUsed/>
    <w:rsid w:val="00BD2C60"/>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Heading1Char">
    <w:name w:val="Heading 1 Char"/>
    <w:basedOn w:val="DefaultParagraphFont"/>
    <w:link w:val="Heading1"/>
    <w:uiPriority w:val="9"/>
    <w:rsid w:val="00AA3EC8"/>
    <w:rPr>
      <w:rFonts w:asciiTheme="majorHAnsi" w:eastAsiaTheme="majorEastAsia" w:hAnsiTheme="majorHAnsi" w:cstheme="majorBidi"/>
      <w:color w:val="2E74B5" w:themeColor="accent1" w:themeShade="BF"/>
      <w:sz w:val="32"/>
      <w:szCs w:val="32"/>
    </w:rPr>
  </w:style>
  <w:style w:type="character" w:customStyle="1" w:styleId="element-citation">
    <w:name w:val="element-citation"/>
    <w:basedOn w:val="DefaultParagraphFont"/>
    <w:rsid w:val="002F1E06"/>
  </w:style>
  <w:style w:type="paragraph" w:styleId="Caption">
    <w:name w:val="caption"/>
    <w:basedOn w:val="Normal"/>
    <w:next w:val="Normal"/>
    <w:uiPriority w:val="35"/>
    <w:unhideWhenUsed/>
    <w:qFormat/>
    <w:rsid w:val="005C4AED"/>
    <w:pPr>
      <w:spacing w:after="200" w:line="240" w:lineRule="auto"/>
    </w:pPr>
    <w:rPr>
      <w:i/>
      <w:iCs/>
      <w:color w:val="44546A" w:themeColor="text2"/>
      <w:sz w:val="18"/>
      <w:szCs w:val="18"/>
    </w:rPr>
  </w:style>
  <w:style w:type="table" w:styleId="ListTable1Light">
    <w:name w:val="List Table 1 Light"/>
    <w:basedOn w:val="TableNormal"/>
    <w:uiPriority w:val="46"/>
    <w:rsid w:val="005C4AED"/>
    <w:pPr>
      <w:spacing w:after="0" w:line="240" w:lineRule="auto"/>
    </w:pPr>
    <w:rPr>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6420D5"/>
    <w:rPr>
      <w:sz w:val="16"/>
      <w:szCs w:val="16"/>
    </w:rPr>
  </w:style>
  <w:style w:type="paragraph" w:styleId="CommentText">
    <w:name w:val="annotation text"/>
    <w:basedOn w:val="Normal"/>
    <w:link w:val="CommentTextChar"/>
    <w:uiPriority w:val="99"/>
    <w:semiHidden/>
    <w:unhideWhenUsed/>
    <w:rsid w:val="006420D5"/>
    <w:pPr>
      <w:spacing w:line="240" w:lineRule="auto"/>
    </w:pPr>
    <w:rPr>
      <w:sz w:val="20"/>
      <w:szCs w:val="20"/>
    </w:rPr>
  </w:style>
  <w:style w:type="character" w:customStyle="1" w:styleId="CommentTextChar">
    <w:name w:val="Comment Text Char"/>
    <w:basedOn w:val="DefaultParagraphFont"/>
    <w:link w:val="CommentText"/>
    <w:uiPriority w:val="99"/>
    <w:semiHidden/>
    <w:rsid w:val="006420D5"/>
    <w:rPr>
      <w:sz w:val="20"/>
      <w:szCs w:val="20"/>
    </w:rPr>
  </w:style>
  <w:style w:type="paragraph" w:styleId="CommentSubject">
    <w:name w:val="annotation subject"/>
    <w:basedOn w:val="CommentText"/>
    <w:next w:val="CommentText"/>
    <w:link w:val="CommentSubjectChar"/>
    <w:uiPriority w:val="99"/>
    <w:semiHidden/>
    <w:unhideWhenUsed/>
    <w:rsid w:val="006420D5"/>
    <w:rPr>
      <w:b/>
      <w:bCs/>
    </w:rPr>
  </w:style>
  <w:style w:type="character" w:customStyle="1" w:styleId="CommentSubjectChar">
    <w:name w:val="Comment Subject Char"/>
    <w:basedOn w:val="CommentTextChar"/>
    <w:link w:val="CommentSubject"/>
    <w:uiPriority w:val="99"/>
    <w:semiHidden/>
    <w:rsid w:val="006420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4915">
      <w:bodyDiv w:val="1"/>
      <w:marLeft w:val="0"/>
      <w:marRight w:val="0"/>
      <w:marTop w:val="0"/>
      <w:marBottom w:val="0"/>
      <w:divBdr>
        <w:top w:val="none" w:sz="0" w:space="0" w:color="auto"/>
        <w:left w:val="none" w:sz="0" w:space="0" w:color="auto"/>
        <w:bottom w:val="none" w:sz="0" w:space="0" w:color="auto"/>
        <w:right w:val="none" w:sz="0" w:space="0" w:color="auto"/>
      </w:divBdr>
      <w:divsChild>
        <w:div w:id="955717236">
          <w:marLeft w:val="0"/>
          <w:marRight w:val="0"/>
          <w:marTop w:val="0"/>
          <w:marBottom w:val="0"/>
          <w:divBdr>
            <w:top w:val="none" w:sz="0" w:space="0" w:color="auto"/>
            <w:left w:val="none" w:sz="0" w:space="0" w:color="auto"/>
            <w:bottom w:val="none" w:sz="0" w:space="0" w:color="auto"/>
            <w:right w:val="none" w:sz="0" w:space="0" w:color="auto"/>
          </w:divBdr>
        </w:div>
        <w:div w:id="1651907765">
          <w:marLeft w:val="0"/>
          <w:marRight w:val="0"/>
          <w:marTop w:val="0"/>
          <w:marBottom w:val="0"/>
          <w:divBdr>
            <w:top w:val="none" w:sz="0" w:space="0" w:color="auto"/>
            <w:left w:val="none" w:sz="0" w:space="0" w:color="auto"/>
            <w:bottom w:val="none" w:sz="0" w:space="0" w:color="auto"/>
            <w:right w:val="none" w:sz="0" w:space="0" w:color="auto"/>
          </w:divBdr>
        </w:div>
        <w:div w:id="1457210600">
          <w:marLeft w:val="0"/>
          <w:marRight w:val="0"/>
          <w:marTop w:val="0"/>
          <w:marBottom w:val="0"/>
          <w:divBdr>
            <w:top w:val="none" w:sz="0" w:space="0" w:color="auto"/>
            <w:left w:val="none" w:sz="0" w:space="0" w:color="auto"/>
            <w:bottom w:val="none" w:sz="0" w:space="0" w:color="auto"/>
            <w:right w:val="none" w:sz="0" w:space="0" w:color="auto"/>
          </w:divBdr>
        </w:div>
      </w:divsChild>
    </w:div>
    <w:div w:id="116218336">
      <w:bodyDiv w:val="1"/>
      <w:marLeft w:val="0"/>
      <w:marRight w:val="0"/>
      <w:marTop w:val="0"/>
      <w:marBottom w:val="0"/>
      <w:divBdr>
        <w:top w:val="none" w:sz="0" w:space="0" w:color="auto"/>
        <w:left w:val="none" w:sz="0" w:space="0" w:color="auto"/>
        <w:bottom w:val="none" w:sz="0" w:space="0" w:color="auto"/>
        <w:right w:val="none" w:sz="0" w:space="0" w:color="auto"/>
      </w:divBdr>
    </w:div>
    <w:div w:id="303970095">
      <w:bodyDiv w:val="1"/>
      <w:marLeft w:val="0"/>
      <w:marRight w:val="0"/>
      <w:marTop w:val="0"/>
      <w:marBottom w:val="0"/>
      <w:divBdr>
        <w:top w:val="none" w:sz="0" w:space="0" w:color="auto"/>
        <w:left w:val="none" w:sz="0" w:space="0" w:color="auto"/>
        <w:bottom w:val="none" w:sz="0" w:space="0" w:color="auto"/>
        <w:right w:val="none" w:sz="0" w:space="0" w:color="auto"/>
      </w:divBdr>
    </w:div>
    <w:div w:id="317078232">
      <w:bodyDiv w:val="1"/>
      <w:marLeft w:val="0"/>
      <w:marRight w:val="0"/>
      <w:marTop w:val="0"/>
      <w:marBottom w:val="0"/>
      <w:divBdr>
        <w:top w:val="none" w:sz="0" w:space="0" w:color="auto"/>
        <w:left w:val="none" w:sz="0" w:space="0" w:color="auto"/>
        <w:bottom w:val="none" w:sz="0" w:space="0" w:color="auto"/>
        <w:right w:val="none" w:sz="0" w:space="0" w:color="auto"/>
      </w:divBdr>
      <w:divsChild>
        <w:div w:id="738089565">
          <w:marLeft w:val="0"/>
          <w:marRight w:val="0"/>
          <w:marTop w:val="0"/>
          <w:marBottom w:val="0"/>
          <w:divBdr>
            <w:top w:val="none" w:sz="0" w:space="0" w:color="auto"/>
            <w:left w:val="none" w:sz="0" w:space="0" w:color="auto"/>
            <w:bottom w:val="none" w:sz="0" w:space="0" w:color="auto"/>
            <w:right w:val="none" w:sz="0" w:space="0" w:color="auto"/>
          </w:divBdr>
        </w:div>
        <w:div w:id="987397937">
          <w:marLeft w:val="0"/>
          <w:marRight w:val="0"/>
          <w:marTop w:val="0"/>
          <w:marBottom w:val="0"/>
          <w:divBdr>
            <w:top w:val="none" w:sz="0" w:space="0" w:color="auto"/>
            <w:left w:val="none" w:sz="0" w:space="0" w:color="auto"/>
            <w:bottom w:val="none" w:sz="0" w:space="0" w:color="auto"/>
            <w:right w:val="none" w:sz="0" w:space="0" w:color="auto"/>
          </w:divBdr>
        </w:div>
        <w:div w:id="714962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hr-HR" sz="1100"/>
              <a:t>Incidencija CVID-a u zemljama jugoistočne europe na kompletnom stanovništvu</a:t>
            </a:r>
            <a:endParaRPr lang="en-US" sz="1100"/>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Sheet1!$B$1</c:f>
              <c:strCache>
                <c:ptCount val="1"/>
                <c:pt idx="0">
                  <c:v>Broj Pacienata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6"/>
                <c:pt idx="0">
                  <c:v>Bosna i Hercegovina</c:v>
                </c:pt>
                <c:pt idx="1">
                  <c:v>Hrvatska</c:v>
                </c:pt>
                <c:pt idx="2">
                  <c:v>Srbija</c:v>
                </c:pt>
                <c:pt idx="3">
                  <c:v>Mađarska</c:v>
                </c:pt>
                <c:pt idx="4">
                  <c:v>Crna Gora</c:v>
                </c:pt>
                <c:pt idx="5">
                  <c:v>Slovenija  </c:v>
                </c:pt>
              </c:strCache>
            </c:strRef>
          </c:cat>
          <c:val>
            <c:numRef>
              <c:f>Sheet1!$B$2:$B$8</c:f>
              <c:numCache>
                <c:formatCode>General</c:formatCode>
                <c:ptCount val="7"/>
                <c:pt idx="0">
                  <c:v>116</c:v>
                </c:pt>
                <c:pt idx="1">
                  <c:v>133</c:v>
                </c:pt>
                <c:pt idx="2">
                  <c:v>240</c:v>
                </c:pt>
                <c:pt idx="3">
                  <c:v>316</c:v>
                </c:pt>
                <c:pt idx="4">
                  <c:v>21</c:v>
                </c:pt>
                <c:pt idx="5">
                  <c:v>63</c:v>
                </c:pt>
              </c:numCache>
            </c:numRef>
          </c:val>
          <c:extLst>
            <c:ext xmlns:c16="http://schemas.microsoft.com/office/drawing/2014/chart" uri="{C3380CC4-5D6E-409C-BE32-E72D297353CC}">
              <c16:uniqueId val="{00000000-E7FB-491B-8468-7ED5031274AD}"/>
            </c:ext>
          </c:extLst>
        </c:ser>
        <c:dLbls>
          <c:showLegendKey val="0"/>
          <c:showVal val="0"/>
          <c:showCatName val="0"/>
          <c:showSerName val="0"/>
          <c:showPercent val="0"/>
          <c:showBubbleSize val="0"/>
        </c:dLbls>
        <c:gapWidth val="100"/>
        <c:overlap val="-24"/>
        <c:axId val="376879808"/>
        <c:axId val="376871168"/>
      </c:barChart>
      <c:catAx>
        <c:axId val="376879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crossAx val="376871168"/>
        <c:crosses val="autoZero"/>
        <c:auto val="1"/>
        <c:lblAlgn val="ctr"/>
        <c:lblOffset val="100"/>
        <c:noMultiLvlLbl val="0"/>
      </c:catAx>
      <c:valAx>
        <c:axId val="376871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crossAx val="376879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054B9-4831-462C-B7D0-451C4C15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1825</Words>
  <Characters>10407</Characters>
  <Application>Microsoft Office Word</Application>
  <DocSecurity>0</DocSecurity>
  <Lines>86</Lines>
  <Paragraphs>24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Tade Popović</cp:lastModifiedBy>
  <cp:revision>5</cp:revision>
  <dcterms:created xsi:type="dcterms:W3CDTF">2024-01-06T15:45:00Z</dcterms:created>
  <dcterms:modified xsi:type="dcterms:W3CDTF">2024-05-27T15:38:00Z</dcterms:modified>
</cp:coreProperties>
</file>