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447591" w14:textId="77777777" w:rsidR="00CD0A1E" w:rsidRPr="00EB4B97" w:rsidRDefault="00CD0A1E" w:rsidP="00EB4B97">
      <w:pPr>
        <w:pStyle w:val="ListParagraph"/>
        <w:ind w:left="0"/>
        <w:rPr>
          <w:b/>
          <w:sz w:val="24"/>
          <w:szCs w:val="24"/>
        </w:rPr>
      </w:pPr>
    </w:p>
    <w:p w14:paraId="7E5F04A7" w14:textId="178CB956" w:rsidR="00CD0A1E" w:rsidRDefault="00CD0A1E" w:rsidP="00EB4B97">
      <w:pPr>
        <w:pStyle w:val="ListParagraph"/>
        <w:spacing w:line="480" w:lineRule="auto"/>
        <w:ind w:left="0"/>
        <w:jc w:val="both"/>
        <w:rPr>
          <w:rFonts w:ascii="Times New Roman" w:hAnsi="Times New Roman" w:cs="Times New Roman"/>
          <w:b/>
          <w:sz w:val="24"/>
          <w:szCs w:val="24"/>
          <w:lang w:val="bs-Latn-BA"/>
        </w:rPr>
      </w:pPr>
      <w:r w:rsidRPr="00EB4B97">
        <w:rPr>
          <w:rFonts w:ascii="Times New Roman" w:hAnsi="Times New Roman" w:cs="Times New Roman"/>
          <w:b/>
          <w:sz w:val="24"/>
          <w:szCs w:val="24"/>
          <w:lang w:val="bs-Latn-BA"/>
        </w:rPr>
        <w:t xml:space="preserve">Značaj radioterapije u liječenju metastatskih formi Juingovog sarkoma </w:t>
      </w:r>
      <w:r w:rsidR="00BB6A20" w:rsidRPr="00EB4B97">
        <w:rPr>
          <w:rFonts w:ascii="Times New Roman" w:eastAsia="Times New Roman" w:hAnsi="Times New Roman" w:cs="Times New Roman"/>
          <w:sz w:val="24"/>
          <w:szCs w:val="24"/>
        </w:rPr>
        <w:t>–</w:t>
      </w:r>
      <w:r w:rsidRPr="00EB4B97">
        <w:rPr>
          <w:rFonts w:ascii="Times New Roman" w:hAnsi="Times New Roman" w:cs="Times New Roman"/>
          <w:b/>
          <w:sz w:val="24"/>
          <w:szCs w:val="24"/>
          <w:lang w:val="bs-Latn-BA"/>
        </w:rPr>
        <w:t xml:space="preserve"> prikaz slučaja</w:t>
      </w:r>
    </w:p>
    <w:p w14:paraId="1E4277BA" w14:textId="77777777" w:rsidR="00CD0A1E" w:rsidRPr="00EB4B97" w:rsidRDefault="00CD0A1E" w:rsidP="00EB4B97">
      <w:pPr>
        <w:pStyle w:val="ListParagraph"/>
        <w:spacing w:line="480" w:lineRule="auto"/>
        <w:ind w:left="0"/>
        <w:jc w:val="both"/>
        <w:rPr>
          <w:rFonts w:ascii="Times New Roman" w:hAnsi="Times New Roman" w:cs="Times New Roman"/>
          <w:b/>
          <w:sz w:val="24"/>
          <w:szCs w:val="24"/>
          <w:lang w:val="bs-Latn-BA"/>
        </w:rPr>
      </w:pPr>
      <w:r w:rsidRPr="00EB4B97">
        <w:rPr>
          <w:rFonts w:ascii="Times New Roman" w:hAnsi="Times New Roman" w:cs="Times New Roman"/>
          <w:b/>
          <w:sz w:val="24"/>
          <w:szCs w:val="24"/>
          <w:lang w:val="bs-Latn-BA"/>
        </w:rPr>
        <w:t>Abstrakt</w:t>
      </w:r>
    </w:p>
    <w:p w14:paraId="76F7D430" w14:textId="78968240" w:rsidR="00CD0A1E" w:rsidRPr="00EB4B97" w:rsidRDefault="00CD0A1E" w:rsidP="00EB4B97">
      <w:pPr>
        <w:pStyle w:val="ListParagraph"/>
        <w:spacing w:line="480" w:lineRule="auto"/>
        <w:ind w:left="0"/>
        <w:jc w:val="both"/>
        <w:rPr>
          <w:rFonts w:ascii="Times New Roman" w:hAnsi="Times New Roman" w:cs="Times New Roman"/>
          <w:sz w:val="24"/>
          <w:szCs w:val="24"/>
          <w:lang w:val="bs-Latn-BA"/>
        </w:rPr>
      </w:pPr>
      <w:r w:rsidRPr="00EB4B97">
        <w:rPr>
          <w:rFonts w:ascii="Times New Roman" w:hAnsi="Times New Roman" w:cs="Times New Roman"/>
          <w:sz w:val="24"/>
          <w:szCs w:val="24"/>
          <w:lang w:val="bs-Latn-BA"/>
        </w:rPr>
        <w:t>Juingov sarkom je drugi najčešći primarni maligni tumor koji zahvata koštani sistem. Najčešće se javlja u djetinjstvu i ranoj adolescenciji, sa prevalencom 2:1 000 000, i nešto većom učestalošću kod muškog u odnosu na ženski pol (1.5:1). Predilekciono mjesto za nastanak koštanog oblika Juingovog sarkoma jesu metadijafize dugih kostiju, najčešće donjih ekstremiteta. Najčešća metastatska sijela ove bolesti jesu pluća (38%), kosti (31%) i kostna srž (11%). Neophodna dijagnostička obrada podrazumijeva biopsiju tumora sa patohistološkom  verifikacijom, te imidžing metode koje obuhvataju PET/CT/MR. Juingov sarkom je hemioradio senzitivan tumor. Preporučeni pristup liječenju podrazumijeva indukcionu (neoadjuvantnu) primjenu hemioterapije u 3</w:t>
      </w:r>
      <w:r w:rsidR="00BB6A20" w:rsidRPr="00EB4B97">
        <w:rPr>
          <w:rFonts w:ascii="Times New Roman" w:eastAsia="Times New Roman" w:hAnsi="Times New Roman" w:cs="Times New Roman"/>
          <w:sz w:val="24"/>
          <w:szCs w:val="24"/>
        </w:rPr>
        <w:t>–</w:t>
      </w:r>
      <w:r w:rsidRPr="00EB4B97">
        <w:rPr>
          <w:rFonts w:ascii="Times New Roman" w:hAnsi="Times New Roman" w:cs="Times New Roman"/>
          <w:sz w:val="24"/>
          <w:szCs w:val="24"/>
          <w:lang w:val="bs-Latn-BA"/>
        </w:rPr>
        <w:t>6 ciklusa, nakon toga hirurgija i radioterapija predstavljaju osnov liječenja. Radioterapija u liječenju Juingovog sarkoma se primjenjuje neoadjuvantno, adjuvantno kao definitivna i palijativna radioterapija. Primjena savremene, multimodalne terapije, omogućava petogodišnje preživljavanje 50</w:t>
      </w:r>
      <w:r w:rsidR="00BB6A20" w:rsidRPr="00EB4B97">
        <w:rPr>
          <w:rFonts w:ascii="Times New Roman" w:eastAsia="Times New Roman" w:hAnsi="Times New Roman" w:cs="Times New Roman"/>
          <w:sz w:val="24"/>
          <w:szCs w:val="24"/>
        </w:rPr>
        <w:t>–</w:t>
      </w:r>
      <w:r w:rsidRPr="00EB4B97">
        <w:rPr>
          <w:rFonts w:ascii="Times New Roman" w:hAnsi="Times New Roman" w:cs="Times New Roman"/>
          <w:sz w:val="24"/>
          <w:szCs w:val="24"/>
          <w:lang w:val="bs-Latn-BA"/>
        </w:rPr>
        <w:t>70% oboljelih.</w:t>
      </w:r>
    </w:p>
    <w:p w14:paraId="1C94296E" w14:textId="77777777" w:rsidR="00CD0A1E" w:rsidRDefault="00CD0A1E" w:rsidP="00EB4B97">
      <w:pPr>
        <w:pStyle w:val="ListParagraph"/>
        <w:spacing w:line="480" w:lineRule="auto"/>
        <w:ind w:left="0"/>
        <w:jc w:val="both"/>
        <w:rPr>
          <w:rFonts w:ascii="Times New Roman" w:hAnsi="Times New Roman" w:cs="Times New Roman"/>
          <w:sz w:val="24"/>
          <w:szCs w:val="24"/>
          <w:lang w:val="bs-Latn-BA"/>
        </w:rPr>
      </w:pPr>
      <w:r w:rsidRPr="00EB4B97">
        <w:rPr>
          <w:rFonts w:ascii="Times New Roman" w:hAnsi="Times New Roman" w:cs="Times New Roman"/>
          <w:sz w:val="24"/>
          <w:szCs w:val="24"/>
          <w:lang w:val="bs-Latn-BA"/>
        </w:rPr>
        <w:t>Ključne riječi:</w:t>
      </w:r>
      <w:r w:rsidRPr="00EB4B97">
        <w:rPr>
          <w:rFonts w:ascii="Times New Roman" w:hAnsi="Times New Roman" w:cs="Times New Roman"/>
          <w:b/>
          <w:sz w:val="24"/>
          <w:szCs w:val="24"/>
          <w:lang w:val="bs-Latn-BA"/>
        </w:rPr>
        <w:t xml:space="preserve"> </w:t>
      </w:r>
      <w:r w:rsidRPr="00EB4B97">
        <w:rPr>
          <w:rFonts w:ascii="Times New Roman" w:hAnsi="Times New Roman" w:cs="Times New Roman"/>
          <w:sz w:val="24"/>
          <w:szCs w:val="24"/>
          <w:lang w:val="bs-Latn-BA"/>
        </w:rPr>
        <w:t>Juingov sarkom, metastatska bolest, radioterapija</w:t>
      </w:r>
    </w:p>
    <w:p w14:paraId="7B061B54" w14:textId="77777777" w:rsidR="002E5374" w:rsidRPr="00EB4B97" w:rsidRDefault="002E5374" w:rsidP="00EB4B97">
      <w:pPr>
        <w:pStyle w:val="ListParagraph"/>
        <w:spacing w:line="480" w:lineRule="auto"/>
        <w:ind w:left="0"/>
        <w:jc w:val="both"/>
        <w:rPr>
          <w:rFonts w:ascii="Times New Roman" w:hAnsi="Times New Roman" w:cs="Times New Roman"/>
          <w:b/>
          <w:sz w:val="24"/>
          <w:szCs w:val="24"/>
          <w:lang w:val="bs-Latn-BA"/>
        </w:rPr>
      </w:pPr>
      <w:r w:rsidRPr="00EB4B97">
        <w:rPr>
          <w:rFonts w:ascii="Times New Roman" w:hAnsi="Times New Roman" w:cs="Times New Roman"/>
          <w:b/>
          <w:sz w:val="24"/>
          <w:szCs w:val="24"/>
          <w:lang w:val="bs-Latn-BA"/>
        </w:rPr>
        <w:t>Uvod</w:t>
      </w:r>
    </w:p>
    <w:p w14:paraId="34535276" w14:textId="77777777" w:rsidR="002E5374" w:rsidRDefault="002E5374" w:rsidP="00EB4B97">
      <w:pPr>
        <w:pStyle w:val="ListParagraph"/>
        <w:spacing w:line="480" w:lineRule="auto"/>
        <w:ind w:left="0"/>
        <w:jc w:val="both"/>
        <w:rPr>
          <w:rFonts w:ascii="Times New Roman" w:hAnsi="Times New Roman" w:cs="Times New Roman"/>
          <w:sz w:val="24"/>
          <w:szCs w:val="24"/>
          <w:lang w:val="bs-Latn-BA"/>
        </w:rPr>
      </w:pPr>
      <w:r w:rsidRPr="00EB4B97">
        <w:rPr>
          <w:rFonts w:ascii="Times New Roman" w:hAnsi="Times New Roman" w:cs="Times New Roman"/>
          <w:sz w:val="24"/>
          <w:szCs w:val="24"/>
          <w:lang w:val="bs-Latn-BA"/>
        </w:rPr>
        <w:t xml:space="preserve">Juingov sarkom je drugi najčešći primarni maligni tumor koji zahvata koštani sistem. Osim koštane forme, poznati su ekstraosealni oblik </w:t>
      </w:r>
      <w:r w:rsidRPr="00EB4B97">
        <w:rPr>
          <w:rFonts w:ascii="Times New Roman" w:hAnsi="Times New Roman" w:cs="Times New Roman"/>
          <w:sz w:val="24"/>
          <w:szCs w:val="24"/>
          <w:lang w:val="bs-Cyrl-BA"/>
        </w:rPr>
        <w:t>(ЕЕ</w:t>
      </w:r>
      <w:r w:rsidRPr="00EB4B97">
        <w:rPr>
          <w:rFonts w:ascii="Times New Roman" w:hAnsi="Times New Roman" w:cs="Times New Roman"/>
          <w:sz w:val="24"/>
          <w:szCs w:val="24"/>
          <w:lang w:val="bs-Latn-BA"/>
        </w:rPr>
        <w:t xml:space="preserve">S) i primitivni neuroektodermani tumor (PNET). Juingov sarkom se najčešće javlja u djetinjstvu i ranoj adolescenciji, sa prevalencom 2:1 000 000, i nešto većom učestalošću kod muškog u odnosu na ženski pol (1.5:1). Predilekciono mjesto za nastanak koštanog oblika Juingovog sarkoma jesu metadijafize dugih kostiju, najčešće donjih ekstremiteta, što objašnjava putanju rasta tumora duž medularnog kanala i njegov </w:t>
      </w:r>
      <w:r w:rsidRPr="00EB4B97">
        <w:rPr>
          <w:rFonts w:ascii="Times New Roman" w:hAnsi="Times New Roman" w:cs="Times New Roman"/>
          <w:sz w:val="24"/>
          <w:szCs w:val="24"/>
          <w:lang w:val="bs-Latn-BA"/>
        </w:rPr>
        <w:lastRenderedPageBreak/>
        <w:t>prelazak na proksimalne zglobove, ili kada probijajući korteks infiltrišu okolna meka tkiva i mišiće. Najčešća metastatska sijela ove bolesti jesu pluća (38%), kosti (31%) i kostna srž</w:t>
      </w:r>
      <w:r w:rsidR="00A4205B" w:rsidRPr="00EB4B97">
        <w:rPr>
          <w:rFonts w:ascii="Times New Roman" w:hAnsi="Times New Roman" w:cs="Times New Roman"/>
          <w:sz w:val="24"/>
          <w:szCs w:val="24"/>
          <w:lang w:val="bs-Latn-BA"/>
        </w:rPr>
        <w:t xml:space="preserve"> </w:t>
      </w:r>
      <w:r w:rsidRPr="00EB4B97">
        <w:rPr>
          <w:rFonts w:ascii="Times New Roman" w:hAnsi="Times New Roman" w:cs="Times New Roman"/>
          <w:sz w:val="24"/>
          <w:szCs w:val="24"/>
          <w:lang w:val="bs-Latn-BA"/>
        </w:rPr>
        <w:t>(11%). Neophodna dijagnostička obrada podrazumijeva biopsiju tumora sa patohistološkom  verifikacijom, te imidžing metode koje obuhvataju PET/CT/MR. Radioterapija u liječenju Juingovog sarkoma se primjenjuje neoadjuvantno, adjuvantno kao definitivna i palijativna radioterapija.</w:t>
      </w:r>
    </w:p>
    <w:p w14:paraId="7B8F56E6" w14:textId="77777777" w:rsidR="0062417A" w:rsidRPr="00EB4B97" w:rsidRDefault="0062417A" w:rsidP="00EB4B97">
      <w:pPr>
        <w:pStyle w:val="ListParagraph"/>
        <w:spacing w:line="480" w:lineRule="auto"/>
        <w:ind w:left="0"/>
        <w:jc w:val="both"/>
        <w:rPr>
          <w:rFonts w:ascii="Times New Roman" w:hAnsi="Times New Roman" w:cs="Times New Roman"/>
          <w:b/>
          <w:sz w:val="24"/>
          <w:szCs w:val="24"/>
          <w:lang w:val="bs-Latn-BA"/>
        </w:rPr>
      </w:pPr>
      <w:r w:rsidRPr="00EB4B97">
        <w:rPr>
          <w:rFonts w:ascii="Times New Roman" w:hAnsi="Times New Roman" w:cs="Times New Roman"/>
          <w:b/>
          <w:sz w:val="24"/>
          <w:szCs w:val="24"/>
          <w:lang w:val="bs-Latn-BA"/>
        </w:rPr>
        <w:t>Cilj rada</w:t>
      </w:r>
    </w:p>
    <w:p w14:paraId="4505B42F" w14:textId="652B467E" w:rsidR="0062417A" w:rsidRDefault="0062417A" w:rsidP="00EB4B97">
      <w:pPr>
        <w:pStyle w:val="ListParagraph"/>
        <w:spacing w:line="480" w:lineRule="auto"/>
        <w:ind w:left="0"/>
        <w:jc w:val="both"/>
        <w:rPr>
          <w:rFonts w:ascii="Times New Roman" w:hAnsi="Times New Roman" w:cs="Times New Roman"/>
          <w:sz w:val="24"/>
          <w:szCs w:val="24"/>
          <w:lang w:val="bs-Latn-BA"/>
        </w:rPr>
      </w:pPr>
      <w:r w:rsidRPr="00EB4B97">
        <w:rPr>
          <w:rFonts w:ascii="Times New Roman" w:hAnsi="Times New Roman" w:cs="Times New Roman"/>
          <w:sz w:val="24"/>
          <w:szCs w:val="24"/>
          <w:lang w:val="bs-Latn-BA"/>
        </w:rPr>
        <w:t>Cilj ovog rada jeste pokazati doprinos radioter</w:t>
      </w:r>
      <w:r w:rsidR="00B00FAD" w:rsidRPr="00EB4B97">
        <w:rPr>
          <w:rFonts w:ascii="Times New Roman" w:hAnsi="Times New Roman" w:cs="Times New Roman"/>
          <w:sz w:val="24"/>
          <w:szCs w:val="24"/>
          <w:lang w:val="bs-Latn-BA"/>
        </w:rPr>
        <w:t>apije u kontroli lokalne i meta</w:t>
      </w:r>
      <w:r w:rsidRPr="00EB4B97">
        <w:rPr>
          <w:rFonts w:ascii="Times New Roman" w:hAnsi="Times New Roman" w:cs="Times New Roman"/>
          <w:sz w:val="24"/>
          <w:szCs w:val="24"/>
          <w:lang w:val="bs-Latn-BA"/>
        </w:rPr>
        <w:t>statske forme Juingovog sarkoma</w:t>
      </w:r>
    </w:p>
    <w:p w14:paraId="06DE4805" w14:textId="77777777" w:rsidR="006A6432" w:rsidRPr="00EB4B97" w:rsidRDefault="006A6432" w:rsidP="00EB4B97">
      <w:pPr>
        <w:pStyle w:val="ListParagraph"/>
        <w:spacing w:line="480" w:lineRule="auto"/>
        <w:ind w:left="0"/>
        <w:jc w:val="both"/>
        <w:rPr>
          <w:rFonts w:ascii="Times New Roman" w:hAnsi="Times New Roman" w:cs="Times New Roman"/>
          <w:b/>
          <w:sz w:val="24"/>
          <w:szCs w:val="24"/>
          <w:lang w:val="bs-Latn-BA"/>
        </w:rPr>
      </w:pPr>
      <w:r w:rsidRPr="00EB4B97">
        <w:rPr>
          <w:rFonts w:ascii="Times New Roman" w:hAnsi="Times New Roman" w:cs="Times New Roman"/>
          <w:b/>
          <w:sz w:val="24"/>
          <w:szCs w:val="24"/>
          <w:lang w:val="bs-Latn-BA"/>
        </w:rPr>
        <w:t>Istorija slučaja</w:t>
      </w:r>
    </w:p>
    <w:p w14:paraId="1EF53E9D" w14:textId="21E74FDE" w:rsidR="003137F1" w:rsidRDefault="006A6432" w:rsidP="00EB4B97">
      <w:pPr>
        <w:pStyle w:val="ListParagraph"/>
        <w:spacing w:line="480" w:lineRule="auto"/>
        <w:ind w:left="0"/>
        <w:jc w:val="both"/>
        <w:rPr>
          <w:rFonts w:ascii="Times New Roman" w:hAnsi="Times New Roman" w:cs="Times New Roman"/>
          <w:sz w:val="24"/>
          <w:szCs w:val="24"/>
          <w:lang w:val="bs-Latn-BA"/>
        </w:rPr>
      </w:pPr>
      <w:r w:rsidRPr="00EB4B97">
        <w:rPr>
          <w:rFonts w:ascii="Times New Roman" w:hAnsi="Times New Roman" w:cs="Times New Roman"/>
          <w:sz w:val="24"/>
          <w:szCs w:val="24"/>
          <w:lang w:val="bs-Latn-BA"/>
        </w:rPr>
        <w:t xml:space="preserve">Pacijentkinja se prvi put javlja u Centar za radioterapiju IMC Banja Luka zbog moždanih metastaza. </w:t>
      </w:r>
      <w:r w:rsidR="00E13218" w:rsidRPr="00EB4B97">
        <w:rPr>
          <w:rFonts w:ascii="Times New Roman" w:hAnsi="Times New Roman" w:cs="Times New Roman"/>
          <w:sz w:val="24"/>
          <w:szCs w:val="24"/>
          <w:lang w:val="bs-Latn-BA"/>
        </w:rPr>
        <w:t>Bolest</w:t>
      </w:r>
      <w:r w:rsidRPr="00EB4B97">
        <w:rPr>
          <w:rFonts w:ascii="Times New Roman" w:hAnsi="Times New Roman" w:cs="Times New Roman"/>
          <w:sz w:val="24"/>
          <w:szCs w:val="24"/>
          <w:lang w:val="bs-Latn-BA"/>
        </w:rPr>
        <w:t xml:space="preserve"> je bolest počela 2017. godine bolom u desnom kuku, šest mjeseci prije postavljanja dijagnoze. Nakon urađene dijagnostičke obrade </w:t>
      </w:r>
      <w:r w:rsidRPr="00EB4B97">
        <w:rPr>
          <w:rFonts w:ascii="Times New Roman" w:hAnsi="Times New Roman" w:cs="Times New Roman"/>
          <w:sz w:val="24"/>
          <w:szCs w:val="24"/>
          <w:lang w:val="bs-Cyrl-BA"/>
        </w:rPr>
        <w:t>(М</w:t>
      </w:r>
      <w:r w:rsidR="00E518D8" w:rsidRPr="00EB4B97">
        <w:rPr>
          <w:rFonts w:ascii="Times New Roman" w:hAnsi="Times New Roman" w:cs="Times New Roman"/>
          <w:sz w:val="24"/>
          <w:szCs w:val="24"/>
          <w:lang w:val="bs-Latn-BA"/>
        </w:rPr>
        <w:t>R</w:t>
      </w:r>
      <w:r w:rsidRPr="00EB4B97">
        <w:rPr>
          <w:rFonts w:ascii="Times New Roman" w:hAnsi="Times New Roman" w:cs="Times New Roman"/>
          <w:sz w:val="24"/>
          <w:szCs w:val="24"/>
          <w:lang w:val="bs-Latn-BA"/>
        </w:rPr>
        <w:t xml:space="preserve">) postavljena je sumnja na tumor kosti, te je biopsijom i patohistološkom analizom potvrđena definitivna dijagnoza koštane forme Juingovog sarkoma. Liječenje je započeto </w:t>
      </w:r>
      <w:r w:rsidR="00A4205B" w:rsidRPr="00EB4B97">
        <w:rPr>
          <w:rFonts w:ascii="Times New Roman" w:hAnsi="Times New Roman" w:cs="Times New Roman"/>
          <w:sz w:val="24"/>
          <w:szCs w:val="24"/>
          <w:lang w:val="bs-Latn-BA"/>
        </w:rPr>
        <w:t xml:space="preserve">neoadjuvantno, </w:t>
      </w:r>
      <w:r w:rsidR="0062417A" w:rsidRPr="00EB4B97">
        <w:rPr>
          <w:rFonts w:ascii="Times New Roman" w:hAnsi="Times New Roman" w:cs="Times New Roman"/>
          <w:sz w:val="24"/>
          <w:szCs w:val="24"/>
          <w:lang w:val="bs-Latn-BA"/>
        </w:rPr>
        <w:t>po VIDA protokolu</w:t>
      </w:r>
      <w:r w:rsidRPr="00EB4B97">
        <w:rPr>
          <w:rFonts w:ascii="Times New Roman" w:hAnsi="Times New Roman" w:cs="Times New Roman"/>
          <w:sz w:val="24"/>
          <w:szCs w:val="24"/>
          <w:lang w:val="bs-Latn-BA"/>
        </w:rPr>
        <w:t>. Kasnije je urađen operativni zahvat</w:t>
      </w:r>
      <w:r w:rsidRPr="00EB4B97">
        <w:rPr>
          <w:rFonts w:ascii="Times New Roman" w:hAnsi="Times New Roman" w:cs="Times New Roman"/>
          <w:i/>
          <w:sz w:val="24"/>
          <w:szCs w:val="24"/>
          <w:lang w:val="bs-Latn-BA"/>
        </w:rPr>
        <w:t xml:space="preserve">, </w:t>
      </w:r>
      <w:r w:rsidRPr="00EB4B97">
        <w:rPr>
          <w:rFonts w:ascii="Times New Roman" w:hAnsi="Times New Roman" w:cs="Times New Roman"/>
          <w:sz w:val="24"/>
          <w:szCs w:val="24"/>
          <w:lang w:val="bs-Latn-BA"/>
        </w:rPr>
        <w:t>uz koji je dobijen i nalaz biopsije.</w:t>
      </w:r>
      <w:r w:rsidRPr="00EB4B97">
        <w:rPr>
          <w:rFonts w:ascii="Times New Roman" w:hAnsi="Times New Roman" w:cs="Times New Roman"/>
          <w:b/>
          <w:sz w:val="24"/>
          <w:szCs w:val="24"/>
          <w:lang w:val="bs-Latn-BA"/>
        </w:rPr>
        <w:t xml:space="preserve"> </w:t>
      </w:r>
      <w:r w:rsidRPr="00EB4B97">
        <w:rPr>
          <w:rFonts w:ascii="Times New Roman" w:hAnsi="Times New Roman" w:cs="Times New Roman"/>
          <w:sz w:val="24"/>
          <w:szCs w:val="24"/>
          <w:lang w:val="bs-Latn-BA"/>
        </w:rPr>
        <w:t>U daljem toku liječenja pacijentkinja tretirana adjuvantno po VAL protokolu</w:t>
      </w:r>
      <w:r w:rsidR="0062417A" w:rsidRPr="00EB4B97">
        <w:rPr>
          <w:rFonts w:ascii="Times New Roman" w:hAnsi="Times New Roman" w:cs="Times New Roman"/>
          <w:sz w:val="24"/>
          <w:szCs w:val="24"/>
          <w:lang w:val="bs-Latn-BA"/>
        </w:rPr>
        <w:t xml:space="preserve">. </w:t>
      </w:r>
      <w:r w:rsidRPr="00EB4B97">
        <w:rPr>
          <w:rFonts w:ascii="Times New Roman" w:hAnsi="Times New Roman" w:cs="Times New Roman"/>
          <w:sz w:val="24"/>
          <w:szCs w:val="24"/>
          <w:lang w:val="bs-Latn-BA"/>
        </w:rPr>
        <w:t>U daljem toku liječenja pacijentkinja redovno praćena.</w:t>
      </w:r>
      <w:r w:rsidRPr="00EB4B97">
        <w:rPr>
          <w:rFonts w:ascii="Times New Roman" w:hAnsi="Times New Roman" w:cs="Times New Roman"/>
          <w:b/>
          <w:sz w:val="24"/>
          <w:szCs w:val="24"/>
          <w:lang w:val="bs-Latn-BA"/>
        </w:rPr>
        <w:t xml:space="preserve"> </w:t>
      </w:r>
      <w:r w:rsidRPr="00EB4B97">
        <w:rPr>
          <w:rFonts w:ascii="Times New Roman" w:hAnsi="Times New Roman" w:cs="Times New Roman"/>
          <w:sz w:val="24"/>
          <w:szCs w:val="24"/>
          <w:lang w:val="bs-Latn-BA"/>
        </w:rPr>
        <w:t xml:space="preserve">Dvije godine kasnije, kada su u toku redovne </w:t>
      </w:r>
      <w:r w:rsidR="002B4512" w:rsidRPr="00EB4B97">
        <w:rPr>
          <w:rFonts w:ascii="Times New Roman" w:hAnsi="Times New Roman" w:cs="Times New Roman"/>
          <w:sz w:val="24"/>
          <w:szCs w:val="24"/>
          <w:lang w:val="bs-Latn-BA"/>
        </w:rPr>
        <w:t xml:space="preserve">reevaluacije bolesti </w:t>
      </w:r>
      <w:r w:rsidRPr="00EB4B97">
        <w:rPr>
          <w:rFonts w:ascii="Times New Roman" w:hAnsi="Times New Roman" w:cs="Times New Roman"/>
          <w:sz w:val="24"/>
          <w:szCs w:val="24"/>
          <w:lang w:val="bs-Latn-BA"/>
        </w:rPr>
        <w:t>urađeni MR kuka i CT pluća, uočene su bilateralne metastatske promjene u plućima i lokalni recidiv, nakon čega je ura</w:t>
      </w:r>
      <w:r w:rsidR="002B4512" w:rsidRPr="00EB4B97">
        <w:rPr>
          <w:rFonts w:ascii="Times New Roman" w:hAnsi="Times New Roman" w:cs="Times New Roman"/>
          <w:sz w:val="24"/>
          <w:szCs w:val="24"/>
          <w:lang w:val="bs-Latn-BA"/>
        </w:rPr>
        <w:t xml:space="preserve">đena ekstirpacija </w:t>
      </w:r>
      <w:r w:rsidRPr="00EB4B97">
        <w:rPr>
          <w:rFonts w:ascii="Times New Roman" w:hAnsi="Times New Roman" w:cs="Times New Roman"/>
          <w:sz w:val="24"/>
          <w:szCs w:val="24"/>
          <w:lang w:val="bs-Latn-BA"/>
        </w:rPr>
        <w:t>recidiva i patohistološka analiza uzorka.</w:t>
      </w:r>
      <w:r w:rsidRPr="00EB4B97">
        <w:rPr>
          <w:rFonts w:ascii="Times New Roman" w:hAnsi="Times New Roman" w:cs="Times New Roman"/>
          <w:b/>
          <w:sz w:val="24"/>
          <w:szCs w:val="24"/>
          <w:lang w:val="bs-Latn-BA"/>
        </w:rPr>
        <w:t xml:space="preserve"> </w:t>
      </w:r>
      <w:r w:rsidR="00E13218" w:rsidRPr="00EB4B97">
        <w:rPr>
          <w:rFonts w:ascii="Times New Roman" w:hAnsi="Times New Roman" w:cs="Times New Roman"/>
          <w:sz w:val="24"/>
          <w:szCs w:val="24"/>
          <w:lang w:val="bs-Latn-BA"/>
        </w:rPr>
        <w:t>U</w:t>
      </w:r>
      <w:r w:rsidRPr="00EB4B97">
        <w:rPr>
          <w:rFonts w:ascii="Times New Roman" w:hAnsi="Times New Roman" w:cs="Times New Roman"/>
          <w:sz w:val="24"/>
          <w:szCs w:val="24"/>
          <w:lang w:val="bs-Latn-BA"/>
        </w:rPr>
        <w:t xml:space="preserve"> postoperativnom toku </w:t>
      </w:r>
      <w:r w:rsidR="00E13218" w:rsidRPr="00EB4B97">
        <w:rPr>
          <w:rFonts w:ascii="Times New Roman" w:hAnsi="Times New Roman" w:cs="Times New Roman"/>
          <w:sz w:val="24"/>
          <w:szCs w:val="24"/>
          <w:lang w:val="bs-Latn-BA"/>
        </w:rPr>
        <w:t xml:space="preserve">se </w:t>
      </w:r>
      <w:r w:rsidRPr="00EB4B97">
        <w:rPr>
          <w:rFonts w:ascii="Times New Roman" w:hAnsi="Times New Roman" w:cs="Times New Roman"/>
          <w:sz w:val="24"/>
          <w:szCs w:val="24"/>
          <w:lang w:val="bs-Latn-BA"/>
        </w:rPr>
        <w:t>desio kolaps na osnovu čega je preporučen  MR mozga, koji je pokazao metastatske depozite u okcipitalnom režnju.</w:t>
      </w:r>
      <w:r w:rsidRPr="00EB4B97">
        <w:rPr>
          <w:rFonts w:ascii="Times New Roman" w:hAnsi="Times New Roman" w:cs="Times New Roman"/>
          <w:b/>
          <w:sz w:val="24"/>
          <w:szCs w:val="24"/>
          <w:lang w:val="bs-Latn-BA"/>
        </w:rPr>
        <w:t xml:space="preserve"> </w:t>
      </w:r>
      <w:r w:rsidRPr="00EB4B97">
        <w:rPr>
          <w:rFonts w:ascii="Times New Roman" w:hAnsi="Times New Roman" w:cs="Times New Roman"/>
          <w:sz w:val="24"/>
          <w:szCs w:val="24"/>
          <w:lang w:val="bs-Latn-BA"/>
        </w:rPr>
        <w:t>Potom je uk</w:t>
      </w:r>
      <w:r w:rsidR="00B15D51" w:rsidRPr="00EB4B97">
        <w:rPr>
          <w:rFonts w:ascii="Times New Roman" w:hAnsi="Times New Roman" w:cs="Times New Roman"/>
          <w:sz w:val="24"/>
          <w:szCs w:val="24"/>
          <w:lang w:val="bs-Latn-BA"/>
        </w:rPr>
        <w:t>ljučena 1. linija hemioterapije</w:t>
      </w:r>
      <w:r w:rsidRPr="00EB4B97">
        <w:rPr>
          <w:rFonts w:ascii="Times New Roman" w:hAnsi="Times New Roman" w:cs="Times New Roman"/>
          <w:sz w:val="24"/>
          <w:szCs w:val="24"/>
          <w:lang w:val="bs-Latn-BA"/>
        </w:rPr>
        <w:t>.</w:t>
      </w:r>
      <w:r w:rsidRPr="00EB4B97">
        <w:rPr>
          <w:rFonts w:ascii="Times New Roman" w:hAnsi="Times New Roman" w:cs="Times New Roman"/>
          <w:b/>
          <w:sz w:val="24"/>
          <w:szCs w:val="24"/>
          <w:lang w:val="bs-Latn-BA"/>
        </w:rPr>
        <w:t xml:space="preserve"> </w:t>
      </w:r>
      <w:r w:rsidRPr="00EB4B97">
        <w:rPr>
          <w:rFonts w:ascii="Times New Roman" w:hAnsi="Times New Roman" w:cs="Times New Roman"/>
          <w:sz w:val="24"/>
          <w:szCs w:val="24"/>
          <w:lang w:val="bs-Latn-BA"/>
        </w:rPr>
        <w:t>Nakon toga su urađeni CT pluća i MR kuka uz pomoć kojih je uočena regresija bolesti.</w:t>
      </w:r>
      <w:r w:rsidRPr="00EB4B97">
        <w:rPr>
          <w:rFonts w:ascii="Times New Roman" w:hAnsi="Times New Roman" w:cs="Times New Roman"/>
          <w:b/>
          <w:sz w:val="24"/>
          <w:szCs w:val="24"/>
          <w:lang w:val="bs-Latn-BA"/>
        </w:rPr>
        <w:t xml:space="preserve"> </w:t>
      </w:r>
      <w:r w:rsidRPr="00EB4B97">
        <w:rPr>
          <w:rFonts w:ascii="Times New Roman" w:hAnsi="Times New Roman" w:cs="Times New Roman"/>
          <w:sz w:val="24"/>
          <w:szCs w:val="24"/>
          <w:lang w:val="bs-Latn-BA"/>
        </w:rPr>
        <w:t xml:space="preserve">Pacijentkinja dalje navodi glavobolju i bljeskove pred očima, što </w:t>
      </w:r>
      <w:r w:rsidRPr="00EB4B97">
        <w:rPr>
          <w:rFonts w:ascii="Times New Roman" w:hAnsi="Times New Roman" w:cs="Times New Roman"/>
          <w:sz w:val="24"/>
          <w:szCs w:val="24"/>
          <w:lang w:val="bs-Latn-BA"/>
        </w:rPr>
        <w:lastRenderedPageBreak/>
        <w:t>odgovara sekundarnim depozitima potvrđenim MR.</w:t>
      </w:r>
      <w:r w:rsidRPr="00EB4B97">
        <w:rPr>
          <w:rFonts w:ascii="Times New Roman" w:hAnsi="Times New Roman" w:cs="Times New Roman"/>
          <w:b/>
          <w:sz w:val="24"/>
          <w:szCs w:val="24"/>
          <w:lang w:val="bs-Latn-BA"/>
        </w:rPr>
        <w:t xml:space="preserve"> </w:t>
      </w:r>
      <w:r w:rsidRPr="00EB4B97">
        <w:rPr>
          <w:rFonts w:ascii="Times New Roman" w:hAnsi="Times New Roman" w:cs="Times New Roman"/>
          <w:sz w:val="24"/>
          <w:szCs w:val="24"/>
          <w:lang w:val="bs-Latn-BA"/>
        </w:rPr>
        <w:t xml:space="preserve">Kod pacijentkinje je prema odluci onkološkog konzilijuma provedena palijativna </w:t>
      </w:r>
      <w:r w:rsidR="0062417A" w:rsidRPr="00EB4B97">
        <w:rPr>
          <w:rFonts w:ascii="Times New Roman" w:hAnsi="Times New Roman" w:cs="Times New Roman"/>
          <w:sz w:val="24"/>
          <w:szCs w:val="24"/>
          <w:lang w:val="bs-Latn-BA"/>
        </w:rPr>
        <w:t>radioterapija</w:t>
      </w:r>
      <w:r w:rsidRPr="00EB4B97">
        <w:rPr>
          <w:rFonts w:ascii="Times New Roman" w:hAnsi="Times New Roman" w:cs="Times New Roman"/>
          <w:sz w:val="24"/>
          <w:szCs w:val="24"/>
          <w:lang w:val="bs-Latn-BA"/>
        </w:rPr>
        <w:t xml:space="preserve"> ci</w:t>
      </w:r>
      <w:r w:rsidR="0062417A" w:rsidRPr="00EB4B97">
        <w:rPr>
          <w:rFonts w:ascii="Times New Roman" w:hAnsi="Times New Roman" w:cs="Times New Roman"/>
          <w:sz w:val="24"/>
          <w:szCs w:val="24"/>
          <w:lang w:val="bs-Latn-BA"/>
        </w:rPr>
        <w:t xml:space="preserve">jelog mozga, sa simultanim boost-om na metastatska ležišta. </w:t>
      </w:r>
      <w:r w:rsidRPr="00EB4B97">
        <w:rPr>
          <w:rFonts w:ascii="Times New Roman" w:hAnsi="Times New Roman" w:cs="Times New Roman"/>
          <w:sz w:val="24"/>
          <w:szCs w:val="24"/>
          <w:lang w:val="bs-Latn-BA"/>
        </w:rPr>
        <w:t>U daljem toku liječenja, radioter</w:t>
      </w:r>
      <w:r w:rsidR="005A240F" w:rsidRPr="00EB4B97">
        <w:rPr>
          <w:rFonts w:ascii="Times New Roman" w:hAnsi="Times New Roman" w:cs="Times New Roman"/>
          <w:sz w:val="24"/>
          <w:szCs w:val="24"/>
          <w:lang w:val="bs-Latn-BA"/>
        </w:rPr>
        <w:t>a</w:t>
      </w:r>
      <w:r w:rsidRPr="00EB4B97">
        <w:rPr>
          <w:rFonts w:ascii="Times New Roman" w:hAnsi="Times New Roman" w:cs="Times New Roman"/>
          <w:sz w:val="24"/>
          <w:szCs w:val="24"/>
          <w:lang w:val="bs-Latn-BA"/>
        </w:rPr>
        <w:t>pijski</w:t>
      </w:r>
      <w:r w:rsidR="0062417A" w:rsidRPr="00EB4B97">
        <w:rPr>
          <w:rFonts w:ascii="Times New Roman" w:hAnsi="Times New Roman" w:cs="Times New Roman"/>
          <w:sz w:val="24"/>
          <w:szCs w:val="24"/>
          <w:lang w:val="bs-Latn-BA"/>
        </w:rPr>
        <w:t xml:space="preserve"> je</w:t>
      </w:r>
      <w:r w:rsidRPr="00EB4B97">
        <w:rPr>
          <w:rFonts w:ascii="Times New Roman" w:hAnsi="Times New Roman" w:cs="Times New Roman"/>
          <w:sz w:val="24"/>
          <w:szCs w:val="24"/>
          <w:lang w:val="bs-Latn-BA"/>
        </w:rPr>
        <w:t xml:space="preserve"> tretirana regija desnog kuka. </w:t>
      </w:r>
      <w:r w:rsidR="0062417A" w:rsidRPr="00EB4B97">
        <w:rPr>
          <w:rFonts w:ascii="Times New Roman" w:hAnsi="Times New Roman" w:cs="Times New Roman"/>
          <w:sz w:val="24"/>
          <w:szCs w:val="24"/>
          <w:lang w:val="bs-Latn-BA"/>
        </w:rPr>
        <w:t>Potom</w:t>
      </w:r>
      <w:r w:rsidRPr="00EB4B97">
        <w:rPr>
          <w:rFonts w:ascii="Times New Roman" w:hAnsi="Times New Roman" w:cs="Times New Roman"/>
          <w:sz w:val="24"/>
          <w:szCs w:val="24"/>
          <w:lang w:val="bs-Latn-BA"/>
        </w:rPr>
        <w:t xml:space="preserve"> je, prema odluci onkološkog konzilijuma provedena palijativna RT metastatskih depozita u C2 i Th4-Th11, te pelvičnim kostima uz pazopanib</w:t>
      </w:r>
      <w:r w:rsidR="005A240F" w:rsidRPr="00EB4B97">
        <w:rPr>
          <w:rFonts w:ascii="Times New Roman" w:hAnsi="Times New Roman" w:cs="Times New Roman"/>
          <w:sz w:val="24"/>
          <w:szCs w:val="24"/>
          <w:lang w:val="bs-Latn-BA"/>
        </w:rPr>
        <w:t>.</w:t>
      </w:r>
      <w:r w:rsidR="00B15D51" w:rsidRPr="00EB4B97">
        <w:rPr>
          <w:rFonts w:ascii="Times New Roman" w:hAnsi="Times New Roman" w:cs="Times New Roman"/>
          <w:sz w:val="24"/>
          <w:szCs w:val="24"/>
          <w:lang w:val="bs-Latn-BA"/>
        </w:rPr>
        <w:t xml:space="preserve"> U Tabeli 1. su prikazane </w:t>
      </w:r>
      <w:r w:rsidR="00C34BF8" w:rsidRPr="00EB4B97">
        <w:rPr>
          <w:rFonts w:ascii="Times New Roman" w:hAnsi="Times New Roman" w:cs="Times New Roman"/>
          <w:sz w:val="24"/>
          <w:szCs w:val="24"/>
          <w:lang w:val="bs-Latn-BA"/>
        </w:rPr>
        <w:t>sve regije koje su radioterapijski tretirane, kao i tehniku radioterap</w:t>
      </w:r>
      <w:r w:rsidR="00B15D51" w:rsidRPr="00EB4B97">
        <w:rPr>
          <w:rFonts w:ascii="Times New Roman" w:hAnsi="Times New Roman" w:cs="Times New Roman"/>
          <w:sz w:val="24"/>
          <w:szCs w:val="24"/>
          <w:lang w:val="bs-Latn-BA"/>
        </w:rPr>
        <w:t>j</w:t>
      </w:r>
      <w:r w:rsidR="00C34BF8" w:rsidRPr="00EB4B97">
        <w:rPr>
          <w:rFonts w:ascii="Times New Roman" w:hAnsi="Times New Roman" w:cs="Times New Roman"/>
          <w:sz w:val="24"/>
          <w:szCs w:val="24"/>
          <w:lang w:val="bs-Latn-BA"/>
        </w:rPr>
        <w:t>iskog tretmana sa ukupnom isporučenom dozom, brojem frakcija i pojedinačnom dnevnom dozom</w:t>
      </w:r>
      <w:r w:rsidR="002B4ACD" w:rsidRPr="00EB4B97">
        <w:rPr>
          <w:rFonts w:ascii="Times New Roman" w:hAnsi="Times New Roman" w:cs="Times New Roman"/>
          <w:sz w:val="24"/>
          <w:szCs w:val="24"/>
          <w:lang w:val="bs-Latn-BA"/>
        </w:rPr>
        <w:t>, a na Grafikonu 1. je prikazan odnos ukupnih i dnevnih doza na svaku pojedinačnu regiju.</w:t>
      </w:r>
    </w:p>
    <w:p w14:paraId="59A91035" w14:textId="45DFA0F0" w:rsidR="001A3A3C" w:rsidRPr="00EB4B97" w:rsidRDefault="001A3A3C" w:rsidP="00EB4B97">
      <w:pPr>
        <w:pStyle w:val="ListParagraph"/>
        <w:spacing w:line="480" w:lineRule="auto"/>
        <w:ind w:left="0"/>
        <w:jc w:val="both"/>
        <w:rPr>
          <w:rFonts w:ascii="Times New Roman" w:hAnsi="Times New Roman" w:cs="Times New Roman"/>
          <w:sz w:val="24"/>
          <w:szCs w:val="24"/>
          <w:lang w:val="bs-Latn-BA"/>
        </w:rPr>
      </w:pPr>
      <w:r w:rsidRPr="00EB4B97">
        <w:rPr>
          <w:rFonts w:ascii="Times New Roman" w:hAnsi="Times New Roman" w:cs="Times New Roman"/>
          <w:b/>
          <w:sz w:val="24"/>
          <w:szCs w:val="24"/>
          <w:lang w:val="bs-Latn-BA"/>
        </w:rPr>
        <w:t xml:space="preserve">Tabela 1. </w:t>
      </w:r>
      <w:r w:rsidRPr="00EB4B97">
        <w:rPr>
          <w:rFonts w:ascii="Times New Roman" w:hAnsi="Times New Roman" w:cs="Times New Roman"/>
          <w:sz w:val="24"/>
          <w:szCs w:val="24"/>
          <w:lang w:val="bs-Latn-BA"/>
        </w:rPr>
        <w:t>Tehnike zračenja i dozna raspodjela tretiranih regija</w:t>
      </w:r>
    </w:p>
    <w:tbl>
      <w:tblPr>
        <w:tblStyle w:val="TableGrid"/>
        <w:tblW w:w="0" w:type="auto"/>
        <w:jc w:val="right"/>
        <w:tblLook w:val="04A0" w:firstRow="1" w:lastRow="0" w:firstColumn="1" w:lastColumn="0" w:noHBand="0" w:noVBand="1"/>
      </w:tblPr>
      <w:tblGrid>
        <w:gridCol w:w="1483"/>
        <w:gridCol w:w="2183"/>
        <w:gridCol w:w="2171"/>
        <w:gridCol w:w="1097"/>
        <w:gridCol w:w="1255"/>
      </w:tblGrid>
      <w:tr w:rsidR="00C42E7E" w:rsidRPr="00EB4B97" w14:paraId="34E782E4" w14:textId="77777777" w:rsidTr="00EB4B97">
        <w:trPr>
          <w:trHeight w:val="351"/>
          <w:jc w:val="right"/>
        </w:trPr>
        <w:tc>
          <w:tcPr>
            <w:tcW w:w="0" w:type="auto"/>
          </w:tcPr>
          <w:p w14:paraId="0AC5B5BE" w14:textId="77777777" w:rsidR="00C42E7E" w:rsidRPr="00EB4B97" w:rsidRDefault="00C42E7E" w:rsidP="00EB4B97">
            <w:pPr>
              <w:pStyle w:val="ListParagraph"/>
              <w:ind w:left="0"/>
              <w:jc w:val="both"/>
              <w:rPr>
                <w:rFonts w:ascii="Times New Roman" w:hAnsi="Times New Roman" w:cs="Times New Roman"/>
                <w:sz w:val="24"/>
                <w:szCs w:val="24"/>
                <w:lang w:val="bs-Latn-BA"/>
              </w:rPr>
            </w:pPr>
          </w:p>
          <w:p w14:paraId="5DD9E34F" w14:textId="77777777" w:rsidR="00C42E7E" w:rsidRPr="00EB4B97" w:rsidRDefault="00C42E7E" w:rsidP="00EB4B97">
            <w:pPr>
              <w:pStyle w:val="ListParagraph"/>
              <w:ind w:left="0"/>
              <w:jc w:val="center"/>
              <w:rPr>
                <w:rFonts w:ascii="Times New Roman" w:hAnsi="Times New Roman" w:cs="Times New Roman"/>
                <w:b/>
                <w:sz w:val="24"/>
                <w:szCs w:val="24"/>
                <w:lang w:val="bs-Latn-BA"/>
              </w:rPr>
            </w:pPr>
            <w:r w:rsidRPr="00EB4B97">
              <w:rPr>
                <w:rFonts w:ascii="Times New Roman" w:hAnsi="Times New Roman" w:cs="Times New Roman"/>
                <w:b/>
                <w:sz w:val="24"/>
                <w:szCs w:val="24"/>
                <w:lang w:val="bs-Latn-BA"/>
              </w:rPr>
              <w:t>Regija zračenja</w:t>
            </w:r>
          </w:p>
        </w:tc>
        <w:tc>
          <w:tcPr>
            <w:tcW w:w="0" w:type="auto"/>
          </w:tcPr>
          <w:p w14:paraId="0AF22AC4" w14:textId="77777777" w:rsidR="00C42E7E" w:rsidRPr="00EB4B97" w:rsidRDefault="00C42E7E" w:rsidP="00EB4B97">
            <w:pPr>
              <w:pStyle w:val="ListParagraph"/>
              <w:ind w:left="0"/>
              <w:jc w:val="center"/>
              <w:rPr>
                <w:rFonts w:ascii="Times New Roman" w:hAnsi="Times New Roman" w:cs="Times New Roman"/>
                <w:sz w:val="24"/>
                <w:szCs w:val="24"/>
                <w:lang w:val="bs-Latn-BA"/>
              </w:rPr>
            </w:pPr>
          </w:p>
          <w:p w14:paraId="075F453F" w14:textId="77777777" w:rsidR="00C42E7E" w:rsidRPr="00EB4B97" w:rsidRDefault="00C42E7E" w:rsidP="00EB4B97">
            <w:pPr>
              <w:pStyle w:val="ListParagraph"/>
              <w:ind w:left="0"/>
              <w:jc w:val="center"/>
              <w:rPr>
                <w:rFonts w:ascii="Times New Roman" w:hAnsi="Times New Roman" w:cs="Times New Roman"/>
                <w:b/>
                <w:sz w:val="24"/>
                <w:szCs w:val="24"/>
                <w:lang w:val="bs-Latn-BA"/>
              </w:rPr>
            </w:pPr>
            <w:r w:rsidRPr="00EB4B97">
              <w:rPr>
                <w:rFonts w:ascii="Times New Roman" w:hAnsi="Times New Roman" w:cs="Times New Roman"/>
                <w:b/>
                <w:sz w:val="24"/>
                <w:szCs w:val="24"/>
                <w:lang w:val="bs-Latn-BA"/>
              </w:rPr>
              <w:t>Tehnika zračenja</w:t>
            </w:r>
          </w:p>
        </w:tc>
        <w:tc>
          <w:tcPr>
            <w:tcW w:w="0" w:type="auto"/>
          </w:tcPr>
          <w:p w14:paraId="6CF04386" w14:textId="77777777" w:rsidR="00C42E7E" w:rsidRPr="00EB4B97" w:rsidRDefault="00C42E7E" w:rsidP="00EB4B97">
            <w:pPr>
              <w:pStyle w:val="ListParagraph"/>
              <w:ind w:left="0"/>
              <w:jc w:val="center"/>
              <w:rPr>
                <w:rFonts w:ascii="Times New Roman" w:hAnsi="Times New Roman" w:cs="Times New Roman"/>
                <w:b/>
                <w:sz w:val="24"/>
                <w:szCs w:val="24"/>
                <w:lang w:val="bs-Latn-BA"/>
              </w:rPr>
            </w:pPr>
            <w:r w:rsidRPr="00EB4B97">
              <w:rPr>
                <w:rFonts w:ascii="Times New Roman" w:hAnsi="Times New Roman" w:cs="Times New Roman"/>
                <w:b/>
                <w:sz w:val="24"/>
                <w:szCs w:val="24"/>
                <w:lang w:val="bs-Latn-BA"/>
              </w:rPr>
              <w:t>Ukupna isporučena doza (Gy)</w:t>
            </w:r>
          </w:p>
        </w:tc>
        <w:tc>
          <w:tcPr>
            <w:tcW w:w="0" w:type="auto"/>
          </w:tcPr>
          <w:p w14:paraId="585B4A03" w14:textId="77777777" w:rsidR="00C42E7E" w:rsidRPr="00EB4B97" w:rsidRDefault="00C42E7E" w:rsidP="00EB4B97">
            <w:pPr>
              <w:pStyle w:val="ListParagraph"/>
              <w:ind w:left="0"/>
              <w:jc w:val="center"/>
              <w:rPr>
                <w:rFonts w:ascii="Times New Roman" w:hAnsi="Times New Roman" w:cs="Times New Roman"/>
                <w:sz w:val="24"/>
                <w:szCs w:val="24"/>
                <w:lang w:val="bs-Latn-BA"/>
              </w:rPr>
            </w:pPr>
          </w:p>
          <w:p w14:paraId="4133494E" w14:textId="77777777" w:rsidR="00C42E7E" w:rsidRPr="00EB4B97" w:rsidRDefault="00C42E7E" w:rsidP="00EB4B97">
            <w:pPr>
              <w:pStyle w:val="ListParagraph"/>
              <w:ind w:left="0"/>
              <w:jc w:val="center"/>
              <w:rPr>
                <w:rFonts w:ascii="Times New Roman" w:hAnsi="Times New Roman" w:cs="Times New Roman"/>
                <w:b/>
                <w:sz w:val="24"/>
                <w:szCs w:val="24"/>
                <w:lang w:val="bs-Latn-BA"/>
              </w:rPr>
            </w:pPr>
            <w:r w:rsidRPr="00EB4B97">
              <w:rPr>
                <w:rFonts w:ascii="Times New Roman" w:hAnsi="Times New Roman" w:cs="Times New Roman"/>
                <w:b/>
                <w:sz w:val="24"/>
                <w:szCs w:val="24"/>
                <w:lang w:val="bs-Latn-BA"/>
              </w:rPr>
              <w:t>Dnevna</w:t>
            </w:r>
          </w:p>
          <w:p w14:paraId="6790049C" w14:textId="77777777" w:rsidR="00C42E7E" w:rsidRPr="00EB4B97" w:rsidRDefault="00C42E7E" w:rsidP="00EB4B97">
            <w:pPr>
              <w:pStyle w:val="ListParagraph"/>
              <w:ind w:left="0"/>
              <w:jc w:val="center"/>
              <w:rPr>
                <w:rFonts w:ascii="Times New Roman" w:hAnsi="Times New Roman" w:cs="Times New Roman"/>
                <w:sz w:val="24"/>
                <w:szCs w:val="24"/>
                <w:lang w:val="bs-Latn-BA"/>
              </w:rPr>
            </w:pPr>
            <w:r w:rsidRPr="00EB4B97">
              <w:rPr>
                <w:rFonts w:ascii="Times New Roman" w:hAnsi="Times New Roman" w:cs="Times New Roman"/>
                <w:b/>
                <w:sz w:val="24"/>
                <w:szCs w:val="24"/>
                <w:lang w:val="bs-Latn-BA"/>
              </w:rPr>
              <w:t>doza (Gy)</w:t>
            </w:r>
          </w:p>
        </w:tc>
        <w:tc>
          <w:tcPr>
            <w:tcW w:w="0" w:type="auto"/>
          </w:tcPr>
          <w:p w14:paraId="1B0DB542" w14:textId="77777777" w:rsidR="00C42E7E" w:rsidRPr="00EB4B97" w:rsidRDefault="00C42E7E" w:rsidP="00EB4B97">
            <w:pPr>
              <w:pStyle w:val="ListParagraph"/>
              <w:ind w:left="0"/>
              <w:jc w:val="center"/>
              <w:rPr>
                <w:rFonts w:ascii="Times New Roman" w:hAnsi="Times New Roman" w:cs="Times New Roman"/>
                <w:sz w:val="24"/>
                <w:szCs w:val="24"/>
                <w:lang w:val="bs-Latn-BA"/>
              </w:rPr>
            </w:pPr>
          </w:p>
          <w:p w14:paraId="77EF5D9F" w14:textId="77777777" w:rsidR="00C42E7E" w:rsidRPr="00EB4B97" w:rsidRDefault="00C42E7E" w:rsidP="00EB4B97">
            <w:pPr>
              <w:pStyle w:val="ListParagraph"/>
              <w:ind w:left="0"/>
              <w:jc w:val="center"/>
              <w:rPr>
                <w:rFonts w:ascii="Times New Roman" w:hAnsi="Times New Roman" w:cs="Times New Roman"/>
                <w:b/>
                <w:sz w:val="24"/>
                <w:szCs w:val="24"/>
                <w:lang w:val="bs-Latn-BA"/>
              </w:rPr>
            </w:pPr>
            <w:r w:rsidRPr="00EB4B97">
              <w:rPr>
                <w:rFonts w:ascii="Times New Roman" w:hAnsi="Times New Roman" w:cs="Times New Roman"/>
                <w:b/>
                <w:sz w:val="24"/>
                <w:szCs w:val="24"/>
                <w:lang w:val="bs-Latn-BA"/>
              </w:rPr>
              <w:t>Broj frakcija</w:t>
            </w:r>
          </w:p>
        </w:tc>
      </w:tr>
      <w:tr w:rsidR="00C42E7E" w:rsidRPr="00EB4B97" w14:paraId="5E7E1985" w14:textId="77777777" w:rsidTr="00EB4B97">
        <w:trPr>
          <w:trHeight w:val="102"/>
          <w:jc w:val="right"/>
        </w:trPr>
        <w:tc>
          <w:tcPr>
            <w:tcW w:w="0" w:type="auto"/>
          </w:tcPr>
          <w:p w14:paraId="30952E7C" w14:textId="77777777" w:rsidR="00C42E7E" w:rsidRPr="00EB4B97" w:rsidRDefault="00C42E7E" w:rsidP="00EB4B97">
            <w:pPr>
              <w:pStyle w:val="ListParagraph"/>
              <w:ind w:left="0"/>
              <w:jc w:val="center"/>
              <w:rPr>
                <w:rFonts w:ascii="Times New Roman" w:hAnsi="Times New Roman" w:cs="Times New Roman"/>
                <w:sz w:val="24"/>
                <w:szCs w:val="24"/>
                <w:lang w:val="bs-Latn-BA"/>
              </w:rPr>
            </w:pPr>
            <w:r w:rsidRPr="00EB4B97">
              <w:rPr>
                <w:rFonts w:ascii="Times New Roman" w:hAnsi="Times New Roman" w:cs="Times New Roman"/>
                <w:sz w:val="24"/>
                <w:szCs w:val="24"/>
                <w:lang w:val="bs-Latn-BA"/>
              </w:rPr>
              <w:t>Cijeli mozak</w:t>
            </w:r>
          </w:p>
        </w:tc>
        <w:tc>
          <w:tcPr>
            <w:tcW w:w="0" w:type="auto"/>
          </w:tcPr>
          <w:p w14:paraId="662513BA" w14:textId="77777777" w:rsidR="00C42E7E" w:rsidRPr="00EB4B97" w:rsidRDefault="00C42E7E" w:rsidP="00EB4B97">
            <w:pPr>
              <w:pStyle w:val="ListParagraph"/>
              <w:ind w:left="0"/>
              <w:jc w:val="center"/>
              <w:rPr>
                <w:rFonts w:ascii="Times New Roman" w:hAnsi="Times New Roman" w:cs="Times New Roman"/>
                <w:sz w:val="24"/>
                <w:szCs w:val="24"/>
                <w:lang w:val="bs-Latn-BA"/>
              </w:rPr>
            </w:pPr>
            <w:r w:rsidRPr="00EB4B97">
              <w:rPr>
                <w:rFonts w:ascii="Times New Roman" w:hAnsi="Times New Roman" w:cs="Times New Roman"/>
                <w:sz w:val="24"/>
                <w:szCs w:val="24"/>
                <w:lang w:val="bs-Latn-BA"/>
              </w:rPr>
              <w:t>VMAT</w:t>
            </w:r>
          </w:p>
        </w:tc>
        <w:tc>
          <w:tcPr>
            <w:tcW w:w="0" w:type="auto"/>
          </w:tcPr>
          <w:p w14:paraId="3772A7C1" w14:textId="77777777" w:rsidR="00C42E7E" w:rsidRPr="00EB4B97" w:rsidRDefault="00C42E7E" w:rsidP="00EB4B97">
            <w:pPr>
              <w:pStyle w:val="ListParagraph"/>
              <w:ind w:left="0"/>
              <w:jc w:val="center"/>
              <w:rPr>
                <w:rFonts w:ascii="Times New Roman" w:hAnsi="Times New Roman" w:cs="Times New Roman"/>
                <w:sz w:val="24"/>
                <w:szCs w:val="24"/>
                <w:lang w:val="bs-Latn-BA"/>
              </w:rPr>
            </w:pPr>
            <w:r w:rsidRPr="00EB4B97">
              <w:rPr>
                <w:rFonts w:ascii="Times New Roman" w:hAnsi="Times New Roman" w:cs="Times New Roman"/>
                <w:sz w:val="24"/>
                <w:szCs w:val="24"/>
                <w:lang w:val="bs-Latn-BA"/>
              </w:rPr>
              <w:t>20</w:t>
            </w:r>
          </w:p>
        </w:tc>
        <w:tc>
          <w:tcPr>
            <w:tcW w:w="0" w:type="auto"/>
          </w:tcPr>
          <w:p w14:paraId="449A6124" w14:textId="77777777" w:rsidR="00C42E7E" w:rsidRPr="00EB4B97" w:rsidRDefault="00C42E7E" w:rsidP="00EB4B97">
            <w:pPr>
              <w:pStyle w:val="ListParagraph"/>
              <w:ind w:left="0"/>
              <w:jc w:val="center"/>
              <w:rPr>
                <w:rFonts w:ascii="Times New Roman" w:hAnsi="Times New Roman" w:cs="Times New Roman"/>
                <w:sz w:val="24"/>
                <w:szCs w:val="24"/>
                <w:lang w:val="bs-Latn-BA"/>
              </w:rPr>
            </w:pPr>
            <w:r w:rsidRPr="00EB4B97">
              <w:rPr>
                <w:rFonts w:ascii="Times New Roman" w:hAnsi="Times New Roman" w:cs="Times New Roman"/>
                <w:sz w:val="24"/>
                <w:szCs w:val="24"/>
                <w:lang w:val="bs-Latn-BA"/>
              </w:rPr>
              <w:t>4</w:t>
            </w:r>
          </w:p>
        </w:tc>
        <w:tc>
          <w:tcPr>
            <w:tcW w:w="0" w:type="auto"/>
          </w:tcPr>
          <w:p w14:paraId="718D8D99" w14:textId="77777777" w:rsidR="00C42E7E" w:rsidRPr="00EB4B97" w:rsidRDefault="00C42E7E" w:rsidP="00EB4B97">
            <w:pPr>
              <w:pStyle w:val="ListParagraph"/>
              <w:ind w:left="0"/>
              <w:jc w:val="center"/>
              <w:rPr>
                <w:rFonts w:ascii="Times New Roman" w:hAnsi="Times New Roman" w:cs="Times New Roman"/>
                <w:sz w:val="24"/>
                <w:szCs w:val="24"/>
                <w:lang w:val="bs-Latn-BA"/>
              </w:rPr>
            </w:pPr>
            <w:r w:rsidRPr="00EB4B97">
              <w:rPr>
                <w:rFonts w:ascii="Times New Roman" w:hAnsi="Times New Roman" w:cs="Times New Roman"/>
                <w:sz w:val="24"/>
                <w:szCs w:val="24"/>
                <w:lang w:val="bs-Latn-BA"/>
              </w:rPr>
              <w:t>5</w:t>
            </w:r>
          </w:p>
        </w:tc>
      </w:tr>
      <w:tr w:rsidR="00C42E7E" w:rsidRPr="00EB4B97" w14:paraId="2F88CC5A" w14:textId="77777777" w:rsidTr="00EB4B97">
        <w:trPr>
          <w:trHeight w:val="414"/>
          <w:jc w:val="right"/>
        </w:trPr>
        <w:tc>
          <w:tcPr>
            <w:tcW w:w="0" w:type="auto"/>
          </w:tcPr>
          <w:p w14:paraId="26A5F5BC" w14:textId="77777777" w:rsidR="00C42E7E" w:rsidRPr="00EB4B97" w:rsidRDefault="00C42E7E" w:rsidP="00EB4B97">
            <w:pPr>
              <w:pStyle w:val="ListParagraph"/>
              <w:ind w:left="0"/>
              <w:jc w:val="center"/>
              <w:rPr>
                <w:rFonts w:ascii="Times New Roman" w:hAnsi="Times New Roman" w:cs="Times New Roman"/>
                <w:sz w:val="24"/>
                <w:szCs w:val="24"/>
                <w:lang w:val="bs-Latn-BA"/>
              </w:rPr>
            </w:pPr>
            <w:r w:rsidRPr="00EB4B97">
              <w:rPr>
                <w:rFonts w:ascii="Times New Roman" w:hAnsi="Times New Roman" w:cs="Times New Roman"/>
                <w:sz w:val="24"/>
                <w:szCs w:val="24"/>
                <w:lang w:val="bs-Latn-BA"/>
              </w:rPr>
              <w:t>Ležište metastaza</w:t>
            </w:r>
          </w:p>
        </w:tc>
        <w:tc>
          <w:tcPr>
            <w:tcW w:w="0" w:type="auto"/>
          </w:tcPr>
          <w:p w14:paraId="47D0EEC9" w14:textId="77777777" w:rsidR="00C42E7E" w:rsidRPr="00EB4B97" w:rsidRDefault="0062417A" w:rsidP="00EB4B97">
            <w:pPr>
              <w:pStyle w:val="ListParagraph"/>
              <w:ind w:left="0"/>
              <w:jc w:val="center"/>
              <w:rPr>
                <w:rFonts w:ascii="Times New Roman" w:hAnsi="Times New Roman" w:cs="Times New Roman"/>
                <w:sz w:val="24"/>
                <w:szCs w:val="24"/>
                <w:lang w:val="bs-Latn-BA"/>
              </w:rPr>
            </w:pPr>
            <w:r w:rsidRPr="00EB4B97">
              <w:rPr>
                <w:rFonts w:ascii="Times New Roman" w:hAnsi="Times New Roman" w:cs="Times New Roman"/>
                <w:sz w:val="24"/>
                <w:szCs w:val="24"/>
                <w:lang w:val="bs-Latn-BA"/>
              </w:rPr>
              <w:t xml:space="preserve">VMAT </w:t>
            </w:r>
            <w:r w:rsidR="00C42E7E" w:rsidRPr="00EB4B97">
              <w:rPr>
                <w:rFonts w:ascii="Times New Roman" w:hAnsi="Times New Roman" w:cs="Times New Roman"/>
                <w:sz w:val="24"/>
                <w:szCs w:val="24"/>
                <w:lang w:val="bs-Latn-BA"/>
              </w:rPr>
              <w:t>(simultani ablativni boost)</w:t>
            </w:r>
          </w:p>
        </w:tc>
        <w:tc>
          <w:tcPr>
            <w:tcW w:w="0" w:type="auto"/>
          </w:tcPr>
          <w:p w14:paraId="3565656B" w14:textId="77777777" w:rsidR="00C42E7E" w:rsidRPr="00EB4B97" w:rsidRDefault="00C42E7E" w:rsidP="00EB4B97">
            <w:pPr>
              <w:pStyle w:val="ListParagraph"/>
              <w:ind w:left="0"/>
              <w:jc w:val="center"/>
              <w:rPr>
                <w:rFonts w:ascii="Times New Roman" w:hAnsi="Times New Roman" w:cs="Times New Roman"/>
                <w:sz w:val="24"/>
                <w:szCs w:val="24"/>
                <w:lang w:val="bs-Latn-BA"/>
              </w:rPr>
            </w:pPr>
            <w:r w:rsidRPr="00EB4B97">
              <w:rPr>
                <w:rFonts w:ascii="Times New Roman" w:hAnsi="Times New Roman" w:cs="Times New Roman"/>
                <w:sz w:val="24"/>
                <w:szCs w:val="24"/>
                <w:lang w:val="bs-Latn-BA"/>
              </w:rPr>
              <w:t>40</w:t>
            </w:r>
          </w:p>
        </w:tc>
        <w:tc>
          <w:tcPr>
            <w:tcW w:w="0" w:type="auto"/>
          </w:tcPr>
          <w:p w14:paraId="0DF08FE4" w14:textId="77777777" w:rsidR="00C42E7E" w:rsidRPr="00EB4B97" w:rsidRDefault="00C42E7E" w:rsidP="00EB4B97">
            <w:pPr>
              <w:pStyle w:val="ListParagraph"/>
              <w:ind w:left="0"/>
              <w:jc w:val="center"/>
              <w:rPr>
                <w:rFonts w:ascii="Times New Roman" w:hAnsi="Times New Roman" w:cs="Times New Roman"/>
                <w:sz w:val="24"/>
                <w:szCs w:val="24"/>
                <w:lang w:val="bs-Latn-BA"/>
              </w:rPr>
            </w:pPr>
            <w:r w:rsidRPr="00EB4B97">
              <w:rPr>
                <w:rFonts w:ascii="Times New Roman" w:hAnsi="Times New Roman" w:cs="Times New Roman"/>
                <w:sz w:val="24"/>
                <w:szCs w:val="24"/>
                <w:lang w:val="bs-Latn-BA"/>
              </w:rPr>
              <w:t>8</w:t>
            </w:r>
          </w:p>
        </w:tc>
        <w:tc>
          <w:tcPr>
            <w:tcW w:w="0" w:type="auto"/>
          </w:tcPr>
          <w:p w14:paraId="60CCE562" w14:textId="77777777" w:rsidR="00C42E7E" w:rsidRPr="00EB4B97" w:rsidRDefault="00C42E7E" w:rsidP="00EB4B97">
            <w:pPr>
              <w:pStyle w:val="ListParagraph"/>
              <w:ind w:left="0"/>
              <w:jc w:val="center"/>
              <w:rPr>
                <w:rFonts w:ascii="Times New Roman" w:hAnsi="Times New Roman" w:cs="Times New Roman"/>
                <w:sz w:val="24"/>
                <w:szCs w:val="24"/>
                <w:lang w:val="bs-Latn-BA"/>
              </w:rPr>
            </w:pPr>
            <w:r w:rsidRPr="00EB4B97">
              <w:rPr>
                <w:rFonts w:ascii="Times New Roman" w:hAnsi="Times New Roman" w:cs="Times New Roman"/>
                <w:sz w:val="24"/>
                <w:szCs w:val="24"/>
                <w:lang w:val="bs-Latn-BA"/>
              </w:rPr>
              <w:t>5</w:t>
            </w:r>
          </w:p>
        </w:tc>
      </w:tr>
      <w:tr w:rsidR="00C42E7E" w:rsidRPr="00EB4B97" w14:paraId="38BD7232" w14:textId="77777777" w:rsidTr="00EB4B97">
        <w:trPr>
          <w:trHeight w:val="207"/>
          <w:jc w:val="right"/>
        </w:trPr>
        <w:tc>
          <w:tcPr>
            <w:tcW w:w="0" w:type="auto"/>
          </w:tcPr>
          <w:p w14:paraId="2E1453D1" w14:textId="77777777" w:rsidR="00C42E7E" w:rsidRPr="00EB4B97" w:rsidRDefault="00C42E7E" w:rsidP="00EB4B97">
            <w:pPr>
              <w:pStyle w:val="ListParagraph"/>
              <w:ind w:left="0"/>
              <w:jc w:val="center"/>
              <w:rPr>
                <w:rFonts w:ascii="Times New Roman" w:hAnsi="Times New Roman" w:cs="Times New Roman"/>
                <w:sz w:val="24"/>
                <w:szCs w:val="24"/>
                <w:lang w:val="bs-Latn-BA"/>
              </w:rPr>
            </w:pPr>
            <w:r w:rsidRPr="00EB4B97">
              <w:rPr>
                <w:rFonts w:ascii="Times New Roman" w:hAnsi="Times New Roman" w:cs="Times New Roman"/>
                <w:sz w:val="24"/>
                <w:szCs w:val="24"/>
                <w:lang w:val="bs-Latn-BA"/>
              </w:rPr>
              <w:t>Lokalni recidiv</w:t>
            </w:r>
          </w:p>
        </w:tc>
        <w:tc>
          <w:tcPr>
            <w:tcW w:w="0" w:type="auto"/>
          </w:tcPr>
          <w:p w14:paraId="5CE03877" w14:textId="77777777" w:rsidR="00C42E7E" w:rsidRPr="00EB4B97" w:rsidRDefault="00C42E7E" w:rsidP="00EB4B97">
            <w:pPr>
              <w:pStyle w:val="ListParagraph"/>
              <w:ind w:left="0"/>
              <w:jc w:val="center"/>
              <w:rPr>
                <w:rFonts w:ascii="Times New Roman" w:hAnsi="Times New Roman" w:cs="Times New Roman"/>
                <w:sz w:val="24"/>
                <w:szCs w:val="24"/>
                <w:lang w:val="bs-Latn-BA"/>
              </w:rPr>
            </w:pPr>
            <w:r w:rsidRPr="00EB4B97">
              <w:rPr>
                <w:rFonts w:ascii="Times New Roman" w:hAnsi="Times New Roman" w:cs="Times New Roman"/>
                <w:sz w:val="24"/>
                <w:szCs w:val="24"/>
                <w:lang w:val="bs-Latn-BA"/>
              </w:rPr>
              <w:t>3D CRT</w:t>
            </w:r>
          </w:p>
        </w:tc>
        <w:tc>
          <w:tcPr>
            <w:tcW w:w="0" w:type="auto"/>
          </w:tcPr>
          <w:p w14:paraId="20E30845" w14:textId="77777777" w:rsidR="00C42E7E" w:rsidRPr="00EB4B97" w:rsidRDefault="00C42E7E" w:rsidP="00EB4B97">
            <w:pPr>
              <w:pStyle w:val="ListParagraph"/>
              <w:ind w:left="0"/>
              <w:jc w:val="center"/>
              <w:rPr>
                <w:rFonts w:ascii="Times New Roman" w:hAnsi="Times New Roman" w:cs="Times New Roman"/>
                <w:sz w:val="24"/>
                <w:szCs w:val="24"/>
                <w:lang w:val="bs-Latn-BA"/>
              </w:rPr>
            </w:pPr>
            <w:r w:rsidRPr="00EB4B97">
              <w:rPr>
                <w:rFonts w:ascii="Times New Roman" w:hAnsi="Times New Roman" w:cs="Times New Roman"/>
                <w:sz w:val="24"/>
                <w:szCs w:val="24"/>
                <w:lang w:val="bs-Latn-BA"/>
              </w:rPr>
              <w:t>50</w:t>
            </w:r>
          </w:p>
        </w:tc>
        <w:tc>
          <w:tcPr>
            <w:tcW w:w="0" w:type="auto"/>
          </w:tcPr>
          <w:p w14:paraId="40C10D24" w14:textId="77777777" w:rsidR="00C42E7E" w:rsidRPr="00EB4B97" w:rsidRDefault="00C42E7E" w:rsidP="00EB4B97">
            <w:pPr>
              <w:pStyle w:val="ListParagraph"/>
              <w:ind w:left="0"/>
              <w:jc w:val="center"/>
              <w:rPr>
                <w:rFonts w:ascii="Times New Roman" w:hAnsi="Times New Roman" w:cs="Times New Roman"/>
                <w:sz w:val="24"/>
                <w:szCs w:val="24"/>
                <w:lang w:val="bs-Latn-BA"/>
              </w:rPr>
            </w:pPr>
            <w:r w:rsidRPr="00EB4B97">
              <w:rPr>
                <w:rFonts w:ascii="Times New Roman" w:hAnsi="Times New Roman" w:cs="Times New Roman"/>
                <w:sz w:val="24"/>
                <w:szCs w:val="24"/>
                <w:lang w:val="bs-Latn-BA"/>
              </w:rPr>
              <w:t>2</w:t>
            </w:r>
          </w:p>
        </w:tc>
        <w:tc>
          <w:tcPr>
            <w:tcW w:w="0" w:type="auto"/>
          </w:tcPr>
          <w:p w14:paraId="49220242" w14:textId="77777777" w:rsidR="00C42E7E" w:rsidRPr="00EB4B97" w:rsidRDefault="00C42E7E" w:rsidP="00EB4B97">
            <w:pPr>
              <w:pStyle w:val="ListParagraph"/>
              <w:ind w:left="0"/>
              <w:jc w:val="center"/>
              <w:rPr>
                <w:rFonts w:ascii="Times New Roman" w:hAnsi="Times New Roman" w:cs="Times New Roman"/>
                <w:sz w:val="24"/>
                <w:szCs w:val="24"/>
                <w:lang w:val="bs-Latn-BA"/>
              </w:rPr>
            </w:pPr>
            <w:r w:rsidRPr="00EB4B97">
              <w:rPr>
                <w:rFonts w:ascii="Times New Roman" w:hAnsi="Times New Roman" w:cs="Times New Roman"/>
                <w:sz w:val="24"/>
                <w:szCs w:val="24"/>
                <w:lang w:val="bs-Latn-BA"/>
              </w:rPr>
              <w:t>25</w:t>
            </w:r>
          </w:p>
        </w:tc>
      </w:tr>
      <w:tr w:rsidR="00C42E7E" w:rsidRPr="00EB4B97" w14:paraId="5274A9F6" w14:textId="77777777" w:rsidTr="00EB4B97">
        <w:trPr>
          <w:trHeight w:val="96"/>
          <w:jc w:val="right"/>
        </w:trPr>
        <w:tc>
          <w:tcPr>
            <w:tcW w:w="0" w:type="auto"/>
          </w:tcPr>
          <w:p w14:paraId="56D2C84C" w14:textId="77777777" w:rsidR="00C42E7E" w:rsidRPr="00EB4B97" w:rsidRDefault="00C42E7E" w:rsidP="00EB4B97">
            <w:pPr>
              <w:pStyle w:val="ListParagraph"/>
              <w:ind w:left="0"/>
              <w:jc w:val="center"/>
              <w:rPr>
                <w:rFonts w:ascii="Times New Roman" w:hAnsi="Times New Roman" w:cs="Times New Roman"/>
                <w:sz w:val="24"/>
                <w:szCs w:val="24"/>
                <w:lang w:val="bs-Latn-BA"/>
              </w:rPr>
            </w:pPr>
            <w:r w:rsidRPr="00EB4B97">
              <w:rPr>
                <w:rFonts w:ascii="Times New Roman" w:hAnsi="Times New Roman" w:cs="Times New Roman"/>
                <w:sz w:val="24"/>
                <w:szCs w:val="24"/>
                <w:lang w:val="bs-Latn-BA"/>
              </w:rPr>
              <w:t>C2</w:t>
            </w:r>
          </w:p>
        </w:tc>
        <w:tc>
          <w:tcPr>
            <w:tcW w:w="0" w:type="auto"/>
          </w:tcPr>
          <w:p w14:paraId="6F5AE72B" w14:textId="77777777" w:rsidR="00C42E7E" w:rsidRPr="00EB4B97" w:rsidRDefault="00C42E7E" w:rsidP="00EB4B97">
            <w:pPr>
              <w:pStyle w:val="ListParagraph"/>
              <w:ind w:left="0"/>
              <w:jc w:val="center"/>
              <w:rPr>
                <w:rFonts w:ascii="Times New Roman" w:hAnsi="Times New Roman" w:cs="Times New Roman"/>
                <w:sz w:val="24"/>
                <w:szCs w:val="24"/>
                <w:lang w:val="bs-Latn-BA"/>
              </w:rPr>
            </w:pPr>
            <w:r w:rsidRPr="00EB4B97">
              <w:rPr>
                <w:rFonts w:ascii="Times New Roman" w:hAnsi="Times New Roman" w:cs="Times New Roman"/>
                <w:sz w:val="24"/>
                <w:szCs w:val="24"/>
                <w:lang w:val="bs-Latn-BA"/>
              </w:rPr>
              <w:t>3D CRT</w:t>
            </w:r>
          </w:p>
        </w:tc>
        <w:tc>
          <w:tcPr>
            <w:tcW w:w="0" w:type="auto"/>
          </w:tcPr>
          <w:p w14:paraId="0D635B7A" w14:textId="77777777" w:rsidR="00C42E7E" w:rsidRPr="00EB4B97" w:rsidRDefault="00C42E7E" w:rsidP="00EB4B97">
            <w:pPr>
              <w:pStyle w:val="ListParagraph"/>
              <w:ind w:left="0"/>
              <w:jc w:val="center"/>
              <w:rPr>
                <w:rFonts w:ascii="Times New Roman" w:hAnsi="Times New Roman" w:cs="Times New Roman"/>
                <w:sz w:val="24"/>
                <w:szCs w:val="24"/>
                <w:lang w:val="bs-Latn-BA"/>
              </w:rPr>
            </w:pPr>
            <w:r w:rsidRPr="00EB4B97">
              <w:rPr>
                <w:rFonts w:ascii="Times New Roman" w:hAnsi="Times New Roman" w:cs="Times New Roman"/>
                <w:sz w:val="24"/>
                <w:szCs w:val="24"/>
                <w:lang w:val="bs-Latn-BA"/>
              </w:rPr>
              <w:t>30</w:t>
            </w:r>
          </w:p>
        </w:tc>
        <w:tc>
          <w:tcPr>
            <w:tcW w:w="0" w:type="auto"/>
          </w:tcPr>
          <w:p w14:paraId="37B91EBA" w14:textId="77777777" w:rsidR="00C42E7E" w:rsidRPr="00EB4B97" w:rsidRDefault="00C42E7E" w:rsidP="00EB4B97">
            <w:pPr>
              <w:pStyle w:val="ListParagraph"/>
              <w:ind w:left="0"/>
              <w:jc w:val="center"/>
              <w:rPr>
                <w:rFonts w:ascii="Times New Roman" w:hAnsi="Times New Roman" w:cs="Times New Roman"/>
                <w:sz w:val="24"/>
                <w:szCs w:val="24"/>
                <w:lang w:val="bs-Latn-BA"/>
              </w:rPr>
            </w:pPr>
            <w:r w:rsidRPr="00EB4B97">
              <w:rPr>
                <w:rFonts w:ascii="Times New Roman" w:hAnsi="Times New Roman" w:cs="Times New Roman"/>
                <w:sz w:val="24"/>
                <w:szCs w:val="24"/>
                <w:lang w:val="bs-Latn-BA"/>
              </w:rPr>
              <w:t>3</w:t>
            </w:r>
          </w:p>
        </w:tc>
        <w:tc>
          <w:tcPr>
            <w:tcW w:w="0" w:type="auto"/>
          </w:tcPr>
          <w:p w14:paraId="53DCA361" w14:textId="77777777" w:rsidR="00C42E7E" w:rsidRPr="00EB4B97" w:rsidRDefault="00C42E7E" w:rsidP="00EB4B97">
            <w:pPr>
              <w:pStyle w:val="ListParagraph"/>
              <w:ind w:left="0"/>
              <w:jc w:val="center"/>
              <w:rPr>
                <w:rFonts w:ascii="Times New Roman" w:hAnsi="Times New Roman" w:cs="Times New Roman"/>
                <w:sz w:val="24"/>
                <w:szCs w:val="24"/>
                <w:lang w:val="bs-Latn-BA"/>
              </w:rPr>
            </w:pPr>
            <w:r w:rsidRPr="00EB4B97">
              <w:rPr>
                <w:rFonts w:ascii="Times New Roman" w:hAnsi="Times New Roman" w:cs="Times New Roman"/>
                <w:sz w:val="24"/>
                <w:szCs w:val="24"/>
                <w:lang w:val="bs-Latn-BA"/>
              </w:rPr>
              <w:t>10</w:t>
            </w:r>
          </w:p>
        </w:tc>
      </w:tr>
      <w:tr w:rsidR="00C42E7E" w:rsidRPr="00EB4B97" w14:paraId="5FF974F1" w14:textId="77777777" w:rsidTr="00EB4B97">
        <w:trPr>
          <w:trHeight w:val="102"/>
          <w:jc w:val="right"/>
        </w:trPr>
        <w:tc>
          <w:tcPr>
            <w:tcW w:w="0" w:type="auto"/>
          </w:tcPr>
          <w:p w14:paraId="60A92785" w14:textId="77777777" w:rsidR="00C42E7E" w:rsidRPr="00EB4B97" w:rsidRDefault="00C42E7E" w:rsidP="00EB4B97">
            <w:pPr>
              <w:pStyle w:val="ListParagraph"/>
              <w:ind w:left="0"/>
              <w:jc w:val="center"/>
              <w:rPr>
                <w:rFonts w:ascii="Times New Roman" w:hAnsi="Times New Roman" w:cs="Times New Roman"/>
                <w:sz w:val="24"/>
                <w:szCs w:val="24"/>
                <w:lang w:val="bs-Latn-BA"/>
              </w:rPr>
            </w:pPr>
            <w:r w:rsidRPr="00EB4B97">
              <w:rPr>
                <w:rFonts w:ascii="Times New Roman" w:hAnsi="Times New Roman" w:cs="Times New Roman"/>
                <w:sz w:val="24"/>
                <w:szCs w:val="24"/>
                <w:lang w:val="bs-Latn-BA"/>
              </w:rPr>
              <w:t>Th4-Th11</w:t>
            </w:r>
          </w:p>
        </w:tc>
        <w:tc>
          <w:tcPr>
            <w:tcW w:w="0" w:type="auto"/>
          </w:tcPr>
          <w:p w14:paraId="545DFB66" w14:textId="77777777" w:rsidR="00C42E7E" w:rsidRPr="00EB4B97" w:rsidRDefault="00C42E7E" w:rsidP="00EB4B97">
            <w:pPr>
              <w:pStyle w:val="ListParagraph"/>
              <w:ind w:left="0"/>
              <w:jc w:val="center"/>
              <w:rPr>
                <w:rFonts w:ascii="Times New Roman" w:hAnsi="Times New Roman" w:cs="Times New Roman"/>
                <w:sz w:val="24"/>
                <w:szCs w:val="24"/>
                <w:lang w:val="bs-Latn-BA"/>
              </w:rPr>
            </w:pPr>
            <w:r w:rsidRPr="00EB4B97">
              <w:rPr>
                <w:rFonts w:ascii="Times New Roman" w:hAnsi="Times New Roman" w:cs="Times New Roman"/>
                <w:sz w:val="24"/>
                <w:szCs w:val="24"/>
                <w:lang w:val="bs-Latn-BA"/>
              </w:rPr>
              <w:t>3D CRT</w:t>
            </w:r>
          </w:p>
        </w:tc>
        <w:tc>
          <w:tcPr>
            <w:tcW w:w="0" w:type="auto"/>
          </w:tcPr>
          <w:p w14:paraId="348248FA" w14:textId="77777777" w:rsidR="00C42E7E" w:rsidRPr="00EB4B97" w:rsidRDefault="00C42E7E" w:rsidP="00EB4B97">
            <w:pPr>
              <w:pStyle w:val="ListParagraph"/>
              <w:ind w:left="0"/>
              <w:jc w:val="center"/>
              <w:rPr>
                <w:rFonts w:ascii="Times New Roman" w:hAnsi="Times New Roman" w:cs="Times New Roman"/>
                <w:sz w:val="24"/>
                <w:szCs w:val="24"/>
                <w:lang w:val="bs-Latn-BA"/>
              </w:rPr>
            </w:pPr>
            <w:r w:rsidRPr="00EB4B97">
              <w:rPr>
                <w:rFonts w:ascii="Times New Roman" w:hAnsi="Times New Roman" w:cs="Times New Roman"/>
                <w:sz w:val="24"/>
                <w:szCs w:val="24"/>
                <w:lang w:val="bs-Latn-BA"/>
              </w:rPr>
              <w:t>30</w:t>
            </w:r>
          </w:p>
        </w:tc>
        <w:tc>
          <w:tcPr>
            <w:tcW w:w="0" w:type="auto"/>
          </w:tcPr>
          <w:p w14:paraId="05367F42" w14:textId="77777777" w:rsidR="00C42E7E" w:rsidRPr="00EB4B97" w:rsidRDefault="00C42E7E" w:rsidP="00EB4B97">
            <w:pPr>
              <w:pStyle w:val="ListParagraph"/>
              <w:ind w:left="0"/>
              <w:jc w:val="center"/>
              <w:rPr>
                <w:rFonts w:ascii="Times New Roman" w:hAnsi="Times New Roman" w:cs="Times New Roman"/>
                <w:sz w:val="24"/>
                <w:szCs w:val="24"/>
                <w:lang w:val="bs-Latn-BA"/>
              </w:rPr>
            </w:pPr>
            <w:r w:rsidRPr="00EB4B97">
              <w:rPr>
                <w:rFonts w:ascii="Times New Roman" w:hAnsi="Times New Roman" w:cs="Times New Roman"/>
                <w:sz w:val="24"/>
                <w:szCs w:val="24"/>
                <w:lang w:val="bs-Latn-BA"/>
              </w:rPr>
              <w:t>3</w:t>
            </w:r>
          </w:p>
        </w:tc>
        <w:tc>
          <w:tcPr>
            <w:tcW w:w="0" w:type="auto"/>
          </w:tcPr>
          <w:p w14:paraId="16BCB1B0" w14:textId="77777777" w:rsidR="00C42E7E" w:rsidRPr="00EB4B97" w:rsidRDefault="00C42E7E" w:rsidP="00EB4B97">
            <w:pPr>
              <w:pStyle w:val="ListParagraph"/>
              <w:ind w:left="0"/>
              <w:jc w:val="center"/>
              <w:rPr>
                <w:rFonts w:ascii="Times New Roman" w:hAnsi="Times New Roman" w:cs="Times New Roman"/>
                <w:sz w:val="24"/>
                <w:szCs w:val="24"/>
                <w:lang w:val="bs-Latn-BA"/>
              </w:rPr>
            </w:pPr>
            <w:r w:rsidRPr="00EB4B97">
              <w:rPr>
                <w:rFonts w:ascii="Times New Roman" w:hAnsi="Times New Roman" w:cs="Times New Roman"/>
                <w:sz w:val="24"/>
                <w:szCs w:val="24"/>
                <w:lang w:val="bs-Latn-BA"/>
              </w:rPr>
              <w:t>10</w:t>
            </w:r>
          </w:p>
        </w:tc>
      </w:tr>
      <w:tr w:rsidR="00C42E7E" w:rsidRPr="00EB4B97" w14:paraId="5ADA9085" w14:textId="77777777" w:rsidTr="00EB4B97">
        <w:trPr>
          <w:trHeight w:val="262"/>
          <w:jc w:val="right"/>
        </w:trPr>
        <w:tc>
          <w:tcPr>
            <w:tcW w:w="0" w:type="auto"/>
          </w:tcPr>
          <w:p w14:paraId="000830C0" w14:textId="77777777" w:rsidR="00C42E7E" w:rsidRPr="00EB4B97" w:rsidRDefault="00C42E7E" w:rsidP="00EB4B97">
            <w:pPr>
              <w:pStyle w:val="ListParagraph"/>
              <w:ind w:left="0"/>
              <w:jc w:val="center"/>
              <w:rPr>
                <w:rFonts w:ascii="Times New Roman" w:hAnsi="Times New Roman" w:cs="Times New Roman"/>
                <w:sz w:val="24"/>
                <w:szCs w:val="24"/>
                <w:lang w:val="bs-Latn-BA"/>
              </w:rPr>
            </w:pPr>
            <w:r w:rsidRPr="00EB4B97">
              <w:rPr>
                <w:rFonts w:ascii="Times New Roman" w:hAnsi="Times New Roman" w:cs="Times New Roman"/>
                <w:sz w:val="24"/>
                <w:szCs w:val="24"/>
                <w:lang w:val="bs-Latn-BA"/>
              </w:rPr>
              <w:t>Kosti pelvisa</w:t>
            </w:r>
          </w:p>
        </w:tc>
        <w:tc>
          <w:tcPr>
            <w:tcW w:w="0" w:type="auto"/>
          </w:tcPr>
          <w:p w14:paraId="5542D824" w14:textId="77777777" w:rsidR="00C42E7E" w:rsidRPr="00EB4B97" w:rsidRDefault="00C42E7E" w:rsidP="00EB4B97">
            <w:pPr>
              <w:pStyle w:val="ListParagraph"/>
              <w:ind w:left="0"/>
              <w:jc w:val="center"/>
              <w:rPr>
                <w:rFonts w:ascii="Times New Roman" w:hAnsi="Times New Roman" w:cs="Times New Roman"/>
                <w:sz w:val="24"/>
                <w:szCs w:val="24"/>
                <w:lang w:val="bs-Latn-BA"/>
              </w:rPr>
            </w:pPr>
            <w:r w:rsidRPr="00EB4B97">
              <w:rPr>
                <w:rFonts w:ascii="Times New Roman" w:hAnsi="Times New Roman" w:cs="Times New Roman"/>
                <w:sz w:val="24"/>
                <w:szCs w:val="24"/>
                <w:lang w:val="bs-Latn-BA"/>
              </w:rPr>
              <w:t>3D CRT</w:t>
            </w:r>
          </w:p>
        </w:tc>
        <w:tc>
          <w:tcPr>
            <w:tcW w:w="0" w:type="auto"/>
          </w:tcPr>
          <w:p w14:paraId="006AC53C" w14:textId="77777777" w:rsidR="00C42E7E" w:rsidRPr="00EB4B97" w:rsidRDefault="00C42E7E" w:rsidP="00EB4B97">
            <w:pPr>
              <w:pStyle w:val="ListParagraph"/>
              <w:ind w:left="0"/>
              <w:jc w:val="center"/>
              <w:rPr>
                <w:rFonts w:ascii="Times New Roman" w:hAnsi="Times New Roman" w:cs="Times New Roman"/>
                <w:sz w:val="24"/>
                <w:szCs w:val="24"/>
                <w:lang w:val="bs-Latn-BA"/>
              </w:rPr>
            </w:pPr>
            <w:r w:rsidRPr="00EB4B97">
              <w:rPr>
                <w:rFonts w:ascii="Times New Roman" w:hAnsi="Times New Roman" w:cs="Times New Roman"/>
                <w:sz w:val="24"/>
                <w:szCs w:val="24"/>
                <w:lang w:val="bs-Latn-BA"/>
              </w:rPr>
              <w:t>27</w:t>
            </w:r>
          </w:p>
        </w:tc>
        <w:tc>
          <w:tcPr>
            <w:tcW w:w="0" w:type="auto"/>
          </w:tcPr>
          <w:p w14:paraId="1B1D3BFB" w14:textId="77777777" w:rsidR="00C42E7E" w:rsidRPr="00EB4B97" w:rsidRDefault="00C42E7E" w:rsidP="00EB4B97">
            <w:pPr>
              <w:pStyle w:val="ListParagraph"/>
              <w:ind w:left="0"/>
              <w:jc w:val="center"/>
              <w:rPr>
                <w:rFonts w:ascii="Times New Roman" w:hAnsi="Times New Roman" w:cs="Times New Roman"/>
                <w:sz w:val="24"/>
                <w:szCs w:val="24"/>
                <w:lang w:val="bs-Latn-BA"/>
              </w:rPr>
            </w:pPr>
            <w:r w:rsidRPr="00EB4B97">
              <w:rPr>
                <w:rFonts w:ascii="Times New Roman" w:hAnsi="Times New Roman" w:cs="Times New Roman"/>
                <w:sz w:val="24"/>
                <w:szCs w:val="24"/>
                <w:lang w:val="bs-Latn-BA"/>
              </w:rPr>
              <w:t>3</w:t>
            </w:r>
          </w:p>
        </w:tc>
        <w:tc>
          <w:tcPr>
            <w:tcW w:w="0" w:type="auto"/>
          </w:tcPr>
          <w:p w14:paraId="4B92D3F7" w14:textId="77777777" w:rsidR="00C42E7E" w:rsidRPr="00EB4B97" w:rsidRDefault="00C42E7E" w:rsidP="00EB4B97">
            <w:pPr>
              <w:pStyle w:val="ListParagraph"/>
              <w:ind w:left="0"/>
              <w:jc w:val="center"/>
              <w:rPr>
                <w:rFonts w:ascii="Times New Roman" w:hAnsi="Times New Roman" w:cs="Times New Roman"/>
                <w:sz w:val="24"/>
                <w:szCs w:val="24"/>
                <w:lang w:val="bs-Latn-BA"/>
              </w:rPr>
            </w:pPr>
            <w:r w:rsidRPr="00EB4B97">
              <w:rPr>
                <w:rFonts w:ascii="Times New Roman" w:hAnsi="Times New Roman" w:cs="Times New Roman"/>
                <w:sz w:val="24"/>
                <w:szCs w:val="24"/>
                <w:lang w:val="bs-Latn-BA"/>
              </w:rPr>
              <w:t>9</w:t>
            </w:r>
          </w:p>
        </w:tc>
      </w:tr>
    </w:tbl>
    <w:p w14:paraId="7EEB283E" w14:textId="77777777" w:rsidR="0065320B" w:rsidRPr="00EB4B97" w:rsidRDefault="0065320B" w:rsidP="00EB4B97">
      <w:pPr>
        <w:pStyle w:val="ListParagraph"/>
        <w:spacing w:line="480" w:lineRule="auto"/>
        <w:ind w:left="0"/>
        <w:jc w:val="both"/>
        <w:rPr>
          <w:rFonts w:ascii="Times New Roman" w:hAnsi="Times New Roman" w:cs="Times New Roman"/>
          <w:b/>
          <w:sz w:val="24"/>
          <w:szCs w:val="24"/>
          <w:lang w:val="bs-Latn-BA"/>
        </w:rPr>
      </w:pPr>
      <w:bookmarkStart w:id="0" w:name="_GoBack"/>
      <w:bookmarkEnd w:id="0"/>
    </w:p>
    <w:p w14:paraId="1023D0E1" w14:textId="31B33D13" w:rsidR="00EB4B97" w:rsidRPr="00EB4B97" w:rsidRDefault="00C630BB" w:rsidP="00EB4B97">
      <w:pPr>
        <w:pStyle w:val="ListParagraph"/>
        <w:spacing w:line="480" w:lineRule="auto"/>
        <w:ind w:left="0"/>
        <w:jc w:val="both"/>
        <w:rPr>
          <w:rFonts w:ascii="Times New Roman" w:hAnsi="Times New Roman" w:cs="Times New Roman"/>
          <w:b/>
          <w:sz w:val="24"/>
          <w:szCs w:val="24"/>
          <w:lang w:val="bs-Latn-BA"/>
        </w:rPr>
      </w:pPr>
      <w:r w:rsidRPr="00EB4B97">
        <w:rPr>
          <w:rFonts w:ascii="Times New Roman" w:hAnsi="Times New Roman" w:cs="Times New Roman"/>
          <w:b/>
          <w:noProof/>
          <w:sz w:val="24"/>
          <w:szCs w:val="24"/>
        </w:rPr>
        <w:drawing>
          <wp:inline distT="0" distB="0" distL="0" distR="0" wp14:anchorId="246F4E03" wp14:editId="0781DF00">
            <wp:extent cx="5229225" cy="2543175"/>
            <wp:effectExtent l="0" t="0" r="9525"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4F61A9D" w14:textId="2921FA23" w:rsidR="00EB4B97" w:rsidRDefault="002B4ACD" w:rsidP="00EB4B97">
      <w:pPr>
        <w:pStyle w:val="ListParagraph"/>
        <w:spacing w:line="480" w:lineRule="auto"/>
        <w:ind w:left="0"/>
        <w:jc w:val="both"/>
        <w:rPr>
          <w:rFonts w:ascii="Times New Roman" w:hAnsi="Times New Roman" w:cs="Times New Roman"/>
          <w:sz w:val="24"/>
          <w:szCs w:val="24"/>
          <w:lang w:val="bs-Latn-BA"/>
        </w:rPr>
      </w:pPr>
      <w:r w:rsidRPr="00EB4B97">
        <w:rPr>
          <w:rFonts w:ascii="Times New Roman" w:hAnsi="Times New Roman" w:cs="Times New Roman"/>
          <w:b/>
          <w:sz w:val="24"/>
          <w:szCs w:val="24"/>
          <w:lang w:val="bs-Latn-BA"/>
        </w:rPr>
        <w:lastRenderedPageBreak/>
        <w:t>Grafikon 1.</w:t>
      </w:r>
      <w:r w:rsidRPr="00EB4B97">
        <w:rPr>
          <w:rFonts w:ascii="Times New Roman" w:hAnsi="Times New Roman" w:cs="Times New Roman"/>
          <w:sz w:val="24"/>
          <w:szCs w:val="24"/>
          <w:lang w:val="bs-Latn-BA"/>
        </w:rPr>
        <w:t xml:space="preserve"> Ukupne isporučene i dnevnih doze na svaku pojedinačnu regiju</w:t>
      </w:r>
    </w:p>
    <w:p w14:paraId="29DA94BC" w14:textId="77777777" w:rsidR="00195A1A" w:rsidRDefault="00195A1A" w:rsidP="00EB4B97">
      <w:pPr>
        <w:pStyle w:val="ListParagraph"/>
        <w:spacing w:line="480" w:lineRule="auto"/>
        <w:ind w:left="0"/>
        <w:jc w:val="both"/>
        <w:rPr>
          <w:rFonts w:ascii="Times New Roman" w:hAnsi="Times New Roman" w:cs="Times New Roman"/>
          <w:b/>
          <w:sz w:val="24"/>
          <w:szCs w:val="24"/>
          <w:lang w:val="bs-Latn-BA"/>
        </w:rPr>
      </w:pPr>
    </w:p>
    <w:p w14:paraId="0C0C488C" w14:textId="77777777" w:rsidR="00E13218" w:rsidRPr="00EB4B97" w:rsidRDefault="000679DD" w:rsidP="00EB4B97">
      <w:pPr>
        <w:pStyle w:val="ListParagraph"/>
        <w:spacing w:line="480" w:lineRule="auto"/>
        <w:ind w:left="0"/>
        <w:jc w:val="both"/>
        <w:rPr>
          <w:rFonts w:ascii="Times New Roman" w:hAnsi="Times New Roman" w:cs="Times New Roman"/>
          <w:b/>
          <w:sz w:val="24"/>
          <w:szCs w:val="24"/>
          <w:lang w:val="bs-Latn-BA"/>
        </w:rPr>
      </w:pPr>
      <w:r w:rsidRPr="00EB4B97">
        <w:rPr>
          <w:rFonts w:ascii="Times New Roman" w:hAnsi="Times New Roman" w:cs="Times New Roman"/>
          <w:b/>
          <w:sz w:val="24"/>
          <w:szCs w:val="24"/>
          <w:lang w:val="bs-Latn-BA"/>
        </w:rPr>
        <w:t>Diskusija</w:t>
      </w:r>
    </w:p>
    <w:p w14:paraId="26B0C2F8" w14:textId="1785E563" w:rsidR="002B4ACD" w:rsidRDefault="000679DD" w:rsidP="00EB4B97">
      <w:pPr>
        <w:pStyle w:val="ListParagraph"/>
        <w:spacing w:line="480" w:lineRule="auto"/>
        <w:ind w:left="0"/>
        <w:jc w:val="both"/>
        <w:rPr>
          <w:rFonts w:ascii="Times New Roman" w:hAnsi="Times New Roman" w:cs="Times New Roman"/>
          <w:sz w:val="24"/>
          <w:szCs w:val="24"/>
          <w:lang w:val="bs-Latn-BA"/>
        </w:rPr>
      </w:pPr>
      <w:r w:rsidRPr="00EB4B97">
        <w:rPr>
          <w:rFonts w:ascii="Times New Roman" w:hAnsi="Times New Roman" w:cs="Times New Roman"/>
          <w:sz w:val="24"/>
          <w:szCs w:val="24"/>
          <w:lang w:val="bs-Latn-BA"/>
        </w:rPr>
        <w:t xml:space="preserve">U radu je prikazana pacijentkinja mlađe životne dobi oboljela od </w:t>
      </w:r>
      <w:r w:rsidR="00E518D8" w:rsidRPr="00EB4B97">
        <w:rPr>
          <w:rFonts w:ascii="Times New Roman" w:hAnsi="Times New Roman" w:cs="Times New Roman"/>
          <w:sz w:val="24"/>
          <w:szCs w:val="24"/>
          <w:lang w:val="bs-Latn-BA"/>
        </w:rPr>
        <w:t xml:space="preserve">osealne forme Juingovog sarkoma </w:t>
      </w:r>
      <w:r w:rsidR="00E518D8" w:rsidRPr="00EB4B97">
        <w:rPr>
          <w:rFonts w:ascii="Times New Roman" w:hAnsi="Times New Roman" w:cs="Times New Roman"/>
          <w:sz w:val="24"/>
          <w:szCs w:val="24"/>
        </w:rPr>
        <w:t>lokalizovanog u donjim ekstremitetima</w:t>
      </w:r>
      <w:r w:rsidR="00CF7A9F" w:rsidRPr="00EB4B97">
        <w:rPr>
          <w:rFonts w:ascii="Times New Roman" w:hAnsi="Times New Roman" w:cs="Times New Roman"/>
          <w:sz w:val="24"/>
          <w:szCs w:val="24"/>
        </w:rPr>
        <w:t xml:space="preserve">, </w:t>
      </w:r>
      <w:r w:rsidR="00CF7A9F" w:rsidRPr="00EB4B97">
        <w:rPr>
          <w:rFonts w:ascii="Times New Roman" w:hAnsi="Times New Roman" w:cs="Times New Roman"/>
          <w:sz w:val="24"/>
          <w:szCs w:val="24"/>
          <w:lang w:val="bs-Latn-BA"/>
        </w:rPr>
        <w:t xml:space="preserve">što je jedna od češćih </w:t>
      </w:r>
      <w:r w:rsidR="008E2119" w:rsidRPr="00EB4B97">
        <w:rPr>
          <w:rFonts w:ascii="Times New Roman" w:hAnsi="Times New Roman" w:cs="Times New Roman"/>
          <w:sz w:val="24"/>
          <w:szCs w:val="24"/>
          <w:lang w:val="bs-Latn-BA"/>
        </w:rPr>
        <w:t>lokalizacija (1</w:t>
      </w:r>
      <w:r w:rsidR="008E2119" w:rsidRPr="00EB4B97">
        <w:rPr>
          <w:rFonts w:ascii="Times New Roman" w:hAnsi="Times New Roman" w:cs="Times New Roman"/>
          <w:sz w:val="24"/>
          <w:szCs w:val="24"/>
          <w:lang w:val="bs-Cyrl-BA"/>
        </w:rPr>
        <w:t>).</w:t>
      </w:r>
      <w:r w:rsidR="00CF7A9F" w:rsidRPr="00EB4B97">
        <w:rPr>
          <w:rFonts w:ascii="Times New Roman" w:hAnsi="Times New Roman" w:cs="Times New Roman"/>
          <w:sz w:val="24"/>
          <w:szCs w:val="24"/>
          <w:lang w:val="bs-Latn-BA"/>
        </w:rPr>
        <w:t xml:space="preserve"> </w:t>
      </w:r>
      <w:r w:rsidRPr="00EB4B97">
        <w:rPr>
          <w:rFonts w:ascii="Times New Roman" w:hAnsi="Times New Roman" w:cs="Times New Roman"/>
          <w:sz w:val="24"/>
          <w:szCs w:val="24"/>
          <w:lang w:val="bs-Latn-BA"/>
        </w:rPr>
        <w:t>Bolest je, u toku svog trajanja poprimila metastatsku formu sa udaljenim metastazama na mozgu i metastatskim depozitima u C2 i Th4-Th11 kičmenim pršljenovima. Pacijentkinja je tretirana multimodalnim pristupom lij</w:t>
      </w:r>
      <w:r w:rsidRPr="00EB4B97">
        <w:rPr>
          <w:rFonts w:ascii="Times New Roman" w:hAnsi="Times New Roman" w:cs="Times New Roman"/>
          <w:sz w:val="24"/>
          <w:szCs w:val="24"/>
          <w:lang w:val="bs-Cyrl-BA"/>
        </w:rPr>
        <w:t>е</w:t>
      </w:r>
      <w:r w:rsidRPr="00EB4B97">
        <w:rPr>
          <w:rFonts w:ascii="Times New Roman" w:hAnsi="Times New Roman" w:cs="Times New Roman"/>
          <w:sz w:val="24"/>
          <w:szCs w:val="24"/>
          <w:lang w:val="bs-Latn-BA"/>
        </w:rPr>
        <w:t>čenju, što odgovara preporukama iz navedene literature (</w:t>
      </w:r>
      <w:r w:rsidR="003A6130" w:rsidRPr="00EB4B97">
        <w:rPr>
          <w:rFonts w:ascii="Times New Roman" w:hAnsi="Times New Roman" w:cs="Times New Roman"/>
          <w:sz w:val="24"/>
          <w:szCs w:val="24"/>
          <w:lang w:val="bs-Latn-BA"/>
        </w:rPr>
        <w:t>2</w:t>
      </w:r>
      <w:r w:rsidRPr="00EB4B97">
        <w:rPr>
          <w:rFonts w:ascii="Times New Roman" w:hAnsi="Times New Roman" w:cs="Times New Roman"/>
          <w:sz w:val="24"/>
          <w:szCs w:val="24"/>
          <w:lang w:val="bs-Latn-BA"/>
        </w:rPr>
        <w:t xml:space="preserve">). Nakon neoadjuvantne hemioterapije, operacije, adjuvantne hemioterapije. Radioterapija je kao modalitet liječenja primjenjena adjuvantno u 3 navrata. Tretiran je cijeli mozak sa simultanim ablativnim boostom na ležišta metastaza u cilju boljeg terapijskog odgovora. Lokalni recidiv i metastatski depoziti su tretirani 3D konformalnom tehnikom </w:t>
      </w:r>
      <w:r w:rsidR="00173946" w:rsidRPr="00EB4B97">
        <w:rPr>
          <w:rFonts w:ascii="Times New Roman" w:hAnsi="Times New Roman" w:cs="Times New Roman"/>
          <w:sz w:val="24"/>
          <w:szCs w:val="24"/>
          <w:lang w:val="bs-Latn-BA"/>
        </w:rPr>
        <w:t>zračenja, nakon čega je postignuta lokalna kontrola bolesti, što potvrđuje neizostavnu ulogu radioterapije kod metastatskih formi Juingovog sarkoma, kao što je navedeno u podacima iz najnovije literature (2</w:t>
      </w:r>
      <w:r w:rsidR="00C236D7" w:rsidRPr="00EB4B97">
        <w:rPr>
          <w:rFonts w:ascii="Times New Roman" w:hAnsi="Times New Roman" w:cs="Times New Roman"/>
          <w:sz w:val="24"/>
          <w:szCs w:val="24"/>
          <w:lang w:val="bs-Latn-BA"/>
        </w:rPr>
        <w:t>,3</w:t>
      </w:r>
      <w:r w:rsidR="00173946" w:rsidRPr="00EB4B97">
        <w:rPr>
          <w:rFonts w:ascii="Times New Roman" w:hAnsi="Times New Roman" w:cs="Times New Roman"/>
          <w:sz w:val="24"/>
          <w:szCs w:val="24"/>
          <w:lang w:val="bs-Latn-BA"/>
        </w:rPr>
        <w:t xml:space="preserve">). </w:t>
      </w:r>
    </w:p>
    <w:p w14:paraId="663466C7" w14:textId="77777777" w:rsidR="00C34BF8" w:rsidRPr="00EB4B97" w:rsidRDefault="00197FFA" w:rsidP="00EB4B97">
      <w:pPr>
        <w:pStyle w:val="ListParagraph"/>
        <w:spacing w:line="480" w:lineRule="auto"/>
        <w:ind w:left="0"/>
        <w:jc w:val="both"/>
        <w:rPr>
          <w:rFonts w:ascii="Times New Roman" w:hAnsi="Times New Roman" w:cs="Times New Roman"/>
          <w:b/>
          <w:sz w:val="24"/>
          <w:szCs w:val="24"/>
          <w:lang w:val="bs-Latn-BA"/>
        </w:rPr>
      </w:pPr>
      <w:r w:rsidRPr="00EB4B97">
        <w:rPr>
          <w:rFonts w:ascii="Times New Roman" w:hAnsi="Times New Roman" w:cs="Times New Roman"/>
          <w:b/>
          <w:sz w:val="24"/>
          <w:szCs w:val="24"/>
          <w:lang w:val="bs-Latn-BA"/>
        </w:rPr>
        <w:t>Zaključak</w:t>
      </w:r>
      <w:r w:rsidR="00C42E7E" w:rsidRPr="00EB4B97">
        <w:rPr>
          <w:rFonts w:ascii="Times New Roman" w:hAnsi="Times New Roman" w:cs="Times New Roman"/>
          <w:b/>
          <w:sz w:val="24"/>
          <w:szCs w:val="24"/>
          <w:lang w:val="bs-Latn-BA"/>
        </w:rPr>
        <w:t xml:space="preserve"> </w:t>
      </w:r>
    </w:p>
    <w:p w14:paraId="0357D376" w14:textId="77777777" w:rsidR="00CA4F2B" w:rsidRDefault="00CA4F2B" w:rsidP="00EB4B97">
      <w:pPr>
        <w:pStyle w:val="ListParagraph"/>
        <w:spacing w:line="480" w:lineRule="auto"/>
        <w:ind w:left="0"/>
        <w:jc w:val="both"/>
        <w:rPr>
          <w:rFonts w:ascii="Times New Roman" w:hAnsi="Times New Roman" w:cs="Times New Roman"/>
          <w:sz w:val="24"/>
          <w:szCs w:val="24"/>
          <w:lang w:val="bs-Latn-BA"/>
        </w:rPr>
      </w:pPr>
      <w:r w:rsidRPr="00EB4B97">
        <w:rPr>
          <w:rFonts w:ascii="Times New Roman" w:hAnsi="Times New Roman" w:cs="Times New Roman"/>
          <w:sz w:val="24"/>
          <w:szCs w:val="24"/>
          <w:lang w:val="bs-Latn-BA"/>
        </w:rPr>
        <w:t>Multimodalni pristup liječenju ovakvih pacijenata uključuje radioterapiju, kao neizostavan modalitet, koji doprinosi boljoj lokalnoj kontroli bolesti i eradikaciji udaljenih metastaza</w:t>
      </w:r>
    </w:p>
    <w:p w14:paraId="5B58104F" w14:textId="77777777" w:rsidR="00197FFA" w:rsidRPr="00EB4B97" w:rsidRDefault="00197FFA" w:rsidP="00EB4B97">
      <w:pPr>
        <w:pStyle w:val="ListParagraph"/>
        <w:spacing w:line="480" w:lineRule="auto"/>
        <w:ind w:left="0"/>
        <w:jc w:val="both"/>
        <w:rPr>
          <w:rFonts w:ascii="Times New Roman" w:hAnsi="Times New Roman" w:cs="Times New Roman"/>
          <w:b/>
          <w:sz w:val="24"/>
          <w:szCs w:val="24"/>
          <w:lang w:val="bs-Latn-BA"/>
        </w:rPr>
      </w:pPr>
      <w:r w:rsidRPr="00EB4B97">
        <w:rPr>
          <w:rFonts w:ascii="Times New Roman" w:hAnsi="Times New Roman" w:cs="Times New Roman"/>
          <w:b/>
          <w:sz w:val="24"/>
          <w:szCs w:val="24"/>
          <w:lang w:val="bs-Latn-BA"/>
        </w:rPr>
        <w:t>Literatura</w:t>
      </w:r>
    </w:p>
    <w:p w14:paraId="5C769A9D" w14:textId="1C029CC9" w:rsidR="00CF7A9F" w:rsidRPr="00EB4B97" w:rsidRDefault="00085ACD" w:rsidP="00EB4B97">
      <w:pPr>
        <w:pStyle w:val="ListParagraph"/>
        <w:spacing w:line="480" w:lineRule="auto"/>
        <w:ind w:left="0"/>
        <w:jc w:val="both"/>
        <w:rPr>
          <w:rFonts w:ascii="Times New Roman" w:hAnsi="Times New Roman" w:cs="Times New Roman"/>
          <w:sz w:val="24"/>
          <w:szCs w:val="24"/>
          <w:lang w:val="bs-Latn-BA"/>
        </w:rPr>
      </w:pPr>
      <w:r w:rsidRPr="00EB4B97">
        <w:rPr>
          <w:rFonts w:ascii="Times New Roman" w:hAnsi="Times New Roman" w:cs="Times New Roman"/>
          <w:sz w:val="24"/>
          <w:szCs w:val="24"/>
          <w:lang w:val="bs-Latn-BA"/>
        </w:rPr>
        <w:t>1.</w:t>
      </w:r>
      <w:r w:rsidR="00CF7A9F" w:rsidRPr="00EB4B97">
        <w:rPr>
          <w:rFonts w:ascii="Times New Roman" w:hAnsi="Times New Roman" w:cs="Times New Roman"/>
          <w:sz w:val="24"/>
          <w:szCs w:val="24"/>
          <w:lang w:val="bs-Latn-BA"/>
        </w:rPr>
        <w:t xml:space="preserve"> </w:t>
      </w:r>
      <w:r w:rsidR="00195A1A" w:rsidRPr="00195A1A">
        <w:rPr>
          <w:rFonts w:ascii="Times New Roman" w:hAnsi="Times New Roman" w:cs="Times New Roman"/>
          <w:color w:val="212121"/>
          <w:sz w:val="24"/>
          <w:szCs w:val="24"/>
          <w:shd w:val="clear" w:color="auto" w:fill="FFFFFF"/>
        </w:rPr>
        <w:t>Ozturk R, Altundağ M. Wide Resection, Extracorporeal Radiotherapy, Ipsilateral Vascularized Fibula Transposition, and Internal Fixation in a Case of Tibia Diaphyseal Ewing's Sarcoma. Cureus. 2023 Jan 9;15(1):e33526. doi: 10.7759/cureus.33526. PMID: 36779099; PMCID: PMC9910223.</w:t>
      </w:r>
    </w:p>
    <w:p w14:paraId="4D1652CC" w14:textId="18A8FF95" w:rsidR="00CF7A9F" w:rsidRPr="00195A1A" w:rsidRDefault="00085ACD" w:rsidP="00EB4B97">
      <w:pPr>
        <w:pStyle w:val="ListParagraph"/>
        <w:spacing w:line="480" w:lineRule="auto"/>
        <w:ind w:left="0"/>
        <w:jc w:val="both"/>
        <w:rPr>
          <w:rFonts w:ascii="Times New Roman" w:hAnsi="Times New Roman" w:cs="Times New Roman"/>
          <w:sz w:val="24"/>
          <w:szCs w:val="24"/>
          <w:lang w:val="bs-Latn-BA"/>
        </w:rPr>
      </w:pPr>
      <w:r w:rsidRPr="00195A1A">
        <w:rPr>
          <w:rFonts w:ascii="Times New Roman" w:hAnsi="Times New Roman" w:cs="Times New Roman"/>
          <w:sz w:val="24"/>
          <w:szCs w:val="24"/>
          <w:lang w:val="bs-Latn-BA"/>
        </w:rPr>
        <w:lastRenderedPageBreak/>
        <w:t>2.</w:t>
      </w:r>
      <w:r w:rsidR="00173946" w:rsidRPr="00195A1A">
        <w:rPr>
          <w:rFonts w:ascii="Times New Roman" w:hAnsi="Times New Roman" w:cs="Times New Roman"/>
          <w:sz w:val="24"/>
          <w:szCs w:val="24"/>
          <w:lang w:val="bs-Latn-BA"/>
        </w:rPr>
        <w:t xml:space="preserve"> </w:t>
      </w:r>
      <w:r w:rsidR="00195A1A" w:rsidRPr="00195A1A">
        <w:rPr>
          <w:rFonts w:ascii="Times New Roman" w:hAnsi="Times New Roman" w:cs="Times New Roman"/>
          <w:color w:val="212121"/>
          <w:sz w:val="24"/>
          <w:szCs w:val="24"/>
          <w:shd w:val="clear" w:color="auto" w:fill="FFFFFF"/>
        </w:rPr>
        <w:t>Locquet MA, Brahmi M, Blay JY, Dutour A. Radiotherapy in bone sarcoma: the quest for better treatment option. BMC Cancer. 2023 Aug 11;23(1):742. doi: 10.1186/s12885-023-11232-3. PMID: 37563551; PMCID: PMC10416357.</w:t>
      </w:r>
    </w:p>
    <w:p w14:paraId="34D24D96" w14:textId="77777777" w:rsidR="00195A1A" w:rsidRPr="00195A1A" w:rsidRDefault="00CF7A9F" w:rsidP="00EB4B97">
      <w:pPr>
        <w:pStyle w:val="ListParagraph"/>
        <w:spacing w:line="480" w:lineRule="auto"/>
        <w:ind w:left="0"/>
        <w:jc w:val="both"/>
        <w:rPr>
          <w:rFonts w:ascii="Times New Roman" w:hAnsi="Times New Roman" w:cs="Times New Roman"/>
          <w:color w:val="212121"/>
          <w:sz w:val="24"/>
          <w:szCs w:val="24"/>
          <w:shd w:val="clear" w:color="auto" w:fill="FFFFFF"/>
        </w:rPr>
      </w:pPr>
      <w:r w:rsidRPr="00EB4B97">
        <w:rPr>
          <w:rFonts w:ascii="Times New Roman" w:hAnsi="Times New Roman" w:cs="Times New Roman"/>
          <w:sz w:val="24"/>
          <w:szCs w:val="24"/>
          <w:lang w:val="bs-Latn-BA"/>
        </w:rPr>
        <w:t>3</w:t>
      </w:r>
      <w:r w:rsidRPr="00195A1A">
        <w:rPr>
          <w:rFonts w:ascii="Times New Roman" w:hAnsi="Times New Roman" w:cs="Times New Roman"/>
          <w:sz w:val="24"/>
          <w:szCs w:val="24"/>
          <w:lang w:val="bs-Latn-BA"/>
        </w:rPr>
        <w:t xml:space="preserve">. </w:t>
      </w:r>
      <w:r w:rsidR="00195A1A" w:rsidRPr="00195A1A">
        <w:rPr>
          <w:rFonts w:ascii="Times New Roman" w:hAnsi="Times New Roman" w:cs="Times New Roman"/>
          <w:color w:val="212121"/>
          <w:sz w:val="24"/>
          <w:szCs w:val="24"/>
          <w:shd w:val="clear" w:color="auto" w:fill="FFFFFF"/>
        </w:rPr>
        <w:t>Laitinen MK, Parry MC, Morris GV, Jeys LM. Pelvic bone sarcomas, prognostic factors, and treatment: A narrative review of the literature. Scand J Surg. 2023 Sep;112(3):206-215. doi: 10.1177/14574969231181504. Epub 2023 Jul 12. PMID: 37438963.</w:t>
      </w:r>
    </w:p>
    <w:p w14:paraId="44ED41D0" w14:textId="02F7519B" w:rsidR="00195A1A" w:rsidRDefault="001A3A3C" w:rsidP="00EB4B97">
      <w:pPr>
        <w:pStyle w:val="ListParagraph"/>
        <w:spacing w:line="480" w:lineRule="auto"/>
        <w:ind w:left="0"/>
        <w:jc w:val="both"/>
        <w:rPr>
          <w:rFonts w:ascii="Times New Roman" w:hAnsi="Times New Roman" w:cs="Times New Roman"/>
          <w:color w:val="212121"/>
          <w:sz w:val="24"/>
          <w:szCs w:val="24"/>
          <w:shd w:val="clear" w:color="auto" w:fill="FFFFFF"/>
        </w:rPr>
      </w:pPr>
      <w:r w:rsidRPr="001A3A3C">
        <w:rPr>
          <w:rFonts w:ascii="Times New Roman" w:hAnsi="Times New Roman" w:cs="Times New Roman"/>
          <w:sz w:val="24"/>
          <w:szCs w:val="24"/>
          <w:lang w:val="bs-Latn-BA"/>
        </w:rPr>
        <w:t xml:space="preserve">4. </w:t>
      </w:r>
      <w:r w:rsidRPr="001A3A3C">
        <w:rPr>
          <w:rFonts w:ascii="Times New Roman" w:hAnsi="Times New Roman" w:cs="Times New Roman"/>
          <w:color w:val="212121"/>
          <w:sz w:val="24"/>
          <w:szCs w:val="24"/>
          <w:shd w:val="clear" w:color="auto" w:fill="FFFFFF"/>
        </w:rPr>
        <w:t>Ram R, Bhardwaj P, Bhardwaj Y, Ghezta N, Bhatt R, Dhiman P. Primary Ewing</w:t>
      </w:r>
      <w:r w:rsidRPr="001A3A3C">
        <w:rPr>
          <w:rFonts w:ascii="Times New Roman" w:hAnsi="Times New Roman" w:cs="Times New Roman"/>
          <w:color w:val="212121"/>
          <w:sz w:val="24"/>
          <w:szCs w:val="24"/>
          <w:shd w:val="clear" w:color="auto" w:fill="FFFFFF"/>
          <w:vertAlign w:val="superscript"/>
        </w:rPr>
        <w:t>'</w:t>
      </w:r>
      <w:r w:rsidRPr="001A3A3C">
        <w:rPr>
          <w:rFonts w:ascii="Times New Roman" w:hAnsi="Times New Roman" w:cs="Times New Roman"/>
          <w:color w:val="212121"/>
          <w:sz w:val="24"/>
          <w:szCs w:val="24"/>
          <w:shd w:val="clear" w:color="auto" w:fill="FFFFFF"/>
        </w:rPr>
        <w:t>s Sarcoma of Body of Mandible, Multimodal Treatment with Excellent Spontaneous Bone Regeneration: a Case Report. J Maxillofac Ora</w:t>
      </w:r>
      <w:r w:rsidR="00195A1A">
        <w:rPr>
          <w:rFonts w:ascii="Times New Roman" w:hAnsi="Times New Roman" w:cs="Times New Roman"/>
          <w:color w:val="212121"/>
          <w:sz w:val="24"/>
          <w:szCs w:val="24"/>
          <w:shd w:val="clear" w:color="auto" w:fill="FFFFFF"/>
        </w:rPr>
        <w:t>l Surg. 2023 Sep;22(3):554-558.</w:t>
      </w:r>
    </w:p>
    <w:p w14:paraId="3D5E39FB" w14:textId="5D02A6F8" w:rsidR="001A3A3C" w:rsidRDefault="001A3A3C" w:rsidP="00EB4B97">
      <w:pPr>
        <w:pStyle w:val="ListParagraph"/>
        <w:spacing w:line="480" w:lineRule="auto"/>
        <w:ind w:left="0"/>
        <w:jc w:val="both"/>
        <w:rPr>
          <w:rFonts w:ascii="Times New Roman" w:hAnsi="Times New Roman" w:cs="Times New Roman"/>
          <w:sz w:val="24"/>
          <w:szCs w:val="24"/>
          <w:lang w:val="bs-Latn-BA"/>
        </w:rPr>
      </w:pPr>
      <w:r w:rsidRPr="001A3A3C">
        <w:rPr>
          <w:rFonts w:ascii="Times New Roman" w:hAnsi="Times New Roman" w:cs="Times New Roman"/>
          <w:color w:val="212121"/>
          <w:sz w:val="24"/>
          <w:szCs w:val="24"/>
          <w:shd w:val="clear" w:color="auto" w:fill="FFFFFF"/>
        </w:rPr>
        <w:t>doi: 10.1007/s12663-021-01623-z. Epub 2021 Oct 11. PMID: 37534345; PMCID: PMC10390416</w:t>
      </w:r>
    </w:p>
    <w:p w14:paraId="491D7C2C" w14:textId="62E338D5" w:rsidR="001A3A3C" w:rsidRDefault="00085ACD" w:rsidP="00EB4B97">
      <w:pPr>
        <w:pStyle w:val="ListParagraph"/>
        <w:spacing w:line="480" w:lineRule="auto"/>
        <w:ind w:left="0"/>
        <w:jc w:val="both"/>
        <w:rPr>
          <w:rFonts w:ascii="Times New Roman" w:hAnsi="Times New Roman" w:cs="Times New Roman"/>
          <w:sz w:val="24"/>
          <w:szCs w:val="24"/>
          <w:lang w:val="bs-Latn-BA"/>
        </w:rPr>
      </w:pPr>
      <w:r w:rsidRPr="00EB4B97">
        <w:rPr>
          <w:rFonts w:ascii="Times New Roman" w:hAnsi="Times New Roman" w:cs="Times New Roman"/>
          <w:sz w:val="24"/>
          <w:szCs w:val="24"/>
          <w:lang w:val="bs-Latn-BA"/>
        </w:rPr>
        <w:t>5.</w:t>
      </w:r>
      <w:r w:rsidR="00CF7A9F" w:rsidRPr="00EB4B97">
        <w:rPr>
          <w:rFonts w:ascii="Times New Roman" w:hAnsi="Times New Roman" w:cs="Times New Roman"/>
          <w:sz w:val="24"/>
          <w:szCs w:val="24"/>
          <w:lang w:val="bs-Latn-BA"/>
        </w:rPr>
        <w:t xml:space="preserve"> </w:t>
      </w:r>
      <w:r w:rsidR="001A3A3C" w:rsidRPr="001A3A3C">
        <w:rPr>
          <w:rFonts w:ascii="Times New Roman" w:hAnsi="Times New Roman" w:cs="Times New Roman"/>
          <w:sz w:val="24"/>
        </w:rPr>
        <w:t>Polzer C, Dunst J. Dosiseskalation bei der Radiotherapie inoperabler Ewing-Tumoren [Radiotherapy dose escalation in the treatment of unresectable Ewing sarcoma]. Strahlenther Onkol. 2023 Feb;199(2):204-207. German. doi: 10.1007/s00066-023-02046-0. Epub 2023 Jan 17. PMID: 36650309; PMCID: PMC9877040.</w:t>
      </w:r>
      <w:r w:rsidR="001A3A3C" w:rsidRPr="001A3A3C">
        <w:rPr>
          <w:rFonts w:ascii="Times New Roman" w:hAnsi="Times New Roman" w:cs="Times New Roman"/>
          <w:sz w:val="28"/>
          <w:szCs w:val="24"/>
          <w:lang w:val="bs-Latn-BA"/>
        </w:rPr>
        <w:t xml:space="preserve"> </w:t>
      </w:r>
    </w:p>
    <w:p w14:paraId="655E9B42" w14:textId="60817D2A" w:rsidR="00195A1A" w:rsidRPr="00195A1A" w:rsidRDefault="00085ACD" w:rsidP="00EB4B97">
      <w:pPr>
        <w:pStyle w:val="ListParagraph"/>
        <w:spacing w:line="480" w:lineRule="auto"/>
        <w:ind w:left="0"/>
        <w:jc w:val="both"/>
        <w:rPr>
          <w:rFonts w:ascii="Times New Roman" w:hAnsi="Times New Roman" w:cs="Times New Roman"/>
          <w:color w:val="212121"/>
          <w:sz w:val="24"/>
          <w:szCs w:val="24"/>
          <w:shd w:val="clear" w:color="auto" w:fill="FFFFFF"/>
        </w:rPr>
      </w:pPr>
      <w:r w:rsidRPr="00195A1A">
        <w:rPr>
          <w:rFonts w:ascii="Times New Roman" w:hAnsi="Times New Roman" w:cs="Times New Roman"/>
          <w:sz w:val="24"/>
          <w:szCs w:val="24"/>
          <w:lang w:val="bs-Latn-BA"/>
        </w:rPr>
        <w:t>6.</w:t>
      </w:r>
      <w:r w:rsidR="00CF7A9F" w:rsidRPr="00195A1A">
        <w:rPr>
          <w:rFonts w:ascii="Times New Roman" w:hAnsi="Times New Roman" w:cs="Times New Roman"/>
          <w:sz w:val="24"/>
          <w:szCs w:val="24"/>
          <w:lang w:val="bs-Latn-BA"/>
        </w:rPr>
        <w:t xml:space="preserve">  </w:t>
      </w:r>
      <w:r w:rsidR="00195A1A" w:rsidRPr="00195A1A">
        <w:rPr>
          <w:rFonts w:ascii="Times New Roman" w:hAnsi="Times New Roman" w:cs="Times New Roman"/>
          <w:color w:val="212121"/>
          <w:sz w:val="24"/>
          <w:szCs w:val="24"/>
          <w:shd w:val="clear" w:color="auto" w:fill="FFFFFF"/>
        </w:rPr>
        <w:t>Agarwal S, Rathi AK, Singh K, Melgandi W, Ansari FA, Arora S. Extracorporeal irradiation in malignant bone tumors: Single institution experience and review of literature. J Cancer Res Ther.</w:t>
      </w:r>
      <w:r w:rsidR="00195A1A">
        <w:rPr>
          <w:rFonts w:ascii="Times New Roman" w:hAnsi="Times New Roman" w:cs="Times New Roman"/>
          <w:color w:val="212121"/>
          <w:sz w:val="24"/>
          <w:szCs w:val="24"/>
          <w:shd w:val="clear" w:color="auto" w:fill="FFFFFF"/>
        </w:rPr>
        <w:t xml:space="preserve"> 2023 Apr;19(Supplement):S1-S5. </w:t>
      </w:r>
      <w:r w:rsidR="00195A1A" w:rsidRPr="00195A1A">
        <w:rPr>
          <w:rFonts w:ascii="Times New Roman" w:hAnsi="Times New Roman" w:cs="Times New Roman"/>
          <w:color w:val="212121"/>
          <w:sz w:val="24"/>
          <w:szCs w:val="24"/>
          <w:shd w:val="clear" w:color="auto" w:fill="FFFFFF"/>
        </w:rPr>
        <w:t>doi: 10.4103/jcrt.jcrt_1316_21. PMID: 37147976.</w:t>
      </w:r>
      <w:r w:rsidR="00195A1A" w:rsidRPr="00195A1A">
        <w:rPr>
          <w:rFonts w:ascii="Times New Roman" w:hAnsi="Times New Roman" w:cs="Times New Roman"/>
          <w:sz w:val="24"/>
          <w:szCs w:val="24"/>
          <w:lang w:val="bs-Latn-BA"/>
        </w:rPr>
        <w:t xml:space="preserve"> </w:t>
      </w:r>
    </w:p>
    <w:p w14:paraId="7990CA6F" w14:textId="3F706D58" w:rsidR="007B68E1" w:rsidRPr="00195A1A" w:rsidRDefault="00085ACD" w:rsidP="00EB4B97">
      <w:pPr>
        <w:pStyle w:val="ListParagraph"/>
        <w:spacing w:line="480" w:lineRule="auto"/>
        <w:ind w:left="0"/>
        <w:jc w:val="both"/>
        <w:rPr>
          <w:rFonts w:ascii="Times New Roman" w:hAnsi="Times New Roman" w:cs="Times New Roman"/>
          <w:color w:val="222222"/>
          <w:sz w:val="24"/>
          <w:szCs w:val="24"/>
          <w:shd w:val="clear" w:color="auto" w:fill="FFFFFF"/>
        </w:rPr>
      </w:pPr>
      <w:r w:rsidRPr="00195A1A">
        <w:rPr>
          <w:rFonts w:ascii="Times New Roman" w:hAnsi="Times New Roman" w:cs="Times New Roman"/>
          <w:sz w:val="24"/>
          <w:szCs w:val="24"/>
          <w:lang w:val="bs-Latn-BA"/>
        </w:rPr>
        <w:t>7.</w:t>
      </w:r>
      <w:r w:rsidR="00CF7A9F" w:rsidRPr="00195A1A">
        <w:rPr>
          <w:rFonts w:ascii="Times New Roman" w:hAnsi="Times New Roman" w:cs="Times New Roman"/>
          <w:sz w:val="24"/>
          <w:szCs w:val="24"/>
          <w:lang w:val="bs-Latn-BA"/>
        </w:rPr>
        <w:t xml:space="preserve"> </w:t>
      </w:r>
      <w:r w:rsidR="00195A1A" w:rsidRPr="00195A1A">
        <w:rPr>
          <w:rFonts w:ascii="Times New Roman" w:hAnsi="Times New Roman" w:cs="Times New Roman"/>
          <w:color w:val="212121"/>
          <w:sz w:val="24"/>
          <w:szCs w:val="24"/>
          <w:shd w:val="clear" w:color="auto" w:fill="FFFFFF"/>
        </w:rPr>
        <w:t>Zarghooni K, Bratke G, Landgraf P, Simon T, Maintz D, Eysel P. The Diagnosis and Treatment of Osteosarcoma and Ewing's Sarcoma in Children and Adolescents. Dtsch Arztebl Int. 2023 Jun 16;120(24):405-412. doi: 10.3238/arztebl.m2023.0079. PMID: 37097079; PMCID: PMC10437036.</w:t>
      </w:r>
    </w:p>
    <w:p w14:paraId="65F2E11F" w14:textId="77777777" w:rsidR="007B68E1" w:rsidRPr="00EB4B97" w:rsidRDefault="007B68E1" w:rsidP="00EB4B97">
      <w:pPr>
        <w:pStyle w:val="ListParagraph"/>
        <w:spacing w:line="480" w:lineRule="auto"/>
        <w:ind w:left="0"/>
        <w:jc w:val="both"/>
        <w:rPr>
          <w:rFonts w:ascii="Times New Roman" w:hAnsi="Times New Roman" w:cs="Times New Roman"/>
          <w:sz w:val="24"/>
          <w:szCs w:val="24"/>
          <w:lang w:val="bs-Latn-BA"/>
        </w:rPr>
      </w:pPr>
    </w:p>
    <w:p w14:paraId="69A25FF7" w14:textId="10703EC5" w:rsidR="002B4512" w:rsidRPr="00EB4B97" w:rsidRDefault="00CA4F2B" w:rsidP="00EB4B97">
      <w:pPr>
        <w:pStyle w:val="ListParagraph"/>
        <w:spacing w:line="480" w:lineRule="auto"/>
        <w:ind w:left="0"/>
        <w:jc w:val="both"/>
        <w:rPr>
          <w:rFonts w:ascii="Times New Roman" w:eastAsia="Times New Roman" w:hAnsi="Times New Roman" w:cs="Times New Roman"/>
          <w:b/>
          <w:sz w:val="24"/>
          <w:szCs w:val="24"/>
          <w:lang w:val="en"/>
        </w:rPr>
      </w:pPr>
      <w:r w:rsidRPr="00EB4B97">
        <w:rPr>
          <w:rFonts w:ascii="Times New Roman" w:eastAsia="Times New Roman" w:hAnsi="Times New Roman" w:cs="Times New Roman"/>
          <w:b/>
          <w:sz w:val="24"/>
          <w:szCs w:val="24"/>
          <w:lang w:val="en"/>
        </w:rPr>
        <w:t xml:space="preserve">The importance of radiotherapy in the treatment of metastatic forms of Ewing's </w:t>
      </w:r>
      <w:r w:rsidR="002B4512" w:rsidRPr="00EB4B97">
        <w:rPr>
          <w:rFonts w:ascii="Times New Roman" w:eastAsia="Times New Roman" w:hAnsi="Times New Roman" w:cs="Times New Roman"/>
          <w:b/>
          <w:sz w:val="24"/>
          <w:szCs w:val="24"/>
          <w:lang w:val="en"/>
        </w:rPr>
        <w:t xml:space="preserve">sarcoma </w:t>
      </w:r>
      <w:r w:rsidR="005453F2" w:rsidRPr="00EB4B97">
        <w:rPr>
          <w:rFonts w:ascii="Times New Roman" w:eastAsia="Times New Roman" w:hAnsi="Times New Roman" w:cs="Times New Roman"/>
          <w:sz w:val="24"/>
          <w:szCs w:val="24"/>
        </w:rPr>
        <w:t>–</w:t>
      </w:r>
      <w:r w:rsidR="002B4512" w:rsidRPr="00EB4B97">
        <w:rPr>
          <w:rFonts w:ascii="Times New Roman" w:eastAsia="Times New Roman" w:hAnsi="Times New Roman" w:cs="Times New Roman"/>
          <w:b/>
          <w:sz w:val="24"/>
          <w:szCs w:val="24"/>
          <w:lang w:val="en"/>
        </w:rPr>
        <w:t xml:space="preserve"> case report</w:t>
      </w:r>
    </w:p>
    <w:p w14:paraId="15486CDC" w14:textId="60CB59EC" w:rsidR="002B4512" w:rsidRPr="00EB4B97" w:rsidRDefault="002B4512" w:rsidP="00EB4B97">
      <w:pPr>
        <w:pStyle w:val="ListParagraph"/>
        <w:spacing w:line="480" w:lineRule="auto"/>
        <w:ind w:left="0"/>
        <w:jc w:val="both"/>
        <w:rPr>
          <w:rFonts w:ascii="Times New Roman" w:eastAsia="Times New Roman" w:hAnsi="Times New Roman" w:cs="Times New Roman"/>
          <w:b/>
          <w:sz w:val="24"/>
          <w:szCs w:val="24"/>
          <w:lang w:val="en"/>
        </w:rPr>
      </w:pPr>
      <w:r w:rsidRPr="00EB4B97">
        <w:rPr>
          <w:rFonts w:ascii="Times New Roman" w:eastAsia="Times New Roman" w:hAnsi="Times New Roman" w:cs="Times New Roman"/>
          <w:b/>
          <w:sz w:val="24"/>
          <w:szCs w:val="24"/>
          <w:lang w:val="en"/>
        </w:rPr>
        <w:t>Abstract</w:t>
      </w:r>
    </w:p>
    <w:p w14:paraId="1684FD81" w14:textId="7C78B4C2" w:rsidR="00B00FAD" w:rsidRPr="00EB4B97" w:rsidRDefault="00CA4F2B" w:rsidP="00EB4B97">
      <w:pPr>
        <w:pStyle w:val="ListParagraph"/>
        <w:spacing w:line="480" w:lineRule="auto"/>
        <w:ind w:left="0"/>
        <w:jc w:val="both"/>
        <w:rPr>
          <w:rFonts w:ascii="Times New Roman" w:eastAsia="Times New Roman" w:hAnsi="Times New Roman" w:cs="Times New Roman"/>
          <w:sz w:val="24"/>
          <w:szCs w:val="24"/>
          <w:lang w:val="en"/>
        </w:rPr>
      </w:pPr>
      <w:r w:rsidRPr="00EB4B97">
        <w:rPr>
          <w:rFonts w:ascii="Times New Roman" w:eastAsia="Times New Roman" w:hAnsi="Times New Roman" w:cs="Times New Roman"/>
          <w:sz w:val="24"/>
          <w:szCs w:val="24"/>
          <w:lang w:val="en"/>
        </w:rPr>
        <w:t>Ewing's sarcoma is the second most common primary malignant tumor affecting the bone system. It occurs most often in childhood and early adolescence, with a prevalence of 2:1,000,000, and a slightly higher frequency in males compared to females (1.5:1). The predilection site for the formation of the bony form of Ewing's sarcoma is the metadiaphyses of long bones, most often the lower extremities. The most common metastatic sites of this disease are lungs (38%), bones (31%) and bone marrow (11%). Necessary diagnostic processing includes tumor biopsy with pathohistological verification, and imaging methods that include PET/CT/MR. Ewing's sarcoma is a chemo</w:t>
      </w:r>
      <w:r w:rsidR="00854DF2" w:rsidRPr="00EB4B97">
        <w:rPr>
          <w:rFonts w:ascii="Times New Roman" w:eastAsia="Times New Roman" w:hAnsi="Times New Roman" w:cs="Times New Roman"/>
          <w:sz w:val="24"/>
          <w:szCs w:val="24"/>
          <w:lang w:val="en"/>
        </w:rPr>
        <w:t>-</w:t>
      </w:r>
      <w:r w:rsidRPr="00EB4B97">
        <w:rPr>
          <w:rFonts w:ascii="Times New Roman" w:eastAsia="Times New Roman" w:hAnsi="Times New Roman" w:cs="Times New Roman"/>
          <w:sz w:val="24"/>
          <w:szCs w:val="24"/>
          <w:lang w:val="en"/>
        </w:rPr>
        <w:t>radiosensitive tumor. The recommended approach to treatment includes the induction (neoadjuvant) application of chemotherapy in 3</w:t>
      </w:r>
      <w:r w:rsidR="005453F2" w:rsidRPr="00EB4B97">
        <w:rPr>
          <w:rFonts w:ascii="Times New Roman" w:eastAsia="Times New Roman" w:hAnsi="Times New Roman" w:cs="Times New Roman"/>
          <w:sz w:val="24"/>
          <w:szCs w:val="24"/>
        </w:rPr>
        <w:t>–</w:t>
      </w:r>
      <w:r w:rsidRPr="00EB4B97">
        <w:rPr>
          <w:rFonts w:ascii="Times New Roman" w:eastAsia="Times New Roman" w:hAnsi="Times New Roman" w:cs="Times New Roman"/>
          <w:sz w:val="24"/>
          <w:szCs w:val="24"/>
          <w:lang w:val="en"/>
        </w:rPr>
        <w:t>6 cycles, after which surgery and radiotherapy are the basis of treatment. Radiotherapy in the treatment of Ewing's sarcoma is applied neoadjuvant, adjuvant as definitive and palliative radiotherapy. The use of modern, multimodal therapy enables the five-year survival of 50</w:t>
      </w:r>
      <w:r w:rsidR="005453F2" w:rsidRPr="00EB4B97">
        <w:rPr>
          <w:rFonts w:ascii="Times New Roman" w:eastAsia="Times New Roman" w:hAnsi="Times New Roman" w:cs="Times New Roman"/>
          <w:sz w:val="24"/>
          <w:szCs w:val="24"/>
        </w:rPr>
        <w:t>–</w:t>
      </w:r>
      <w:r w:rsidRPr="00EB4B97">
        <w:rPr>
          <w:rFonts w:ascii="Times New Roman" w:eastAsia="Times New Roman" w:hAnsi="Times New Roman" w:cs="Times New Roman"/>
          <w:sz w:val="24"/>
          <w:szCs w:val="24"/>
          <w:lang w:val="en"/>
        </w:rPr>
        <w:t>70% of patients.</w:t>
      </w:r>
      <w:r w:rsidR="002B4512" w:rsidRPr="00EB4B97">
        <w:rPr>
          <w:rFonts w:ascii="Times New Roman" w:eastAsia="Times New Roman" w:hAnsi="Times New Roman" w:cs="Times New Roman"/>
          <w:sz w:val="24"/>
          <w:szCs w:val="24"/>
          <w:lang w:val="en"/>
        </w:rPr>
        <w:t xml:space="preserve"> </w:t>
      </w:r>
    </w:p>
    <w:p w14:paraId="60F29434" w14:textId="73D2A5FD" w:rsidR="00EA0733" w:rsidRPr="00EB4B97" w:rsidRDefault="00CA4F2B" w:rsidP="00EB4B97">
      <w:pPr>
        <w:pStyle w:val="ListParagraph"/>
        <w:spacing w:line="480" w:lineRule="auto"/>
        <w:ind w:left="0"/>
        <w:jc w:val="both"/>
        <w:rPr>
          <w:rFonts w:ascii="Times New Roman" w:eastAsia="Times New Roman" w:hAnsi="Times New Roman" w:cs="Times New Roman"/>
          <w:sz w:val="24"/>
          <w:szCs w:val="24"/>
          <w:lang w:val="en"/>
        </w:rPr>
      </w:pPr>
      <w:r w:rsidRPr="00EB4B97">
        <w:rPr>
          <w:rFonts w:ascii="Times New Roman" w:eastAsia="Times New Roman" w:hAnsi="Times New Roman" w:cs="Times New Roman"/>
          <w:sz w:val="24"/>
          <w:szCs w:val="24"/>
          <w:lang w:val="en"/>
        </w:rPr>
        <w:t>Key words: Ewing's sarcoma, metastatic disease, radiotherapy</w:t>
      </w:r>
    </w:p>
    <w:sectPr w:rsidR="00EA0733" w:rsidRPr="00EB4B97" w:rsidSect="00A31601">
      <w:pgSz w:w="11907" w:h="16839" w:code="9"/>
      <w:pgMar w:top="1440" w:right="1440" w:bottom="1440" w:left="226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931D19" w14:textId="77777777" w:rsidR="001C2DAB" w:rsidRDefault="001C2DAB" w:rsidP="0062417A">
      <w:pPr>
        <w:spacing w:after="0" w:line="240" w:lineRule="auto"/>
      </w:pPr>
      <w:r>
        <w:separator/>
      </w:r>
    </w:p>
  </w:endnote>
  <w:endnote w:type="continuationSeparator" w:id="0">
    <w:p w14:paraId="4959E9F7" w14:textId="77777777" w:rsidR="001C2DAB" w:rsidRDefault="001C2DAB" w:rsidP="006241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7264E0" w14:textId="77777777" w:rsidR="001C2DAB" w:rsidRDefault="001C2DAB" w:rsidP="0062417A">
      <w:pPr>
        <w:spacing w:after="0" w:line="240" w:lineRule="auto"/>
      </w:pPr>
      <w:r>
        <w:separator/>
      </w:r>
    </w:p>
  </w:footnote>
  <w:footnote w:type="continuationSeparator" w:id="0">
    <w:p w14:paraId="65FC55AE" w14:textId="77777777" w:rsidR="001C2DAB" w:rsidRDefault="001C2DAB" w:rsidP="0062417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2B1F"/>
      </v:shape>
    </w:pict>
  </w:numPicBullet>
  <w:abstractNum w:abstractNumId="0">
    <w:nsid w:val="05AD6636"/>
    <w:multiLevelType w:val="hybridMultilevel"/>
    <w:tmpl w:val="82C09D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B1D129A"/>
    <w:multiLevelType w:val="hybridMultilevel"/>
    <w:tmpl w:val="1378350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C907232"/>
    <w:multiLevelType w:val="hybridMultilevel"/>
    <w:tmpl w:val="78D0237E"/>
    <w:lvl w:ilvl="0" w:tplc="0409000F">
      <w:start w:val="1"/>
      <w:numFmt w:val="decimal"/>
      <w:lvlText w:val="%1."/>
      <w:lvlJc w:val="left"/>
      <w:pPr>
        <w:ind w:left="13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CEE07C7"/>
    <w:multiLevelType w:val="hybridMultilevel"/>
    <w:tmpl w:val="402669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53AA75C9"/>
    <w:multiLevelType w:val="hybridMultilevel"/>
    <w:tmpl w:val="CE82D626"/>
    <w:lvl w:ilvl="0" w:tplc="04090007">
      <w:start w:val="1"/>
      <w:numFmt w:val="bullet"/>
      <w:lvlText w:val=""/>
      <w:lvlPicBulletId w:val="0"/>
      <w:lvlJc w:val="left"/>
      <w:pPr>
        <w:ind w:left="6570" w:hanging="360"/>
      </w:pPr>
      <w:rPr>
        <w:rFonts w:ascii="Symbol" w:hAnsi="Symbol" w:hint="default"/>
      </w:rPr>
    </w:lvl>
    <w:lvl w:ilvl="1" w:tplc="04090003" w:tentative="1">
      <w:start w:val="1"/>
      <w:numFmt w:val="bullet"/>
      <w:lvlText w:val="o"/>
      <w:lvlJc w:val="left"/>
      <w:pPr>
        <w:ind w:left="7290" w:hanging="360"/>
      </w:pPr>
      <w:rPr>
        <w:rFonts w:ascii="Courier New" w:hAnsi="Courier New" w:cs="Courier New" w:hint="default"/>
      </w:rPr>
    </w:lvl>
    <w:lvl w:ilvl="2" w:tplc="04090005" w:tentative="1">
      <w:start w:val="1"/>
      <w:numFmt w:val="bullet"/>
      <w:lvlText w:val=""/>
      <w:lvlJc w:val="left"/>
      <w:pPr>
        <w:ind w:left="8010" w:hanging="360"/>
      </w:pPr>
      <w:rPr>
        <w:rFonts w:ascii="Wingdings" w:hAnsi="Wingdings" w:hint="default"/>
      </w:rPr>
    </w:lvl>
    <w:lvl w:ilvl="3" w:tplc="04090001" w:tentative="1">
      <w:start w:val="1"/>
      <w:numFmt w:val="bullet"/>
      <w:lvlText w:val=""/>
      <w:lvlJc w:val="left"/>
      <w:pPr>
        <w:ind w:left="8730" w:hanging="360"/>
      </w:pPr>
      <w:rPr>
        <w:rFonts w:ascii="Symbol" w:hAnsi="Symbol" w:hint="default"/>
      </w:rPr>
    </w:lvl>
    <w:lvl w:ilvl="4" w:tplc="04090003" w:tentative="1">
      <w:start w:val="1"/>
      <w:numFmt w:val="bullet"/>
      <w:lvlText w:val="o"/>
      <w:lvlJc w:val="left"/>
      <w:pPr>
        <w:ind w:left="9450" w:hanging="360"/>
      </w:pPr>
      <w:rPr>
        <w:rFonts w:ascii="Courier New" w:hAnsi="Courier New" w:cs="Courier New" w:hint="default"/>
      </w:rPr>
    </w:lvl>
    <w:lvl w:ilvl="5" w:tplc="04090005" w:tentative="1">
      <w:start w:val="1"/>
      <w:numFmt w:val="bullet"/>
      <w:lvlText w:val=""/>
      <w:lvlJc w:val="left"/>
      <w:pPr>
        <w:ind w:left="10170" w:hanging="360"/>
      </w:pPr>
      <w:rPr>
        <w:rFonts w:ascii="Wingdings" w:hAnsi="Wingdings" w:hint="default"/>
      </w:rPr>
    </w:lvl>
    <w:lvl w:ilvl="6" w:tplc="04090001" w:tentative="1">
      <w:start w:val="1"/>
      <w:numFmt w:val="bullet"/>
      <w:lvlText w:val=""/>
      <w:lvlJc w:val="left"/>
      <w:pPr>
        <w:ind w:left="10890" w:hanging="360"/>
      </w:pPr>
      <w:rPr>
        <w:rFonts w:ascii="Symbol" w:hAnsi="Symbol" w:hint="default"/>
      </w:rPr>
    </w:lvl>
    <w:lvl w:ilvl="7" w:tplc="04090003" w:tentative="1">
      <w:start w:val="1"/>
      <w:numFmt w:val="bullet"/>
      <w:lvlText w:val="o"/>
      <w:lvlJc w:val="left"/>
      <w:pPr>
        <w:ind w:left="11610" w:hanging="360"/>
      </w:pPr>
      <w:rPr>
        <w:rFonts w:ascii="Courier New" w:hAnsi="Courier New" w:cs="Courier New" w:hint="default"/>
      </w:rPr>
    </w:lvl>
    <w:lvl w:ilvl="8" w:tplc="04090005" w:tentative="1">
      <w:start w:val="1"/>
      <w:numFmt w:val="bullet"/>
      <w:lvlText w:val=""/>
      <w:lvlJc w:val="left"/>
      <w:pPr>
        <w:ind w:left="12330" w:hanging="360"/>
      </w:pPr>
      <w:rPr>
        <w:rFonts w:ascii="Wingdings" w:hAnsi="Wingdings" w:hint="default"/>
      </w:rPr>
    </w:lvl>
  </w:abstractNum>
  <w:abstractNum w:abstractNumId="5">
    <w:nsid w:val="7E5E41E9"/>
    <w:multiLevelType w:val="hybridMultilevel"/>
    <w:tmpl w:val="76FAE02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7F5B0EBE"/>
    <w:multiLevelType w:val="hybridMultilevel"/>
    <w:tmpl w:val="A8FE9B3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A1E"/>
    <w:rsid w:val="00063911"/>
    <w:rsid w:val="000679DD"/>
    <w:rsid w:val="00085ACD"/>
    <w:rsid w:val="000C5973"/>
    <w:rsid w:val="000D5EFE"/>
    <w:rsid w:val="00173946"/>
    <w:rsid w:val="00195A1A"/>
    <w:rsid w:val="00197FFA"/>
    <w:rsid w:val="001A3A3C"/>
    <w:rsid w:val="001C2DAB"/>
    <w:rsid w:val="001C4EC0"/>
    <w:rsid w:val="002B4512"/>
    <w:rsid w:val="002B4ACD"/>
    <w:rsid w:val="002E5374"/>
    <w:rsid w:val="003137F1"/>
    <w:rsid w:val="003902F1"/>
    <w:rsid w:val="003A6130"/>
    <w:rsid w:val="004236DB"/>
    <w:rsid w:val="0045211F"/>
    <w:rsid w:val="005453F2"/>
    <w:rsid w:val="00560EBB"/>
    <w:rsid w:val="005A240F"/>
    <w:rsid w:val="005E4EF1"/>
    <w:rsid w:val="0060580D"/>
    <w:rsid w:val="0062417A"/>
    <w:rsid w:val="0065320B"/>
    <w:rsid w:val="0066066A"/>
    <w:rsid w:val="006A6432"/>
    <w:rsid w:val="007A3CA9"/>
    <w:rsid w:val="007B68E1"/>
    <w:rsid w:val="00854DF2"/>
    <w:rsid w:val="008E2119"/>
    <w:rsid w:val="0099264C"/>
    <w:rsid w:val="00A31601"/>
    <w:rsid w:val="00A4205B"/>
    <w:rsid w:val="00B00FAD"/>
    <w:rsid w:val="00B15D51"/>
    <w:rsid w:val="00B600E8"/>
    <w:rsid w:val="00BB6A20"/>
    <w:rsid w:val="00C236D7"/>
    <w:rsid w:val="00C34BF8"/>
    <w:rsid w:val="00C42E7E"/>
    <w:rsid w:val="00C630BB"/>
    <w:rsid w:val="00CA4F2B"/>
    <w:rsid w:val="00CA6D77"/>
    <w:rsid w:val="00CD0A1E"/>
    <w:rsid w:val="00CF7A9F"/>
    <w:rsid w:val="00D239C4"/>
    <w:rsid w:val="00D80798"/>
    <w:rsid w:val="00DA7BAF"/>
    <w:rsid w:val="00E13218"/>
    <w:rsid w:val="00E35167"/>
    <w:rsid w:val="00E518D8"/>
    <w:rsid w:val="00E84A7B"/>
    <w:rsid w:val="00EA0733"/>
    <w:rsid w:val="00EB4B97"/>
    <w:rsid w:val="00F06423"/>
    <w:rsid w:val="00F226BA"/>
    <w:rsid w:val="00F70844"/>
    <w:rsid w:val="00FA7D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A7715"/>
  <w15:chartTrackingRefBased/>
  <w15:docId w15:val="{EB21CE1C-5701-4953-87A3-47CB03472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0A1E"/>
    <w:pPr>
      <w:ind w:left="720"/>
      <w:contextualSpacing/>
    </w:pPr>
  </w:style>
  <w:style w:type="table" w:styleId="TableGrid">
    <w:name w:val="Table Grid"/>
    <w:basedOn w:val="TableNormal"/>
    <w:uiPriority w:val="39"/>
    <w:rsid w:val="00C42E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semiHidden/>
    <w:unhideWhenUsed/>
    <w:rsid w:val="00CA4F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A4F2B"/>
    <w:rPr>
      <w:rFonts w:ascii="Courier New" w:eastAsia="Times New Roman" w:hAnsi="Courier New" w:cs="Courier New"/>
      <w:sz w:val="20"/>
      <w:szCs w:val="20"/>
    </w:rPr>
  </w:style>
  <w:style w:type="character" w:customStyle="1" w:styleId="y2iqfc">
    <w:name w:val="y2iqfc"/>
    <w:basedOn w:val="DefaultParagraphFont"/>
    <w:rsid w:val="00CA4F2B"/>
  </w:style>
  <w:style w:type="paragraph" w:styleId="Header">
    <w:name w:val="header"/>
    <w:basedOn w:val="Normal"/>
    <w:link w:val="HeaderChar"/>
    <w:uiPriority w:val="99"/>
    <w:unhideWhenUsed/>
    <w:rsid w:val="006241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417A"/>
  </w:style>
  <w:style w:type="paragraph" w:styleId="Footer">
    <w:name w:val="footer"/>
    <w:basedOn w:val="Normal"/>
    <w:link w:val="FooterChar"/>
    <w:uiPriority w:val="99"/>
    <w:unhideWhenUsed/>
    <w:rsid w:val="006241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41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1606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bs-Latn-BA"/>
              <a:t>Odnos ukupne i pojedinačne dnevne doze na posebne regije</a:t>
            </a:r>
            <a:endParaRPr lang="en-US"/>
          </a:p>
        </c:rich>
      </c:tx>
      <c:layout>
        <c:manualLayout>
          <c:xMode val="edge"/>
          <c:yMode val="edge"/>
          <c:x val="0.13818861184018663"/>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Ukupna doza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Cijeli mozak</c:v>
                </c:pt>
                <c:pt idx="1">
                  <c:v>Moždane metastaze</c:v>
                </c:pt>
                <c:pt idx="2">
                  <c:v>Th2</c:v>
                </c:pt>
                <c:pt idx="3">
                  <c:v>Th4-Th11</c:v>
                </c:pt>
                <c:pt idx="4">
                  <c:v>Pelvis</c:v>
                </c:pt>
                <c:pt idx="5">
                  <c:v>Lokalni recidiv</c:v>
                </c:pt>
              </c:strCache>
            </c:strRef>
          </c:cat>
          <c:val>
            <c:numRef>
              <c:f>Sheet1!$B$2:$B$7</c:f>
              <c:numCache>
                <c:formatCode>General</c:formatCode>
                <c:ptCount val="6"/>
                <c:pt idx="0">
                  <c:v>20</c:v>
                </c:pt>
                <c:pt idx="1">
                  <c:v>40</c:v>
                </c:pt>
                <c:pt idx="2">
                  <c:v>30</c:v>
                </c:pt>
                <c:pt idx="3">
                  <c:v>30</c:v>
                </c:pt>
                <c:pt idx="4">
                  <c:v>27</c:v>
                </c:pt>
                <c:pt idx="5">
                  <c:v>50</c:v>
                </c:pt>
              </c:numCache>
            </c:numRef>
          </c:val>
          <c:extLst xmlns:c16r2="http://schemas.microsoft.com/office/drawing/2015/06/chart">
            <c:ext xmlns:c16="http://schemas.microsoft.com/office/drawing/2014/chart" uri="{C3380CC4-5D6E-409C-BE32-E72D297353CC}">
              <c16:uniqueId val="{00000000-ACF0-4F40-9EC8-2FBBD948C581}"/>
            </c:ext>
          </c:extLst>
        </c:ser>
        <c:dLbls>
          <c:showLegendKey val="0"/>
          <c:showVal val="0"/>
          <c:showCatName val="0"/>
          <c:showSerName val="0"/>
          <c:showPercent val="0"/>
          <c:showBubbleSize val="0"/>
        </c:dLbls>
        <c:gapWidth val="60"/>
        <c:overlap val="-16"/>
        <c:axId val="-745909696"/>
        <c:axId val="-745917856"/>
      </c:barChart>
      <c:lineChart>
        <c:grouping val="standard"/>
        <c:varyColors val="0"/>
        <c:ser>
          <c:idx val="1"/>
          <c:order val="1"/>
          <c:tx>
            <c:strRef>
              <c:f>Sheet1!$C$1</c:f>
              <c:strCache>
                <c:ptCount val="1"/>
                <c:pt idx="0">
                  <c:v>Pojedinačna doza</c:v>
                </c:pt>
              </c:strCache>
            </c:strRef>
          </c:tx>
          <c:spPr>
            <a:ln w="28575" cap="rnd">
              <a:solidFill>
                <a:schemeClr val="accent2"/>
              </a:solidFill>
              <a:round/>
            </a:ln>
            <a:effectLst/>
          </c:spPr>
          <c:marker>
            <c:symbol val="none"/>
          </c:marker>
          <c:cat>
            <c:strRef>
              <c:f>Sheet1!$A$2:$A$7</c:f>
              <c:strCache>
                <c:ptCount val="6"/>
                <c:pt idx="0">
                  <c:v>Cijeli mozak</c:v>
                </c:pt>
                <c:pt idx="1">
                  <c:v>Moždane metastaze</c:v>
                </c:pt>
                <c:pt idx="2">
                  <c:v>Th2</c:v>
                </c:pt>
                <c:pt idx="3">
                  <c:v>Th4-Th11</c:v>
                </c:pt>
                <c:pt idx="4">
                  <c:v>Pelvis</c:v>
                </c:pt>
                <c:pt idx="5">
                  <c:v>Lokalni recidiv</c:v>
                </c:pt>
              </c:strCache>
            </c:strRef>
          </c:cat>
          <c:val>
            <c:numRef>
              <c:f>Sheet1!$C$2:$C$7</c:f>
              <c:numCache>
                <c:formatCode>General</c:formatCode>
                <c:ptCount val="6"/>
                <c:pt idx="0">
                  <c:v>4</c:v>
                </c:pt>
                <c:pt idx="1">
                  <c:v>8</c:v>
                </c:pt>
                <c:pt idx="2">
                  <c:v>3</c:v>
                </c:pt>
                <c:pt idx="3">
                  <c:v>3</c:v>
                </c:pt>
                <c:pt idx="4">
                  <c:v>3</c:v>
                </c:pt>
                <c:pt idx="5">
                  <c:v>2</c:v>
                </c:pt>
              </c:numCache>
            </c:numRef>
          </c:val>
          <c:smooth val="0"/>
          <c:extLst xmlns:c16r2="http://schemas.microsoft.com/office/drawing/2015/06/chart">
            <c:ext xmlns:c16="http://schemas.microsoft.com/office/drawing/2014/chart" uri="{C3380CC4-5D6E-409C-BE32-E72D297353CC}">
              <c16:uniqueId val="{00000001-ACF0-4F40-9EC8-2FBBD948C581}"/>
            </c:ext>
          </c:extLst>
        </c:ser>
        <c:dLbls>
          <c:showLegendKey val="0"/>
          <c:showVal val="0"/>
          <c:showCatName val="0"/>
          <c:showSerName val="0"/>
          <c:showPercent val="0"/>
          <c:showBubbleSize val="0"/>
        </c:dLbls>
        <c:marker val="1"/>
        <c:smooth val="0"/>
        <c:axId val="-745909696"/>
        <c:axId val="-745917856"/>
      </c:lineChart>
      <c:catAx>
        <c:axId val="-745909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5917856"/>
        <c:crosses val="autoZero"/>
        <c:auto val="1"/>
        <c:lblAlgn val="ctr"/>
        <c:lblOffset val="100"/>
        <c:noMultiLvlLbl val="0"/>
      </c:catAx>
      <c:valAx>
        <c:axId val="-745917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59096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92B9C8-A02F-40F5-AD49-CC6B005FD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1361</Words>
  <Characters>7763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Nikolina</dc:creator>
  <cp:keywords/>
  <dc:description/>
  <cp:lastModifiedBy>Nikolina</cp:lastModifiedBy>
  <cp:revision>2</cp:revision>
  <cp:lastPrinted>2023-10-05T00:48:00Z</cp:lastPrinted>
  <dcterms:created xsi:type="dcterms:W3CDTF">2023-10-14T09:11:00Z</dcterms:created>
  <dcterms:modified xsi:type="dcterms:W3CDTF">2023-10-14T09:11:00Z</dcterms:modified>
</cp:coreProperties>
</file>