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7D7C4" w14:textId="77777777" w:rsidR="003E72B1" w:rsidRPr="003E72B1" w:rsidRDefault="003E72B1" w:rsidP="003E72B1">
      <w:pPr>
        <w:spacing w:line="480" w:lineRule="auto"/>
        <w:jc w:val="both"/>
        <w:rPr>
          <w:rFonts w:ascii="Times New Roman" w:hAnsi="Times New Roman" w:cs="Times New Roman"/>
          <w:b/>
          <w:bCs/>
          <w:kern w:val="2"/>
          <w:sz w:val="24"/>
          <w:szCs w:val="24"/>
          <w14:ligatures w14:val="standardContextual"/>
        </w:rPr>
      </w:pPr>
      <w:r w:rsidRPr="003E72B1">
        <w:rPr>
          <w:rFonts w:ascii="Times New Roman" w:hAnsi="Times New Roman" w:cs="Times New Roman"/>
          <w:b/>
          <w:bCs/>
          <w:kern w:val="2"/>
          <w:sz w:val="24"/>
          <w:szCs w:val="24"/>
          <w14:ligatures w14:val="standardContextual"/>
        </w:rPr>
        <w:t xml:space="preserve">Maligni poremećaj srčanog ritma i značaj ugradnje ICD-a </w:t>
      </w:r>
    </w:p>
    <w:p w14:paraId="7A4D2D87" w14:textId="77777777"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b/>
          <w:bCs/>
          <w:sz w:val="24"/>
          <w:szCs w:val="24"/>
        </w:rPr>
        <w:t xml:space="preserve"> Apstrakt</w:t>
      </w:r>
    </w:p>
    <w:p w14:paraId="7DD87E23" w14:textId="77777777"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sz w:val="24"/>
          <w:szCs w:val="24"/>
        </w:rPr>
        <w:t>Ventrikularna tahikardija (VT) je maligni poremećaj srčanog ritma, a osnovna podjela je na monomorfnu svi QRS kompleksi isti i polimorfnu  QRS kompleksi različiti pa postoji vjerovatnoća da ode u pravcu  ventrikularne fibrilacije (VF). U VT srce ima mehanički rad. Ukoliko je hemodinamski stabilan može medikamentna konverzija. VT je poremećaj ritma koji može imati frekfencu do 300 u minuti kada se skraćuje dijastolno punjenje srca i tada su mogući pad pritiska, gubitak pulsa i gubitak svijesti. U tom slučaju neophodno je pristupiti elektrokonverziji.</w:t>
      </w:r>
    </w:p>
    <w:p w14:paraId="756C0CB5" w14:textId="77777777" w:rsidR="003E72B1" w:rsidRPr="003E72B1" w:rsidRDefault="003E72B1" w:rsidP="003E72B1">
      <w:pPr>
        <w:spacing w:after="0" w:line="480" w:lineRule="auto"/>
        <w:jc w:val="both"/>
        <w:rPr>
          <w:rFonts w:ascii="Times New Roman" w:hAnsi="Times New Roman" w:cs="Times New Roman"/>
          <w:b/>
          <w:bCs/>
          <w:sz w:val="24"/>
          <w:szCs w:val="24"/>
        </w:rPr>
      </w:pPr>
      <w:r w:rsidRPr="003E72B1">
        <w:rPr>
          <w:rFonts w:ascii="Times New Roman" w:hAnsi="Times New Roman" w:cs="Times New Roman"/>
          <w:sz w:val="24"/>
          <w:szCs w:val="24"/>
        </w:rPr>
        <w:t>Ključne riječi: ventrikularna tahikardija, fibrilacija atrija, ICD</w:t>
      </w:r>
    </w:p>
    <w:p w14:paraId="4D306FAB" w14:textId="77777777" w:rsidR="003E72B1" w:rsidRPr="003E72B1" w:rsidRDefault="003E72B1" w:rsidP="003E72B1">
      <w:pPr>
        <w:spacing w:after="0" w:line="480" w:lineRule="auto"/>
        <w:jc w:val="both"/>
        <w:rPr>
          <w:rFonts w:ascii="Times New Roman" w:hAnsi="Times New Roman" w:cs="Times New Roman"/>
          <w:sz w:val="24"/>
          <w:szCs w:val="24"/>
        </w:rPr>
      </w:pPr>
      <w:r w:rsidRPr="003E72B1">
        <w:rPr>
          <w:rFonts w:ascii="Times New Roman" w:hAnsi="Times New Roman" w:cs="Times New Roman"/>
          <w:b/>
          <w:bCs/>
          <w:sz w:val="24"/>
          <w:szCs w:val="24"/>
        </w:rPr>
        <w:t xml:space="preserve">Uvod </w:t>
      </w:r>
    </w:p>
    <w:p w14:paraId="5638CCF6" w14:textId="77777777" w:rsidR="003E72B1" w:rsidRPr="003E72B1" w:rsidRDefault="003E72B1" w:rsidP="003E72B1">
      <w:pPr>
        <w:spacing w:after="0" w:line="480" w:lineRule="auto"/>
        <w:jc w:val="both"/>
        <w:rPr>
          <w:rFonts w:ascii="Times New Roman" w:hAnsi="Times New Roman" w:cs="Times New Roman"/>
          <w:b/>
          <w:bCs/>
          <w:sz w:val="48"/>
          <w:szCs w:val="48"/>
        </w:rPr>
      </w:pPr>
      <w:r w:rsidRPr="003E72B1">
        <w:rPr>
          <w:rFonts w:ascii="Times New Roman" w:hAnsi="Times New Roman" w:cs="Times New Roman"/>
          <w:sz w:val="24"/>
          <w:szCs w:val="24"/>
        </w:rPr>
        <w:t xml:space="preserve">VT predstavlja maligni poremećaj srčanog ritma. Pojava tri ili više uzastopnih prijevremenih ventrikularnih kontrakcija naziva se ventrikularna tahikardija. Produžena VT je urgentno stanje koje najavljuje srčani zastoj. Osnovna podjela je na unimorfnu i polimorfnu. Unimorfna kada su svi QRS kompleksi isti i polimorfna kada su različiti.  </w:t>
      </w:r>
    </w:p>
    <w:p w14:paraId="5C1BCB0A" w14:textId="77777777" w:rsidR="003E72B1" w:rsidRPr="003E72B1" w:rsidRDefault="003E72B1" w:rsidP="003E72B1">
      <w:pPr>
        <w:spacing w:after="0" w:line="480" w:lineRule="auto"/>
        <w:jc w:val="both"/>
        <w:rPr>
          <w:rFonts w:ascii="Times New Roman" w:hAnsi="Times New Roman" w:cs="Times New Roman"/>
          <w:b/>
          <w:bCs/>
          <w:sz w:val="48"/>
          <w:szCs w:val="48"/>
        </w:rPr>
      </w:pPr>
      <w:r w:rsidRPr="003E72B1">
        <w:rPr>
          <w:rFonts w:ascii="Times New Roman" w:hAnsi="Times New Roman" w:cs="Times New Roman"/>
          <w:b/>
          <w:bCs/>
          <w:sz w:val="24"/>
          <w:szCs w:val="24"/>
        </w:rPr>
        <w:t xml:space="preserve">Cilj rada </w:t>
      </w:r>
    </w:p>
    <w:p w14:paraId="31491806" w14:textId="77777777" w:rsidR="003E72B1" w:rsidRPr="003E72B1" w:rsidRDefault="003E72B1" w:rsidP="003E72B1">
      <w:pPr>
        <w:spacing w:line="480" w:lineRule="auto"/>
        <w:jc w:val="both"/>
        <w:rPr>
          <w:rFonts w:ascii="Times New Roman" w:hAnsi="Times New Roman" w:cs="Times New Roman"/>
          <w:b/>
          <w:bCs/>
          <w:sz w:val="48"/>
          <w:szCs w:val="48"/>
        </w:rPr>
      </w:pPr>
      <w:r w:rsidRPr="003E72B1">
        <w:rPr>
          <w:rFonts w:ascii="Times New Roman" w:hAnsi="Times New Roman" w:cs="Times New Roman"/>
          <w:sz w:val="24"/>
          <w:szCs w:val="24"/>
        </w:rPr>
        <w:t>Cilj rada prikazati značaj ugradnje ICD-a i korelirati klinički parametar primjenu antiaritmika Amiodarona uz ICD.</w:t>
      </w:r>
    </w:p>
    <w:p w14:paraId="5C2B6C67"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b/>
          <w:bCs/>
          <w:sz w:val="24"/>
          <w:szCs w:val="24"/>
        </w:rPr>
        <w:t>Istorija slučaja</w:t>
      </w:r>
    </w:p>
    <w:p w14:paraId="08EA9D8A"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Iz anamneze: Više puta hospitalizovana na Internom odjeljenju. Poslednja hospitalizacija na našem odjeljenju u decembru mjesecu 2022. godine. Zbog poremećaja srčanog ritma VT. Imala akutni infarkt miokarda (AIM) 2005. i 2013. godine. Potom je 2014. godine urađena koronarografija, nakon koje je predložen i </w:t>
      </w:r>
      <w:r w:rsidRPr="003E72B1">
        <w:rPr>
          <w:rFonts w:ascii="Times New Roman" w:hAnsi="Times New Roman" w:cs="Times New Roman"/>
          <w:sz w:val="24"/>
          <w:szCs w:val="24"/>
        </w:rPr>
        <w:lastRenderedPageBreak/>
        <w:t>urađen dvostruki baypass (LIMA-LAD i OM), kao i anuloplastika mitralne i trikuspidalne valvule. U novembru 2017. godine imala paroksizam atrijalne fibrilacije kada je medikamentozno konvertovana u sinus ritam. Imala operativni zahvat olfaktornog meningeoma 2008. godine, a 2010. godine operativni zahvat tumora intraduralis ekstramedularis u regiji Th 4. Imala infarkt bubrega 2021 godine. Liječi HTA. Liječi dijabetes melitus typ II na terapiji je oralnim hipoglikemicima. Negira alergije na lijekove. Na prijemu svjesna, lošeg opšteg stanja, preznojena, hipotenzivna (90/60 mmHg). Usne cijanotične, koža i vidljive sluzokože slabo prokrvljene. Auskultacijom obostrano na plućima normalan disajni šum. Abdomen u ravni grudnog koša, mek, palpatorno bolno neosjetljiv, bez organomegalije. Potkoljenice bez otoka.</w:t>
      </w:r>
    </w:p>
    <w:p w14:paraId="2BAA5CC0" w14:textId="77777777" w:rsidR="003E72B1" w:rsidRPr="003E72B1" w:rsidRDefault="003E72B1" w:rsidP="003E72B1">
      <w:pPr>
        <w:spacing w:after="0"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Pokušaj medikamentozne konverzije bude neuspješan. Pacijentkinja sedirana, te učinjena elektrokonverzija (200J). Nakon sprovedenih mjera kardiopulmonalne cerebralne reanimacije (KPCR) samostalno diše. Ordinirana terapija na našem odjeljenju: IV antiaritmici, antianginozna terapija, antikoaglunatna terapija, beta blokator, ACE inhibitor, IPP, diuretska terapija. Na ordiniranu terapiju značajno poboljšanje opšteg stanja. Informisana o mogućnosti ugradnje implantibilnog kardioverter defibrilatora (ICD) i značaju istog. ICD-aparat ugrađen na UKC BL na odjelu interventne kardiologije. Uz ugradnju ICD-a u terapiji ostao antiaritmik Amiodaron. Pacijentkinja se nalazi u grupi od ukupno 20 pacijenata studije izrađene za potrebe diplomskog rada koja se između ostalog bavila praćenjem aktivacije ICD uređaja kod pacijenata na terapiji Amiodaronom uz ugrađen ICD. Pacijentkinja se nalazi u podgrupi kod koje nije došlo do aktivacije ICD-a uz primjenu Amiodarona. </w:t>
      </w:r>
    </w:p>
    <w:p w14:paraId="41B4EC45"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Tabela 1. prikazuje ukupan broj pacijenata sa ICD-om i Amiodaronom u terapiji, kao i broj pacijenata kod kojih je došlo do aktivacije ICD i onih kod kojih se ICD uređaj nije aktivirao, a obje grupe bile su na terapiji Amiodaronom.  Podaci pokazuju da se </w:t>
      </w:r>
      <w:r w:rsidRPr="003E72B1">
        <w:rPr>
          <w:rFonts w:ascii="Times New Roman" w:hAnsi="Times New Roman" w:cs="Times New Roman"/>
          <w:sz w:val="24"/>
          <w:szCs w:val="24"/>
        </w:rPr>
        <w:lastRenderedPageBreak/>
        <w:t xml:space="preserve">od 20 ispitanih pacijenata, kod njih 10 uz antiaritmik uređaj aktivirao, a kod njih 9 nije došlo do aktivacije ICD-a, za jednog pacijenta nismo imali podatke. U podgrupi od 10 pacijenata sa aktivacijom ICD-a bilo je 5 pacijenata muškog i 5 pacijenata ženskog pola, bez aktivacije ICD-a, bilo je 5 pacijenata muškog i 4 pacijenta ženskog pola, za 1 pacijenta bez podataka. (Grafikon 1). </w:t>
      </w:r>
    </w:p>
    <w:p w14:paraId="54D8E796"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b/>
          <w:bCs/>
          <w:sz w:val="24"/>
          <w:szCs w:val="24"/>
        </w:rPr>
        <w:t>Tabela 1.</w:t>
      </w:r>
      <w:r w:rsidRPr="003E72B1">
        <w:rPr>
          <w:rFonts w:ascii="Times New Roman" w:hAnsi="Times New Roman" w:cs="Times New Roman"/>
          <w:sz w:val="24"/>
          <w:szCs w:val="24"/>
        </w:rPr>
        <w:t xml:space="preserve"> Korelacija sa kliničkim parametrom antiaritmik Amiodaron u terapiji uz ICD uređaj. (4) </w:t>
      </w:r>
    </w:p>
    <w:tbl>
      <w:tblPr>
        <w:tblStyle w:val="TableGrid"/>
        <w:tblW w:w="4785" w:type="pct"/>
        <w:tblInd w:w="-5" w:type="dxa"/>
        <w:tblLook w:val="04A0" w:firstRow="1" w:lastRow="0" w:firstColumn="1" w:lastColumn="0" w:noHBand="0" w:noVBand="1"/>
      </w:tblPr>
      <w:tblGrid>
        <w:gridCol w:w="2000"/>
        <w:gridCol w:w="2142"/>
        <w:gridCol w:w="2068"/>
        <w:gridCol w:w="1619"/>
      </w:tblGrid>
      <w:tr w:rsidR="003E72B1" w:rsidRPr="003E72B1" w14:paraId="117D196F" w14:textId="77777777" w:rsidTr="00453EF8">
        <w:trPr>
          <w:trHeight w:val="1250"/>
        </w:trPr>
        <w:tc>
          <w:tcPr>
            <w:tcW w:w="1277" w:type="pct"/>
          </w:tcPr>
          <w:p w14:paraId="20393B23" w14:textId="77777777" w:rsidR="003E72B1" w:rsidRPr="003E72B1" w:rsidRDefault="003E72B1" w:rsidP="003E72B1">
            <w:pPr>
              <w:spacing w:line="480" w:lineRule="auto"/>
              <w:jc w:val="center"/>
              <w:rPr>
                <w:rFonts w:ascii="Times New Roman" w:hAnsi="Times New Roman" w:cs="Times New Roman"/>
              </w:rPr>
            </w:pPr>
            <w:proofErr w:type="spellStart"/>
            <w:r w:rsidRPr="003E72B1">
              <w:rPr>
                <w:rFonts w:ascii="Times New Roman" w:hAnsi="Times New Roman" w:cs="Times New Roman"/>
                <w:sz w:val="24"/>
                <w:szCs w:val="24"/>
              </w:rPr>
              <w:t>Aktivacija</w:t>
            </w:r>
            <w:proofErr w:type="spellEnd"/>
            <w:r w:rsidRPr="003E72B1">
              <w:rPr>
                <w:rFonts w:ascii="Times New Roman" w:hAnsi="Times New Roman" w:cs="Times New Roman"/>
                <w:sz w:val="24"/>
                <w:szCs w:val="24"/>
              </w:rPr>
              <w:t xml:space="preserve"> ICD-a</w:t>
            </w:r>
          </w:p>
        </w:tc>
        <w:tc>
          <w:tcPr>
            <w:tcW w:w="1368" w:type="pct"/>
          </w:tcPr>
          <w:p w14:paraId="4E9E78CB" w14:textId="77777777" w:rsidR="003E72B1" w:rsidRPr="003E72B1" w:rsidRDefault="003E72B1" w:rsidP="003E72B1">
            <w:pPr>
              <w:spacing w:line="480" w:lineRule="auto"/>
              <w:jc w:val="center"/>
              <w:rPr>
                <w:rFonts w:ascii="Times New Roman" w:hAnsi="Times New Roman" w:cs="Times New Roman"/>
              </w:rPr>
            </w:pPr>
            <w:r w:rsidRPr="003E72B1">
              <w:rPr>
                <w:rFonts w:ascii="Times New Roman" w:hAnsi="Times New Roman" w:cs="Times New Roman"/>
              </w:rPr>
              <w:t xml:space="preserve">Bez </w:t>
            </w:r>
            <w:proofErr w:type="spellStart"/>
            <w:r w:rsidRPr="003E72B1">
              <w:rPr>
                <w:rFonts w:ascii="Times New Roman" w:hAnsi="Times New Roman" w:cs="Times New Roman"/>
              </w:rPr>
              <w:t>aktivacija</w:t>
            </w:r>
            <w:proofErr w:type="spellEnd"/>
            <w:r w:rsidRPr="003E72B1">
              <w:rPr>
                <w:rFonts w:ascii="Times New Roman" w:hAnsi="Times New Roman" w:cs="Times New Roman"/>
              </w:rPr>
              <w:t xml:space="preserve"> ICD-a</w:t>
            </w:r>
          </w:p>
        </w:tc>
        <w:tc>
          <w:tcPr>
            <w:tcW w:w="1321" w:type="pct"/>
          </w:tcPr>
          <w:p w14:paraId="308CDDBC" w14:textId="77777777" w:rsidR="003E72B1" w:rsidRPr="003E72B1" w:rsidRDefault="003E72B1" w:rsidP="003E72B1">
            <w:pPr>
              <w:spacing w:line="480" w:lineRule="auto"/>
              <w:jc w:val="center"/>
              <w:rPr>
                <w:rFonts w:ascii="Times New Roman" w:hAnsi="Times New Roman" w:cs="Times New Roman"/>
              </w:rPr>
            </w:pPr>
            <w:proofErr w:type="spellStart"/>
            <w:r w:rsidRPr="003E72B1">
              <w:rPr>
                <w:rFonts w:ascii="Times New Roman" w:hAnsi="Times New Roman" w:cs="Times New Roman"/>
              </w:rPr>
              <w:t>Nema</w:t>
            </w:r>
            <w:proofErr w:type="spellEnd"/>
            <w:r w:rsidRPr="003E72B1">
              <w:rPr>
                <w:rFonts w:ascii="Times New Roman" w:hAnsi="Times New Roman" w:cs="Times New Roman"/>
              </w:rPr>
              <w:t xml:space="preserve"> </w:t>
            </w:r>
            <w:proofErr w:type="spellStart"/>
            <w:r w:rsidRPr="003E72B1">
              <w:rPr>
                <w:rFonts w:ascii="Times New Roman" w:hAnsi="Times New Roman" w:cs="Times New Roman"/>
              </w:rPr>
              <w:t>podataka</w:t>
            </w:r>
            <w:proofErr w:type="spellEnd"/>
          </w:p>
        </w:tc>
        <w:tc>
          <w:tcPr>
            <w:tcW w:w="1034" w:type="pct"/>
          </w:tcPr>
          <w:p w14:paraId="272354E8" w14:textId="77777777" w:rsidR="003E72B1" w:rsidRPr="003E72B1" w:rsidRDefault="003E72B1" w:rsidP="003E72B1">
            <w:pPr>
              <w:spacing w:line="480" w:lineRule="auto"/>
              <w:jc w:val="center"/>
              <w:rPr>
                <w:rFonts w:ascii="Times New Roman" w:hAnsi="Times New Roman" w:cs="Times New Roman"/>
              </w:rPr>
            </w:pPr>
            <w:proofErr w:type="spellStart"/>
            <w:r w:rsidRPr="003E72B1">
              <w:rPr>
                <w:rFonts w:ascii="Times New Roman" w:hAnsi="Times New Roman" w:cs="Times New Roman"/>
              </w:rPr>
              <w:t>Ukupno</w:t>
            </w:r>
            <w:proofErr w:type="spellEnd"/>
          </w:p>
        </w:tc>
      </w:tr>
      <w:tr w:rsidR="003E72B1" w:rsidRPr="003E72B1" w14:paraId="34FEFE8F" w14:textId="77777777" w:rsidTr="00453EF8">
        <w:trPr>
          <w:trHeight w:val="233"/>
        </w:trPr>
        <w:tc>
          <w:tcPr>
            <w:tcW w:w="1277" w:type="pct"/>
          </w:tcPr>
          <w:p w14:paraId="07455FF0" w14:textId="77777777" w:rsidR="003E72B1" w:rsidRPr="003E72B1" w:rsidRDefault="003E72B1" w:rsidP="003E72B1">
            <w:pPr>
              <w:spacing w:line="480" w:lineRule="auto"/>
              <w:jc w:val="both"/>
              <w:rPr>
                <w:rFonts w:ascii="Times New Roman" w:hAnsi="Times New Roman" w:cs="Times New Roman"/>
              </w:rPr>
            </w:pPr>
            <w:r w:rsidRPr="003E72B1">
              <w:rPr>
                <w:rFonts w:ascii="Times New Roman" w:hAnsi="Times New Roman" w:cs="Times New Roman"/>
              </w:rPr>
              <w:t xml:space="preserve">              10</w:t>
            </w:r>
          </w:p>
        </w:tc>
        <w:tc>
          <w:tcPr>
            <w:tcW w:w="1368" w:type="pct"/>
          </w:tcPr>
          <w:p w14:paraId="0B7E3EE6" w14:textId="77777777" w:rsidR="003E72B1" w:rsidRPr="003E72B1" w:rsidRDefault="003E72B1" w:rsidP="003E72B1">
            <w:pPr>
              <w:spacing w:line="480" w:lineRule="auto"/>
              <w:jc w:val="both"/>
              <w:rPr>
                <w:rFonts w:ascii="Times New Roman" w:hAnsi="Times New Roman" w:cs="Times New Roman"/>
              </w:rPr>
            </w:pPr>
            <w:r w:rsidRPr="003E72B1">
              <w:rPr>
                <w:rFonts w:ascii="Times New Roman" w:hAnsi="Times New Roman" w:cs="Times New Roman"/>
              </w:rPr>
              <w:t xml:space="preserve">              9</w:t>
            </w:r>
          </w:p>
        </w:tc>
        <w:tc>
          <w:tcPr>
            <w:tcW w:w="1321" w:type="pct"/>
          </w:tcPr>
          <w:p w14:paraId="053FC6B0" w14:textId="77777777" w:rsidR="003E72B1" w:rsidRPr="003E72B1" w:rsidRDefault="003E72B1" w:rsidP="003E72B1">
            <w:pPr>
              <w:spacing w:line="480" w:lineRule="auto"/>
              <w:jc w:val="both"/>
              <w:rPr>
                <w:rFonts w:ascii="Times New Roman" w:hAnsi="Times New Roman" w:cs="Times New Roman"/>
              </w:rPr>
            </w:pPr>
            <w:r w:rsidRPr="003E72B1">
              <w:rPr>
                <w:rFonts w:ascii="Times New Roman" w:hAnsi="Times New Roman" w:cs="Times New Roman"/>
              </w:rPr>
              <w:t xml:space="preserve">       1</w:t>
            </w:r>
          </w:p>
        </w:tc>
        <w:tc>
          <w:tcPr>
            <w:tcW w:w="1034" w:type="pct"/>
          </w:tcPr>
          <w:p w14:paraId="7AB60C33" w14:textId="77777777" w:rsidR="003E72B1" w:rsidRPr="003E72B1" w:rsidRDefault="003E72B1" w:rsidP="003E72B1">
            <w:pPr>
              <w:spacing w:line="480" w:lineRule="auto"/>
              <w:jc w:val="both"/>
              <w:rPr>
                <w:rFonts w:ascii="Times New Roman" w:hAnsi="Times New Roman" w:cs="Times New Roman"/>
              </w:rPr>
            </w:pPr>
            <w:r w:rsidRPr="003E72B1">
              <w:rPr>
                <w:rFonts w:ascii="Times New Roman" w:hAnsi="Times New Roman" w:cs="Times New Roman"/>
              </w:rPr>
              <w:t xml:space="preserve">       20</w:t>
            </w:r>
          </w:p>
        </w:tc>
      </w:tr>
    </w:tbl>
    <w:p w14:paraId="517A1CC0" w14:textId="77777777" w:rsidR="00453EF8" w:rsidRDefault="00453EF8" w:rsidP="00453EF8">
      <w:pPr>
        <w:pStyle w:val="Caption"/>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fldChar w:fldCharType="begin"/>
      </w:r>
      <w:r>
        <w:rPr>
          <w:rFonts w:ascii="Times New Roman" w:hAnsi="Times New Roman" w:cs="Times New Roman"/>
          <w:kern w:val="0"/>
          <w:sz w:val="24"/>
          <w:szCs w:val="24"/>
          <w14:ligatures w14:val="none"/>
        </w:rPr>
        <w:instrText xml:space="preserve"> SEQ Table \* ARABIC </w:instrText>
      </w:r>
      <w:r>
        <w:rPr>
          <w:rFonts w:ascii="Times New Roman" w:hAnsi="Times New Roman" w:cs="Times New Roman"/>
          <w:kern w:val="0"/>
          <w:sz w:val="24"/>
          <w:szCs w:val="24"/>
          <w14:ligatures w14:val="none"/>
        </w:rPr>
        <w:fldChar w:fldCharType="separate"/>
      </w:r>
      <w:r>
        <w:rPr>
          <w:rFonts w:ascii="Times New Roman" w:hAnsi="Times New Roman" w:cs="Times New Roman"/>
          <w:noProof/>
          <w:kern w:val="0"/>
          <w:sz w:val="24"/>
          <w:szCs w:val="24"/>
          <w14:ligatures w14:val="none"/>
        </w:rPr>
        <w:t>1</w:t>
      </w:r>
      <w:r>
        <w:rPr>
          <w:rFonts w:ascii="Times New Roman" w:hAnsi="Times New Roman" w:cs="Times New Roman"/>
          <w:kern w:val="0"/>
          <w:sz w:val="24"/>
          <w:szCs w:val="24"/>
          <w14:ligatures w14:val="none"/>
        </w:rPr>
        <w:fldChar w:fldCharType="end"/>
      </w:r>
      <w:r>
        <w:t>Verunica, VN Aktivacija i vrsta aktivacija ICD-a, korelacija sa kliničkim parametrima, Zagreb Sveučilište u Zagrebu medicinski fakultet (diplomski rad) 2019. 1-29 str.</w:t>
      </w:r>
    </w:p>
    <w:p w14:paraId="35787B82" w14:textId="77777777" w:rsidR="003E72B1" w:rsidRDefault="003E72B1" w:rsidP="003E72B1">
      <w:pPr>
        <w:spacing w:line="480" w:lineRule="auto"/>
        <w:jc w:val="both"/>
        <w:rPr>
          <w:rFonts w:ascii="Times New Roman" w:hAnsi="Times New Roman" w:cs="Times New Roman"/>
          <w:sz w:val="24"/>
          <w:szCs w:val="24"/>
        </w:rPr>
      </w:pPr>
    </w:p>
    <w:p w14:paraId="75A1765A" w14:textId="77BE34CB" w:rsidR="00453EF8" w:rsidRDefault="00453EF8" w:rsidP="003E72B1">
      <w:pPr>
        <w:spacing w:line="480" w:lineRule="auto"/>
        <w:jc w:val="both"/>
        <w:rPr>
          <w:rFonts w:ascii="Times New Roman" w:hAnsi="Times New Roman" w:cs="Times New Roman"/>
          <w:sz w:val="24"/>
          <w:szCs w:val="24"/>
        </w:rPr>
      </w:pPr>
      <w:r>
        <w:rPr>
          <w:noProof/>
        </w:rPr>
        <w:drawing>
          <wp:inline distT="0" distB="0" distL="0" distR="0" wp14:anchorId="56FC4F20" wp14:editId="28745060">
            <wp:extent cx="4981575" cy="2019300"/>
            <wp:effectExtent l="0" t="0" r="9525" b="0"/>
            <wp:docPr id="330159412" name="Chart 1">
              <a:extLst xmlns:a="http://schemas.openxmlformats.org/drawingml/2006/main">
                <a:ext uri="{FF2B5EF4-FFF2-40B4-BE49-F238E27FC236}">
                  <a16:creationId xmlns:a16="http://schemas.microsoft.com/office/drawing/2014/main" id="{E5EBC685-AC9A-848E-528E-95734B912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5BF1095" w14:textId="77777777" w:rsidR="003E72B1" w:rsidRPr="003E72B1" w:rsidRDefault="003E72B1" w:rsidP="003E72B1">
      <w:pPr>
        <w:spacing w:line="480" w:lineRule="auto"/>
        <w:jc w:val="both"/>
        <w:rPr>
          <w:rFonts w:ascii="Times New Roman" w:hAnsi="Times New Roman" w:cs="Times New Roman"/>
        </w:rPr>
      </w:pPr>
      <w:r w:rsidRPr="003E72B1">
        <w:rPr>
          <w:rFonts w:ascii="Times New Roman" w:hAnsi="Times New Roman" w:cs="Times New Roman"/>
          <w:b/>
          <w:bCs/>
          <w:sz w:val="24"/>
          <w:szCs w:val="24"/>
        </w:rPr>
        <w:t>Grafikon 1.</w:t>
      </w:r>
      <w:r w:rsidRPr="003E72B1">
        <w:rPr>
          <w:rFonts w:ascii="Times New Roman" w:hAnsi="Times New Roman" w:cs="Times New Roman"/>
          <w:sz w:val="24"/>
          <w:szCs w:val="24"/>
        </w:rPr>
        <w:t xml:space="preserve"> Ukupan broj pacijenata na terapiji antiaritmikom Amiodaronom i brojčani odnos pacijenata sa aktivacijom ICD-a i bez aktivacije ICD-a. </w:t>
      </w:r>
    </w:p>
    <w:p w14:paraId="0DEBCBD8" w14:textId="77777777"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b/>
          <w:bCs/>
          <w:sz w:val="24"/>
          <w:szCs w:val="24"/>
        </w:rPr>
        <w:t>Zaključak</w:t>
      </w:r>
    </w:p>
    <w:p w14:paraId="29F7DB49"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Primjena ICD-a uređaja uz medikamentnu terapiju osobama starije životne dobi poboljšava kvalitet života. Antiaritmik sam po sebi nije dovoljan kao prevencija </w:t>
      </w:r>
      <w:r w:rsidRPr="003E72B1">
        <w:rPr>
          <w:rFonts w:ascii="Times New Roman" w:hAnsi="Times New Roman" w:cs="Times New Roman"/>
          <w:sz w:val="24"/>
          <w:szCs w:val="24"/>
        </w:rPr>
        <w:lastRenderedPageBreak/>
        <w:t xml:space="preserve">malignih poremećaja srčanog ritma. Savremeni pristup liječenju podrazumjeva upotrebu aparata ICD-a modifikovanog da pravovremeno prekine malignu aritmiju i napravi zapis o svojoj aktivnosti, kao i da uskladišti taj podatak. Pacijenti u terapiji uz ICD uređaj imaju i neki od antiaritmika, najčešće korišćeni lijek ukoliko ne postoje kontraindikacije je Amiodaron. Cilj antiaritmika prevenirati pojavu, održavati sinusni ritam, cilj ICD-a prekinuti malignu aritmiju. </w:t>
      </w:r>
    </w:p>
    <w:p w14:paraId="24A453BE" w14:textId="77777777"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b/>
          <w:bCs/>
          <w:sz w:val="24"/>
          <w:szCs w:val="24"/>
        </w:rPr>
        <w:t xml:space="preserve">Diskusija </w:t>
      </w:r>
    </w:p>
    <w:p w14:paraId="4F2D59CB"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Prikazali smo pacijentkinju koja je u dva navrata u našoj ustanovi upadala u maligni poremećaj srčanog ritma VT. Oba puta zbog neuspjele medikamentozne konverzije uradili sinhronu elektrokonverziju sa energijom od 200 J (6,7). ICD aparati predstavljaju standardni oblik zaštite većine pacijenata  sa aritmijama opasnim po život. To je mali uređaj koji se ugradi pod kožu ispod ramena. Stalno nadzire srčani ritam, a kada se osjeti opasna aritmija uređaj izaziva električni šok srca preko elektrode usađene u desnu srčanu komoru. (1-5) Uz ugradnju ICD-a većina pacijenata u terapiji ima neki od antiaritmika. </w:t>
      </w:r>
      <w:r w:rsidRPr="003E72B1">
        <w:rPr>
          <w:rFonts w:ascii="Times New Roman" w:hAnsi="Times New Roman" w:cs="Times New Roman"/>
          <w:b/>
          <w:bCs/>
          <w:sz w:val="24"/>
          <w:szCs w:val="24"/>
        </w:rPr>
        <w:t xml:space="preserve"> </w:t>
      </w:r>
      <w:r w:rsidRPr="003E72B1">
        <w:rPr>
          <w:rFonts w:ascii="Times New Roman" w:hAnsi="Times New Roman" w:cs="Times New Roman"/>
          <w:sz w:val="24"/>
          <w:szCs w:val="24"/>
        </w:rPr>
        <w:t>Istražujući literaturu, a pozivajući se i na podatke iz studije gdje je naša pacijentkinja bila učesnik, došli smo do podataka da nema statistički značajne razlike u broju pacijenata kod kojih se uz antiaritmik desi aktivacija  ICD uređaja u odnosu na broj onih kod kojih se uz antiaritmik nije desila aktivacija ICD-a (4). Našem pacijentu u terapiji ostavili smo antiaritmik Amiodaron. Pretražujući stručnu literaturu, kao i rezultate drugih studija uočavamo da jednako važan značaj za pacijenta ima aparat ICD, kao i medikamentna antiaritmijska terapija. (1,2,7). Antiaritmici djeluju preventivno da spriječe pojavu aritmije, a ICD aparat prepoznaje poremećaj ritma i djeluje pravovremeno. Kombinacija ICD i antiaritmika u terapiji daje zadovoljavajući rezultat.</w:t>
      </w:r>
    </w:p>
    <w:p w14:paraId="749F7306" w14:textId="77777777" w:rsidR="00453EF8" w:rsidRDefault="00453EF8" w:rsidP="003E72B1">
      <w:pPr>
        <w:spacing w:line="480" w:lineRule="auto"/>
        <w:jc w:val="both"/>
        <w:rPr>
          <w:rFonts w:ascii="Times New Roman" w:hAnsi="Times New Roman" w:cs="Times New Roman"/>
          <w:sz w:val="24"/>
          <w:szCs w:val="24"/>
        </w:rPr>
      </w:pPr>
    </w:p>
    <w:p w14:paraId="19DA9C50" w14:textId="7252FC21"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Literatura</w:t>
      </w:r>
    </w:p>
    <w:p w14:paraId="72AB5B30" w14:textId="77777777" w:rsidR="003E72B1" w:rsidRPr="003E72B1" w:rsidRDefault="003E72B1" w:rsidP="003E72B1">
      <w:pPr>
        <w:spacing w:line="480" w:lineRule="auto"/>
        <w:jc w:val="both"/>
        <w:rPr>
          <w:rFonts w:ascii="Times New Roman" w:eastAsia="Times New Roman" w:hAnsi="Times New Roman" w:cs="Times New Roman"/>
          <w:lang w:eastAsia="sr-Latn-RS"/>
        </w:rPr>
      </w:pPr>
      <w:r w:rsidRPr="003E72B1">
        <w:rPr>
          <w:rFonts w:ascii="Times New Roman" w:hAnsi="Times New Roman" w:cs="Times New Roman"/>
          <w:kern w:val="2"/>
          <w14:ligatures w14:val="standardContextual"/>
        </w:rPr>
        <w:t>1. McLeod AA, Jokhi PP. Pacemaker induced ventricular fibrillation in coronary care units. BMJ. 2004 May 22;328(7450):1249-50. doi: 10.1136/bmj.328.7450.1249. PMID: 15155506; PMCID: PMC416606.</w:t>
      </w:r>
    </w:p>
    <w:p w14:paraId="32D62E22"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eastAsia="Times New Roman" w:hAnsi="Times New Roman" w:cs="Times New Roman"/>
          <w:lang w:eastAsia="sr-Latn-RS"/>
        </w:rPr>
        <w:t xml:space="preserve">2.  </w:t>
      </w:r>
      <w:r w:rsidRPr="003E72B1">
        <w:rPr>
          <w:rFonts w:ascii="Times New Roman" w:hAnsi="Times New Roman" w:cs="Times New Roman"/>
          <w:kern w:val="2"/>
          <w14:ligatures w14:val="standardContextual"/>
        </w:rPr>
        <w:t>Aizawa Md Y, Takatsuki Md S, Fukuda Md K. ICD Therapy In RVOT-VT And Early Stage ARVD/C Patients. J Atr Fibrillation. 2014 Aug 31;7(2):1086. doi: 10.4022/jafib.1086. PMID: 27957097; PMCID: PMC5135254.</w:t>
      </w:r>
    </w:p>
    <w:p w14:paraId="5DB4A531" w14:textId="77777777" w:rsidR="003E72B1" w:rsidRPr="003E72B1" w:rsidRDefault="003E72B1" w:rsidP="003E72B1">
      <w:pPr>
        <w:spacing w:line="480" w:lineRule="auto"/>
        <w:jc w:val="both"/>
        <w:rPr>
          <w:rFonts w:ascii="Times New Roman" w:eastAsia="Times New Roman" w:hAnsi="Times New Roman" w:cs="Times New Roman"/>
          <w:lang w:eastAsia="sr-Latn-RS"/>
        </w:rPr>
      </w:pPr>
      <w:r w:rsidRPr="003E72B1">
        <w:rPr>
          <w:rFonts w:ascii="Times New Roman" w:eastAsia="Times New Roman" w:hAnsi="Times New Roman" w:cs="Times New Roman"/>
          <w:lang w:eastAsia="sr-Latn-RS"/>
        </w:rPr>
        <w:t>3.</w:t>
      </w:r>
      <w:r w:rsidRPr="003E72B1">
        <w:rPr>
          <w:kern w:val="2"/>
          <w14:ligatures w14:val="standardContextual"/>
        </w:rPr>
        <w:t xml:space="preserve"> </w:t>
      </w:r>
      <w:r w:rsidRPr="003E72B1">
        <w:rPr>
          <w:rFonts w:ascii="Times New Roman" w:hAnsi="Times New Roman" w:cs="Times New Roman"/>
          <w:kern w:val="2"/>
          <w14:ligatures w14:val="standardContextual"/>
        </w:rPr>
        <w:t>Ząbek A, Małecka B, Nowosielska-Ząbek E, Dębski M, Boczar K, Lelakowski J. Pacing spikes following QRS complexes: What is the mechanism? Ann Noninvasive Electrocardiol. 2019 Mar;24(2):e12545. doi: 10.1111/anec.12545. Epub 2018 Apr 25. PMID: 29693306; PMCID: PMC6931702.</w:t>
      </w:r>
    </w:p>
    <w:p w14:paraId="763236A5" w14:textId="77777777" w:rsidR="003E72B1" w:rsidRPr="003E72B1" w:rsidRDefault="003E72B1" w:rsidP="003E72B1">
      <w:pPr>
        <w:spacing w:line="480" w:lineRule="auto"/>
        <w:jc w:val="both"/>
        <w:rPr>
          <w:rFonts w:ascii="Times New Roman" w:eastAsia="Times New Roman" w:hAnsi="Times New Roman" w:cs="Times New Roman"/>
          <w:lang w:eastAsia="sr-Latn-RS"/>
        </w:rPr>
      </w:pPr>
      <w:r w:rsidRPr="003E72B1">
        <w:rPr>
          <w:rFonts w:ascii="Times New Roman" w:eastAsia="Times New Roman" w:hAnsi="Times New Roman" w:cs="Times New Roman"/>
          <w:lang w:eastAsia="sr-Latn-RS"/>
        </w:rPr>
        <w:t xml:space="preserve">4. </w:t>
      </w:r>
      <w:bookmarkStart w:id="0" w:name="_Hlk148209594"/>
      <w:r w:rsidRPr="003E72B1">
        <w:rPr>
          <w:rFonts w:ascii="Times New Roman" w:eastAsia="Times New Roman" w:hAnsi="Times New Roman" w:cs="Times New Roman"/>
          <w:lang w:eastAsia="sr-Latn-RS"/>
        </w:rPr>
        <w:t xml:space="preserve">Verunica, VN Aktivacija i vrsta aktivacija ICD-a, korelacija sa kliničkim parametrima, Zagreb Sveučilište u Zagrebu medicinski fakultet (diplomski rad) 2019. 1-29 str. </w:t>
      </w:r>
      <w:bookmarkEnd w:id="0"/>
    </w:p>
    <w:p w14:paraId="7F673CB7" w14:textId="77777777" w:rsidR="003E72B1" w:rsidRPr="003E72B1" w:rsidRDefault="003E72B1" w:rsidP="003E72B1">
      <w:pPr>
        <w:tabs>
          <w:tab w:val="left" w:pos="3600"/>
        </w:tabs>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5. Andrea Radinovic et al. Optimal Timing of VT Ablation for Patients with ICD therapies. Cur Cardiol Rep. 2020 Jul 9;22(9):91.</w:t>
      </w:r>
    </w:p>
    <w:p w14:paraId="36914486" w14:textId="77777777" w:rsidR="003E72B1" w:rsidRPr="003E72B1" w:rsidRDefault="003E72B1" w:rsidP="003E72B1">
      <w:pPr>
        <w:tabs>
          <w:tab w:val="left" w:pos="3600"/>
        </w:tabs>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6. Grujić, MG Srčane aritmije 3.izadnje Beograd: Medicinski fakultet univerzitet u Beogradu;2019. 15-54.</w:t>
      </w:r>
    </w:p>
    <w:p w14:paraId="7DFE8EE2" w14:textId="77777777" w:rsidR="003E72B1" w:rsidRPr="003E72B1" w:rsidRDefault="003E72B1" w:rsidP="003E72B1">
      <w:pPr>
        <w:tabs>
          <w:tab w:val="left" w:pos="3600"/>
        </w:tabs>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7.  Fauci, KF Harrison principi interne medicine 19.američko/4.hrvatsko izdanje Zagreb, medicinska naklada 2021, 1200-1220 str.</w:t>
      </w:r>
    </w:p>
    <w:p w14:paraId="4979DDD5" w14:textId="77777777" w:rsidR="003E72B1" w:rsidRDefault="003E72B1" w:rsidP="003E72B1">
      <w:pPr>
        <w:spacing w:line="480" w:lineRule="auto"/>
        <w:jc w:val="both"/>
        <w:rPr>
          <w:rFonts w:ascii="Times New Roman" w:hAnsi="Times New Roman" w:cs="Times New Roman"/>
          <w:b/>
          <w:bCs/>
          <w:sz w:val="24"/>
          <w:szCs w:val="24"/>
        </w:rPr>
      </w:pPr>
    </w:p>
    <w:p w14:paraId="0EC70548" w14:textId="77777777" w:rsidR="00453EF8" w:rsidRDefault="00453EF8" w:rsidP="003E72B1">
      <w:pPr>
        <w:spacing w:line="480" w:lineRule="auto"/>
        <w:jc w:val="both"/>
        <w:rPr>
          <w:rFonts w:ascii="Times New Roman" w:hAnsi="Times New Roman" w:cs="Times New Roman"/>
          <w:b/>
          <w:bCs/>
          <w:sz w:val="24"/>
          <w:szCs w:val="24"/>
        </w:rPr>
      </w:pPr>
    </w:p>
    <w:p w14:paraId="32AB3479" w14:textId="77777777" w:rsidR="00453EF8" w:rsidRDefault="00453EF8" w:rsidP="003E72B1">
      <w:pPr>
        <w:spacing w:line="480" w:lineRule="auto"/>
        <w:jc w:val="both"/>
        <w:rPr>
          <w:rFonts w:ascii="Times New Roman" w:hAnsi="Times New Roman" w:cs="Times New Roman"/>
          <w:b/>
          <w:bCs/>
          <w:sz w:val="24"/>
          <w:szCs w:val="24"/>
        </w:rPr>
      </w:pPr>
    </w:p>
    <w:p w14:paraId="0816EB71" w14:textId="77777777" w:rsidR="00453EF8" w:rsidRDefault="00453EF8" w:rsidP="003E72B1">
      <w:pPr>
        <w:spacing w:line="480" w:lineRule="auto"/>
        <w:jc w:val="both"/>
        <w:rPr>
          <w:rFonts w:ascii="Times New Roman" w:hAnsi="Times New Roman" w:cs="Times New Roman"/>
          <w:b/>
          <w:bCs/>
          <w:sz w:val="24"/>
          <w:szCs w:val="24"/>
        </w:rPr>
      </w:pPr>
    </w:p>
    <w:p w14:paraId="29BC7BE0" w14:textId="6D08DD19"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b/>
          <w:bCs/>
          <w:sz w:val="24"/>
          <w:szCs w:val="24"/>
        </w:rPr>
        <w:t>Malignant disorder of the heart rhythm and the importance of ICD placement.</w:t>
      </w:r>
    </w:p>
    <w:p w14:paraId="3EE8F8F2" w14:textId="77777777" w:rsidR="003E72B1" w:rsidRPr="003E72B1" w:rsidRDefault="003E72B1" w:rsidP="003E72B1">
      <w:pPr>
        <w:spacing w:line="480" w:lineRule="auto"/>
        <w:jc w:val="both"/>
        <w:rPr>
          <w:rFonts w:ascii="Times New Roman" w:hAnsi="Times New Roman" w:cs="Times New Roman"/>
          <w:b/>
          <w:bCs/>
          <w:sz w:val="24"/>
          <w:szCs w:val="24"/>
        </w:rPr>
      </w:pPr>
      <w:r w:rsidRPr="003E72B1">
        <w:rPr>
          <w:rFonts w:ascii="Times New Roman" w:hAnsi="Times New Roman" w:cs="Times New Roman"/>
          <w:b/>
          <w:bCs/>
          <w:sz w:val="24"/>
          <w:szCs w:val="24"/>
        </w:rPr>
        <w:t>Abstract</w:t>
      </w:r>
    </w:p>
    <w:p w14:paraId="0AA33B14" w14:textId="77777777" w:rsidR="003E72B1" w:rsidRPr="003E72B1" w:rsidRDefault="003E72B1" w:rsidP="003E72B1">
      <w:pPr>
        <w:spacing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Ventricular tachycardia (VT) is a malignant heart rhythm disorder, </w:t>
      </w:r>
    </w:p>
    <w:p w14:paraId="331E159B" w14:textId="77777777" w:rsidR="003E72B1" w:rsidRPr="003E72B1" w:rsidRDefault="003E72B1" w:rsidP="003E72B1">
      <w:pPr>
        <w:spacing w:after="0" w:line="480" w:lineRule="auto"/>
        <w:jc w:val="both"/>
        <w:rPr>
          <w:rFonts w:ascii="Times New Roman" w:hAnsi="Times New Roman" w:cs="Times New Roman"/>
          <w:sz w:val="24"/>
          <w:szCs w:val="24"/>
        </w:rPr>
      </w:pPr>
      <w:r w:rsidRPr="003E72B1">
        <w:rPr>
          <w:rFonts w:ascii="Times New Roman" w:hAnsi="Times New Roman" w:cs="Times New Roman"/>
          <w:sz w:val="24"/>
          <w:szCs w:val="24"/>
        </w:rPr>
        <w:t xml:space="preserve">And it is divided into monomorphic, where all QRS complexes are same, and polymorphic, where all QRS complexes are different. In VT, the heart still has mechanical function. VT is a rhythm disorder that can have a frequency of up to 300 beats per minute, shortening the diastolic filling of the heart, which can cause a drop in blood pressure, loss of pulse, and loss of consciousness. In a case study, we presented a patient with ECG-verified VT and a ventricular frequency of 170 beats/minute. After unsuccessful pharmacological conversion, we performed electroconversion, after which there was a cessation of breathing and conversion to atrial fibrillation with a ventricular frequency of around 70 beats per minute. We performed CPR, after which the patient started breathing on her own. </w:t>
      </w:r>
    </w:p>
    <w:p w14:paraId="44B1F787" w14:textId="1FAE974F" w:rsidR="003E72B1" w:rsidRDefault="003E72B1" w:rsidP="001C5079">
      <w:pPr>
        <w:spacing w:after="0" w:line="480" w:lineRule="auto"/>
        <w:jc w:val="both"/>
      </w:pPr>
      <w:bookmarkStart w:id="1" w:name="_Hlk148261972"/>
      <w:r w:rsidRPr="003E72B1">
        <w:rPr>
          <w:rFonts w:ascii="Times New Roman" w:hAnsi="Times New Roman" w:cs="Times New Roman"/>
        </w:rPr>
        <w:t>Key words</w:t>
      </w:r>
      <w:r w:rsidRPr="003E72B1">
        <w:rPr>
          <w:rFonts w:ascii="Times New Roman" w:hAnsi="Times New Roman" w:cs="Times New Roman"/>
          <w:sz w:val="24"/>
          <w:szCs w:val="24"/>
        </w:rPr>
        <w:t>: ventricular tachycardia, atrial fibrillation, IC</w:t>
      </w:r>
      <w:bookmarkEnd w:id="1"/>
      <w:r>
        <w:rPr>
          <w:rFonts w:ascii="Times New Roman" w:hAnsi="Times New Roman" w:cs="Times New Roman"/>
          <w:sz w:val="24"/>
          <w:szCs w:val="24"/>
        </w:rPr>
        <w:t>D</w:t>
      </w:r>
      <w:r w:rsidR="001C5079">
        <w:rPr>
          <w:rFonts w:ascii="Times New Roman" w:hAnsi="Times New Roman" w:cs="Times New Roman"/>
          <w:sz w:val="24"/>
          <w:szCs w:val="24"/>
        </w:rPr>
        <w:t>.</w:t>
      </w:r>
    </w:p>
    <w:sectPr w:rsidR="003E72B1" w:rsidSect="00817E6A">
      <w:footerReference w:type="default" r:id="rId8"/>
      <w:pgSz w:w="11906" w:h="16838" w:code="9"/>
      <w:pgMar w:top="1440" w:right="1440" w:bottom="1440" w:left="2275"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64DCD" w14:textId="77777777" w:rsidR="000635BF" w:rsidRDefault="000635BF" w:rsidP="003E72B1">
      <w:pPr>
        <w:spacing w:after="0" w:line="240" w:lineRule="auto"/>
      </w:pPr>
      <w:r>
        <w:separator/>
      </w:r>
    </w:p>
  </w:endnote>
  <w:endnote w:type="continuationSeparator" w:id="0">
    <w:p w14:paraId="1EEF5B3E" w14:textId="77777777" w:rsidR="000635BF" w:rsidRDefault="000635BF" w:rsidP="003E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6310" w14:textId="77777777" w:rsidR="00B66DE8" w:rsidRDefault="00B66DE8">
    <w:pPr>
      <w:pStyle w:val="Footer"/>
      <w:jc w:val="right"/>
    </w:pPr>
  </w:p>
  <w:p w14:paraId="31C32648" w14:textId="77777777" w:rsidR="00B66DE8" w:rsidRDefault="00B66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D2DFE" w14:textId="77777777" w:rsidR="000635BF" w:rsidRDefault="000635BF" w:rsidP="003E72B1">
      <w:pPr>
        <w:spacing w:after="0" w:line="240" w:lineRule="auto"/>
      </w:pPr>
      <w:r>
        <w:separator/>
      </w:r>
    </w:p>
  </w:footnote>
  <w:footnote w:type="continuationSeparator" w:id="0">
    <w:p w14:paraId="704357A7" w14:textId="77777777" w:rsidR="000635BF" w:rsidRDefault="000635BF" w:rsidP="003E72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0C2"/>
    <w:rsid w:val="000635BF"/>
    <w:rsid w:val="001A30C2"/>
    <w:rsid w:val="001C5079"/>
    <w:rsid w:val="003069E0"/>
    <w:rsid w:val="00313B1D"/>
    <w:rsid w:val="003E72B1"/>
    <w:rsid w:val="00445B81"/>
    <w:rsid w:val="00453EF8"/>
    <w:rsid w:val="00516293"/>
    <w:rsid w:val="00596659"/>
    <w:rsid w:val="009C1147"/>
    <w:rsid w:val="00A67632"/>
    <w:rsid w:val="00AD7744"/>
    <w:rsid w:val="00AE55CA"/>
    <w:rsid w:val="00B66DE8"/>
    <w:rsid w:val="00DE4F05"/>
    <w:rsid w:val="00E145A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4B83D"/>
  <w15:chartTrackingRefBased/>
  <w15:docId w15:val="{4348C9E1-3C57-4DCF-BE64-C3C40F7A3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72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E72B1"/>
    <w:pPr>
      <w:tabs>
        <w:tab w:val="center" w:pos="4536"/>
        <w:tab w:val="right" w:pos="9072"/>
      </w:tabs>
      <w:spacing w:after="0" w:line="240" w:lineRule="auto"/>
    </w:pPr>
    <w:rPr>
      <w:kern w:val="2"/>
      <w14:ligatures w14:val="standardContextual"/>
    </w:rPr>
  </w:style>
  <w:style w:type="character" w:customStyle="1" w:styleId="FooterChar">
    <w:name w:val="Footer Char"/>
    <w:basedOn w:val="DefaultParagraphFont"/>
    <w:link w:val="Footer"/>
    <w:uiPriority w:val="99"/>
    <w:rsid w:val="003E72B1"/>
    <w:rPr>
      <w:kern w:val="2"/>
      <w14:ligatures w14:val="standardContextual"/>
    </w:rPr>
  </w:style>
  <w:style w:type="paragraph" w:styleId="FootnoteText">
    <w:name w:val="footnote text"/>
    <w:basedOn w:val="Normal"/>
    <w:link w:val="FootnoteTextChar"/>
    <w:uiPriority w:val="99"/>
    <w:semiHidden/>
    <w:unhideWhenUsed/>
    <w:rsid w:val="003E72B1"/>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3E72B1"/>
    <w:rPr>
      <w:kern w:val="2"/>
      <w:sz w:val="20"/>
      <w:szCs w:val="20"/>
      <w14:ligatures w14:val="standardContextual"/>
    </w:rPr>
  </w:style>
  <w:style w:type="paragraph" w:styleId="Caption">
    <w:name w:val="caption"/>
    <w:basedOn w:val="Normal"/>
    <w:next w:val="Normal"/>
    <w:uiPriority w:val="35"/>
    <w:semiHidden/>
    <w:unhideWhenUsed/>
    <w:qFormat/>
    <w:rsid w:val="00453EF8"/>
    <w:pPr>
      <w:spacing w:after="200" w:line="240" w:lineRule="auto"/>
    </w:pPr>
    <w:rPr>
      <w:b/>
      <w:bCs/>
      <w:color w:val="4472C4" w:themeColor="accent1"/>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5.3302310834998839E-2"/>
          <c:y val="0.15296654797131251"/>
          <c:w val="0.94433508311461067"/>
          <c:h val="0.58719253843269592"/>
        </c:manualLayout>
      </c:layout>
      <c:barChart>
        <c:barDir val="col"/>
        <c:grouping val="clustered"/>
        <c:varyColors val="0"/>
        <c:ser>
          <c:idx val="0"/>
          <c:order val="0"/>
          <c:invertIfNegative val="0"/>
          <c:dLbls>
            <c:spPr>
              <a:noFill/>
              <a:ln>
                <a:noFill/>
              </a:ln>
              <a:effectLst/>
            </c:spPr>
            <c:txPr>
              <a:bodyPr rot="0" vert="horz"/>
              <a:lstStyle/>
              <a:p>
                <a:pPr>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Sheet1!$C$43:$F$43</c:f>
              <c:numCache>
                <c:formatCode>General</c:formatCode>
                <c:ptCount val="4"/>
              </c:numCache>
            </c:numRef>
          </c:val>
          <c:extLst>
            <c:ext xmlns:c16="http://schemas.microsoft.com/office/drawing/2014/chart" uri="{C3380CC4-5D6E-409C-BE32-E72D297353CC}">
              <c16:uniqueId val="{00000000-4A2A-42DE-8776-226329B7F5B5}"/>
            </c:ext>
          </c:extLst>
        </c:ser>
        <c:ser>
          <c:idx val="1"/>
          <c:order val="1"/>
          <c:invertIfNegative val="0"/>
          <c:dLbls>
            <c:spPr>
              <a:noFill/>
              <a:ln>
                <a:noFill/>
              </a:ln>
              <a:effectLst/>
            </c:spPr>
            <c:txPr>
              <a:bodyPr rot="0" vert="horz"/>
              <a:lstStyle/>
              <a:p>
                <a:pPr>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Sheet1!$C$44:$F$44</c:f>
              <c:numCache>
                <c:formatCode>General</c:formatCode>
                <c:ptCount val="4"/>
                <c:pt idx="0">
                  <c:v>20</c:v>
                </c:pt>
                <c:pt idx="1">
                  <c:v>10</c:v>
                </c:pt>
                <c:pt idx="2">
                  <c:v>9</c:v>
                </c:pt>
                <c:pt idx="3">
                  <c:v>1</c:v>
                </c:pt>
              </c:numCache>
            </c:numRef>
          </c:val>
          <c:extLst>
            <c:ext xmlns:c16="http://schemas.microsoft.com/office/drawing/2014/chart" uri="{C3380CC4-5D6E-409C-BE32-E72D297353CC}">
              <c16:uniqueId val="{00000001-4A2A-42DE-8776-226329B7F5B5}"/>
            </c:ext>
          </c:extLst>
        </c:ser>
        <c:ser>
          <c:idx val="2"/>
          <c:order val="2"/>
          <c:invertIfNegative val="0"/>
          <c:dLbls>
            <c:spPr>
              <a:noFill/>
              <a:ln>
                <a:noFill/>
              </a:ln>
              <a:effectLst/>
            </c:spPr>
            <c:txPr>
              <a:bodyPr rot="0" vert="horz"/>
              <a:lstStyle/>
              <a:p>
                <a:pPr>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Sheet1!$C$45:$F$45</c:f>
              <c:numCache>
                <c:formatCode>General</c:formatCode>
                <c:ptCount val="4"/>
              </c:numCache>
            </c:numRef>
          </c:val>
          <c:extLst>
            <c:ext xmlns:c16="http://schemas.microsoft.com/office/drawing/2014/chart" uri="{C3380CC4-5D6E-409C-BE32-E72D297353CC}">
              <c16:uniqueId val="{00000002-4A2A-42DE-8776-226329B7F5B5}"/>
            </c:ext>
          </c:extLst>
        </c:ser>
        <c:dLbls>
          <c:dLblPos val="outEnd"/>
          <c:showLegendKey val="0"/>
          <c:showVal val="1"/>
          <c:showCatName val="0"/>
          <c:showSerName val="0"/>
          <c:showPercent val="0"/>
          <c:showBubbleSize val="0"/>
        </c:dLbls>
        <c:gapWidth val="164"/>
        <c:overlap val="-22"/>
        <c:axId val="198689536"/>
        <c:axId val="198691072"/>
      </c:barChart>
      <c:catAx>
        <c:axId val="198689536"/>
        <c:scaling>
          <c:orientation val="minMax"/>
        </c:scaling>
        <c:delete val="0"/>
        <c:axPos val="b"/>
        <c:numFmt formatCode="General" sourceLinked="1"/>
        <c:majorTickMark val="none"/>
        <c:minorTickMark val="none"/>
        <c:tickLblPos val="nextTo"/>
        <c:txPr>
          <a:bodyPr rot="-60000000" vert="horz"/>
          <a:lstStyle/>
          <a:p>
            <a:pPr>
              <a:defRPr/>
            </a:pPr>
            <a:endParaRPr lang="sr-Latn-RS"/>
          </a:p>
        </c:txPr>
        <c:crossAx val="198691072"/>
        <c:crosses val="autoZero"/>
        <c:auto val="1"/>
        <c:lblAlgn val="ctr"/>
        <c:lblOffset val="100"/>
        <c:noMultiLvlLbl val="0"/>
      </c:catAx>
      <c:valAx>
        <c:axId val="198691072"/>
        <c:scaling>
          <c:orientation val="minMax"/>
        </c:scaling>
        <c:delete val="1"/>
        <c:axPos val="l"/>
        <c:numFmt formatCode="General" sourceLinked="1"/>
        <c:majorTickMark val="none"/>
        <c:minorTickMark val="none"/>
        <c:tickLblPos val="nextTo"/>
        <c:crossAx val="198689536"/>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C6A40-50F3-45A5-885E-D210DA7C8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13</cp:revision>
  <dcterms:created xsi:type="dcterms:W3CDTF">2023-01-04T15:50:00Z</dcterms:created>
  <dcterms:modified xsi:type="dcterms:W3CDTF">2023-10-17T04:55:00Z</dcterms:modified>
</cp:coreProperties>
</file>