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4E6" w:rsidRDefault="00F574E6" w:rsidP="002B5207">
      <w:pPr>
        <w:jc w:val="center"/>
        <w:rPr>
          <w:rFonts w:ascii="Times New Roman" w:hAnsi="Times New Roman" w:cs="Times New Roman"/>
          <w:b/>
          <w:sz w:val="28"/>
          <w:szCs w:val="24"/>
          <w:lang w:val="sr-Cyrl-RS"/>
        </w:rPr>
      </w:pPr>
      <w:r w:rsidRPr="002B5207">
        <w:rPr>
          <w:rFonts w:ascii="Times New Roman" w:hAnsi="Times New Roman" w:cs="Times New Roman"/>
          <w:b/>
          <w:sz w:val="28"/>
          <w:szCs w:val="24"/>
        </w:rPr>
        <w:t>УТИЦАЈ ПРОЦЕСНИХ ПАРАМЕТАРА НА СОРПЦИОНЕ КАРАКТЕРИСТИКЕ АЛУМИНИЈУМ ХИДРОКСИДА</w:t>
      </w:r>
    </w:p>
    <w:p w:rsidR="00EB2079" w:rsidRPr="00EB2079" w:rsidRDefault="00EB2079" w:rsidP="002B5207">
      <w:pPr>
        <w:jc w:val="center"/>
        <w:rPr>
          <w:rFonts w:ascii="Times New Roman" w:hAnsi="Times New Roman" w:cs="Times New Roman"/>
          <w:b/>
          <w:sz w:val="28"/>
          <w:szCs w:val="24"/>
          <w:lang w:val="sr-Cyrl-RS"/>
        </w:rPr>
      </w:pPr>
      <w:r w:rsidRPr="00EB2079">
        <w:rPr>
          <w:rFonts w:ascii="Times New Roman" w:hAnsi="Times New Roman" w:cs="Times New Roman"/>
          <w:b/>
          <w:sz w:val="28"/>
          <w:szCs w:val="24"/>
          <w:lang w:val="sr-Cyrl-RS"/>
        </w:rPr>
        <w:t>INFLUENCE OF PROCESS PARAMETERS ON THE SORPTION CHARACTERISTICS OF ALUMINUM HYDROXIDE</w:t>
      </w:r>
    </w:p>
    <w:p w:rsidR="00F574E6" w:rsidRPr="002C6CA9" w:rsidRDefault="00F574E6" w:rsidP="00F574E6">
      <w:pPr>
        <w:jc w:val="center"/>
        <w:rPr>
          <w:rFonts w:ascii="Times New Roman" w:hAnsi="Times New Roman" w:cs="Times New Roman"/>
          <w:i/>
          <w:sz w:val="24"/>
          <w:szCs w:val="24"/>
          <w:lang w:val="sr-Cyrl-RS"/>
        </w:rPr>
      </w:pPr>
      <w:r w:rsidRPr="002B5207">
        <w:rPr>
          <w:rFonts w:ascii="Times New Roman" w:hAnsi="Times New Roman" w:cs="Times New Roman"/>
          <w:i/>
          <w:sz w:val="24"/>
          <w:szCs w:val="24"/>
          <w:vertAlign w:val="superscript"/>
        </w:rPr>
        <w:t>1,2</w:t>
      </w:r>
      <w:r w:rsidRPr="002B5207">
        <w:rPr>
          <w:rFonts w:ascii="Times New Roman" w:hAnsi="Times New Roman" w:cs="Times New Roman"/>
          <w:i/>
          <w:sz w:val="24"/>
          <w:szCs w:val="24"/>
        </w:rPr>
        <w:t>Валентина Новичић,</w:t>
      </w:r>
      <w:r w:rsidRPr="002B5207">
        <w:rPr>
          <w:rFonts w:ascii="Times New Roman" w:hAnsi="Times New Roman" w:cs="Times New Roman"/>
          <w:i/>
          <w:sz w:val="24"/>
          <w:szCs w:val="24"/>
          <w:vertAlign w:val="superscript"/>
        </w:rPr>
        <w:t>1,2</w:t>
      </w:r>
      <w:r w:rsidRPr="002B5207">
        <w:rPr>
          <w:rFonts w:ascii="Times New Roman" w:hAnsi="Times New Roman" w:cs="Times New Roman"/>
          <w:i/>
          <w:sz w:val="24"/>
          <w:szCs w:val="24"/>
        </w:rPr>
        <w:t xml:space="preserve">Радислав Филиповић, </w:t>
      </w:r>
      <w:r w:rsidRPr="002B5207">
        <w:rPr>
          <w:rFonts w:ascii="Times New Roman" w:hAnsi="Times New Roman" w:cs="Times New Roman"/>
          <w:i/>
          <w:sz w:val="24"/>
          <w:szCs w:val="24"/>
          <w:vertAlign w:val="superscript"/>
        </w:rPr>
        <w:t>1</w:t>
      </w:r>
      <w:r w:rsidRPr="002B5207">
        <w:rPr>
          <w:rFonts w:ascii="Times New Roman" w:hAnsi="Times New Roman" w:cs="Times New Roman"/>
          <w:i/>
          <w:sz w:val="24"/>
          <w:szCs w:val="24"/>
        </w:rPr>
        <w:t xml:space="preserve">Митар Перушић, </w:t>
      </w:r>
      <w:r w:rsidRPr="002B5207">
        <w:rPr>
          <w:rFonts w:ascii="Times New Roman" w:hAnsi="Times New Roman" w:cs="Times New Roman"/>
          <w:i/>
          <w:sz w:val="24"/>
          <w:szCs w:val="24"/>
          <w:vertAlign w:val="superscript"/>
        </w:rPr>
        <w:t>1,2</w:t>
      </w:r>
      <w:r w:rsidRPr="002B5207">
        <w:rPr>
          <w:rFonts w:ascii="Times New Roman" w:hAnsi="Times New Roman" w:cs="Times New Roman"/>
          <w:i/>
          <w:sz w:val="24"/>
          <w:szCs w:val="24"/>
        </w:rPr>
        <w:t xml:space="preserve">Зоран Обреновић, </w:t>
      </w:r>
      <w:r w:rsidRPr="002B5207">
        <w:rPr>
          <w:rFonts w:ascii="Times New Roman" w:hAnsi="Times New Roman" w:cs="Times New Roman"/>
          <w:i/>
          <w:sz w:val="24"/>
          <w:szCs w:val="24"/>
          <w:vertAlign w:val="superscript"/>
        </w:rPr>
        <w:t>1</w:t>
      </w:r>
      <w:r w:rsidRPr="002B5207">
        <w:rPr>
          <w:rFonts w:ascii="Times New Roman" w:hAnsi="Times New Roman" w:cs="Times New Roman"/>
          <w:i/>
          <w:sz w:val="24"/>
          <w:szCs w:val="24"/>
        </w:rPr>
        <w:t xml:space="preserve">Душко Костић, </w:t>
      </w:r>
      <w:r w:rsidRPr="002B5207">
        <w:rPr>
          <w:rFonts w:ascii="Times New Roman" w:hAnsi="Times New Roman" w:cs="Times New Roman"/>
          <w:i/>
          <w:sz w:val="24"/>
          <w:szCs w:val="24"/>
          <w:vertAlign w:val="superscript"/>
        </w:rPr>
        <w:t>2</w:t>
      </w:r>
      <w:r w:rsidRPr="002B5207">
        <w:rPr>
          <w:rFonts w:ascii="Times New Roman" w:hAnsi="Times New Roman" w:cs="Times New Roman"/>
          <w:i/>
          <w:sz w:val="24"/>
          <w:szCs w:val="24"/>
        </w:rPr>
        <w:t xml:space="preserve">Владимир Дамјановић, </w:t>
      </w:r>
      <w:r w:rsidRPr="002B5207">
        <w:rPr>
          <w:rFonts w:ascii="Times New Roman" w:hAnsi="Times New Roman" w:cs="Times New Roman"/>
          <w:i/>
          <w:sz w:val="24"/>
          <w:szCs w:val="24"/>
          <w:vertAlign w:val="superscript"/>
        </w:rPr>
        <w:t>2</w:t>
      </w:r>
      <w:r w:rsidRPr="002B5207">
        <w:rPr>
          <w:rFonts w:ascii="Times New Roman" w:hAnsi="Times New Roman" w:cs="Times New Roman"/>
          <w:i/>
          <w:sz w:val="24"/>
          <w:szCs w:val="24"/>
        </w:rPr>
        <w:t>Владислав Секулић</w:t>
      </w:r>
      <w:r w:rsidR="002C6CA9">
        <w:rPr>
          <w:rFonts w:ascii="Times New Roman" w:hAnsi="Times New Roman" w:cs="Times New Roman"/>
          <w:i/>
          <w:sz w:val="24"/>
          <w:szCs w:val="24"/>
          <w:lang w:val="sr-Latn-RS"/>
        </w:rPr>
        <w:t xml:space="preserve">, </w:t>
      </w:r>
      <w:r w:rsidR="002C6CA9" w:rsidRPr="002C6CA9">
        <w:rPr>
          <w:rFonts w:ascii="Times New Roman" w:hAnsi="Times New Roman" w:cs="Times New Roman"/>
          <w:i/>
          <w:sz w:val="24"/>
          <w:szCs w:val="24"/>
          <w:vertAlign w:val="superscript"/>
          <w:lang w:val="sr-Cyrl-RS"/>
        </w:rPr>
        <w:t>1</w:t>
      </w:r>
      <w:r w:rsidR="002C6CA9">
        <w:rPr>
          <w:rFonts w:ascii="Times New Roman" w:hAnsi="Times New Roman" w:cs="Times New Roman"/>
          <w:i/>
          <w:sz w:val="24"/>
          <w:szCs w:val="24"/>
          <w:lang w:val="sr-Cyrl-RS"/>
        </w:rPr>
        <w:t>Небојша Васиљевић</w:t>
      </w:r>
    </w:p>
    <w:p w:rsidR="00373F12" w:rsidRDefault="00F574E6" w:rsidP="00F574E6">
      <w:pPr>
        <w:jc w:val="center"/>
        <w:rPr>
          <w:rFonts w:ascii="Times New Roman" w:hAnsi="Times New Roman" w:cs="Times New Roman"/>
          <w:szCs w:val="24"/>
          <w:lang w:val="en-US"/>
        </w:rPr>
      </w:pPr>
      <w:r w:rsidRPr="002B5207">
        <w:rPr>
          <w:rFonts w:ascii="Times New Roman" w:hAnsi="Times New Roman" w:cs="Times New Roman"/>
          <w:szCs w:val="24"/>
          <w:vertAlign w:val="superscript"/>
        </w:rPr>
        <w:t>1</w:t>
      </w:r>
      <w:r w:rsidRPr="002B5207">
        <w:rPr>
          <w:rFonts w:ascii="Times New Roman" w:hAnsi="Times New Roman" w:cs="Times New Roman"/>
          <w:szCs w:val="24"/>
        </w:rPr>
        <w:t>Универзитет у Источном Сарајеву, Технолошки факултет, Каракај бб, 75400 Зворник,</w:t>
      </w:r>
      <w:r w:rsidR="000D5163">
        <w:rPr>
          <w:rFonts w:ascii="Times New Roman" w:hAnsi="Times New Roman" w:cs="Times New Roman"/>
          <w:szCs w:val="24"/>
          <w:lang w:val="en-US"/>
        </w:rPr>
        <w:t xml:space="preserve"> </w:t>
      </w:r>
    </w:p>
    <w:p w:rsidR="00F574E6" w:rsidRPr="002B5207" w:rsidRDefault="000D5163" w:rsidP="00F574E6">
      <w:pPr>
        <w:jc w:val="center"/>
        <w:rPr>
          <w:rFonts w:ascii="Times New Roman" w:hAnsi="Times New Roman" w:cs="Times New Roman"/>
          <w:szCs w:val="24"/>
          <w:lang w:val="en-US"/>
        </w:rPr>
      </w:pPr>
      <w:r>
        <w:rPr>
          <w:rFonts w:ascii="Times New Roman" w:hAnsi="Times New Roman" w:cs="Times New Roman"/>
          <w:szCs w:val="24"/>
          <w:lang w:val="en-US"/>
        </w:rPr>
        <w:t>email:</w:t>
      </w:r>
      <w:r w:rsidR="00373F12">
        <w:rPr>
          <w:rFonts w:ascii="Times New Roman" w:hAnsi="Times New Roman" w:cs="Times New Roman"/>
          <w:szCs w:val="24"/>
          <w:lang w:val="en-US"/>
        </w:rPr>
        <w:t xml:space="preserve"> </w:t>
      </w:r>
      <w:r>
        <w:rPr>
          <w:rFonts w:ascii="Times New Roman" w:hAnsi="Times New Roman" w:cs="Times New Roman"/>
          <w:szCs w:val="24"/>
          <w:lang w:val="sr-Latn-BA"/>
        </w:rPr>
        <w:t>mitar.perusic</w:t>
      </w:r>
      <w:r>
        <w:rPr>
          <w:rFonts w:ascii="Times New Roman" w:hAnsi="Times New Roman" w:cs="Times New Roman"/>
          <w:szCs w:val="24"/>
          <w:lang w:val="en-US"/>
        </w:rPr>
        <w:t>@tfz</w:t>
      </w:r>
      <w:r w:rsidR="00F574E6" w:rsidRPr="002B5207">
        <w:rPr>
          <w:rFonts w:ascii="Times New Roman" w:hAnsi="Times New Roman" w:cs="Times New Roman"/>
          <w:szCs w:val="24"/>
          <w:lang w:val="en-US"/>
        </w:rPr>
        <w:t>v.ues.rs.ba</w:t>
      </w:r>
    </w:p>
    <w:p w:rsidR="00F574E6" w:rsidRPr="002B5207" w:rsidRDefault="00F574E6" w:rsidP="00F574E6">
      <w:pPr>
        <w:jc w:val="center"/>
        <w:rPr>
          <w:rFonts w:ascii="Times New Roman" w:hAnsi="Times New Roman" w:cs="Times New Roman"/>
          <w:szCs w:val="24"/>
        </w:rPr>
      </w:pPr>
      <w:r w:rsidRPr="002B5207">
        <w:rPr>
          <w:rFonts w:ascii="Times New Roman" w:hAnsi="Times New Roman" w:cs="Times New Roman"/>
          <w:szCs w:val="24"/>
          <w:vertAlign w:val="superscript"/>
        </w:rPr>
        <w:t>2</w:t>
      </w:r>
      <w:r w:rsidRPr="002B5207">
        <w:rPr>
          <w:rFonts w:ascii="Times New Roman" w:hAnsi="Times New Roman" w:cs="Times New Roman"/>
          <w:szCs w:val="24"/>
        </w:rPr>
        <w:t xml:space="preserve">Фабрика </w:t>
      </w:r>
      <w:r w:rsidR="005E5326">
        <w:rPr>
          <w:rFonts w:ascii="Times New Roman" w:hAnsi="Times New Roman" w:cs="Times New Roman"/>
          <w:szCs w:val="24"/>
          <w:lang w:val="sr-Latn-RS"/>
        </w:rPr>
        <w:t>„</w:t>
      </w:r>
      <w:r w:rsidRPr="002B5207">
        <w:rPr>
          <w:rFonts w:ascii="Times New Roman" w:hAnsi="Times New Roman" w:cs="Times New Roman"/>
          <w:szCs w:val="24"/>
        </w:rPr>
        <w:t>Алумина</w:t>
      </w:r>
      <w:r w:rsidR="005E5326">
        <w:rPr>
          <w:rFonts w:ascii="Times New Roman" w:hAnsi="Times New Roman" w:cs="Times New Roman"/>
          <w:szCs w:val="24"/>
          <w:lang w:val="sr-Latn-RS"/>
        </w:rPr>
        <w:t>“</w:t>
      </w:r>
      <w:r w:rsidRPr="002B5207">
        <w:rPr>
          <w:rFonts w:ascii="Times New Roman" w:hAnsi="Times New Roman" w:cs="Times New Roman"/>
          <w:szCs w:val="24"/>
        </w:rPr>
        <w:t xml:space="preserve"> д</w:t>
      </w:r>
      <w:r w:rsidR="005E5326">
        <w:rPr>
          <w:rFonts w:ascii="Times New Roman" w:hAnsi="Times New Roman" w:cs="Times New Roman"/>
          <w:szCs w:val="24"/>
          <w:lang w:val="sr-Latn-RS"/>
        </w:rPr>
        <w:t>.</w:t>
      </w:r>
      <w:r w:rsidRPr="002B5207">
        <w:rPr>
          <w:rFonts w:ascii="Times New Roman" w:hAnsi="Times New Roman" w:cs="Times New Roman"/>
          <w:szCs w:val="24"/>
        </w:rPr>
        <w:t>о</w:t>
      </w:r>
      <w:r w:rsidR="005E5326">
        <w:rPr>
          <w:rFonts w:ascii="Times New Roman" w:hAnsi="Times New Roman" w:cs="Times New Roman"/>
          <w:szCs w:val="24"/>
          <w:lang w:val="sr-Latn-RS"/>
        </w:rPr>
        <w:t>.</w:t>
      </w:r>
      <w:r w:rsidRPr="002B5207">
        <w:rPr>
          <w:rFonts w:ascii="Times New Roman" w:hAnsi="Times New Roman" w:cs="Times New Roman"/>
          <w:szCs w:val="24"/>
        </w:rPr>
        <w:t>о</w:t>
      </w:r>
      <w:r w:rsidR="005E5326">
        <w:rPr>
          <w:rFonts w:ascii="Times New Roman" w:hAnsi="Times New Roman" w:cs="Times New Roman"/>
          <w:szCs w:val="24"/>
          <w:lang w:val="sr-Latn-RS"/>
        </w:rPr>
        <w:t>.</w:t>
      </w:r>
      <w:r w:rsidRPr="002B5207">
        <w:rPr>
          <w:rFonts w:ascii="Times New Roman" w:hAnsi="Times New Roman" w:cs="Times New Roman"/>
          <w:szCs w:val="24"/>
        </w:rPr>
        <w:t>, Каракај бб, 75400 Зворник,</w:t>
      </w:r>
      <w:r w:rsidRPr="002B5207">
        <w:rPr>
          <w:rFonts w:ascii="Times New Roman" w:hAnsi="Times New Roman" w:cs="Times New Roman"/>
          <w:szCs w:val="24"/>
          <w:lang w:val="en-US"/>
        </w:rPr>
        <w:t xml:space="preserve"> email:sec@birac.ba</w:t>
      </w:r>
    </w:p>
    <w:p w:rsidR="00F574E6" w:rsidRPr="00A666F4" w:rsidRDefault="00F574E6" w:rsidP="00F574E6">
      <w:pPr>
        <w:rPr>
          <w:rFonts w:ascii="Times New Roman" w:hAnsi="Times New Roman" w:cs="Times New Roman"/>
          <w:szCs w:val="24"/>
        </w:rPr>
      </w:pPr>
      <w:r w:rsidRPr="00A666F4">
        <w:rPr>
          <w:rFonts w:ascii="Times New Roman" w:hAnsi="Times New Roman" w:cs="Times New Roman"/>
          <w:szCs w:val="24"/>
        </w:rPr>
        <w:t xml:space="preserve"> </w:t>
      </w:r>
    </w:p>
    <w:p w:rsidR="00F574E6" w:rsidRPr="00A666F4" w:rsidRDefault="00F574E6" w:rsidP="00F574E6">
      <w:pPr>
        <w:jc w:val="both"/>
        <w:rPr>
          <w:rFonts w:ascii="Times New Roman" w:hAnsi="Times New Roman" w:cs="Times New Roman"/>
          <w:b/>
          <w:sz w:val="20"/>
          <w:szCs w:val="24"/>
        </w:rPr>
      </w:pPr>
      <w:r w:rsidRPr="00A666F4">
        <w:rPr>
          <w:rFonts w:ascii="Times New Roman" w:hAnsi="Times New Roman" w:cs="Times New Roman"/>
          <w:b/>
          <w:sz w:val="20"/>
          <w:szCs w:val="24"/>
        </w:rPr>
        <w:t>Сажетак:</w:t>
      </w:r>
    </w:p>
    <w:p w:rsidR="00532571" w:rsidRPr="00A666F4" w:rsidRDefault="00F574E6" w:rsidP="00F574E6">
      <w:pPr>
        <w:jc w:val="both"/>
        <w:rPr>
          <w:rFonts w:ascii="Times New Roman" w:hAnsi="Times New Roman" w:cs="Times New Roman"/>
          <w:sz w:val="20"/>
          <w:szCs w:val="24"/>
        </w:rPr>
      </w:pPr>
      <w:r w:rsidRPr="00A666F4">
        <w:rPr>
          <w:rFonts w:ascii="Times New Roman" w:hAnsi="Times New Roman" w:cs="Times New Roman"/>
          <w:sz w:val="20"/>
          <w:szCs w:val="24"/>
        </w:rPr>
        <w:t>У овом раду испитан је утицај процесних параметара на сорпционе карактеристике алуминијум хидоксида. Полазне сировине које су кориштене за добијање фино преципитираног хидрата су алуминатни раствор и клице кристализације алуминијум хидроксида.  Испитан је утицај каустичног модула алуминатног раствор</w:t>
      </w:r>
      <w:r w:rsidR="00532571" w:rsidRPr="00A666F4">
        <w:rPr>
          <w:rFonts w:ascii="Times New Roman" w:hAnsi="Times New Roman" w:cs="Times New Roman"/>
          <w:sz w:val="20"/>
          <w:szCs w:val="24"/>
        </w:rPr>
        <w:t>а при константној температури, з</w:t>
      </w:r>
      <w:r w:rsidRPr="00A666F4">
        <w:rPr>
          <w:rFonts w:ascii="Times New Roman" w:hAnsi="Times New Roman" w:cs="Times New Roman"/>
          <w:sz w:val="20"/>
          <w:szCs w:val="24"/>
        </w:rPr>
        <w:t xml:space="preserve">атим утицај специфичне површине клица кристализације, утицај разређења алуминатног раствора такође при константној температури и утицај сулфата у алуминатном раствору на добијање честица фино преципитираног алуминијум хидроксида и на саму сорпцију уља. Добијени узорци анилизирани су у погледу гранулометрије, специфичне површине и сорпције уља. Додатно, резултати скенирајуће електронске микроскопије узорака (СЕМ) показали су разлику у морфолошким карактеристикама честица добијеног фино преципитираног хидрата. </w:t>
      </w:r>
    </w:p>
    <w:p w:rsidR="00F574E6" w:rsidRPr="00A666F4" w:rsidRDefault="00F574E6" w:rsidP="00F574E6">
      <w:pPr>
        <w:jc w:val="both"/>
        <w:rPr>
          <w:rFonts w:ascii="Times New Roman" w:hAnsi="Times New Roman" w:cs="Times New Roman"/>
          <w:sz w:val="20"/>
          <w:szCs w:val="24"/>
        </w:rPr>
      </w:pPr>
      <w:r w:rsidRPr="00A666F4">
        <w:rPr>
          <w:rFonts w:ascii="Times New Roman" w:hAnsi="Times New Roman" w:cs="Times New Roman"/>
          <w:sz w:val="20"/>
          <w:szCs w:val="24"/>
        </w:rPr>
        <w:t>На основу експрименталних података закључено је да са смањењем каустичног модула образују се ситније честице фино преципитираног хидрата, такође већа специфична површина клица погодује образовању ситније честице фино</w:t>
      </w:r>
      <w:r w:rsidR="006A779F" w:rsidRPr="00A666F4">
        <w:rPr>
          <w:rFonts w:ascii="Times New Roman" w:hAnsi="Times New Roman" w:cs="Times New Roman"/>
          <w:sz w:val="20"/>
          <w:szCs w:val="24"/>
        </w:rPr>
        <w:t xml:space="preserve"> преципитираног хидрата, а </w:t>
      </w:r>
      <w:r w:rsidRPr="00A666F4">
        <w:rPr>
          <w:rFonts w:ascii="Times New Roman" w:hAnsi="Times New Roman" w:cs="Times New Roman"/>
          <w:sz w:val="20"/>
          <w:szCs w:val="24"/>
        </w:rPr>
        <w:t xml:space="preserve"> тим већу специфичну</w:t>
      </w:r>
      <w:r w:rsidR="006A779F" w:rsidRPr="00A666F4">
        <w:rPr>
          <w:rFonts w:ascii="Times New Roman" w:hAnsi="Times New Roman" w:cs="Times New Roman"/>
          <w:sz w:val="20"/>
          <w:szCs w:val="24"/>
        </w:rPr>
        <w:t xml:space="preserve"> површину и интензивнију</w:t>
      </w:r>
      <w:r w:rsidRPr="00A666F4">
        <w:rPr>
          <w:rFonts w:ascii="Times New Roman" w:hAnsi="Times New Roman" w:cs="Times New Roman"/>
          <w:sz w:val="20"/>
          <w:szCs w:val="24"/>
        </w:rPr>
        <w:t xml:space="preserve"> сорпцију уља.</w:t>
      </w:r>
    </w:p>
    <w:p w:rsidR="00F574E6" w:rsidRPr="00A666F4" w:rsidRDefault="00F574E6" w:rsidP="00F574E6">
      <w:pPr>
        <w:jc w:val="both"/>
        <w:rPr>
          <w:rFonts w:ascii="Times New Roman" w:hAnsi="Times New Roman" w:cs="Times New Roman"/>
          <w:sz w:val="20"/>
          <w:szCs w:val="24"/>
        </w:rPr>
      </w:pPr>
      <w:r w:rsidRPr="00A666F4">
        <w:rPr>
          <w:rFonts w:ascii="Times New Roman" w:hAnsi="Times New Roman" w:cs="Times New Roman"/>
          <w:b/>
          <w:sz w:val="20"/>
          <w:szCs w:val="24"/>
        </w:rPr>
        <w:t>Кључне ријечи</w:t>
      </w:r>
      <w:r w:rsidRPr="00A666F4">
        <w:rPr>
          <w:rFonts w:ascii="Times New Roman" w:hAnsi="Times New Roman" w:cs="Times New Roman"/>
          <w:sz w:val="20"/>
          <w:szCs w:val="24"/>
        </w:rPr>
        <w:t>: алуминатни раствор, алуминију</w:t>
      </w:r>
      <w:r w:rsidR="00532571" w:rsidRPr="00A666F4">
        <w:rPr>
          <w:rFonts w:ascii="Times New Roman" w:hAnsi="Times New Roman" w:cs="Times New Roman"/>
          <w:sz w:val="20"/>
          <w:szCs w:val="24"/>
        </w:rPr>
        <w:t>-</w:t>
      </w:r>
      <w:r w:rsidRPr="00A666F4">
        <w:rPr>
          <w:rFonts w:ascii="Times New Roman" w:hAnsi="Times New Roman" w:cs="Times New Roman"/>
          <w:sz w:val="20"/>
          <w:szCs w:val="24"/>
        </w:rPr>
        <w:t xml:space="preserve"> хидроксид, кристализација, сорпција</w:t>
      </w:r>
    </w:p>
    <w:p w:rsidR="00F574E6" w:rsidRPr="00A666F4" w:rsidRDefault="00F574E6">
      <w:pPr>
        <w:rPr>
          <w:rFonts w:ascii="Times New Roman" w:hAnsi="Times New Roman" w:cs="Times New Roman"/>
          <w:sz w:val="20"/>
        </w:rPr>
      </w:pPr>
    </w:p>
    <w:p w:rsidR="00F574E6" w:rsidRPr="0033746D" w:rsidRDefault="00A666F4">
      <w:pPr>
        <w:rPr>
          <w:rFonts w:ascii="Times New Roman" w:hAnsi="Times New Roman" w:cs="Times New Roman"/>
          <w:b/>
          <w:sz w:val="20"/>
          <w:lang w:val="sr-Latn-BA"/>
        </w:rPr>
      </w:pPr>
      <w:r w:rsidRPr="0033746D">
        <w:rPr>
          <w:rFonts w:ascii="Times New Roman" w:hAnsi="Times New Roman" w:cs="Times New Roman"/>
          <w:b/>
          <w:sz w:val="20"/>
        </w:rPr>
        <w:t>А</w:t>
      </w:r>
      <w:r w:rsidRPr="0033746D">
        <w:rPr>
          <w:rFonts w:ascii="Times New Roman" w:hAnsi="Times New Roman" w:cs="Times New Roman"/>
          <w:b/>
          <w:sz w:val="20"/>
          <w:lang w:val="sr-Latn-BA"/>
        </w:rPr>
        <w:t>bstract:</w:t>
      </w:r>
    </w:p>
    <w:p w:rsidR="001E1DA4" w:rsidRDefault="00A666F4" w:rsidP="00A666F4">
      <w:pPr>
        <w:jc w:val="both"/>
        <w:rPr>
          <w:rFonts w:ascii="Times New Roman" w:hAnsi="Times New Roman" w:cs="Times New Roman"/>
          <w:sz w:val="20"/>
          <w:lang w:val="sr-Latn-BA"/>
        </w:rPr>
      </w:pPr>
      <w:r w:rsidRPr="00A666F4">
        <w:rPr>
          <w:rFonts w:ascii="Times New Roman" w:hAnsi="Times New Roman" w:cs="Times New Roman"/>
          <w:sz w:val="20"/>
          <w:lang w:val="sr-Latn-BA"/>
        </w:rPr>
        <w:t xml:space="preserve">In this work, the influence of process parameters on the sorption characteristics of aluminum hydroxide is investigated. The starting materials used to obtain finely precipitated hydrate were aluminate solution and seed crystals of aluminum hydroxide. The effect of caustic modulus of aluminate solution at constant temperature was examined, followed by the influence of specific surface area of seed crystals on crystallization, as well as the effect of sulfate in aluminate solution on the formation of particles of finely precipitated aluminum hydroxide and on the resulting slurry. Samples were analyzed for particle size distribution, specific surface area, and slurry sorption. Additionally, scanning electron microscope (SEM) results showed differences in particle morphology of the obtained finely precipitated hydrate. </w:t>
      </w:r>
    </w:p>
    <w:p w:rsidR="00A666F4" w:rsidRPr="00A666F4" w:rsidRDefault="00A666F4" w:rsidP="00A666F4">
      <w:pPr>
        <w:jc w:val="both"/>
        <w:rPr>
          <w:rFonts w:ascii="Times New Roman" w:hAnsi="Times New Roman" w:cs="Times New Roman"/>
          <w:sz w:val="20"/>
          <w:lang w:val="sr-Latn-BA"/>
        </w:rPr>
      </w:pPr>
      <w:r w:rsidRPr="00A666F4">
        <w:rPr>
          <w:rFonts w:ascii="Times New Roman" w:hAnsi="Times New Roman" w:cs="Times New Roman"/>
          <w:sz w:val="20"/>
          <w:lang w:val="sr-Latn-BA"/>
        </w:rPr>
        <w:t>Based on experimental data, it was concluded that reducing the caustic modulus results in finer particles of finely precipitated hydrate, thereby enhancing specific surface area and intensifying slurry sorption.</w:t>
      </w:r>
    </w:p>
    <w:p w:rsidR="00A666F4" w:rsidRPr="00A666F4" w:rsidRDefault="00A666F4" w:rsidP="00A666F4">
      <w:pPr>
        <w:jc w:val="both"/>
        <w:rPr>
          <w:rFonts w:ascii="Times New Roman" w:hAnsi="Times New Roman" w:cs="Times New Roman"/>
          <w:sz w:val="20"/>
          <w:lang w:val="sr-Latn-BA"/>
        </w:rPr>
      </w:pPr>
      <w:r w:rsidRPr="0033746D">
        <w:rPr>
          <w:rFonts w:ascii="Times New Roman" w:hAnsi="Times New Roman" w:cs="Times New Roman"/>
          <w:b/>
          <w:sz w:val="20"/>
          <w:lang w:val="sr-Latn-BA"/>
        </w:rPr>
        <w:t>Key</w:t>
      </w:r>
      <w:r w:rsidR="005E5326">
        <w:rPr>
          <w:rFonts w:ascii="Times New Roman" w:hAnsi="Times New Roman" w:cs="Times New Roman"/>
          <w:b/>
          <w:sz w:val="20"/>
          <w:lang w:val="sr-Latn-BA"/>
        </w:rPr>
        <w:t>words</w:t>
      </w:r>
      <w:r w:rsidRPr="00A666F4">
        <w:rPr>
          <w:rFonts w:ascii="Times New Roman" w:hAnsi="Times New Roman" w:cs="Times New Roman"/>
          <w:sz w:val="20"/>
          <w:lang w:val="sr-Latn-BA"/>
        </w:rPr>
        <w:t>: aluminate solution, aluminum hydroxide, crystallization, sorption</w:t>
      </w:r>
    </w:p>
    <w:p w:rsidR="00F574E6" w:rsidRDefault="00F574E6">
      <w:pPr>
        <w:rPr>
          <w:rFonts w:ascii="Times New Roman" w:hAnsi="Times New Roman" w:cs="Times New Roman"/>
          <w:sz w:val="24"/>
        </w:rPr>
      </w:pPr>
    </w:p>
    <w:p w:rsidR="002B5207" w:rsidRDefault="002B5207">
      <w:pPr>
        <w:rPr>
          <w:rFonts w:ascii="Times New Roman" w:hAnsi="Times New Roman" w:cs="Times New Roman"/>
          <w:sz w:val="24"/>
        </w:rPr>
      </w:pPr>
    </w:p>
    <w:p w:rsidR="0033746D" w:rsidRDefault="0033746D">
      <w:pPr>
        <w:rPr>
          <w:rFonts w:ascii="Times New Roman" w:hAnsi="Times New Roman" w:cs="Times New Roman"/>
          <w:sz w:val="24"/>
        </w:rPr>
      </w:pPr>
    </w:p>
    <w:p w:rsidR="006A779F" w:rsidRDefault="006A779F">
      <w:pPr>
        <w:rPr>
          <w:rFonts w:ascii="Times New Roman" w:hAnsi="Times New Roman" w:cs="Times New Roman"/>
          <w:sz w:val="24"/>
        </w:rPr>
      </w:pPr>
    </w:p>
    <w:p w:rsidR="006A779F" w:rsidRPr="003462A3" w:rsidRDefault="006A779F" w:rsidP="003462A3">
      <w:pPr>
        <w:pStyle w:val="ListParagraph"/>
        <w:jc w:val="both"/>
        <w:rPr>
          <w:rFonts w:ascii="Times New Roman" w:hAnsi="Times New Roman" w:cs="Times New Roman"/>
          <w:b/>
        </w:rPr>
      </w:pPr>
      <w:r w:rsidRPr="003462A3">
        <w:rPr>
          <w:rFonts w:ascii="Times New Roman" w:hAnsi="Times New Roman" w:cs="Times New Roman"/>
          <w:b/>
        </w:rPr>
        <w:t>1.</w:t>
      </w:r>
      <w:r w:rsidR="003462A3">
        <w:rPr>
          <w:rFonts w:ascii="Times New Roman" w:hAnsi="Times New Roman" w:cs="Times New Roman"/>
          <w:b/>
        </w:rPr>
        <w:t>УВОД</w:t>
      </w:r>
    </w:p>
    <w:p w:rsidR="00F574E6" w:rsidRPr="003462A3" w:rsidRDefault="00F574E6" w:rsidP="003462A3">
      <w:pPr>
        <w:pStyle w:val="ListParagraph"/>
        <w:jc w:val="both"/>
        <w:rPr>
          <w:rFonts w:ascii="Times New Roman" w:hAnsi="Times New Roman" w:cs="Times New Roman"/>
        </w:rPr>
      </w:pPr>
      <w:r w:rsidRPr="003462A3">
        <w:rPr>
          <w:rFonts w:ascii="Times New Roman" w:hAnsi="Times New Roman" w:cs="Times New Roman"/>
        </w:rPr>
        <w:t xml:space="preserve"> </w:t>
      </w:r>
    </w:p>
    <w:p w:rsidR="00F574E6" w:rsidRPr="003462A3" w:rsidRDefault="00F574E6" w:rsidP="003462A3">
      <w:pPr>
        <w:ind w:firstLine="720"/>
        <w:jc w:val="both"/>
        <w:rPr>
          <w:rFonts w:ascii="Times New Roman" w:hAnsi="Times New Roman" w:cs="Times New Roman"/>
        </w:rPr>
      </w:pPr>
      <w:r w:rsidRPr="003462A3">
        <w:rPr>
          <w:rFonts w:ascii="Times New Roman" w:hAnsi="Times New Roman" w:cs="Times New Roman"/>
        </w:rPr>
        <w:t>Специјалне врсте алумине</w:t>
      </w:r>
      <w:r w:rsidR="0033746D" w:rsidRPr="003462A3">
        <w:rPr>
          <w:rFonts w:ascii="Times New Roman" w:hAnsi="Times New Roman" w:cs="Times New Roman"/>
          <w:lang w:val="sr-Latn-BA"/>
        </w:rPr>
        <w:t xml:space="preserve"> </w:t>
      </w:r>
      <w:r w:rsidRPr="003462A3">
        <w:rPr>
          <w:rFonts w:ascii="Times New Roman" w:hAnsi="Times New Roman" w:cs="Times New Roman"/>
        </w:rPr>
        <w:t>(глиница-идентификована још и као неметалуршка глиница) су синтетички производи који се добијају из бокситних руда у контролисаним процесима. У зависности од примјењеног процеса, могуће је добити различите форме и типове алумионијум оксида.: активних (прелазних), висококалцинисаних, табуларних и топњених глиница. Сваки добијени производ има карактеристичне термичке, електричне и хемијске особине као што су велика механичка чврстоћа, отпорност на хабање, отпорност на високе темппературе и корозију.</w:t>
      </w:r>
      <w:r w:rsidR="00517A92" w:rsidRPr="003462A3">
        <w:rPr>
          <w:rFonts w:ascii="Times New Roman" w:hAnsi="Times New Roman" w:cs="Times New Roman"/>
        </w:rPr>
        <w:t xml:space="preserve"> Због изражених ових особина, специјалне глинице су главне компоненте у различитим примјенама, па се могу користити као адсорбенси, керамички и ватростални материјали, абразиви, сеперационе мембране, полупроводници, потом у ортопедији, електроници,војној индустрији и др.</w:t>
      </w:r>
      <w:r w:rsidR="0033746D" w:rsidRPr="003462A3">
        <w:rPr>
          <w:rFonts w:ascii="Times New Roman" w:hAnsi="Times New Roman" w:cs="Times New Roman"/>
        </w:rPr>
        <w:t xml:space="preserve"> [1,2,3]</w:t>
      </w:r>
    </w:p>
    <w:p w:rsidR="00517A92" w:rsidRPr="003462A3" w:rsidRDefault="00517A92" w:rsidP="003462A3">
      <w:pPr>
        <w:ind w:firstLine="720"/>
        <w:jc w:val="both"/>
        <w:rPr>
          <w:rFonts w:ascii="Times New Roman" w:hAnsi="Times New Roman" w:cs="Times New Roman"/>
        </w:rPr>
      </w:pPr>
      <w:r w:rsidRPr="003462A3">
        <w:rPr>
          <w:rFonts w:ascii="Times New Roman" w:hAnsi="Times New Roman" w:cs="Times New Roman"/>
        </w:rPr>
        <w:t>Најзначанији и најраспрострањенији проце</w:t>
      </w:r>
      <w:r w:rsidR="006A779F" w:rsidRPr="003462A3">
        <w:rPr>
          <w:rFonts w:ascii="Times New Roman" w:hAnsi="Times New Roman" w:cs="Times New Roman"/>
        </w:rPr>
        <w:t>с</w:t>
      </w:r>
      <w:r w:rsidRPr="003462A3">
        <w:rPr>
          <w:rFonts w:ascii="Times New Roman" w:hAnsi="Times New Roman" w:cs="Times New Roman"/>
        </w:rPr>
        <w:t xml:space="preserve"> производње алумине је Бајеров процес који користи боксит као сировину.</w:t>
      </w:r>
      <w:r w:rsidR="0033746D" w:rsidRPr="003462A3">
        <w:rPr>
          <w:rFonts w:ascii="Times New Roman" w:hAnsi="Times New Roman" w:cs="Times New Roman"/>
        </w:rPr>
        <w:t>[4]</w:t>
      </w:r>
      <w:r w:rsidRPr="003462A3">
        <w:rPr>
          <w:rFonts w:ascii="Times New Roman" w:hAnsi="Times New Roman" w:cs="Times New Roman"/>
        </w:rPr>
        <w:t xml:space="preserve"> Хидрометалуршки Бајеров проступак је данас основни и доминирајући поступак за производњу глинице. Основну и суштину Бајеровог процеса чини лужење боксита раствором </w:t>
      </w:r>
      <w:r w:rsidRPr="003462A3">
        <w:rPr>
          <w:rFonts w:ascii="Times New Roman" w:hAnsi="Times New Roman" w:cs="Times New Roman"/>
          <w:lang w:val="sr-Latn-BA"/>
        </w:rPr>
        <w:t>NaOH</w:t>
      </w:r>
      <w:r w:rsidRPr="003462A3">
        <w:rPr>
          <w:rFonts w:ascii="Times New Roman" w:hAnsi="Times New Roman" w:cs="Times New Roman"/>
        </w:rPr>
        <w:t xml:space="preserve"> у циљу добијања раствора натријум-алумината и спонтаног разлагања добијеног алуминатног раствора уз издвајање алуминијум хидроксида и регенерацију </w:t>
      </w:r>
      <w:r w:rsidRPr="003462A3">
        <w:rPr>
          <w:rFonts w:ascii="Times New Roman" w:hAnsi="Times New Roman" w:cs="Times New Roman"/>
          <w:lang w:val="sr-Latn-BA"/>
        </w:rPr>
        <w:t>NaOH</w:t>
      </w:r>
      <w:r w:rsidRPr="003462A3">
        <w:rPr>
          <w:rFonts w:ascii="Times New Roman" w:hAnsi="Times New Roman" w:cs="Times New Roman"/>
        </w:rPr>
        <w:t>.</w:t>
      </w:r>
      <w:r w:rsidR="0033746D" w:rsidRPr="003462A3">
        <w:rPr>
          <w:rFonts w:ascii="Times New Roman" w:hAnsi="Times New Roman" w:cs="Times New Roman"/>
        </w:rPr>
        <w:t xml:space="preserve"> [1,5]</w:t>
      </w:r>
    </w:p>
    <w:p w:rsidR="00517A92" w:rsidRPr="003462A3" w:rsidRDefault="00517A92" w:rsidP="003462A3">
      <w:pPr>
        <w:jc w:val="both"/>
        <w:rPr>
          <w:rFonts w:ascii="Times New Roman" w:hAnsi="Times New Roman" w:cs="Times New Roman"/>
        </w:rPr>
      </w:pPr>
      <w:r w:rsidRPr="003462A3">
        <w:rPr>
          <w:rFonts w:ascii="Times New Roman" w:hAnsi="Times New Roman" w:cs="Times New Roman"/>
        </w:rPr>
        <w:t xml:space="preserve">Бајеров поступак је затворени цикслу у односу на циркулацију раствора, чија је суштина у одигравању процеса који карактерише </w:t>
      </w:r>
      <w:r w:rsidR="006A779F" w:rsidRPr="003462A3">
        <w:rPr>
          <w:rFonts w:ascii="Times New Roman" w:hAnsi="Times New Roman" w:cs="Times New Roman"/>
        </w:rPr>
        <w:t>повратну реакцију од хидратисани</w:t>
      </w:r>
      <w:r w:rsidRPr="003462A3">
        <w:rPr>
          <w:rFonts w:ascii="Times New Roman" w:hAnsi="Times New Roman" w:cs="Times New Roman"/>
        </w:rPr>
        <w:t>х алуминијевих оксида до натријум алумината:</w:t>
      </w:r>
    </w:p>
    <w:p w:rsidR="00517A92" w:rsidRPr="003462A3" w:rsidRDefault="00D40A76" w:rsidP="003462A3">
      <w:pPr>
        <w:jc w:val="both"/>
        <w:rPr>
          <w:rFonts w:ascii="Times New Roman" w:hAnsi="Times New Roman" w:cs="Times New Roman"/>
          <w:lang w:val="sr-Latn-BA"/>
        </w:rPr>
      </w:pPr>
      <m:oMathPara>
        <m:oMath>
          <m:r>
            <w:rPr>
              <w:rFonts w:ascii="Cambria Math" w:hAnsi="Cambria Math" w:cs="Times New Roman"/>
              <w:lang w:val="sr-Latn-BA"/>
            </w:rPr>
            <m:t xml:space="preserve">                           </m:t>
          </m:r>
          <m:sSub>
            <m:sSubPr>
              <m:ctrlPr>
                <w:rPr>
                  <w:rFonts w:ascii="Cambria Math" w:hAnsi="Cambria Math" w:cs="Times New Roman"/>
                  <w:i/>
                  <w:lang w:val="sr-Latn-BA"/>
                </w:rPr>
              </m:ctrlPr>
            </m:sSubPr>
            <m:e>
              <m:r>
                <w:rPr>
                  <w:rFonts w:ascii="Cambria Math" w:hAnsi="Cambria Math" w:cs="Times New Roman"/>
                  <w:lang w:val="sr-Latn-BA"/>
                </w:rPr>
                <m:t xml:space="preserve">               Al</m:t>
              </m:r>
            </m:e>
            <m:sub>
              <m:r>
                <w:rPr>
                  <w:rFonts w:ascii="Cambria Math" w:hAnsi="Cambria Math" w:cs="Times New Roman"/>
                  <w:lang w:val="sr-Latn-BA"/>
                </w:rPr>
                <m:t>2</m:t>
              </m:r>
            </m:sub>
          </m:sSub>
          <m:sSub>
            <m:sSubPr>
              <m:ctrlPr>
                <w:rPr>
                  <w:rFonts w:ascii="Cambria Math" w:hAnsi="Cambria Math" w:cs="Times New Roman"/>
                  <w:i/>
                  <w:lang w:val="sr-Latn-BA"/>
                </w:rPr>
              </m:ctrlPr>
            </m:sSubPr>
            <m:e>
              <m:r>
                <w:rPr>
                  <w:rFonts w:ascii="Cambria Math" w:hAnsi="Cambria Math" w:cs="Times New Roman"/>
                  <w:lang w:val="sr-Latn-BA"/>
                </w:rPr>
                <m:t>O</m:t>
              </m:r>
            </m:e>
            <m:sub>
              <m:r>
                <w:rPr>
                  <w:rFonts w:ascii="Cambria Math" w:hAnsi="Cambria Math" w:cs="Times New Roman"/>
                  <w:lang w:val="sr-Latn-BA"/>
                </w:rPr>
                <m:t>3</m:t>
              </m:r>
            </m:sub>
          </m:sSub>
          <m:r>
            <w:rPr>
              <w:rFonts w:ascii="Cambria Math" w:hAnsi="Cambria Math" w:cs="Times New Roman"/>
              <w:lang w:val="sr-Latn-BA"/>
            </w:rPr>
            <m:t>∙n</m:t>
          </m:r>
          <m:sSub>
            <m:sSubPr>
              <m:ctrlPr>
                <w:rPr>
                  <w:rFonts w:ascii="Cambria Math" w:hAnsi="Cambria Math" w:cs="Times New Roman"/>
                  <w:i/>
                  <w:lang w:val="sr-Latn-BA"/>
                </w:rPr>
              </m:ctrlPr>
            </m:sSubPr>
            <m:e>
              <m:r>
                <w:rPr>
                  <w:rFonts w:ascii="Cambria Math" w:hAnsi="Cambria Math" w:cs="Times New Roman"/>
                  <w:lang w:val="sr-Latn-BA"/>
                </w:rPr>
                <m:t>H</m:t>
              </m:r>
            </m:e>
            <m:sub>
              <m:r>
                <w:rPr>
                  <w:rFonts w:ascii="Cambria Math" w:hAnsi="Cambria Math" w:cs="Times New Roman"/>
                  <w:lang w:val="sr-Latn-BA"/>
                </w:rPr>
                <m:t>2</m:t>
              </m:r>
            </m:sub>
          </m:sSub>
          <m:r>
            <w:rPr>
              <w:rFonts w:ascii="Cambria Math" w:eastAsiaTheme="minorEastAsia" w:hAnsi="Cambria Math" w:cs="Times New Roman"/>
              <w:lang w:val="sr-Latn-BA"/>
            </w:rPr>
            <m:t>O+2NaOH⇄2NaAl</m:t>
          </m:r>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O</m:t>
              </m:r>
            </m:e>
            <m:sub>
              <m:r>
                <w:rPr>
                  <w:rFonts w:ascii="Cambria Math" w:eastAsiaTheme="minorEastAsia" w:hAnsi="Cambria Math" w:cs="Times New Roman"/>
                  <w:lang w:val="sr-Latn-BA"/>
                </w:rPr>
                <m:t>2</m:t>
              </m:r>
            </m:sub>
          </m:sSub>
          <m:r>
            <w:rPr>
              <w:rFonts w:ascii="Cambria Math" w:eastAsiaTheme="minorEastAsia" w:hAnsi="Cambria Math" w:cs="Times New Roman"/>
              <w:lang w:val="sr-Latn-BA"/>
            </w:rPr>
            <m:t>+</m:t>
          </m:r>
          <m:d>
            <m:dPr>
              <m:ctrlPr>
                <w:rPr>
                  <w:rFonts w:ascii="Cambria Math" w:eastAsiaTheme="minorEastAsia" w:hAnsi="Cambria Math" w:cs="Times New Roman"/>
                  <w:i/>
                  <w:lang w:val="sr-Latn-BA"/>
                </w:rPr>
              </m:ctrlPr>
            </m:dPr>
            <m:e>
              <m:r>
                <w:rPr>
                  <w:rFonts w:ascii="Cambria Math" w:eastAsiaTheme="minorEastAsia" w:hAnsi="Cambria Math" w:cs="Times New Roman"/>
                  <w:lang w:val="sr-Latn-BA"/>
                </w:rPr>
                <m:t>n+1</m:t>
              </m:r>
            </m:e>
          </m:d>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H</m:t>
              </m:r>
            </m:e>
            <m:sub>
              <m:r>
                <w:rPr>
                  <w:rFonts w:ascii="Cambria Math" w:eastAsiaTheme="minorEastAsia" w:hAnsi="Cambria Math" w:cs="Times New Roman"/>
                  <w:lang w:val="sr-Latn-BA"/>
                </w:rPr>
                <m:t>2</m:t>
              </m:r>
            </m:sub>
          </m:sSub>
          <m:r>
            <w:rPr>
              <w:rFonts w:ascii="Cambria Math" w:eastAsiaTheme="minorEastAsia" w:hAnsi="Cambria Math" w:cs="Times New Roman"/>
              <w:lang w:val="sr-Latn-BA"/>
            </w:rPr>
            <m:t>O                                              (1)</m:t>
          </m:r>
          <m:r>
            <m:rPr>
              <m:sty m:val="p"/>
            </m:rPr>
            <w:rPr>
              <w:rFonts w:ascii="Cambria Math" w:eastAsiaTheme="minorEastAsia" w:hAnsi="Cambria Math" w:cs="Times New Roman"/>
              <w:lang w:val="sr-Latn-BA"/>
            </w:rPr>
            <w:br/>
          </m:r>
        </m:oMath>
      </m:oMathPara>
    </w:p>
    <w:p w:rsidR="00170E1F" w:rsidRPr="003462A3" w:rsidRDefault="00170E1F" w:rsidP="003462A3">
      <w:pPr>
        <w:ind w:firstLine="720"/>
        <w:jc w:val="both"/>
        <w:rPr>
          <w:rFonts w:ascii="Times New Roman" w:hAnsi="Times New Roman" w:cs="Times New Roman"/>
          <w:lang w:val="sr-Latn-BA"/>
        </w:rPr>
      </w:pPr>
      <w:r w:rsidRPr="003462A3">
        <w:rPr>
          <w:rFonts w:ascii="Times New Roman" w:hAnsi="Times New Roman" w:cs="Times New Roman"/>
        </w:rPr>
        <w:t>При лужењу боксита рав</w:t>
      </w:r>
      <w:r w:rsidR="00D40A76" w:rsidRPr="003462A3">
        <w:rPr>
          <w:rFonts w:ascii="Times New Roman" w:hAnsi="Times New Roman" w:cs="Times New Roman"/>
        </w:rPr>
        <w:t>нотежа наведене реакције је по</w:t>
      </w:r>
      <w:r w:rsidRPr="003462A3">
        <w:rPr>
          <w:rFonts w:ascii="Times New Roman" w:hAnsi="Times New Roman" w:cs="Times New Roman"/>
        </w:rPr>
        <w:t>мјерена с лијева на десно, а при разлага</w:t>
      </w:r>
      <w:r w:rsidR="00D40A76" w:rsidRPr="003462A3">
        <w:rPr>
          <w:rFonts w:ascii="Times New Roman" w:hAnsi="Times New Roman" w:cs="Times New Roman"/>
        </w:rPr>
        <w:t>њу алуминатног раствора с  десна налијево</w:t>
      </w:r>
      <w:r w:rsidRPr="003462A3">
        <w:rPr>
          <w:rFonts w:ascii="Times New Roman" w:hAnsi="Times New Roman" w:cs="Times New Roman"/>
        </w:rPr>
        <w:t xml:space="preserve">.  На основу тога произилази да повратни раствор за лужење боркиста у затвореном циклусу, упоредно са слободним </w:t>
      </w:r>
      <w:r w:rsidRPr="003462A3">
        <w:rPr>
          <w:rFonts w:ascii="Times New Roman" w:hAnsi="Times New Roman" w:cs="Times New Roman"/>
          <w:lang w:val="sr-Latn-BA"/>
        </w:rPr>
        <w:t>NaOH</w:t>
      </w:r>
      <w:r w:rsidR="00D40A76" w:rsidRPr="003462A3">
        <w:rPr>
          <w:rFonts w:ascii="Times New Roman" w:hAnsi="Times New Roman" w:cs="Times New Roman"/>
        </w:rPr>
        <w:t>, садржи одређену</w:t>
      </w:r>
      <w:r w:rsidRPr="003462A3">
        <w:rPr>
          <w:rFonts w:ascii="Times New Roman" w:hAnsi="Times New Roman" w:cs="Times New Roman"/>
        </w:rPr>
        <w:t xml:space="preserve"> количину неразложеног натријум-алумината, а алуминатни раствор  добијен луже</w:t>
      </w:r>
      <w:r w:rsidR="00D40A76" w:rsidRPr="003462A3">
        <w:rPr>
          <w:rFonts w:ascii="Times New Roman" w:hAnsi="Times New Roman" w:cs="Times New Roman"/>
        </w:rPr>
        <w:t>њем, при разлагању одређену кол</w:t>
      </w:r>
      <w:r w:rsidRPr="003462A3">
        <w:rPr>
          <w:rFonts w:ascii="Times New Roman" w:hAnsi="Times New Roman" w:cs="Times New Roman"/>
        </w:rPr>
        <w:t xml:space="preserve">ичину слободног </w:t>
      </w:r>
      <w:r w:rsidRPr="003462A3">
        <w:rPr>
          <w:rFonts w:ascii="Times New Roman" w:hAnsi="Times New Roman" w:cs="Times New Roman"/>
          <w:lang w:val="sr-Latn-BA"/>
        </w:rPr>
        <w:t>NaOH</w:t>
      </w:r>
      <w:r w:rsidR="00D40A76" w:rsidRPr="003462A3">
        <w:rPr>
          <w:rFonts w:ascii="Times New Roman" w:hAnsi="Times New Roman" w:cs="Times New Roman"/>
        </w:rPr>
        <w:t xml:space="preserve"> неутрошен</w:t>
      </w:r>
      <w:r w:rsidRPr="003462A3">
        <w:rPr>
          <w:rFonts w:ascii="Times New Roman" w:hAnsi="Times New Roman" w:cs="Times New Roman"/>
        </w:rPr>
        <w:t>ог у процес лужења.</w:t>
      </w:r>
      <w:r w:rsidR="0033746D" w:rsidRPr="003462A3">
        <w:t xml:space="preserve"> </w:t>
      </w:r>
      <w:r w:rsidR="0033746D" w:rsidRPr="003462A3">
        <w:rPr>
          <w:rFonts w:ascii="Times New Roman" w:hAnsi="Times New Roman" w:cs="Times New Roman"/>
        </w:rPr>
        <w:t>[4,6]</w:t>
      </w:r>
    </w:p>
    <w:p w:rsidR="00170E1F" w:rsidRPr="003462A3" w:rsidRDefault="00170E1F" w:rsidP="003462A3">
      <w:pPr>
        <w:jc w:val="both"/>
        <w:rPr>
          <w:rFonts w:ascii="Times New Roman" w:hAnsi="Times New Roman" w:cs="Times New Roman"/>
        </w:rPr>
      </w:pPr>
      <w:r w:rsidRPr="003462A3">
        <w:rPr>
          <w:rFonts w:ascii="Times New Roman" w:hAnsi="Times New Roman" w:cs="Times New Roman"/>
        </w:rPr>
        <w:t xml:space="preserve">Са физичко-хемијске тачке гледишта веома је тешко извшити класификацију општег процеса сорпције на наведене </w:t>
      </w:r>
      <w:r w:rsidR="00D40A76" w:rsidRPr="003462A3">
        <w:rPr>
          <w:rFonts w:ascii="Times New Roman" w:hAnsi="Times New Roman" w:cs="Times New Roman"/>
        </w:rPr>
        <w:t xml:space="preserve">специјалне </w:t>
      </w:r>
      <w:r w:rsidRPr="003462A3">
        <w:rPr>
          <w:rFonts w:ascii="Times New Roman" w:hAnsi="Times New Roman" w:cs="Times New Roman"/>
        </w:rPr>
        <w:t xml:space="preserve">процесе. Ефекат ових процеса је идентичан , а постоји велики број теорија које са више или мање  успјеха објашњавају суштину појединих сорпционих процеса. </w:t>
      </w:r>
    </w:p>
    <w:p w:rsidR="007C55C4" w:rsidRPr="003462A3" w:rsidRDefault="007C55C4" w:rsidP="003462A3">
      <w:pPr>
        <w:jc w:val="both"/>
        <w:rPr>
          <w:rFonts w:ascii="Times New Roman" w:hAnsi="Times New Roman" w:cs="Times New Roman"/>
        </w:rPr>
      </w:pPr>
      <w:r w:rsidRPr="003462A3">
        <w:rPr>
          <w:rFonts w:ascii="Times New Roman" w:hAnsi="Times New Roman" w:cs="Times New Roman"/>
        </w:rPr>
        <w:t>Процес апсорпције је потпуно другачији од процеса а</w:t>
      </w:r>
      <w:r w:rsidR="00D40A76" w:rsidRPr="003462A3">
        <w:rPr>
          <w:rFonts w:ascii="Times New Roman" w:hAnsi="Times New Roman" w:cs="Times New Roman"/>
        </w:rPr>
        <w:t>дсропције и то не требам</w:t>
      </w:r>
      <w:r w:rsidRPr="003462A3">
        <w:rPr>
          <w:rFonts w:ascii="Times New Roman" w:hAnsi="Times New Roman" w:cs="Times New Roman"/>
        </w:rPr>
        <w:t>о мјешати. У процес адсорпоције течности или гас се акумулирају на течн</w:t>
      </w:r>
      <w:r w:rsidR="00D40A76" w:rsidRPr="003462A3">
        <w:rPr>
          <w:rFonts w:ascii="Times New Roman" w:hAnsi="Times New Roman" w:cs="Times New Roman"/>
        </w:rPr>
        <w:t>о</w:t>
      </w:r>
      <w:r w:rsidRPr="003462A3">
        <w:rPr>
          <w:rFonts w:ascii="Times New Roman" w:hAnsi="Times New Roman" w:cs="Times New Roman"/>
        </w:rPr>
        <w:t>ј или чврстој површини и стварају атомски или молекулски филм.</w:t>
      </w:r>
      <w:r w:rsidR="00D40A76" w:rsidRPr="003462A3">
        <w:rPr>
          <w:rFonts w:ascii="Times New Roman" w:hAnsi="Times New Roman" w:cs="Times New Roman"/>
        </w:rPr>
        <w:t xml:space="preserve"> Када атомни неке сусптанце „вис</w:t>
      </w:r>
      <w:r w:rsidRPr="003462A3">
        <w:rPr>
          <w:rFonts w:ascii="Times New Roman" w:hAnsi="Times New Roman" w:cs="Times New Roman"/>
        </w:rPr>
        <w:t>е“ на површини друге течне супстанце, то је оно што се назива адоприцја.</w:t>
      </w:r>
      <w:r w:rsidR="00984CE4" w:rsidRPr="003462A3">
        <w:t xml:space="preserve"> </w:t>
      </w:r>
      <w:r w:rsidR="00984CE4" w:rsidRPr="003462A3">
        <w:rPr>
          <w:rFonts w:ascii="Times New Roman" w:hAnsi="Times New Roman" w:cs="Times New Roman"/>
        </w:rPr>
        <w:t>[7]</w:t>
      </w:r>
    </w:p>
    <w:p w:rsidR="00F574E6" w:rsidRPr="003462A3" w:rsidRDefault="007C55C4" w:rsidP="003462A3">
      <w:pPr>
        <w:jc w:val="both"/>
        <w:rPr>
          <w:rFonts w:ascii="Times New Roman" w:hAnsi="Times New Roman" w:cs="Times New Roman"/>
        </w:rPr>
      </w:pPr>
      <w:r w:rsidRPr="003462A3">
        <w:rPr>
          <w:rFonts w:ascii="Times New Roman" w:hAnsi="Times New Roman" w:cs="Times New Roman"/>
        </w:rPr>
        <w:t>Процес сорпције се дешава и наставња уједначеном брзином све док се сав ап</w:t>
      </w:r>
      <w:r w:rsidR="00D40A76" w:rsidRPr="003462A3">
        <w:rPr>
          <w:rFonts w:ascii="Times New Roman" w:hAnsi="Times New Roman" w:cs="Times New Roman"/>
        </w:rPr>
        <w:t>сорб</w:t>
      </w:r>
      <w:r w:rsidR="00FE6399">
        <w:rPr>
          <w:rFonts w:ascii="Times New Roman" w:hAnsi="Times New Roman" w:cs="Times New Roman"/>
          <w:lang w:val="sr-Latn-RS"/>
        </w:rPr>
        <w:t>a</w:t>
      </w:r>
      <w:r w:rsidR="00D40A76" w:rsidRPr="003462A3">
        <w:rPr>
          <w:rFonts w:ascii="Times New Roman" w:hAnsi="Times New Roman" w:cs="Times New Roman"/>
        </w:rPr>
        <w:t>т не раствори у апсорбенту.</w:t>
      </w:r>
      <w:r w:rsidR="00984CE4" w:rsidRPr="003462A3">
        <w:t xml:space="preserve"> </w:t>
      </w:r>
      <w:r w:rsidR="00984CE4" w:rsidRPr="003462A3">
        <w:rPr>
          <w:rFonts w:ascii="Times New Roman" w:hAnsi="Times New Roman" w:cs="Times New Roman"/>
        </w:rPr>
        <w:t>[8,9,10]</w:t>
      </w:r>
      <w:r w:rsidRPr="003462A3">
        <w:rPr>
          <w:rFonts w:ascii="Times New Roman" w:hAnsi="Times New Roman" w:cs="Times New Roman"/>
        </w:rPr>
        <w:t xml:space="preserve"> </w:t>
      </w:r>
      <w:r w:rsidR="00D40A76" w:rsidRPr="003462A3">
        <w:rPr>
          <w:rFonts w:ascii="Times New Roman" w:hAnsi="Times New Roman" w:cs="Times New Roman"/>
        </w:rPr>
        <w:t xml:space="preserve">Процес адсорпције је егзотреман </w:t>
      </w:r>
      <w:r w:rsidRPr="003462A3">
        <w:rPr>
          <w:rFonts w:ascii="Times New Roman" w:hAnsi="Times New Roman" w:cs="Times New Roman"/>
        </w:rPr>
        <w:t>и подијељен је у двије категорије на основу тога да ли су адсорбат и адсорент реактивни или нереактивни.</w:t>
      </w:r>
      <w:r w:rsidR="00984CE4" w:rsidRPr="003462A3">
        <w:t xml:space="preserve"> </w:t>
      </w:r>
      <w:r w:rsidR="00984CE4" w:rsidRPr="003462A3">
        <w:rPr>
          <w:rFonts w:ascii="Times New Roman" w:hAnsi="Times New Roman" w:cs="Times New Roman"/>
        </w:rPr>
        <w:t>[11,12,</w:t>
      </w:r>
      <w:r w:rsidR="00FE6399">
        <w:rPr>
          <w:rFonts w:ascii="Times New Roman" w:hAnsi="Times New Roman" w:cs="Times New Roman"/>
          <w:lang w:val="sr-Latn-RS"/>
        </w:rPr>
        <w:t>13</w:t>
      </w:r>
      <w:r w:rsidR="00984CE4" w:rsidRPr="003462A3">
        <w:rPr>
          <w:rFonts w:ascii="Times New Roman" w:hAnsi="Times New Roman" w:cs="Times New Roman"/>
        </w:rPr>
        <w:t>]</w:t>
      </w:r>
    </w:p>
    <w:p w:rsidR="00F574E6" w:rsidRDefault="00F574E6" w:rsidP="003462A3">
      <w:pPr>
        <w:jc w:val="both"/>
        <w:rPr>
          <w:rFonts w:ascii="Times New Roman" w:hAnsi="Times New Roman" w:cs="Times New Roman"/>
        </w:rPr>
      </w:pPr>
    </w:p>
    <w:p w:rsidR="00822B64" w:rsidRDefault="00822B64" w:rsidP="003462A3">
      <w:pPr>
        <w:jc w:val="both"/>
        <w:rPr>
          <w:rFonts w:ascii="Times New Roman" w:hAnsi="Times New Roman" w:cs="Times New Roman"/>
        </w:rPr>
      </w:pPr>
    </w:p>
    <w:p w:rsidR="00822B64" w:rsidRPr="003462A3" w:rsidRDefault="00822B64" w:rsidP="003462A3">
      <w:pPr>
        <w:jc w:val="both"/>
        <w:rPr>
          <w:rFonts w:ascii="Times New Roman" w:hAnsi="Times New Roman" w:cs="Times New Roman"/>
        </w:rPr>
      </w:pPr>
    </w:p>
    <w:p w:rsidR="00D40A76" w:rsidRPr="003462A3" w:rsidRDefault="00D40A76" w:rsidP="003462A3">
      <w:pPr>
        <w:jc w:val="both"/>
        <w:rPr>
          <w:rFonts w:ascii="Times New Roman" w:hAnsi="Times New Roman" w:cs="Times New Roman"/>
          <w:b/>
        </w:rPr>
      </w:pPr>
      <w:r w:rsidRPr="003462A3">
        <w:rPr>
          <w:rFonts w:ascii="Times New Roman" w:hAnsi="Times New Roman" w:cs="Times New Roman"/>
          <w:b/>
        </w:rPr>
        <w:t xml:space="preserve">2. </w:t>
      </w:r>
      <w:r w:rsidR="003462A3" w:rsidRPr="003462A3">
        <w:rPr>
          <w:rFonts w:ascii="Times New Roman" w:hAnsi="Times New Roman" w:cs="Times New Roman"/>
          <w:b/>
        </w:rPr>
        <w:t>ЕКСПЕРИМЕНТАЛНИ ДИО</w:t>
      </w:r>
      <w:r w:rsidR="00170E1F" w:rsidRPr="003462A3">
        <w:rPr>
          <w:rFonts w:ascii="Times New Roman" w:hAnsi="Times New Roman" w:cs="Times New Roman"/>
          <w:b/>
        </w:rPr>
        <w:t xml:space="preserve"> </w:t>
      </w:r>
    </w:p>
    <w:p w:rsidR="00D40A76" w:rsidRPr="003462A3" w:rsidRDefault="00D40A76" w:rsidP="003462A3">
      <w:pPr>
        <w:jc w:val="both"/>
        <w:rPr>
          <w:rFonts w:ascii="Times New Roman" w:hAnsi="Times New Roman" w:cs="Times New Roman"/>
        </w:rPr>
      </w:pPr>
    </w:p>
    <w:p w:rsidR="003C3875" w:rsidRPr="003462A3" w:rsidRDefault="003C3875" w:rsidP="003462A3">
      <w:pPr>
        <w:ind w:firstLine="720"/>
        <w:jc w:val="both"/>
        <w:rPr>
          <w:rFonts w:ascii="Times New Roman" w:hAnsi="Times New Roman" w:cs="Times New Roman"/>
        </w:rPr>
      </w:pPr>
      <w:r w:rsidRPr="003462A3">
        <w:rPr>
          <w:rFonts w:ascii="Times New Roman" w:hAnsi="Times New Roman" w:cs="Times New Roman"/>
        </w:rPr>
        <w:t xml:space="preserve">Експериментални дио овог рада изведен је у лабораторији компаније „Алумина“ д.о.о. Зворник. У овом дијелу рада испитан је утицај процесних параметара на сорпционе карактеристике </w:t>
      </w:r>
      <w:r w:rsidRPr="003462A3">
        <w:rPr>
          <w:rFonts w:ascii="Times New Roman" w:hAnsi="Times New Roman" w:cs="Times New Roman"/>
          <w:lang w:val="en-US"/>
        </w:rPr>
        <w:t>Al(OH)</w:t>
      </w:r>
      <w:r w:rsidRPr="003462A3">
        <w:rPr>
          <w:rFonts w:ascii="Times New Roman" w:hAnsi="Times New Roman" w:cs="Times New Roman"/>
          <w:vertAlign w:val="subscript"/>
          <w:lang w:val="en-US"/>
        </w:rPr>
        <w:t>3.</w:t>
      </w:r>
      <w:r w:rsidRPr="003462A3">
        <w:rPr>
          <w:rFonts w:ascii="Times New Roman" w:hAnsi="Times New Roman" w:cs="Times New Roman"/>
          <w:lang w:val="en-US"/>
        </w:rPr>
        <w:t xml:space="preserve"> </w:t>
      </w:r>
      <w:r w:rsidRPr="003462A3">
        <w:rPr>
          <w:rFonts w:ascii="Times New Roman" w:hAnsi="Times New Roman" w:cs="Times New Roman"/>
        </w:rPr>
        <w:t>Полазне сировине које су кориштене су: натријум-алуминат који је произведен у фабрици као и клице кристализације за производњу фино преципитираног алуминијум хидроксида.</w:t>
      </w:r>
    </w:p>
    <w:p w:rsidR="00373F12" w:rsidRDefault="003C3875" w:rsidP="003462A3">
      <w:pPr>
        <w:ind w:firstLine="720"/>
        <w:jc w:val="both"/>
        <w:rPr>
          <w:rFonts w:ascii="Times New Roman" w:hAnsi="Times New Roman" w:cs="Times New Roman"/>
          <w:lang w:val="en-US"/>
        </w:rPr>
      </w:pPr>
      <w:r w:rsidRPr="003462A3">
        <w:rPr>
          <w:rFonts w:ascii="Times New Roman" w:hAnsi="Times New Roman" w:cs="Times New Roman"/>
        </w:rPr>
        <w:t>Испитан је утицаја каустичног модула (</w:t>
      </w: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k</m:t>
            </m:r>
          </m:sub>
        </m:sSub>
      </m:oMath>
      <w:r w:rsidRPr="003462A3">
        <w:rPr>
          <w:rFonts w:ascii="Times New Roman" w:hAnsi="Times New Roman" w:cs="Times New Roman"/>
        </w:rPr>
        <w:t>)</w:t>
      </w:r>
      <w:r w:rsidR="00D456C2" w:rsidRPr="003462A3">
        <w:rPr>
          <w:rFonts w:ascii="Times New Roman" w:hAnsi="Times New Roman" w:cs="Times New Roman"/>
          <w:lang w:val="sr-Latn-BA"/>
        </w:rPr>
        <w:t xml:space="preserve">, </w:t>
      </w:r>
      <w:r w:rsidR="00D456C2" w:rsidRPr="003462A3">
        <w:rPr>
          <w:rFonts w:ascii="Times New Roman" w:hAnsi="Times New Roman" w:cs="Times New Roman"/>
        </w:rPr>
        <w:t xml:space="preserve">количине и специфичне површине клица кеистализације алуминијум хидроксида и то на средњу величину честице,специфичну површину те адсорпцију уља. Такође, методом ласерске дифракције одређена је расподјела величине честице, као и  вриједност средњег пречника честице на уређају </w:t>
      </w:r>
      <w:r w:rsidR="00D456C2" w:rsidRPr="003462A3">
        <w:rPr>
          <w:rFonts w:ascii="Times New Roman" w:hAnsi="Times New Roman" w:cs="Times New Roman"/>
          <w:lang w:val="sr-Latn-BA"/>
        </w:rPr>
        <w:t>CILAS 1090 LIQUID.</w:t>
      </w:r>
      <w:r w:rsidR="00D456C2" w:rsidRPr="003462A3">
        <w:rPr>
          <w:rFonts w:ascii="Times New Roman" w:hAnsi="Times New Roman" w:cs="Times New Roman"/>
          <w:lang w:val="en-US"/>
        </w:rPr>
        <w:t xml:space="preserve"> </w:t>
      </w:r>
      <w:r w:rsidR="00D456C2" w:rsidRPr="003462A3">
        <w:rPr>
          <w:rFonts w:ascii="Times New Roman" w:hAnsi="Times New Roman" w:cs="Times New Roman"/>
        </w:rPr>
        <w:t xml:space="preserve">Према стандардној методи </w:t>
      </w:r>
      <w:r w:rsidR="00D456C2" w:rsidRPr="003462A3">
        <w:rPr>
          <w:rFonts w:ascii="Times New Roman" w:hAnsi="Times New Roman" w:cs="Times New Roman"/>
          <w:lang w:val="sr-Latn-BA"/>
        </w:rPr>
        <w:t>ISO 13320.</w:t>
      </w:r>
    </w:p>
    <w:p w:rsidR="003C3875" w:rsidRDefault="00D456C2" w:rsidP="00FE6399">
      <w:pPr>
        <w:ind w:firstLine="720"/>
        <w:jc w:val="both"/>
        <w:rPr>
          <w:rFonts w:ascii="Times New Roman" w:hAnsi="Times New Roman" w:cs="Times New Roman"/>
          <w:lang w:val="sr-Latn-BA"/>
        </w:rPr>
      </w:pPr>
      <w:r w:rsidRPr="003462A3">
        <w:rPr>
          <w:rFonts w:ascii="Times New Roman" w:hAnsi="Times New Roman" w:cs="Times New Roman"/>
        </w:rPr>
        <w:t xml:space="preserve">Специфична површина узорака рађена је на уређају </w:t>
      </w:r>
      <w:r w:rsidRPr="003462A3">
        <w:rPr>
          <w:rFonts w:ascii="Times New Roman" w:hAnsi="Times New Roman" w:cs="Times New Roman"/>
          <w:lang w:val="sr-Latn-BA"/>
        </w:rPr>
        <w:t xml:space="preserve">GEMINI VII. </w:t>
      </w:r>
      <w:r w:rsidR="00373F12">
        <w:rPr>
          <w:rFonts w:ascii="Times New Roman" w:hAnsi="Times New Roman" w:cs="Times New Roman"/>
          <w:lang w:val="sr-Cyrl-RS"/>
        </w:rPr>
        <w:t>С</w:t>
      </w:r>
      <w:r w:rsidR="003022B8" w:rsidRPr="003462A3">
        <w:rPr>
          <w:rFonts w:ascii="Times New Roman" w:hAnsi="Times New Roman" w:cs="Times New Roman"/>
        </w:rPr>
        <w:t>кенирајућа електронска микроскопија узорака (СЕМ)</w:t>
      </w:r>
      <w:r w:rsidR="00373F12">
        <w:rPr>
          <w:rFonts w:ascii="Times New Roman" w:hAnsi="Times New Roman" w:cs="Times New Roman"/>
          <w:lang w:val="sr-Cyrl-RS"/>
        </w:rPr>
        <w:t xml:space="preserve"> је урађена</w:t>
      </w:r>
      <w:r w:rsidR="003022B8" w:rsidRPr="003462A3">
        <w:rPr>
          <w:rFonts w:ascii="Times New Roman" w:hAnsi="Times New Roman" w:cs="Times New Roman"/>
        </w:rPr>
        <w:t xml:space="preserve"> на</w:t>
      </w:r>
      <w:r w:rsidR="00D40A76" w:rsidRPr="003462A3">
        <w:rPr>
          <w:rFonts w:ascii="Times New Roman" w:hAnsi="Times New Roman" w:cs="Times New Roman"/>
        </w:rPr>
        <w:t xml:space="preserve"> Технолошко-металуршком факултет</w:t>
      </w:r>
      <w:r w:rsidR="003022B8" w:rsidRPr="003462A3">
        <w:rPr>
          <w:rFonts w:ascii="Times New Roman" w:hAnsi="Times New Roman" w:cs="Times New Roman"/>
        </w:rPr>
        <w:t>у</w:t>
      </w:r>
      <w:r w:rsidR="00373F12">
        <w:rPr>
          <w:rFonts w:ascii="Times New Roman" w:hAnsi="Times New Roman" w:cs="Times New Roman"/>
          <w:lang w:val="sr-Cyrl-RS"/>
        </w:rPr>
        <w:t>,</w:t>
      </w:r>
      <w:r w:rsidR="003022B8" w:rsidRPr="003462A3">
        <w:rPr>
          <w:rFonts w:ascii="Times New Roman" w:hAnsi="Times New Roman" w:cs="Times New Roman"/>
        </w:rPr>
        <w:t xml:space="preserve"> Универтзитета у Београду на уређају </w:t>
      </w:r>
      <w:r w:rsidR="003022B8" w:rsidRPr="003462A3">
        <w:rPr>
          <w:rFonts w:ascii="Times New Roman" w:hAnsi="Times New Roman" w:cs="Times New Roman"/>
          <w:lang w:val="sr-Latn-BA"/>
        </w:rPr>
        <w:t>MIRA3 TESCAN.</w:t>
      </w:r>
    </w:p>
    <w:p w:rsidR="00077527" w:rsidRPr="003462A3" w:rsidRDefault="00077527" w:rsidP="003462A3">
      <w:pPr>
        <w:ind w:firstLine="720"/>
        <w:jc w:val="both"/>
        <w:rPr>
          <w:rFonts w:ascii="Times New Roman" w:hAnsi="Times New Roman" w:cs="Times New Roman"/>
          <w:lang w:val="sr-Latn-BA"/>
        </w:rPr>
      </w:pPr>
    </w:p>
    <w:p w:rsidR="003022B8" w:rsidRPr="003462A3" w:rsidRDefault="003462A3" w:rsidP="003462A3">
      <w:pPr>
        <w:jc w:val="both"/>
        <w:rPr>
          <w:rFonts w:ascii="Times New Roman" w:hAnsi="Times New Roman" w:cs="Times New Roman"/>
          <w:b/>
        </w:rPr>
      </w:pPr>
      <w:r w:rsidRPr="003462A3">
        <w:rPr>
          <w:rFonts w:ascii="Times New Roman" w:hAnsi="Times New Roman" w:cs="Times New Roman"/>
          <w:b/>
        </w:rPr>
        <w:t>2.1 РЕЗУЛТАТИ И ДИСКУСИЈА</w:t>
      </w:r>
    </w:p>
    <w:p w:rsidR="002B5207" w:rsidRPr="003462A3" w:rsidRDefault="002B5207" w:rsidP="003462A3">
      <w:pPr>
        <w:jc w:val="both"/>
        <w:rPr>
          <w:rFonts w:ascii="Times New Roman" w:hAnsi="Times New Roman" w:cs="Times New Roman"/>
        </w:rPr>
      </w:pPr>
    </w:p>
    <w:p w:rsidR="003022B8" w:rsidRPr="00822B64" w:rsidRDefault="002B5207" w:rsidP="003462A3">
      <w:pPr>
        <w:jc w:val="both"/>
        <w:rPr>
          <w:rFonts w:ascii="Times New Roman" w:hAnsi="Times New Roman" w:cs="Times New Roman"/>
          <w:b/>
        </w:rPr>
      </w:pPr>
      <w:r w:rsidRPr="00822B64">
        <w:rPr>
          <w:rFonts w:ascii="Times New Roman" w:hAnsi="Times New Roman" w:cs="Times New Roman"/>
          <w:b/>
        </w:rPr>
        <w:t xml:space="preserve">2.1.1 </w:t>
      </w:r>
      <w:r w:rsidR="003022B8" w:rsidRPr="00822B64">
        <w:rPr>
          <w:rFonts w:ascii="Times New Roman" w:hAnsi="Times New Roman" w:cs="Times New Roman"/>
          <w:b/>
        </w:rPr>
        <w:t xml:space="preserve">Утицај почетног модула </w:t>
      </w:r>
      <m:oMath>
        <m:sSub>
          <m:sSubPr>
            <m:ctrlPr>
              <w:rPr>
                <w:rFonts w:ascii="Cambria Math" w:hAnsi="Cambria Math" w:cs="Times New Roman"/>
                <w:b/>
              </w:rPr>
            </m:ctrlPr>
          </m:sSubPr>
          <m:e>
            <m:r>
              <m:rPr>
                <m:sty m:val="b"/>
              </m:rPr>
              <w:rPr>
                <w:rFonts w:ascii="Cambria Math" w:hAnsi="Cambria Math" w:cs="Times New Roman"/>
              </w:rPr>
              <m:t>α</m:t>
            </m:r>
          </m:e>
          <m:sub>
            <m:r>
              <m:rPr>
                <m:sty m:val="b"/>
              </m:rPr>
              <w:rPr>
                <w:rFonts w:ascii="Cambria Math" w:hAnsi="Cambria Math" w:cs="Times New Roman"/>
              </w:rPr>
              <m:t>k</m:t>
            </m:r>
          </m:sub>
        </m:sSub>
        <m:r>
          <m:rPr>
            <m:sty m:val="b"/>
          </m:rPr>
          <w:rPr>
            <w:rFonts w:ascii="Cambria Math" w:hAnsi="Cambria Math" w:cs="Times New Roman"/>
          </w:rPr>
          <m:t xml:space="preserve"> </m:t>
        </m:r>
      </m:oMath>
      <w:r w:rsidR="003022B8" w:rsidRPr="00822B64">
        <w:rPr>
          <w:rFonts w:ascii="Times New Roman" w:hAnsi="Times New Roman" w:cs="Times New Roman"/>
          <w:b/>
        </w:rPr>
        <w:t>при константној почетној температури</w:t>
      </w:r>
    </w:p>
    <w:p w:rsidR="001E1DA4" w:rsidRPr="00373F12" w:rsidRDefault="003022B8" w:rsidP="00373F12">
      <w:pPr>
        <w:ind w:firstLine="720"/>
        <w:jc w:val="both"/>
        <w:rPr>
          <w:rFonts w:ascii="Times New Roman" w:hAnsi="Times New Roman" w:cs="Times New Roman"/>
          <w:lang w:val="sr-Cyrl-RS"/>
        </w:rPr>
      </w:pPr>
      <w:r w:rsidRPr="003462A3">
        <w:rPr>
          <w:rFonts w:ascii="Times New Roman" w:hAnsi="Times New Roman" w:cs="Times New Roman"/>
        </w:rPr>
        <w:t>Утицај почетног модула је извођен са пет узорака алуминијум хидроксида различитих вриједности каустичног модула (</w:t>
      </w: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k</m:t>
            </m:r>
          </m:sub>
        </m:sSub>
      </m:oMath>
      <w:r w:rsidRPr="003462A3">
        <w:rPr>
          <w:rFonts w:ascii="Times New Roman" w:hAnsi="Times New Roman" w:cs="Times New Roman"/>
        </w:rPr>
        <w:t>) у распону од 1,29 до 1,50 и при почетној темеператури од 40⁰С.</w:t>
      </w:r>
    </w:p>
    <w:p w:rsidR="003824F0" w:rsidRPr="003462A3" w:rsidRDefault="00965DC0" w:rsidP="001E1DA4">
      <w:pPr>
        <w:jc w:val="center"/>
        <w:rPr>
          <w:rFonts w:ascii="Times New Roman" w:hAnsi="Times New Roman" w:cs="Times New Roman"/>
        </w:rPr>
      </w:pPr>
      <w:r>
        <w:rPr>
          <w:lang w:val="en-US"/>
        </w:rPr>
        <w:drawing>
          <wp:inline distT="0" distB="0" distL="0" distR="0" wp14:anchorId="38CF071C" wp14:editId="79509728">
            <wp:extent cx="5305425" cy="31242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824F0" w:rsidRPr="00822B64" w:rsidRDefault="003824F0" w:rsidP="001E1DA4">
      <w:pPr>
        <w:jc w:val="center"/>
        <w:rPr>
          <w:rFonts w:ascii="Times New Roman" w:hAnsi="Times New Roman" w:cs="Times New Roman"/>
          <w:i/>
          <w:sz w:val="20"/>
        </w:rPr>
      </w:pPr>
      <w:r w:rsidRPr="00822B64">
        <w:rPr>
          <w:rFonts w:ascii="Times New Roman" w:hAnsi="Times New Roman" w:cs="Times New Roman"/>
          <w:i/>
          <w:sz w:val="20"/>
        </w:rPr>
        <w:lastRenderedPageBreak/>
        <w:t xml:space="preserve">Слика 1. Дијаграм зависности сорпције уља </w:t>
      </w:r>
      <w:r w:rsidR="00373F12">
        <w:rPr>
          <w:rFonts w:ascii="Times New Roman" w:hAnsi="Times New Roman" w:cs="Times New Roman"/>
          <w:i/>
          <w:sz w:val="20"/>
          <w:lang w:val="sr-Cyrl-RS"/>
        </w:rPr>
        <w:t xml:space="preserve">и полазне специфичне површине </w:t>
      </w:r>
      <w:r w:rsidRPr="00822B64">
        <w:rPr>
          <w:rFonts w:ascii="Times New Roman" w:hAnsi="Times New Roman" w:cs="Times New Roman"/>
          <w:i/>
          <w:sz w:val="20"/>
        </w:rPr>
        <w:t>честице фи</w:t>
      </w:r>
      <w:r w:rsidR="001E1DA4">
        <w:rPr>
          <w:rFonts w:ascii="Times New Roman" w:hAnsi="Times New Roman" w:cs="Times New Roman"/>
          <w:i/>
          <w:sz w:val="20"/>
        </w:rPr>
        <w:t>но преципитираног хидрата од по</w:t>
      </w:r>
      <w:r w:rsidRPr="00822B64">
        <w:rPr>
          <w:rFonts w:ascii="Times New Roman" w:hAnsi="Times New Roman" w:cs="Times New Roman"/>
          <w:i/>
          <w:sz w:val="20"/>
        </w:rPr>
        <w:t xml:space="preserve">четног модула </w:t>
      </w:r>
      <m:oMath>
        <m:sSub>
          <m:sSubPr>
            <m:ctrlPr>
              <w:rPr>
                <w:rFonts w:ascii="Cambria Math" w:hAnsi="Cambria Math" w:cs="Times New Roman"/>
                <w:i/>
                <w:sz w:val="20"/>
              </w:rPr>
            </m:ctrlPr>
          </m:sSubPr>
          <m:e>
            <m:r>
              <w:rPr>
                <w:rFonts w:ascii="Cambria Math" w:hAnsi="Cambria Math" w:cs="Times New Roman"/>
                <w:sz w:val="20"/>
              </w:rPr>
              <m:t>α</m:t>
            </m:r>
          </m:e>
          <m:sub>
            <m:r>
              <w:rPr>
                <w:rFonts w:ascii="Cambria Math" w:hAnsi="Cambria Math" w:cs="Times New Roman"/>
                <w:sz w:val="20"/>
              </w:rPr>
              <m:t>k</m:t>
            </m:r>
          </m:sub>
        </m:sSub>
      </m:oMath>
    </w:p>
    <w:p w:rsidR="00373F12" w:rsidRDefault="008B0CCA" w:rsidP="00822B64">
      <w:pPr>
        <w:ind w:firstLine="720"/>
        <w:jc w:val="both"/>
        <w:rPr>
          <w:rFonts w:ascii="Times New Roman" w:eastAsiaTheme="minorEastAsia" w:hAnsi="Times New Roman" w:cs="Times New Roman"/>
          <w:lang w:val="sr-Cyrl-RS"/>
        </w:rPr>
      </w:pPr>
      <w:r w:rsidRPr="003462A3">
        <w:rPr>
          <w:rFonts w:ascii="Times New Roman" w:hAnsi="Times New Roman" w:cs="Times New Roman"/>
        </w:rPr>
        <w:t xml:space="preserve">На </w:t>
      </w:r>
      <w:r w:rsidRPr="003462A3">
        <w:rPr>
          <w:rFonts w:ascii="Times New Roman" w:hAnsi="Times New Roman" w:cs="Times New Roman"/>
          <w:i/>
        </w:rPr>
        <w:t>слици 1</w:t>
      </w:r>
      <w:r w:rsidRPr="003462A3">
        <w:rPr>
          <w:rFonts w:ascii="Times New Roman" w:hAnsi="Times New Roman" w:cs="Times New Roman"/>
        </w:rPr>
        <w:t>.</w:t>
      </w:r>
      <w:r w:rsidR="001E1DA4">
        <w:rPr>
          <w:rFonts w:ascii="Times New Roman" w:hAnsi="Times New Roman" w:cs="Times New Roman"/>
          <w:lang w:val="en-US"/>
        </w:rPr>
        <w:t xml:space="preserve"> </w:t>
      </w:r>
      <w:r w:rsidRPr="003462A3">
        <w:rPr>
          <w:rFonts w:ascii="Times New Roman" w:hAnsi="Times New Roman" w:cs="Times New Roman"/>
        </w:rPr>
        <w:t>приказана је зависност сорпције уља</w:t>
      </w:r>
      <w:r w:rsidR="00965DC0">
        <w:rPr>
          <w:rFonts w:ascii="Times New Roman" w:hAnsi="Times New Roman" w:cs="Times New Roman"/>
          <w:lang w:val="sr-Latn-RS"/>
        </w:rPr>
        <w:t xml:space="preserve"> </w:t>
      </w:r>
      <w:r w:rsidR="00965DC0">
        <w:rPr>
          <w:rFonts w:ascii="Times New Roman" w:hAnsi="Times New Roman" w:cs="Times New Roman"/>
          <w:lang w:val="sr-Cyrl-RS"/>
        </w:rPr>
        <w:t>од</w:t>
      </w:r>
      <w:r w:rsidRPr="003462A3">
        <w:rPr>
          <w:rFonts w:ascii="Times New Roman" w:hAnsi="Times New Roman" w:cs="Times New Roman"/>
        </w:rPr>
        <w:t xml:space="preserve"> специфичне површине честице фино преципитираног хидрата од почетног каустичног модула</w:t>
      </w:r>
      <m:oMath>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k</m:t>
            </m:r>
          </m:sub>
        </m:sSub>
      </m:oMath>
      <w:r w:rsidR="002B5207" w:rsidRPr="003462A3">
        <w:rPr>
          <w:rFonts w:ascii="Times New Roman" w:eastAsiaTheme="minorEastAsia" w:hAnsi="Times New Roman" w:cs="Times New Roman"/>
        </w:rPr>
        <w:t>.</w:t>
      </w:r>
    </w:p>
    <w:p w:rsidR="001E1DA4" w:rsidRPr="00EB2079" w:rsidRDefault="008B0CCA" w:rsidP="00EB2079">
      <w:pPr>
        <w:ind w:firstLine="720"/>
        <w:jc w:val="both"/>
        <w:rPr>
          <w:rFonts w:ascii="Times New Roman" w:eastAsiaTheme="minorEastAsia" w:hAnsi="Times New Roman" w:cs="Times New Roman"/>
          <w:lang w:val="sr-Cyrl-RS"/>
        </w:rPr>
      </w:pPr>
      <w:r w:rsidRPr="003462A3">
        <w:rPr>
          <w:rFonts w:ascii="Times New Roman" w:eastAsiaTheme="minorEastAsia" w:hAnsi="Times New Roman" w:cs="Times New Roman"/>
        </w:rPr>
        <w:t>Из добијених екперименталних резултата представљених на графику може се закључити да са смањењем каустичног модула почетног алуминатног раствора убрзава се кристализација алуминатног раствора, образују се ситније честице, а самим тим што је мањи средњи пречних честице специфична површина праха је већа</w:t>
      </w:r>
      <w:r w:rsidR="002F3126" w:rsidRPr="003462A3">
        <w:rPr>
          <w:rFonts w:ascii="Times New Roman" w:eastAsiaTheme="minorEastAsia" w:hAnsi="Times New Roman" w:cs="Times New Roman"/>
        </w:rPr>
        <w:t xml:space="preserve">. Повећавањем каустичног модула алуминатног раствора долази до смањења специфичне површине фино преципитираног хидрата, најмања вриједност је 6,75 </w:t>
      </w:r>
      <m:oMath>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rPr>
              <m:t>g</m:t>
            </m:r>
          </m:den>
        </m:f>
      </m:oMath>
      <w:r w:rsidR="002B5207" w:rsidRPr="003462A3">
        <w:rPr>
          <w:rFonts w:ascii="Times New Roman" w:eastAsiaTheme="minorEastAsia" w:hAnsi="Times New Roman" w:cs="Times New Roman"/>
        </w:rPr>
        <w:t xml:space="preserve"> </w:t>
      </w:r>
      <w:r w:rsidR="002F3126" w:rsidRPr="003462A3">
        <w:rPr>
          <w:rFonts w:ascii="Times New Roman" w:eastAsiaTheme="minorEastAsia" w:hAnsi="Times New Roman" w:cs="Times New Roman"/>
        </w:rPr>
        <w:t xml:space="preserve"> при каустичном модулу </w:t>
      </w: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k</m:t>
            </m:r>
          </m:sub>
        </m:sSub>
        <m:r>
          <w:rPr>
            <w:rFonts w:ascii="Cambria Math" w:hAnsi="Cambria Math" w:cs="Times New Roman"/>
          </w:rPr>
          <m:t>=1,5</m:t>
        </m:r>
      </m:oMath>
      <w:r w:rsidR="002F3126" w:rsidRPr="003462A3">
        <w:rPr>
          <w:rFonts w:ascii="Times New Roman" w:eastAsiaTheme="minorEastAsia" w:hAnsi="Times New Roman" w:cs="Times New Roman"/>
        </w:rPr>
        <w:t xml:space="preserve">. Са графика зависности јасно је уочљиво да са повећавањем специфичне површине честица фино преципитираног хидрата долази до повећавања сорпције уља. Такође, из добијених екеприменталних резултата уочљиво је да сорпција олеинске киселине повећава са повећавањем специфичне површине честице фино преципитираног хидрата. Утрошак ланеног уља се креће у опсегу од 50,0-54,0 </w:t>
      </w:r>
      <m:oMath>
        <m:r>
          <w:rPr>
            <w:rFonts w:ascii="Cambria Math" w:eastAsiaTheme="minorEastAsia" w:hAnsi="Cambria Math" w:cs="Times New Roman"/>
          </w:rPr>
          <m:t>ml/100g</m:t>
        </m:r>
      </m:oMath>
      <w:r w:rsidR="002F3126" w:rsidRPr="003462A3">
        <w:rPr>
          <w:rFonts w:ascii="Times New Roman" w:eastAsiaTheme="minorEastAsia" w:hAnsi="Times New Roman" w:cs="Times New Roman"/>
        </w:rPr>
        <w:t xml:space="preserve"> узорка фино преципитираног хидрата специфичне површине од 6,75-7,87 </w:t>
      </w:r>
      <m:oMath>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rPr>
              <m:t>g</m:t>
            </m:r>
          </m:den>
        </m:f>
      </m:oMath>
      <w:r w:rsidR="002F3126" w:rsidRPr="003462A3">
        <w:rPr>
          <w:rFonts w:ascii="Times New Roman" w:eastAsiaTheme="minorEastAsia" w:hAnsi="Times New Roman" w:cs="Times New Roman"/>
        </w:rPr>
        <w:t>, до је утрошак олеинске киселине у опсегу од 46,</w:t>
      </w:r>
      <w:r w:rsidR="008F1242" w:rsidRPr="003462A3">
        <w:rPr>
          <w:rFonts w:ascii="Times New Roman" w:eastAsiaTheme="minorEastAsia" w:hAnsi="Times New Roman" w:cs="Times New Roman"/>
        </w:rPr>
        <w:t>0-48</w:t>
      </w:r>
      <w:r w:rsidR="002F3126" w:rsidRPr="003462A3">
        <w:rPr>
          <w:rFonts w:ascii="Times New Roman" w:eastAsiaTheme="minorEastAsia" w:hAnsi="Times New Roman" w:cs="Times New Roman"/>
        </w:rPr>
        <w:t xml:space="preserve">,0 </w:t>
      </w:r>
      <m:oMath>
        <m:r>
          <w:rPr>
            <w:rFonts w:ascii="Cambria Math" w:eastAsiaTheme="minorEastAsia" w:hAnsi="Cambria Math" w:cs="Times New Roman"/>
          </w:rPr>
          <m:t>ml/100g</m:t>
        </m:r>
      </m:oMath>
      <w:r w:rsidR="008F1242" w:rsidRPr="003462A3">
        <w:rPr>
          <w:rFonts w:ascii="Times New Roman" w:eastAsiaTheme="minorEastAsia" w:hAnsi="Times New Roman" w:cs="Times New Roman"/>
        </w:rPr>
        <w:t xml:space="preserve"> истих узорака.</w:t>
      </w:r>
    </w:p>
    <w:p w:rsidR="008F1242" w:rsidRPr="00965DC0" w:rsidRDefault="002B5207" w:rsidP="003462A3">
      <w:pPr>
        <w:jc w:val="both"/>
        <w:rPr>
          <w:rFonts w:ascii="Times New Roman" w:eastAsiaTheme="minorEastAsia" w:hAnsi="Times New Roman" w:cs="Times New Roman"/>
          <w:b/>
          <w:lang w:val="sr-Cyrl-RS"/>
        </w:rPr>
      </w:pPr>
      <w:r w:rsidRPr="00822B64">
        <w:rPr>
          <w:rFonts w:ascii="Times New Roman" w:eastAsiaTheme="minorEastAsia" w:hAnsi="Times New Roman" w:cs="Times New Roman"/>
          <w:b/>
        </w:rPr>
        <w:t xml:space="preserve">2.1.2 </w:t>
      </w:r>
      <w:r w:rsidR="008F1242" w:rsidRPr="00822B64">
        <w:rPr>
          <w:rFonts w:ascii="Times New Roman" w:eastAsiaTheme="minorEastAsia" w:hAnsi="Times New Roman" w:cs="Times New Roman"/>
          <w:b/>
        </w:rPr>
        <w:t>Утицај разређења алуминатног раствора при константној почетној температури</w:t>
      </w:r>
    </w:p>
    <w:p w:rsidR="001E1DA4" w:rsidRPr="00EB2079" w:rsidRDefault="008F1242" w:rsidP="00EB2079">
      <w:pPr>
        <w:jc w:val="both"/>
        <w:rPr>
          <w:rFonts w:ascii="Times New Roman" w:eastAsiaTheme="minorEastAsia" w:hAnsi="Times New Roman" w:cs="Times New Roman"/>
          <w:lang w:val="sr-Cyrl-RS"/>
        </w:rPr>
      </w:pPr>
      <w:r w:rsidRPr="003462A3">
        <w:rPr>
          <w:rFonts w:ascii="Times New Roman" w:eastAsiaTheme="minorEastAsia" w:hAnsi="Times New Roman" w:cs="Times New Roman"/>
        </w:rPr>
        <w:t xml:space="preserve">Експерименти који се односе на утицај разређења су извођени такође са пет узорака при концентрацијама </w:t>
      </w:r>
      <m:oMath>
        <m:sSub>
          <m:sSubPr>
            <m:ctrlPr>
              <w:rPr>
                <w:rFonts w:ascii="Cambria Math" w:eastAsiaTheme="minorEastAsia" w:hAnsi="Cambria Math" w:cs="Times New Roman"/>
                <w:i/>
              </w:rPr>
            </m:ctrlPr>
          </m:sSubPr>
          <m:e>
            <m:r>
              <w:rPr>
                <w:rFonts w:ascii="Cambria Math" w:eastAsiaTheme="minorEastAsia" w:hAnsi="Cambria Math" w:cs="Times New Roman"/>
                <w:lang w:val="sr-Latn-BA"/>
              </w:rPr>
              <m:t>Na</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k</m:t>
            </m:r>
          </m:sub>
        </m:sSub>
        <m:r>
          <w:rPr>
            <w:rFonts w:ascii="Cambria Math" w:eastAsiaTheme="minorEastAsia" w:hAnsi="Cambria Math" w:cs="Times New Roman"/>
          </w:rPr>
          <m:t xml:space="preserve"> </m:t>
        </m:r>
      </m:oMath>
      <w:r w:rsidRPr="003462A3">
        <w:rPr>
          <w:rFonts w:ascii="Times New Roman" w:eastAsiaTheme="minorEastAsia" w:hAnsi="Times New Roman" w:cs="Times New Roman"/>
          <w:lang w:val="sr-Latn-BA"/>
        </w:rPr>
        <w:t xml:space="preserve">od 50-140 </w:t>
      </w:r>
      <m:oMath>
        <m:r>
          <w:rPr>
            <w:rFonts w:ascii="Cambria Math" w:eastAsiaTheme="minorEastAsia" w:hAnsi="Cambria Math" w:cs="Times New Roman"/>
            <w:lang w:val="sr-Latn-BA"/>
          </w:rPr>
          <m:t>g/l</m:t>
        </m:r>
      </m:oMath>
      <w:r w:rsidRPr="003462A3">
        <w:rPr>
          <w:rFonts w:ascii="Times New Roman" w:eastAsiaTheme="minorEastAsia" w:hAnsi="Times New Roman" w:cs="Times New Roman"/>
          <w:lang w:val="sr-Latn-BA"/>
        </w:rPr>
        <w:t xml:space="preserve">, </w:t>
      </w:r>
      <w:r w:rsidRPr="003462A3">
        <w:rPr>
          <w:rFonts w:ascii="Times New Roman" w:eastAsiaTheme="minorEastAsia" w:hAnsi="Times New Roman" w:cs="Times New Roman"/>
        </w:rPr>
        <w:t>при температури од 40⁰С и времену од 24</w:t>
      </w:r>
      <w:r w:rsidRPr="003462A3">
        <w:rPr>
          <w:rFonts w:ascii="Times New Roman" w:eastAsiaTheme="minorEastAsia" w:hAnsi="Times New Roman" w:cs="Times New Roman"/>
          <w:lang w:val="sr-Latn-BA"/>
        </w:rPr>
        <w:t>h.</w:t>
      </w:r>
    </w:p>
    <w:p w:rsidR="003824F0" w:rsidRPr="003462A3" w:rsidRDefault="00117340" w:rsidP="00117340">
      <w:pPr>
        <w:jc w:val="center"/>
        <w:rPr>
          <w:rFonts w:ascii="Times New Roman" w:eastAsiaTheme="minorEastAsia" w:hAnsi="Times New Roman" w:cs="Times New Roman"/>
          <w:lang w:val="sr-Latn-BA"/>
        </w:rPr>
      </w:pPr>
      <w:r>
        <w:rPr>
          <w:lang w:val="en-US"/>
        </w:rPr>
        <w:drawing>
          <wp:inline distT="0" distB="0" distL="0" distR="0" wp14:anchorId="1FE89357" wp14:editId="38692103">
            <wp:extent cx="5524500" cy="370522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824F0" w:rsidRDefault="003824F0" w:rsidP="00965DC0">
      <w:pPr>
        <w:jc w:val="center"/>
        <w:rPr>
          <w:rFonts w:ascii="Times New Roman" w:eastAsiaTheme="minorEastAsia" w:hAnsi="Times New Roman" w:cs="Times New Roman"/>
          <w:i/>
          <w:sz w:val="20"/>
        </w:rPr>
      </w:pPr>
      <w:r w:rsidRPr="00822B64">
        <w:rPr>
          <w:rFonts w:ascii="Times New Roman" w:eastAsiaTheme="minorEastAsia" w:hAnsi="Times New Roman" w:cs="Times New Roman"/>
          <w:i/>
          <w:sz w:val="20"/>
        </w:rPr>
        <w:t>Слика 2. Диајграм зависности сорпције уља честице фино преципитираног хидрата</w:t>
      </w:r>
      <w:r w:rsidR="00965DC0">
        <w:rPr>
          <w:rFonts w:ascii="Times New Roman" w:eastAsiaTheme="minorEastAsia" w:hAnsi="Times New Roman" w:cs="Times New Roman"/>
          <w:i/>
          <w:sz w:val="20"/>
          <w:lang w:val="sr-Cyrl-RS"/>
        </w:rPr>
        <w:t xml:space="preserve"> </w:t>
      </w:r>
      <w:r w:rsidRPr="00822B64">
        <w:rPr>
          <w:rFonts w:ascii="Times New Roman" w:eastAsiaTheme="minorEastAsia" w:hAnsi="Times New Roman" w:cs="Times New Roman"/>
          <w:i/>
          <w:sz w:val="20"/>
        </w:rPr>
        <w:t xml:space="preserve">од концетрације </w:t>
      </w:r>
      <m:oMath>
        <m:sSub>
          <m:sSubPr>
            <m:ctrlPr>
              <w:rPr>
                <w:rFonts w:ascii="Cambria Math" w:eastAsiaTheme="minorEastAsia" w:hAnsi="Cambria Math" w:cs="Times New Roman"/>
                <w:i/>
                <w:sz w:val="20"/>
              </w:rPr>
            </m:ctrlPr>
          </m:sSubPr>
          <m:e>
            <m:r>
              <w:rPr>
                <w:rFonts w:ascii="Cambria Math" w:eastAsiaTheme="minorEastAsia" w:hAnsi="Cambria Math" w:cs="Times New Roman"/>
                <w:sz w:val="20"/>
                <w:lang w:val="sr-Latn-BA"/>
              </w:rPr>
              <m:t>Na</m:t>
            </m:r>
          </m:e>
          <m:sub>
            <m:r>
              <w:rPr>
                <w:rFonts w:ascii="Cambria Math" w:eastAsiaTheme="minorEastAsia" w:hAnsi="Cambria Math" w:cs="Times New Roman"/>
                <w:sz w:val="20"/>
              </w:rPr>
              <m:t>2</m:t>
            </m:r>
          </m:sub>
        </m:sSub>
        <m:sSub>
          <m:sSubPr>
            <m:ctrlPr>
              <w:rPr>
                <w:rFonts w:ascii="Cambria Math" w:eastAsiaTheme="minorEastAsia" w:hAnsi="Cambria Math" w:cs="Times New Roman"/>
                <w:i/>
                <w:sz w:val="20"/>
              </w:rPr>
            </m:ctrlPr>
          </m:sSubPr>
          <m:e>
            <m:r>
              <w:rPr>
                <w:rFonts w:ascii="Cambria Math" w:eastAsiaTheme="minorEastAsia" w:hAnsi="Cambria Math" w:cs="Times New Roman"/>
                <w:sz w:val="20"/>
              </w:rPr>
              <m:t>O</m:t>
            </m:r>
          </m:e>
          <m:sub>
            <m:r>
              <w:rPr>
                <w:rFonts w:ascii="Cambria Math" w:eastAsiaTheme="minorEastAsia" w:hAnsi="Cambria Math" w:cs="Times New Roman"/>
                <w:sz w:val="20"/>
              </w:rPr>
              <m:t>k</m:t>
            </m:r>
          </m:sub>
        </m:sSub>
      </m:oMath>
      <w:r w:rsidRPr="00822B64">
        <w:rPr>
          <w:rFonts w:ascii="Times New Roman" w:eastAsiaTheme="minorEastAsia" w:hAnsi="Times New Roman" w:cs="Times New Roman"/>
          <w:i/>
          <w:sz w:val="20"/>
        </w:rPr>
        <w:t xml:space="preserve"> у алуминатном раствору</w:t>
      </w:r>
    </w:p>
    <w:p w:rsidR="00117340" w:rsidRPr="00822B64" w:rsidRDefault="00117340" w:rsidP="00822B64">
      <w:pPr>
        <w:ind w:firstLine="720"/>
        <w:jc w:val="center"/>
        <w:rPr>
          <w:rFonts w:ascii="Times New Roman" w:eastAsiaTheme="minorEastAsia" w:hAnsi="Times New Roman" w:cs="Times New Roman"/>
          <w:i/>
          <w:sz w:val="20"/>
        </w:rPr>
      </w:pPr>
    </w:p>
    <w:p w:rsidR="003462A3" w:rsidRDefault="008F1242" w:rsidP="007D7A23">
      <w:pPr>
        <w:ind w:firstLine="720"/>
        <w:jc w:val="both"/>
        <w:rPr>
          <w:rFonts w:ascii="Times New Roman" w:eastAsiaTheme="minorEastAsia" w:hAnsi="Times New Roman" w:cs="Times New Roman"/>
        </w:rPr>
      </w:pPr>
      <w:r w:rsidRPr="003462A3">
        <w:rPr>
          <w:rFonts w:ascii="Times New Roman" w:eastAsiaTheme="minorEastAsia" w:hAnsi="Times New Roman" w:cs="Times New Roman"/>
        </w:rPr>
        <w:lastRenderedPageBreak/>
        <w:t xml:space="preserve">На </w:t>
      </w:r>
      <w:r w:rsidRPr="003462A3">
        <w:rPr>
          <w:rFonts w:ascii="Times New Roman" w:eastAsiaTheme="minorEastAsia" w:hAnsi="Times New Roman" w:cs="Times New Roman"/>
          <w:i/>
        </w:rPr>
        <w:t>слици 2.</w:t>
      </w:r>
      <w:r w:rsidRPr="003462A3">
        <w:rPr>
          <w:rFonts w:ascii="Times New Roman" w:eastAsiaTheme="minorEastAsia" w:hAnsi="Times New Roman" w:cs="Times New Roman"/>
        </w:rPr>
        <w:t xml:space="preserve"> је приказана зависност сорпције уља честица фино преципитираног хидрата алуминијум хидорксида од концетрације </w:t>
      </w:r>
      <m:oMath>
        <m:sSub>
          <m:sSubPr>
            <m:ctrlPr>
              <w:rPr>
                <w:rFonts w:ascii="Cambria Math" w:eastAsiaTheme="minorEastAsia" w:hAnsi="Cambria Math" w:cs="Times New Roman"/>
                <w:i/>
              </w:rPr>
            </m:ctrlPr>
          </m:sSubPr>
          <m:e>
            <m:r>
              <w:rPr>
                <w:rFonts w:ascii="Cambria Math" w:eastAsiaTheme="minorEastAsia" w:hAnsi="Cambria Math" w:cs="Times New Roman"/>
                <w:lang w:val="sr-Latn-BA"/>
              </w:rPr>
              <m:t>Na</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k</m:t>
            </m:r>
          </m:sub>
        </m:sSub>
      </m:oMath>
      <w:r w:rsidRPr="003462A3">
        <w:rPr>
          <w:rFonts w:ascii="Times New Roman" w:eastAsiaTheme="minorEastAsia" w:hAnsi="Times New Roman" w:cs="Times New Roman"/>
        </w:rPr>
        <w:t xml:space="preserve"> у алуминатном раствору. Из добијених експерименталних резултата  потрђено је опште правило да се мање концетровани раствори </w:t>
      </w:r>
      <w:r w:rsidR="002A1BEA" w:rsidRPr="003462A3">
        <w:rPr>
          <w:rFonts w:ascii="Times New Roman" w:eastAsiaTheme="minorEastAsia" w:hAnsi="Times New Roman" w:cs="Times New Roman"/>
        </w:rPr>
        <w:t xml:space="preserve">лакше разлажу од јако концентрованих раствора при истом каустичном модулу. Смањењем концетрације </w:t>
      </w:r>
      <m:oMath>
        <m:sSub>
          <m:sSubPr>
            <m:ctrlPr>
              <w:rPr>
                <w:rFonts w:ascii="Cambria Math" w:eastAsiaTheme="minorEastAsia" w:hAnsi="Cambria Math" w:cs="Times New Roman"/>
                <w:i/>
              </w:rPr>
            </m:ctrlPr>
          </m:sSubPr>
          <m:e>
            <m:r>
              <w:rPr>
                <w:rFonts w:ascii="Cambria Math" w:eastAsiaTheme="minorEastAsia" w:hAnsi="Cambria Math" w:cs="Times New Roman"/>
                <w:lang w:val="sr-Latn-BA"/>
              </w:rPr>
              <m:t>Na</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k</m:t>
            </m:r>
          </m:sub>
        </m:sSub>
      </m:oMath>
      <w:r w:rsidR="002A1BEA" w:rsidRPr="003462A3">
        <w:rPr>
          <w:rFonts w:ascii="Times New Roman" w:eastAsiaTheme="minorEastAsia" w:hAnsi="Times New Roman" w:cs="Times New Roman"/>
        </w:rPr>
        <w:t xml:space="preserve"> у алуминатном раствору, добијамо честицу фино преципитираног хидрата са мањим средњим пречником, а евидентно је да се специфична површина праха фино преципитираног хидрата повећава. Даљом анализом експерименталних резултата утврђујемо да сорпција уља се повећава, повећавањем специфичне површине честице фино преципитираног хидрата. Утрошак ланеног уља се креће у опсегу од 53,6-55,2 </w:t>
      </w:r>
      <m:oMath>
        <m:r>
          <w:rPr>
            <w:rFonts w:ascii="Cambria Math" w:eastAsiaTheme="minorEastAsia" w:hAnsi="Cambria Math" w:cs="Times New Roman"/>
          </w:rPr>
          <m:t>ml/100g</m:t>
        </m:r>
      </m:oMath>
      <w:r w:rsidR="002A1BEA" w:rsidRPr="003462A3">
        <w:rPr>
          <w:rFonts w:ascii="Times New Roman" w:eastAsiaTheme="minorEastAsia" w:hAnsi="Times New Roman" w:cs="Times New Roman"/>
        </w:rPr>
        <w:t xml:space="preserve"> узорка фино преципитираног хидрата специфичне површине од 5,54-7,06</w:t>
      </w:r>
      <m:oMath>
        <m:r>
          <w:rPr>
            <w:rFonts w:ascii="Cambria Math" w:eastAsiaTheme="minorEastAsia" w:hAnsi="Cambria Math" w:cs="Times New Roman"/>
          </w:rPr>
          <m:t xml:space="preserve"> </m:t>
        </m:r>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rPr>
              <m:t>g</m:t>
            </m:r>
          </m:den>
        </m:f>
      </m:oMath>
      <w:r w:rsidR="002A1BEA" w:rsidRPr="003462A3">
        <w:rPr>
          <w:rFonts w:ascii="Times New Roman" w:eastAsiaTheme="minorEastAsia" w:hAnsi="Times New Roman" w:cs="Times New Roman"/>
        </w:rPr>
        <w:t xml:space="preserve">, док је утрошак олеинске киселине у опсегу од 44,9-48,9 </w:t>
      </w:r>
      <m:oMath>
        <m:r>
          <w:rPr>
            <w:rFonts w:ascii="Cambria Math" w:eastAsiaTheme="minorEastAsia" w:hAnsi="Cambria Math" w:cs="Times New Roman"/>
          </w:rPr>
          <m:t xml:space="preserve">ml/100g </m:t>
        </m:r>
      </m:oMath>
      <w:r w:rsidR="002A1BEA" w:rsidRPr="003462A3">
        <w:rPr>
          <w:rFonts w:ascii="Times New Roman" w:eastAsiaTheme="minorEastAsia" w:hAnsi="Times New Roman" w:cs="Times New Roman"/>
        </w:rPr>
        <w:t xml:space="preserve">истих узорака при концетрацијама од 50-140 </w:t>
      </w:r>
      <m:oMath>
        <m:r>
          <w:rPr>
            <w:rFonts w:ascii="Cambria Math" w:eastAsiaTheme="minorEastAsia" w:hAnsi="Cambria Math" w:cs="Times New Roman"/>
            <w:lang w:val="sr-Latn-BA"/>
          </w:rPr>
          <m:t>g/l</m:t>
        </m:r>
      </m:oMath>
      <w:r w:rsidR="002A1BEA" w:rsidRPr="003462A3">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lang w:val="sr-Latn-BA"/>
              </w:rPr>
              <m:t>Na</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k</m:t>
            </m:r>
          </m:sub>
        </m:sSub>
      </m:oMath>
      <w:r w:rsidR="002A1BEA" w:rsidRPr="003462A3">
        <w:rPr>
          <w:rFonts w:ascii="Times New Roman" w:eastAsiaTheme="minorEastAsia" w:hAnsi="Times New Roman" w:cs="Times New Roman"/>
        </w:rPr>
        <w:t xml:space="preserve"> у алуминатном раствору.</w:t>
      </w:r>
    </w:p>
    <w:p w:rsidR="003462A3" w:rsidRPr="00822B64" w:rsidRDefault="003462A3" w:rsidP="003462A3">
      <w:pPr>
        <w:jc w:val="both"/>
        <w:rPr>
          <w:rFonts w:ascii="Times New Roman" w:eastAsiaTheme="minorEastAsia" w:hAnsi="Times New Roman" w:cs="Times New Roman"/>
          <w:b/>
        </w:rPr>
      </w:pPr>
    </w:p>
    <w:p w:rsidR="00A666F4" w:rsidRPr="00965DC0" w:rsidRDefault="00A666F4" w:rsidP="003462A3">
      <w:pPr>
        <w:jc w:val="both"/>
        <w:rPr>
          <w:rFonts w:ascii="Times New Roman" w:eastAsiaTheme="minorEastAsia" w:hAnsi="Times New Roman" w:cs="Times New Roman"/>
          <w:b/>
          <w:lang w:val="sr-Cyrl-RS"/>
        </w:rPr>
      </w:pPr>
      <w:r w:rsidRPr="00822B64">
        <w:rPr>
          <w:rFonts w:ascii="Times New Roman" w:eastAsiaTheme="minorEastAsia" w:hAnsi="Times New Roman" w:cs="Times New Roman"/>
          <w:b/>
          <w:lang w:val="sr-Latn-BA"/>
        </w:rPr>
        <w:t xml:space="preserve">2.1.3 </w:t>
      </w:r>
      <w:r w:rsidR="00415AC3" w:rsidRPr="00822B64">
        <w:rPr>
          <w:rFonts w:ascii="Times New Roman" w:eastAsiaTheme="minorEastAsia" w:hAnsi="Times New Roman" w:cs="Times New Roman"/>
          <w:b/>
        </w:rPr>
        <w:t>Утицај количине цјепива при константној почетној температури</w:t>
      </w:r>
    </w:p>
    <w:p w:rsidR="00415AC3" w:rsidRPr="003462A3" w:rsidRDefault="00415AC3" w:rsidP="003462A3">
      <w:pPr>
        <w:ind w:firstLine="720"/>
        <w:jc w:val="both"/>
        <w:rPr>
          <w:rFonts w:ascii="Times New Roman" w:eastAsiaTheme="minorEastAsia" w:hAnsi="Times New Roman" w:cs="Times New Roman"/>
        </w:rPr>
      </w:pPr>
      <w:r w:rsidRPr="003462A3">
        <w:rPr>
          <w:rFonts w:ascii="Times New Roman" w:eastAsiaTheme="minorEastAsia" w:hAnsi="Times New Roman" w:cs="Times New Roman"/>
        </w:rPr>
        <w:t xml:space="preserve">Што се тиче утицаја количине клица кристализације, експерименти су извођени са десет узорака при различитим количинама и специфичним површинама клица кристализације у распону од 50,22 па до 436 </w:t>
      </w:r>
      <m:oMath>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lang w:val="sr-Latn-BA"/>
              </w:rPr>
              <m:t>l</m:t>
            </m:r>
          </m:den>
        </m:f>
      </m:oMath>
      <w:r w:rsidR="00E00380" w:rsidRPr="003462A3">
        <w:rPr>
          <w:rFonts w:ascii="Times New Roman" w:eastAsiaTheme="minorEastAsia" w:hAnsi="Times New Roman" w:cs="Times New Roman"/>
          <w:lang w:val="sr-Latn-BA"/>
        </w:rPr>
        <w:t xml:space="preserve"> </w:t>
      </w:r>
      <w:r w:rsidR="00E00380" w:rsidRPr="003462A3">
        <w:rPr>
          <w:rFonts w:ascii="Times New Roman" w:eastAsiaTheme="minorEastAsia" w:hAnsi="Times New Roman" w:cs="Times New Roman"/>
        </w:rPr>
        <w:t>и при константној темпператури.</w:t>
      </w:r>
    </w:p>
    <w:p w:rsidR="003824F0" w:rsidRPr="003462A3" w:rsidRDefault="003824F0" w:rsidP="00244895">
      <w:pPr>
        <w:ind w:firstLine="720"/>
        <w:jc w:val="both"/>
        <w:rPr>
          <w:rFonts w:ascii="Times New Roman" w:eastAsiaTheme="minorEastAsia" w:hAnsi="Times New Roman" w:cs="Times New Roman"/>
        </w:rPr>
      </w:pPr>
    </w:p>
    <w:p w:rsidR="001E1DA4" w:rsidRDefault="00244895" w:rsidP="001E1DA4">
      <w:pPr>
        <w:jc w:val="center"/>
        <w:rPr>
          <w:rFonts w:ascii="Times New Roman" w:eastAsiaTheme="minorEastAsia" w:hAnsi="Times New Roman" w:cs="Times New Roman"/>
          <w:i/>
          <w:sz w:val="20"/>
        </w:rPr>
      </w:pPr>
      <w:r>
        <w:rPr>
          <w:lang w:val="en-US"/>
        </w:rPr>
        <w:drawing>
          <wp:inline distT="0" distB="0" distL="0" distR="0" wp14:anchorId="4F4A61E5" wp14:editId="2520EA23">
            <wp:extent cx="5667375" cy="375285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824F0" w:rsidRPr="001E1DA4" w:rsidRDefault="003824F0" w:rsidP="001E1DA4">
      <w:pPr>
        <w:jc w:val="center"/>
        <w:rPr>
          <w:rFonts w:ascii="Times New Roman" w:eastAsiaTheme="minorEastAsia" w:hAnsi="Times New Roman" w:cs="Times New Roman"/>
          <w:i/>
          <w:sz w:val="20"/>
        </w:rPr>
      </w:pPr>
      <w:r w:rsidRPr="00822B64">
        <w:rPr>
          <w:rFonts w:ascii="Times New Roman" w:eastAsiaTheme="minorEastAsia" w:hAnsi="Times New Roman" w:cs="Times New Roman"/>
          <w:i/>
          <w:sz w:val="20"/>
        </w:rPr>
        <w:t>Слика 3. Дијаграм зависности сорпције уља чесрице фино преципитираног хидрата од специфичне површине цјепива</w:t>
      </w:r>
    </w:p>
    <w:p w:rsidR="00E00380" w:rsidRPr="003462A3" w:rsidRDefault="00E00380" w:rsidP="003462A3">
      <w:pPr>
        <w:ind w:firstLine="720"/>
        <w:jc w:val="both"/>
        <w:rPr>
          <w:rFonts w:ascii="Times New Roman" w:eastAsiaTheme="minorEastAsia" w:hAnsi="Times New Roman" w:cs="Times New Roman"/>
        </w:rPr>
      </w:pPr>
      <w:r w:rsidRPr="003462A3">
        <w:rPr>
          <w:rFonts w:ascii="Times New Roman" w:eastAsiaTheme="minorEastAsia" w:hAnsi="Times New Roman" w:cs="Times New Roman"/>
        </w:rPr>
        <w:t>На</w:t>
      </w:r>
      <w:r w:rsidRPr="003462A3">
        <w:rPr>
          <w:rFonts w:ascii="Times New Roman" w:eastAsiaTheme="minorEastAsia" w:hAnsi="Times New Roman" w:cs="Times New Roman"/>
          <w:i/>
        </w:rPr>
        <w:t xml:space="preserve"> слици 3</w:t>
      </w:r>
      <w:r w:rsidRPr="003462A3">
        <w:rPr>
          <w:rFonts w:ascii="Times New Roman" w:eastAsiaTheme="minorEastAsia" w:hAnsi="Times New Roman" w:cs="Times New Roman"/>
        </w:rPr>
        <w:t xml:space="preserve">. приказана је зависност сорпције уља честица фино преципитираног хидрата од специфичне површине клица кристализације алуминијум хидроксида. Евидентно је да што је мањи </w:t>
      </w:r>
      <w:r w:rsidRPr="003462A3">
        <w:rPr>
          <w:rFonts w:ascii="Times New Roman" w:eastAsiaTheme="minorEastAsia" w:hAnsi="Times New Roman" w:cs="Times New Roman"/>
        </w:rPr>
        <w:lastRenderedPageBreak/>
        <w:t>средњи пречник честице клица кристализације, спецуфучна површина у јединици запремине је већа. Из добијених експерименталних резултата представљених на дијаграму уочавамо да додавањем клица кристализације у алуминатни раствор са клицама веће специфичне површине добијамо мањи среднњи пречник честице фино преципитираног хидрата. Као што је и до сада закључено у претходним експериментима, евидентно је да самим тим са повећавањем специфичне површине клица кристализације, повећава се и специфична површина честице фино преципитираног хидрата.</w:t>
      </w:r>
      <w:r w:rsidR="00D673A4" w:rsidRPr="003462A3">
        <w:rPr>
          <w:rFonts w:ascii="Times New Roman" w:eastAsiaTheme="minorEastAsia" w:hAnsi="Times New Roman" w:cs="Times New Roman"/>
        </w:rPr>
        <w:t xml:space="preserve"> Утрошак ланеног уља се креће у опсегу од 34,0-50,0 </w:t>
      </w:r>
      <m:oMath>
        <m:r>
          <w:rPr>
            <w:rFonts w:ascii="Cambria Math" w:eastAsiaTheme="minorEastAsia" w:hAnsi="Cambria Math" w:cs="Times New Roman"/>
          </w:rPr>
          <m:t>ml/100g</m:t>
        </m:r>
      </m:oMath>
      <w:r w:rsidR="00D673A4" w:rsidRPr="003462A3">
        <w:rPr>
          <w:rFonts w:ascii="Times New Roman" w:eastAsiaTheme="minorEastAsia" w:hAnsi="Times New Roman" w:cs="Times New Roman"/>
        </w:rPr>
        <w:t xml:space="preserve"> узорка док утрошак олеинске киселине у опсегу 32,0-54,9 </w:t>
      </w:r>
      <m:oMath>
        <m:r>
          <w:rPr>
            <w:rFonts w:ascii="Cambria Math" w:eastAsiaTheme="minorEastAsia" w:hAnsi="Cambria Math" w:cs="Times New Roman"/>
          </w:rPr>
          <m:t>ml/100g</m:t>
        </m:r>
      </m:oMath>
      <w:r w:rsidR="00D673A4" w:rsidRPr="003462A3">
        <w:rPr>
          <w:rFonts w:ascii="Times New Roman" w:eastAsiaTheme="minorEastAsia" w:hAnsi="Times New Roman" w:cs="Times New Roman"/>
        </w:rPr>
        <w:t xml:space="preserve"> добијеног фино преципитираног хидрата. Сорпција уља се такође повећава са повећавањем специфичне површине клица кристализације. Као што видимо са дијаграма да је сорпција ланеног уља 34,0 </w:t>
      </w:r>
      <m:oMath>
        <m:r>
          <w:rPr>
            <w:rFonts w:ascii="Cambria Math" w:eastAsiaTheme="minorEastAsia" w:hAnsi="Cambria Math" w:cs="Times New Roman"/>
          </w:rPr>
          <m:t>ml/100g</m:t>
        </m:r>
      </m:oMath>
      <w:r w:rsidR="00D673A4" w:rsidRPr="003462A3">
        <w:rPr>
          <w:rFonts w:ascii="Times New Roman" w:eastAsiaTheme="minorEastAsia" w:hAnsi="Times New Roman" w:cs="Times New Roman"/>
        </w:rPr>
        <w:t xml:space="preserve"> добијеног хидрата са цјепивом специфичне површине 50,33 </w:t>
      </w:r>
      <m:oMath>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lang w:val="sr-Latn-BA"/>
              </w:rPr>
              <m:t>l</m:t>
            </m:r>
          </m:den>
        </m:f>
      </m:oMath>
      <w:r w:rsidR="00D673A4" w:rsidRPr="003462A3">
        <w:rPr>
          <w:rFonts w:ascii="Times New Roman" w:eastAsiaTheme="minorEastAsia" w:hAnsi="Times New Roman" w:cs="Times New Roman"/>
        </w:rPr>
        <w:t xml:space="preserve">, а 59,2 </w:t>
      </w:r>
      <m:oMath>
        <m:r>
          <w:rPr>
            <w:rFonts w:ascii="Cambria Math" w:eastAsiaTheme="minorEastAsia" w:hAnsi="Cambria Math" w:cs="Times New Roman"/>
          </w:rPr>
          <m:t>ml/100g</m:t>
        </m:r>
      </m:oMath>
      <w:r w:rsidR="00D673A4" w:rsidRPr="003462A3">
        <w:rPr>
          <w:rFonts w:ascii="Times New Roman" w:eastAsiaTheme="minorEastAsia" w:hAnsi="Times New Roman" w:cs="Times New Roman"/>
        </w:rPr>
        <w:t xml:space="preserve"> хидрата добијеног са клицама специфичне површине од 436 </w:t>
      </w:r>
      <m:oMath>
        <m:f>
          <m:fPr>
            <m:type m:val="lin"/>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lang w:val="sr-Latn-BA"/>
                  </w:rPr>
                  <m:t>m</m:t>
                </m:r>
              </m:e>
              <m:sup>
                <m:r>
                  <w:rPr>
                    <w:rFonts w:ascii="Cambria Math" w:eastAsiaTheme="minorEastAsia" w:hAnsi="Cambria Math" w:cs="Times New Roman"/>
                  </w:rPr>
                  <m:t>2</m:t>
                </m:r>
              </m:sup>
            </m:sSup>
          </m:num>
          <m:den>
            <m:r>
              <w:rPr>
                <w:rFonts w:ascii="Cambria Math" w:eastAsiaTheme="minorEastAsia" w:hAnsi="Cambria Math" w:cs="Times New Roman"/>
                <w:lang w:val="sr-Latn-BA"/>
              </w:rPr>
              <m:t>l</m:t>
            </m:r>
          </m:den>
        </m:f>
        <m:r>
          <w:rPr>
            <w:rFonts w:ascii="Cambria Math" w:eastAsiaTheme="minorEastAsia" w:hAnsi="Cambria Math" w:cs="Times New Roman"/>
          </w:rPr>
          <m:t>.</m:t>
        </m:r>
      </m:oMath>
    </w:p>
    <w:p w:rsidR="003462A3" w:rsidRDefault="003462A3" w:rsidP="003462A3">
      <w:pPr>
        <w:jc w:val="both"/>
        <w:rPr>
          <w:rFonts w:ascii="Times New Roman" w:eastAsiaTheme="minorEastAsia" w:hAnsi="Times New Roman" w:cs="Times New Roman"/>
          <w:lang w:val="sr-Latn-BA"/>
        </w:rPr>
      </w:pPr>
    </w:p>
    <w:p w:rsidR="00BF770A" w:rsidRDefault="00A666F4" w:rsidP="00BF770A">
      <w:pPr>
        <w:jc w:val="both"/>
        <w:rPr>
          <w:rFonts w:ascii="Times New Roman" w:eastAsiaTheme="minorEastAsia" w:hAnsi="Times New Roman" w:cs="Times New Roman"/>
          <w:b/>
        </w:rPr>
      </w:pPr>
      <w:r w:rsidRPr="003462A3">
        <w:rPr>
          <w:rFonts w:ascii="Times New Roman" w:eastAsiaTheme="minorEastAsia" w:hAnsi="Times New Roman" w:cs="Times New Roman"/>
          <w:b/>
          <w:lang w:val="sr-Latn-BA"/>
        </w:rPr>
        <w:t xml:space="preserve">2.1.4 </w:t>
      </w:r>
      <w:r w:rsidR="00D673A4" w:rsidRPr="003462A3">
        <w:rPr>
          <w:rFonts w:ascii="Times New Roman" w:eastAsiaTheme="minorEastAsia" w:hAnsi="Times New Roman" w:cs="Times New Roman"/>
          <w:b/>
        </w:rPr>
        <w:t>Утицај сулфата у алуминатном раствору на сорпционе карактеристике фино преципитираног алуминијум хидорксида</w:t>
      </w:r>
    </w:p>
    <w:p w:rsidR="00FF7A0B" w:rsidRPr="00BF770A" w:rsidRDefault="00F21FF0" w:rsidP="00BF770A">
      <w:pPr>
        <w:ind w:firstLine="720"/>
        <w:jc w:val="both"/>
        <w:rPr>
          <w:rFonts w:ascii="Times New Roman" w:eastAsiaTheme="minorEastAsia" w:hAnsi="Times New Roman" w:cs="Times New Roman"/>
          <w:b/>
        </w:rPr>
      </w:pPr>
      <w:r w:rsidRPr="003462A3">
        <w:rPr>
          <w:rFonts w:ascii="Times New Roman" w:eastAsiaTheme="minorEastAsia" w:hAnsi="Times New Roman" w:cs="Times New Roman"/>
        </w:rPr>
        <w:t>На крају испитан је утицај сулфата на сорпционе карактеристике фино преципитираног хидрата. У овом случају екпериментални подаци су извођени са 9 узорака алуминатног ратвора каустичног модула од 1,50-1,52 и додатком одређене количине сулфата, при константној температури и различитим специфичним површинама клица кристализације алуминијум хидроксида.</w:t>
      </w:r>
    </w:p>
    <w:p w:rsidR="003824F0" w:rsidRDefault="00BF770A" w:rsidP="00BF770A">
      <w:pPr>
        <w:jc w:val="center"/>
        <w:rPr>
          <w:rFonts w:ascii="Times New Roman" w:eastAsiaTheme="minorEastAsia" w:hAnsi="Times New Roman" w:cs="Times New Roman"/>
        </w:rPr>
      </w:pPr>
      <w:r>
        <w:rPr>
          <w:lang w:val="en-US"/>
        </w:rPr>
        <w:drawing>
          <wp:inline distT="0" distB="0" distL="0" distR="0" wp14:anchorId="4A674524" wp14:editId="48C5EAA8">
            <wp:extent cx="5753100" cy="34290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E1DA4" w:rsidRDefault="003824F0" w:rsidP="001E1DA4">
      <w:pPr>
        <w:jc w:val="center"/>
        <w:rPr>
          <w:rFonts w:ascii="Times New Roman" w:eastAsiaTheme="minorEastAsia" w:hAnsi="Times New Roman" w:cs="Times New Roman"/>
          <w:i/>
          <w:sz w:val="20"/>
        </w:rPr>
      </w:pPr>
      <w:r w:rsidRPr="003462A3">
        <w:rPr>
          <w:rFonts w:ascii="Times New Roman" w:eastAsiaTheme="minorEastAsia" w:hAnsi="Times New Roman" w:cs="Times New Roman"/>
          <w:i/>
          <w:sz w:val="20"/>
        </w:rPr>
        <w:t xml:space="preserve">Слика </w:t>
      </w:r>
      <w:r w:rsidR="00AF481F" w:rsidRPr="003462A3">
        <w:rPr>
          <w:rFonts w:ascii="Times New Roman" w:eastAsiaTheme="minorEastAsia" w:hAnsi="Times New Roman" w:cs="Times New Roman"/>
          <w:i/>
          <w:sz w:val="20"/>
        </w:rPr>
        <w:t xml:space="preserve">4. Дијаграм зависности сорпције уља честице фино преципитираног хидрата </w:t>
      </w:r>
    </w:p>
    <w:p w:rsidR="003824F0" w:rsidRDefault="00AF481F" w:rsidP="001E1DA4">
      <w:pPr>
        <w:jc w:val="center"/>
        <w:rPr>
          <w:rFonts w:ascii="Times New Roman" w:eastAsiaTheme="minorEastAsia" w:hAnsi="Times New Roman" w:cs="Times New Roman"/>
          <w:i/>
          <w:sz w:val="20"/>
        </w:rPr>
      </w:pPr>
      <w:r w:rsidRPr="003462A3">
        <w:rPr>
          <w:rFonts w:ascii="Times New Roman" w:eastAsiaTheme="minorEastAsia" w:hAnsi="Times New Roman" w:cs="Times New Roman"/>
          <w:i/>
          <w:sz w:val="20"/>
        </w:rPr>
        <w:t>од количине сулфата у алуминатном раствору</w:t>
      </w:r>
    </w:p>
    <w:p w:rsidR="00BF770A" w:rsidRPr="003462A3" w:rsidRDefault="00BF770A" w:rsidP="003462A3">
      <w:pPr>
        <w:ind w:firstLine="720"/>
        <w:jc w:val="center"/>
        <w:rPr>
          <w:rFonts w:ascii="Times New Roman" w:eastAsiaTheme="minorEastAsia" w:hAnsi="Times New Roman" w:cs="Times New Roman"/>
          <w:i/>
          <w:sz w:val="20"/>
        </w:rPr>
      </w:pPr>
    </w:p>
    <w:p w:rsidR="00F21FF0" w:rsidRDefault="00F21FF0" w:rsidP="00BF770A">
      <w:pPr>
        <w:ind w:firstLine="720"/>
        <w:jc w:val="both"/>
        <w:rPr>
          <w:rFonts w:ascii="Times New Roman" w:eastAsiaTheme="minorEastAsia" w:hAnsi="Times New Roman" w:cs="Times New Roman"/>
        </w:rPr>
      </w:pPr>
      <w:r w:rsidRPr="003462A3">
        <w:rPr>
          <w:rFonts w:ascii="Times New Roman" w:eastAsiaTheme="minorEastAsia" w:hAnsi="Times New Roman" w:cs="Times New Roman"/>
        </w:rPr>
        <w:lastRenderedPageBreak/>
        <w:t xml:space="preserve">На </w:t>
      </w:r>
      <w:r w:rsidRPr="003462A3">
        <w:rPr>
          <w:rFonts w:ascii="Times New Roman" w:eastAsiaTheme="minorEastAsia" w:hAnsi="Times New Roman" w:cs="Times New Roman"/>
          <w:i/>
        </w:rPr>
        <w:t>слици 4</w:t>
      </w:r>
      <w:r w:rsidRPr="003462A3">
        <w:rPr>
          <w:rFonts w:ascii="Times New Roman" w:eastAsiaTheme="minorEastAsia" w:hAnsi="Times New Roman" w:cs="Times New Roman"/>
        </w:rPr>
        <w:t>. приказане су зависности сорпције уља честице фино преципитираног хидрата од количине сулфата у алинатном раствору. Након добијених резултата екпериме</w:t>
      </w:r>
      <w:r w:rsidR="00AF481F" w:rsidRPr="003462A3">
        <w:rPr>
          <w:rFonts w:ascii="Times New Roman" w:eastAsiaTheme="minorEastAsia" w:hAnsi="Times New Roman" w:cs="Times New Roman"/>
        </w:rPr>
        <w:t>на</w:t>
      </w:r>
      <w:r w:rsidRPr="003462A3">
        <w:rPr>
          <w:rFonts w:ascii="Times New Roman" w:eastAsiaTheme="minorEastAsia" w:hAnsi="Times New Roman" w:cs="Times New Roman"/>
        </w:rPr>
        <w:t>та можемо да закључимо у поређењу са претходним експериментима, додатком сулфата у алуминатни раствор добија се већа специфична површина честица фино преципитираног хидрата. Цилиндрична зрна имају већу вриједност сорпције уѕа него игличасте или сферне честице углавном збо расположивог броја празнина. Наведену тврдњу смо доказали и у резултатима СЕМ снимака. Материјали финијих честица имају већу специфичну површину и заједно са мањом величином честица имају већу сорпцију уља.</w:t>
      </w:r>
    </w:p>
    <w:p w:rsidR="003462A3" w:rsidRPr="003462A3" w:rsidRDefault="003462A3" w:rsidP="003462A3">
      <w:pPr>
        <w:jc w:val="both"/>
        <w:rPr>
          <w:rFonts w:ascii="Times New Roman" w:eastAsiaTheme="minorEastAsia" w:hAnsi="Times New Roman" w:cs="Times New Roman"/>
        </w:rPr>
      </w:pPr>
    </w:p>
    <w:p w:rsidR="00F21FF0" w:rsidRPr="003462A3" w:rsidRDefault="003462A3" w:rsidP="003462A3">
      <w:pPr>
        <w:jc w:val="both"/>
        <w:rPr>
          <w:rFonts w:ascii="Times New Roman" w:eastAsiaTheme="minorEastAsia" w:hAnsi="Times New Roman" w:cs="Times New Roman"/>
          <w:b/>
        </w:rPr>
      </w:pPr>
      <w:r>
        <w:rPr>
          <w:rFonts w:ascii="Times New Roman" w:eastAsiaTheme="minorEastAsia" w:hAnsi="Times New Roman" w:cs="Times New Roman"/>
          <w:b/>
        </w:rPr>
        <w:t xml:space="preserve">2.1.5 </w:t>
      </w:r>
      <w:r w:rsidR="005F15C7" w:rsidRPr="003462A3">
        <w:rPr>
          <w:rFonts w:ascii="Times New Roman" w:eastAsiaTheme="minorEastAsia" w:hAnsi="Times New Roman" w:cs="Times New Roman"/>
          <w:b/>
        </w:rPr>
        <w:t>Резултати скенирајуће електронске микроскопије узорака хидрата (СЕМ)</w:t>
      </w:r>
    </w:p>
    <w:p w:rsidR="00AF481F" w:rsidRPr="00965DC0" w:rsidRDefault="00965DC0" w:rsidP="003462A3">
      <w:pPr>
        <w:jc w:val="both"/>
        <w:rPr>
          <w:rFonts w:ascii="Times New Roman" w:eastAsiaTheme="minorEastAsia" w:hAnsi="Times New Roman" w:cs="Times New Roman"/>
          <w:bCs/>
          <w:lang w:val="sr-Cyrl-RS"/>
        </w:rPr>
      </w:pPr>
      <w:r w:rsidRPr="00965DC0">
        <w:rPr>
          <w:rFonts w:ascii="Times New Roman" w:eastAsiaTheme="minorEastAsia" w:hAnsi="Times New Roman" w:cs="Times New Roman"/>
          <w:bCs/>
          <w:lang w:val="sr-Cyrl-RS"/>
        </w:rPr>
        <w:t xml:space="preserve">На сликама су приказани резилтати СЕМ анализе за укупно 4 </w:t>
      </w:r>
      <w:r>
        <w:rPr>
          <w:rFonts w:ascii="Times New Roman" w:eastAsiaTheme="minorEastAsia" w:hAnsi="Times New Roman" w:cs="Times New Roman"/>
          <w:bCs/>
          <w:lang w:val="sr-Cyrl-RS"/>
        </w:rPr>
        <w:t>кар</w:t>
      </w:r>
      <w:r w:rsidR="00595E5E">
        <w:rPr>
          <w:rFonts w:ascii="Times New Roman" w:eastAsiaTheme="minorEastAsia" w:hAnsi="Times New Roman" w:cs="Times New Roman"/>
          <w:bCs/>
          <w:lang w:val="sr-Cyrl-RS"/>
        </w:rPr>
        <w:t>а</w:t>
      </w:r>
      <w:r>
        <w:rPr>
          <w:rFonts w:ascii="Times New Roman" w:eastAsiaTheme="minorEastAsia" w:hAnsi="Times New Roman" w:cs="Times New Roman"/>
          <w:bCs/>
          <w:lang w:val="sr-Cyrl-RS"/>
        </w:rPr>
        <w:t xml:space="preserve">ктеристична </w:t>
      </w:r>
      <w:r w:rsidRPr="00965DC0">
        <w:rPr>
          <w:rFonts w:ascii="Times New Roman" w:eastAsiaTheme="minorEastAsia" w:hAnsi="Times New Roman" w:cs="Times New Roman"/>
          <w:bCs/>
          <w:lang w:val="sr-Cyrl-RS"/>
        </w:rPr>
        <w:t>узорка.</w:t>
      </w:r>
    </w:p>
    <w:p w:rsidR="00AF481F" w:rsidRPr="003462A3" w:rsidRDefault="00AF481F" w:rsidP="003462A3">
      <w:pPr>
        <w:jc w:val="both"/>
        <w:rPr>
          <w:rFonts w:ascii="Times New Roman" w:eastAsiaTheme="minorEastAsia" w:hAnsi="Times New Roman" w:cs="Times New Roman"/>
          <w:b/>
        </w:rPr>
      </w:pPr>
      <w:r w:rsidRPr="003462A3">
        <w:rPr>
          <w:rFonts w:ascii="Times New Roman" w:eastAsiaTheme="minorEastAsia" w:hAnsi="Times New Roman" w:cs="Times New Roman"/>
          <w:b/>
        </w:rPr>
        <w:t>Узорак 1:</w:t>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Pr="003462A3">
        <w:rPr>
          <w:rFonts w:ascii="Times New Roman" w:eastAsiaTheme="minorEastAsia" w:hAnsi="Times New Roman" w:cs="Times New Roman"/>
          <w:b/>
        </w:rPr>
        <w:t>Узорак 2:</w:t>
      </w:r>
    </w:p>
    <w:p w:rsidR="00AF481F" w:rsidRPr="003462A3" w:rsidRDefault="00AF481F" w:rsidP="003462A3">
      <w:pPr>
        <w:jc w:val="both"/>
        <w:rPr>
          <w:rFonts w:ascii="Times New Roman" w:eastAsiaTheme="minorEastAsia" w:hAnsi="Times New Roman" w:cs="Times New Roman"/>
          <w:i/>
          <w:lang w:val="sr-Latn-BA"/>
        </w:rPr>
      </w:pPr>
      <w:r w:rsidRPr="003462A3">
        <w:rPr>
          <w:rFonts w:ascii="Times New Roman" w:eastAsiaTheme="minorEastAsia" w:hAnsi="Times New Roman" w:cs="Times New Roman"/>
          <w:i/>
          <w:lang w:val="sr-Latn-BA"/>
        </w:rPr>
        <w:t>BET: 14,39 m</w:t>
      </w:r>
      <w:r w:rsidRPr="003462A3">
        <w:rPr>
          <w:rFonts w:ascii="Times New Roman" w:eastAsiaTheme="minorEastAsia" w:hAnsi="Times New Roman" w:cs="Times New Roman"/>
          <w:i/>
          <w:vertAlign w:val="superscript"/>
          <w:lang w:val="sr-Latn-BA"/>
        </w:rPr>
        <w:t>2</w:t>
      </w:r>
      <w:r w:rsidRPr="003462A3">
        <w:rPr>
          <w:rFonts w:ascii="Times New Roman" w:eastAsiaTheme="minorEastAsia" w:hAnsi="Times New Roman" w:cs="Times New Roman"/>
          <w:i/>
          <w:lang w:val="sr-Latn-BA"/>
        </w:rPr>
        <w:t>/g ; d</w:t>
      </w:r>
      <w:r w:rsidRPr="003462A3">
        <w:rPr>
          <w:rFonts w:ascii="Times New Roman" w:eastAsiaTheme="minorEastAsia" w:hAnsi="Times New Roman" w:cs="Times New Roman"/>
          <w:i/>
          <w:vertAlign w:val="subscript"/>
          <w:lang w:val="sr-Latn-BA"/>
        </w:rPr>
        <w:t>50</w:t>
      </w:r>
      <w:r w:rsidRPr="003462A3">
        <w:rPr>
          <w:rFonts w:ascii="Times New Roman" w:eastAsiaTheme="minorEastAsia" w:hAnsi="Times New Roman" w:cs="Times New Roman"/>
          <w:i/>
          <w:lang w:val="sr-Latn-BA"/>
        </w:rPr>
        <w:t>= 2,25 μm</w:t>
      </w:r>
      <w:r w:rsidR="003462A3" w:rsidRPr="003462A3">
        <w:rPr>
          <w:rFonts w:ascii="Times New Roman" w:eastAsiaTheme="minorEastAsia" w:hAnsi="Times New Roman" w:cs="Times New Roman"/>
          <w:i/>
          <w:lang w:val="sr-Latn-BA"/>
        </w:rPr>
        <w:tab/>
      </w:r>
      <w:r w:rsidR="003462A3" w:rsidRPr="003462A3">
        <w:rPr>
          <w:rFonts w:ascii="Times New Roman" w:eastAsiaTheme="minorEastAsia" w:hAnsi="Times New Roman" w:cs="Times New Roman"/>
          <w:i/>
          <w:lang w:val="sr-Latn-BA"/>
        </w:rPr>
        <w:tab/>
      </w:r>
      <w:r w:rsidR="003462A3" w:rsidRPr="003462A3">
        <w:rPr>
          <w:rFonts w:ascii="Times New Roman" w:eastAsiaTheme="minorEastAsia" w:hAnsi="Times New Roman" w:cs="Times New Roman"/>
          <w:i/>
          <w:lang w:val="sr-Latn-BA"/>
        </w:rPr>
        <w:tab/>
      </w:r>
      <w:r w:rsidR="00BF770A">
        <w:rPr>
          <w:rFonts w:ascii="Times New Roman" w:eastAsiaTheme="minorEastAsia" w:hAnsi="Times New Roman" w:cs="Times New Roman"/>
          <w:i/>
          <w:lang w:val="sr-Latn-BA"/>
        </w:rPr>
        <w:tab/>
      </w:r>
      <w:r w:rsidRPr="003462A3">
        <w:rPr>
          <w:rFonts w:ascii="Times New Roman" w:eastAsiaTheme="minorEastAsia" w:hAnsi="Times New Roman" w:cs="Times New Roman"/>
          <w:i/>
          <w:lang w:val="sr-Latn-BA"/>
        </w:rPr>
        <w:t>BET: 5,54 m</w:t>
      </w:r>
      <w:r w:rsidRPr="003462A3">
        <w:rPr>
          <w:rFonts w:ascii="Times New Roman" w:eastAsiaTheme="minorEastAsia" w:hAnsi="Times New Roman" w:cs="Times New Roman"/>
          <w:i/>
          <w:vertAlign w:val="superscript"/>
          <w:lang w:val="sr-Latn-BA"/>
        </w:rPr>
        <w:t>2</w:t>
      </w:r>
      <w:r w:rsidRPr="003462A3">
        <w:rPr>
          <w:rFonts w:ascii="Times New Roman" w:eastAsiaTheme="minorEastAsia" w:hAnsi="Times New Roman" w:cs="Times New Roman"/>
          <w:i/>
          <w:lang w:val="sr-Latn-BA"/>
        </w:rPr>
        <w:t>/g ; d</w:t>
      </w:r>
      <w:r w:rsidRPr="003462A3">
        <w:rPr>
          <w:rFonts w:ascii="Times New Roman" w:eastAsiaTheme="minorEastAsia" w:hAnsi="Times New Roman" w:cs="Times New Roman"/>
          <w:i/>
          <w:vertAlign w:val="subscript"/>
          <w:lang w:val="sr-Latn-BA"/>
        </w:rPr>
        <w:t>50</w:t>
      </w:r>
      <w:r w:rsidRPr="003462A3">
        <w:rPr>
          <w:rFonts w:ascii="Times New Roman" w:eastAsiaTheme="minorEastAsia" w:hAnsi="Times New Roman" w:cs="Times New Roman"/>
          <w:i/>
          <w:lang w:val="sr-Latn-BA"/>
        </w:rPr>
        <w:t>= 1,29 μm</w:t>
      </w:r>
    </w:p>
    <w:p w:rsidR="003462A3" w:rsidRPr="003462A3" w:rsidRDefault="00AF481F" w:rsidP="003462A3">
      <w:pPr>
        <w:jc w:val="both"/>
        <w:rPr>
          <w:rFonts w:ascii="Times New Roman" w:eastAsiaTheme="minorEastAsia" w:hAnsi="Times New Roman" w:cs="Times New Roman"/>
          <w:b/>
          <w:lang w:val="sr-Latn-BA"/>
        </w:rPr>
      </w:pPr>
      <w:r w:rsidRPr="003462A3">
        <w:rPr>
          <w:lang w:val="en-US"/>
        </w:rPr>
        <w:drawing>
          <wp:inline distT="0" distB="0" distL="0" distR="0" wp14:anchorId="19203612" wp14:editId="0910CFAB">
            <wp:extent cx="272415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4150" cy="3009900"/>
                    </a:xfrm>
                    <a:prstGeom prst="rect">
                      <a:avLst/>
                    </a:prstGeom>
                  </pic:spPr>
                </pic:pic>
              </a:graphicData>
            </a:graphic>
          </wp:inline>
        </w:drawing>
      </w:r>
      <w:r w:rsidRPr="003462A3">
        <w:rPr>
          <w:rFonts w:ascii="Times New Roman" w:eastAsiaTheme="minorEastAsia" w:hAnsi="Times New Roman" w:cs="Times New Roman"/>
          <w:b/>
          <w:lang w:val="sr-Latn-BA"/>
        </w:rPr>
        <w:t xml:space="preserve">               </w:t>
      </w:r>
      <w:r w:rsidRPr="003462A3">
        <w:rPr>
          <w:lang w:val="en-US"/>
        </w:rPr>
        <w:drawing>
          <wp:inline distT="0" distB="0" distL="0" distR="0" wp14:anchorId="5B4B99BE" wp14:editId="614377FE">
            <wp:extent cx="2714625" cy="3000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14625" cy="3000375"/>
                    </a:xfrm>
                    <a:prstGeom prst="rect">
                      <a:avLst/>
                    </a:prstGeom>
                  </pic:spPr>
                </pic:pic>
              </a:graphicData>
            </a:graphic>
          </wp:inline>
        </w:drawing>
      </w: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BF770A" w:rsidRDefault="00BF770A" w:rsidP="003462A3">
      <w:pPr>
        <w:jc w:val="both"/>
        <w:rPr>
          <w:rFonts w:ascii="Times New Roman" w:eastAsiaTheme="minorEastAsia" w:hAnsi="Times New Roman" w:cs="Times New Roman"/>
          <w:b/>
        </w:rPr>
      </w:pPr>
    </w:p>
    <w:p w:rsidR="00AF481F" w:rsidRPr="003462A3" w:rsidRDefault="00AF481F" w:rsidP="003462A3">
      <w:pPr>
        <w:jc w:val="both"/>
        <w:rPr>
          <w:rFonts w:ascii="Times New Roman" w:eastAsiaTheme="minorEastAsia" w:hAnsi="Times New Roman" w:cs="Times New Roman"/>
          <w:b/>
        </w:rPr>
      </w:pPr>
      <w:r w:rsidRPr="003462A3">
        <w:rPr>
          <w:rFonts w:ascii="Times New Roman" w:eastAsiaTheme="minorEastAsia" w:hAnsi="Times New Roman" w:cs="Times New Roman"/>
          <w:b/>
        </w:rPr>
        <w:t>Узорак 3:</w:t>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003462A3" w:rsidRPr="003462A3">
        <w:rPr>
          <w:rFonts w:ascii="Times New Roman" w:eastAsiaTheme="minorEastAsia" w:hAnsi="Times New Roman" w:cs="Times New Roman"/>
          <w:b/>
        </w:rPr>
        <w:tab/>
      </w:r>
      <w:r w:rsidRPr="003462A3">
        <w:rPr>
          <w:rFonts w:ascii="Times New Roman" w:eastAsiaTheme="minorEastAsia" w:hAnsi="Times New Roman" w:cs="Times New Roman"/>
          <w:b/>
        </w:rPr>
        <w:t>Узорак 4:</w:t>
      </w:r>
    </w:p>
    <w:p w:rsidR="00AF481F" w:rsidRPr="003462A3" w:rsidRDefault="00AF481F" w:rsidP="003462A3">
      <w:pPr>
        <w:jc w:val="both"/>
        <w:rPr>
          <w:rFonts w:ascii="Times New Roman" w:eastAsiaTheme="minorEastAsia" w:hAnsi="Times New Roman" w:cs="Times New Roman"/>
          <w:b/>
          <w:i/>
          <w:lang w:val="sr-Latn-BA"/>
        </w:rPr>
      </w:pPr>
      <w:r w:rsidRPr="003462A3">
        <w:rPr>
          <w:rFonts w:ascii="Times New Roman" w:eastAsiaTheme="minorEastAsia" w:hAnsi="Times New Roman" w:cs="Times New Roman"/>
          <w:b/>
          <w:i/>
          <w:lang w:val="sr-Latn-BA"/>
        </w:rPr>
        <w:lastRenderedPageBreak/>
        <w:t>BET: 7,78 m</w:t>
      </w:r>
      <w:r w:rsidRPr="003462A3">
        <w:rPr>
          <w:rFonts w:ascii="Times New Roman" w:eastAsiaTheme="minorEastAsia" w:hAnsi="Times New Roman" w:cs="Times New Roman"/>
          <w:b/>
          <w:i/>
          <w:vertAlign w:val="superscript"/>
          <w:lang w:val="sr-Latn-BA"/>
        </w:rPr>
        <w:t>2</w:t>
      </w:r>
      <w:r w:rsidRPr="003462A3">
        <w:rPr>
          <w:rFonts w:ascii="Times New Roman" w:eastAsiaTheme="minorEastAsia" w:hAnsi="Times New Roman" w:cs="Times New Roman"/>
          <w:b/>
          <w:i/>
          <w:lang w:val="sr-Latn-BA"/>
        </w:rPr>
        <w:t>/g ; d</w:t>
      </w:r>
      <w:r w:rsidRPr="003462A3">
        <w:rPr>
          <w:rFonts w:ascii="Times New Roman" w:eastAsiaTheme="minorEastAsia" w:hAnsi="Times New Roman" w:cs="Times New Roman"/>
          <w:b/>
          <w:i/>
          <w:vertAlign w:val="subscript"/>
          <w:lang w:val="sr-Latn-BA"/>
        </w:rPr>
        <w:t>50</w:t>
      </w:r>
      <w:r w:rsidRPr="003462A3">
        <w:rPr>
          <w:rFonts w:ascii="Times New Roman" w:eastAsiaTheme="minorEastAsia" w:hAnsi="Times New Roman" w:cs="Times New Roman"/>
          <w:b/>
          <w:i/>
          <w:lang w:val="sr-Latn-BA"/>
        </w:rPr>
        <w:t>= 1,55 μm</w:t>
      </w:r>
      <w:r w:rsidR="003462A3" w:rsidRPr="003462A3">
        <w:rPr>
          <w:rFonts w:ascii="Times New Roman" w:eastAsiaTheme="minorEastAsia" w:hAnsi="Times New Roman" w:cs="Times New Roman"/>
          <w:b/>
          <w:i/>
          <w:lang w:val="sr-Latn-BA"/>
        </w:rPr>
        <w:tab/>
      </w:r>
      <w:r w:rsidR="003462A3" w:rsidRPr="003462A3">
        <w:rPr>
          <w:rFonts w:ascii="Times New Roman" w:eastAsiaTheme="minorEastAsia" w:hAnsi="Times New Roman" w:cs="Times New Roman"/>
          <w:b/>
          <w:i/>
          <w:lang w:val="sr-Latn-BA"/>
        </w:rPr>
        <w:tab/>
      </w:r>
      <w:r w:rsidR="003462A3" w:rsidRPr="003462A3">
        <w:rPr>
          <w:rFonts w:ascii="Times New Roman" w:eastAsiaTheme="minorEastAsia" w:hAnsi="Times New Roman" w:cs="Times New Roman"/>
          <w:b/>
          <w:i/>
          <w:lang w:val="sr-Latn-BA"/>
        </w:rPr>
        <w:tab/>
      </w:r>
      <w:r w:rsidR="00BF770A">
        <w:rPr>
          <w:rFonts w:ascii="Times New Roman" w:eastAsiaTheme="minorEastAsia" w:hAnsi="Times New Roman" w:cs="Times New Roman"/>
          <w:b/>
          <w:i/>
          <w:lang w:val="sr-Latn-BA"/>
        </w:rPr>
        <w:tab/>
      </w:r>
      <w:r w:rsidRPr="003462A3">
        <w:rPr>
          <w:rFonts w:ascii="Times New Roman" w:eastAsiaTheme="minorEastAsia" w:hAnsi="Times New Roman" w:cs="Times New Roman"/>
          <w:b/>
          <w:i/>
          <w:lang w:val="sr-Latn-BA"/>
        </w:rPr>
        <w:t>BET: 3,33 m</w:t>
      </w:r>
      <w:r w:rsidRPr="003462A3">
        <w:rPr>
          <w:rFonts w:ascii="Times New Roman" w:eastAsiaTheme="minorEastAsia" w:hAnsi="Times New Roman" w:cs="Times New Roman"/>
          <w:b/>
          <w:i/>
          <w:vertAlign w:val="superscript"/>
          <w:lang w:val="sr-Latn-BA"/>
        </w:rPr>
        <w:t>2</w:t>
      </w:r>
      <w:r w:rsidRPr="003462A3">
        <w:rPr>
          <w:rFonts w:ascii="Times New Roman" w:eastAsiaTheme="minorEastAsia" w:hAnsi="Times New Roman" w:cs="Times New Roman"/>
          <w:b/>
          <w:i/>
          <w:lang w:val="sr-Latn-BA"/>
        </w:rPr>
        <w:t>/g ; d</w:t>
      </w:r>
      <w:r w:rsidRPr="003462A3">
        <w:rPr>
          <w:rFonts w:ascii="Times New Roman" w:eastAsiaTheme="minorEastAsia" w:hAnsi="Times New Roman" w:cs="Times New Roman"/>
          <w:b/>
          <w:i/>
          <w:vertAlign w:val="subscript"/>
          <w:lang w:val="sr-Latn-BA"/>
        </w:rPr>
        <w:t>50</w:t>
      </w:r>
      <w:r w:rsidRPr="003462A3">
        <w:rPr>
          <w:rFonts w:ascii="Times New Roman" w:eastAsiaTheme="minorEastAsia" w:hAnsi="Times New Roman" w:cs="Times New Roman"/>
          <w:b/>
          <w:i/>
          <w:lang w:val="sr-Latn-BA"/>
        </w:rPr>
        <w:t>= 1,75μm</w:t>
      </w:r>
    </w:p>
    <w:p w:rsidR="00AF481F" w:rsidRPr="003462A3" w:rsidRDefault="003462A3" w:rsidP="003462A3">
      <w:pPr>
        <w:jc w:val="both"/>
        <w:rPr>
          <w:rFonts w:ascii="Times New Roman" w:eastAsiaTheme="minorEastAsia" w:hAnsi="Times New Roman" w:cs="Times New Roman"/>
          <w:b/>
          <w:i/>
          <w:lang w:val="sr-Latn-BA"/>
        </w:rPr>
      </w:pPr>
      <w:r w:rsidRPr="003462A3">
        <w:rPr>
          <w:lang w:val="en-US"/>
        </w:rPr>
        <w:drawing>
          <wp:inline distT="0" distB="0" distL="0" distR="0" wp14:anchorId="0A1D8702" wp14:editId="18C40CF2">
            <wp:extent cx="2705100" cy="30161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07447" cy="3018755"/>
                    </a:xfrm>
                    <a:prstGeom prst="rect">
                      <a:avLst/>
                    </a:prstGeom>
                  </pic:spPr>
                </pic:pic>
              </a:graphicData>
            </a:graphic>
          </wp:inline>
        </w:drawing>
      </w:r>
      <w:r w:rsidRPr="003462A3">
        <w:rPr>
          <w:lang w:val="en-US"/>
        </w:rPr>
        <w:t xml:space="preserve">                 </w:t>
      </w:r>
      <w:r w:rsidRPr="003462A3">
        <w:rPr>
          <w:lang w:val="en-US"/>
        </w:rPr>
        <w:drawing>
          <wp:inline distT="0" distB="0" distL="0" distR="0" wp14:anchorId="61CE90B4" wp14:editId="3E5CA23D">
            <wp:extent cx="2724150" cy="3023613"/>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26794" cy="3026547"/>
                    </a:xfrm>
                    <a:prstGeom prst="rect">
                      <a:avLst/>
                    </a:prstGeom>
                  </pic:spPr>
                </pic:pic>
              </a:graphicData>
            </a:graphic>
          </wp:inline>
        </w:drawing>
      </w:r>
    </w:p>
    <w:p w:rsidR="00AF481F" w:rsidRPr="00595E5E" w:rsidRDefault="003462A3" w:rsidP="00595E5E">
      <w:pPr>
        <w:ind w:firstLine="720"/>
        <w:jc w:val="center"/>
        <w:rPr>
          <w:rFonts w:ascii="Times New Roman" w:eastAsiaTheme="minorEastAsia" w:hAnsi="Times New Roman" w:cs="Times New Roman"/>
          <w:i/>
          <w:sz w:val="20"/>
          <w:lang w:val="sr-Cyrl-RS"/>
        </w:rPr>
      </w:pPr>
      <w:r w:rsidRPr="003462A3">
        <w:rPr>
          <w:rFonts w:ascii="Times New Roman" w:eastAsiaTheme="minorEastAsia" w:hAnsi="Times New Roman" w:cs="Times New Roman"/>
          <w:i/>
          <w:sz w:val="20"/>
        </w:rPr>
        <w:t>Слика 5. СЕМ снимци карактеристичних узорака</w:t>
      </w:r>
    </w:p>
    <w:p w:rsidR="00965DC0" w:rsidRDefault="005F15C7" w:rsidP="00965DC0">
      <w:pPr>
        <w:jc w:val="both"/>
        <w:rPr>
          <w:rFonts w:ascii="Times New Roman" w:eastAsiaTheme="minorEastAsia" w:hAnsi="Times New Roman" w:cs="Times New Roman"/>
          <w:lang w:val="sr-Cyrl-RS"/>
        </w:rPr>
      </w:pPr>
      <w:r w:rsidRPr="003462A3">
        <w:rPr>
          <w:rFonts w:ascii="Times New Roman" w:eastAsiaTheme="minorEastAsia" w:hAnsi="Times New Roman" w:cs="Times New Roman"/>
        </w:rPr>
        <w:t>На СЕМ снимцима узорака фино преципитираног хидрата одговарајућих својстава увећаних 50000</w:t>
      </w:r>
      <w:r w:rsidR="00965DC0">
        <w:rPr>
          <w:rFonts w:ascii="Times New Roman" w:eastAsiaTheme="minorEastAsia" w:hAnsi="Times New Roman" w:cs="Times New Roman"/>
          <w:lang w:val="sr-Latn-RS"/>
        </w:rPr>
        <w:t>x</w:t>
      </w:r>
      <w:r w:rsidRPr="003462A3">
        <w:rPr>
          <w:rFonts w:ascii="Times New Roman" w:eastAsiaTheme="minorEastAsia" w:hAnsi="Times New Roman" w:cs="Times New Roman"/>
        </w:rPr>
        <w:t>, може се јасно видјети разлика. Код узорака 2</w:t>
      </w:r>
      <w:r w:rsidR="00965DC0">
        <w:rPr>
          <w:rFonts w:ascii="Times New Roman" w:eastAsiaTheme="minorEastAsia" w:hAnsi="Times New Roman" w:cs="Times New Roman"/>
          <w:lang w:val="sr-Latn-RS"/>
        </w:rPr>
        <w:t>-</w:t>
      </w:r>
      <w:r w:rsidRPr="003462A3">
        <w:rPr>
          <w:rFonts w:ascii="Times New Roman" w:eastAsiaTheme="minorEastAsia" w:hAnsi="Times New Roman" w:cs="Times New Roman"/>
        </w:rPr>
        <w:t>3</w:t>
      </w:r>
      <w:r w:rsidR="00965DC0">
        <w:rPr>
          <w:rFonts w:ascii="Times New Roman" w:eastAsiaTheme="minorEastAsia" w:hAnsi="Times New Roman" w:cs="Times New Roman"/>
          <w:lang w:val="sr-Latn-RS"/>
        </w:rPr>
        <w:t>-</w:t>
      </w:r>
      <w:r w:rsidRPr="003462A3">
        <w:rPr>
          <w:rFonts w:ascii="Times New Roman" w:eastAsiaTheme="minorEastAsia" w:hAnsi="Times New Roman" w:cs="Times New Roman"/>
        </w:rPr>
        <w:t>4 уочљиво је да узорци са већим средњим пречником честице, мањом специфичном површином честице имају веће кристале правилног хексагоналног облика. Са смањењем средњег пречника честице, а самим тим и већом специфичном површином честице код узорака облик је неправилнији и са више слојева.</w:t>
      </w:r>
    </w:p>
    <w:p w:rsidR="003462A3" w:rsidRDefault="00965DC0" w:rsidP="00965DC0">
      <w:pPr>
        <w:jc w:val="both"/>
        <w:rPr>
          <w:rFonts w:ascii="Times New Roman" w:eastAsiaTheme="minorEastAsia" w:hAnsi="Times New Roman" w:cs="Times New Roman"/>
        </w:rPr>
      </w:pPr>
      <w:r>
        <w:rPr>
          <w:rFonts w:ascii="Times New Roman" w:eastAsiaTheme="minorEastAsia" w:hAnsi="Times New Roman" w:cs="Times New Roman"/>
          <w:lang w:val="sr-Cyrl-RS"/>
        </w:rPr>
        <w:t>Код карактеристичног у</w:t>
      </w:r>
      <w:r w:rsidR="005F15C7" w:rsidRPr="003462A3">
        <w:rPr>
          <w:rFonts w:ascii="Times New Roman" w:eastAsiaTheme="minorEastAsia" w:hAnsi="Times New Roman" w:cs="Times New Roman"/>
        </w:rPr>
        <w:t>зор</w:t>
      </w:r>
      <w:r>
        <w:rPr>
          <w:rFonts w:ascii="Times New Roman" w:eastAsiaTheme="minorEastAsia" w:hAnsi="Times New Roman" w:cs="Times New Roman"/>
          <w:lang w:val="sr-Cyrl-RS"/>
        </w:rPr>
        <w:t>ка</w:t>
      </w:r>
      <w:r w:rsidR="005F15C7" w:rsidRPr="003462A3">
        <w:rPr>
          <w:rFonts w:ascii="Times New Roman" w:eastAsiaTheme="minorEastAsia" w:hAnsi="Times New Roman" w:cs="Times New Roman"/>
        </w:rPr>
        <w:t xml:space="preserve"> 1</w:t>
      </w:r>
      <w:r>
        <w:rPr>
          <w:rFonts w:ascii="Times New Roman" w:eastAsiaTheme="minorEastAsia" w:hAnsi="Times New Roman" w:cs="Times New Roman"/>
          <w:lang w:val="sr-Cyrl-RS"/>
        </w:rPr>
        <w:t xml:space="preserve">, </w:t>
      </w:r>
      <w:r w:rsidR="005F15C7" w:rsidRPr="003462A3">
        <w:rPr>
          <w:rFonts w:ascii="Times New Roman" w:eastAsiaTheme="minorEastAsia" w:hAnsi="Times New Roman" w:cs="Times New Roman"/>
        </w:rPr>
        <w:t>СЕМ снимка узорака фино преципитираног хидрата уз додатак сулфата, види</w:t>
      </w:r>
      <w:r>
        <w:rPr>
          <w:rFonts w:ascii="Times New Roman" w:eastAsiaTheme="minorEastAsia" w:hAnsi="Times New Roman" w:cs="Times New Roman"/>
          <w:lang w:val="sr-Cyrl-RS"/>
        </w:rPr>
        <w:t xml:space="preserve"> е </w:t>
      </w:r>
      <w:r w:rsidR="005F15C7" w:rsidRPr="003462A3">
        <w:rPr>
          <w:rFonts w:ascii="Times New Roman" w:eastAsiaTheme="minorEastAsia" w:hAnsi="Times New Roman" w:cs="Times New Roman"/>
        </w:rPr>
        <w:t>да су честице игличастог облика које имају већу специфичну површину.</w:t>
      </w:r>
    </w:p>
    <w:p w:rsidR="003462A3" w:rsidRDefault="003462A3"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1E1DA4" w:rsidRDefault="001E1DA4" w:rsidP="003462A3">
      <w:pPr>
        <w:jc w:val="both"/>
        <w:rPr>
          <w:rFonts w:ascii="Times New Roman" w:eastAsiaTheme="minorEastAsia" w:hAnsi="Times New Roman" w:cs="Times New Roman"/>
        </w:rPr>
      </w:pPr>
    </w:p>
    <w:p w:rsidR="00382F2B" w:rsidRDefault="00382F2B" w:rsidP="003462A3">
      <w:pPr>
        <w:jc w:val="both"/>
        <w:rPr>
          <w:rFonts w:ascii="Times New Roman" w:eastAsiaTheme="minorEastAsia" w:hAnsi="Times New Roman" w:cs="Times New Roman"/>
        </w:rPr>
      </w:pPr>
    </w:p>
    <w:p w:rsidR="003462A3" w:rsidRDefault="003462A3" w:rsidP="003462A3">
      <w:pPr>
        <w:jc w:val="both"/>
        <w:rPr>
          <w:rFonts w:ascii="Times New Roman" w:eastAsiaTheme="minorEastAsia" w:hAnsi="Times New Roman" w:cs="Times New Roman"/>
          <w:b/>
          <w:lang w:val="sr-Cyrl-RS"/>
        </w:rPr>
      </w:pPr>
    </w:p>
    <w:p w:rsidR="00EB2079" w:rsidRPr="00EB2079" w:rsidRDefault="00EB2079" w:rsidP="003462A3">
      <w:pPr>
        <w:jc w:val="both"/>
        <w:rPr>
          <w:rFonts w:ascii="Times New Roman" w:eastAsiaTheme="minorEastAsia" w:hAnsi="Times New Roman" w:cs="Times New Roman"/>
          <w:b/>
          <w:lang w:val="sr-Cyrl-RS"/>
        </w:rPr>
      </w:pPr>
    </w:p>
    <w:p w:rsidR="005F15C7" w:rsidRPr="00822B64" w:rsidRDefault="00A666F4" w:rsidP="003462A3">
      <w:pPr>
        <w:jc w:val="both"/>
        <w:rPr>
          <w:rFonts w:ascii="Times New Roman" w:eastAsiaTheme="minorEastAsia" w:hAnsi="Times New Roman" w:cs="Times New Roman"/>
          <w:b/>
        </w:rPr>
      </w:pPr>
      <w:r w:rsidRPr="00822B64">
        <w:rPr>
          <w:rFonts w:ascii="Times New Roman" w:eastAsiaTheme="minorEastAsia" w:hAnsi="Times New Roman" w:cs="Times New Roman"/>
          <w:b/>
          <w:lang w:val="sr-Latn-BA"/>
        </w:rPr>
        <w:lastRenderedPageBreak/>
        <w:t xml:space="preserve">3. </w:t>
      </w:r>
      <w:r w:rsidR="003462A3" w:rsidRPr="00822B64">
        <w:rPr>
          <w:rFonts w:ascii="Times New Roman" w:eastAsiaTheme="minorEastAsia" w:hAnsi="Times New Roman" w:cs="Times New Roman"/>
          <w:b/>
        </w:rPr>
        <w:t>ЗАКЉУЧАК</w:t>
      </w:r>
    </w:p>
    <w:p w:rsidR="003462A3" w:rsidRPr="003462A3" w:rsidRDefault="003462A3" w:rsidP="003462A3">
      <w:pPr>
        <w:jc w:val="both"/>
        <w:rPr>
          <w:rFonts w:ascii="Times New Roman" w:eastAsiaTheme="minorEastAsia" w:hAnsi="Times New Roman" w:cs="Times New Roman"/>
        </w:rPr>
      </w:pPr>
    </w:p>
    <w:p w:rsidR="005F15C7" w:rsidRPr="003462A3" w:rsidRDefault="00942FF8" w:rsidP="003462A3">
      <w:pPr>
        <w:jc w:val="both"/>
        <w:rPr>
          <w:rFonts w:ascii="Times New Roman" w:eastAsiaTheme="minorEastAsia" w:hAnsi="Times New Roman" w:cs="Times New Roman"/>
        </w:rPr>
      </w:pPr>
      <w:r w:rsidRPr="003462A3">
        <w:rPr>
          <w:rFonts w:ascii="Times New Roman" w:eastAsiaTheme="minorEastAsia" w:hAnsi="Times New Roman" w:cs="Times New Roman"/>
        </w:rPr>
        <w:t>На основу спроведених истраживања у циљу дефинисања утицаја процесних параметара на сорпционе карактеристике алуминијум хидроксида, може се закључити следеће:</w:t>
      </w:r>
    </w:p>
    <w:p w:rsidR="00942FF8" w:rsidRPr="003462A3" w:rsidRDefault="00942FF8" w:rsidP="003462A3">
      <w:pPr>
        <w:pStyle w:val="ListParagraph"/>
        <w:numPr>
          <w:ilvl w:val="0"/>
          <w:numId w:val="1"/>
        </w:numPr>
        <w:jc w:val="both"/>
        <w:rPr>
          <w:rFonts w:ascii="Times New Roman" w:eastAsiaTheme="minorEastAsia" w:hAnsi="Times New Roman" w:cs="Times New Roman"/>
        </w:rPr>
      </w:pPr>
      <w:r w:rsidRPr="003462A3">
        <w:rPr>
          <w:rFonts w:ascii="Times New Roman" w:eastAsiaTheme="minorEastAsia" w:hAnsi="Times New Roman" w:cs="Times New Roman"/>
        </w:rPr>
        <w:t>Из резултата добијених на основу истраживања утицаја прочетног модула натријум алумината (алуминатног раствора) при константној температури од 40⁰</w:t>
      </w:r>
      <w:r w:rsidR="00C22BDE" w:rsidRPr="003462A3">
        <w:rPr>
          <w:rFonts w:ascii="Times New Roman" w:eastAsiaTheme="minorEastAsia" w:hAnsi="Times New Roman" w:cs="Times New Roman"/>
        </w:rPr>
        <w:t>С може се закључити да са с</w:t>
      </w:r>
      <w:r w:rsidRPr="003462A3">
        <w:rPr>
          <w:rFonts w:ascii="Times New Roman" w:eastAsiaTheme="minorEastAsia" w:hAnsi="Times New Roman" w:cs="Times New Roman"/>
        </w:rPr>
        <w:t>мањењем  каустичног модула почетног алуминатног растворља убрзава</w:t>
      </w:r>
      <w:r w:rsidR="00C22BDE" w:rsidRPr="003462A3">
        <w:rPr>
          <w:rFonts w:ascii="Times New Roman" w:eastAsiaTheme="minorEastAsia" w:hAnsi="Times New Roman" w:cs="Times New Roman"/>
        </w:rPr>
        <w:t xml:space="preserve"> се</w:t>
      </w:r>
      <w:r w:rsidRPr="003462A3">
        <w:rPr>
          <w:rFonts w:ascii="Times New Roman" w:eastAsiaTheme="minorEastAsia" w:hAnsi="Times New Roman" w:cs="Times New Roman"/>
        </w:rPr>
        <w:t xml:space="preserve"> разлагање алуминатног раствора</w:t>
      </w:r>
      <w:r w:rsidR="00C22BDE" w:rsidRPr="003462A3">
        <w:rPr>
          <w:rFonts w:ascii="Times New Roman" w:eastAsiaTheme="minorEastAsia" w:hAnsi="Times New Roman" w:cs="Times New Roman"/>
        </w:rPr>
        <w:t>, образују се ситније честице а самим тим што је мањи средњи пречник честице, специфична површина је већа. Такође, из добијених екпериметалних резултата може се закључити да се сорпција ланеног уља и олеинске киселине повећава са повећавањем специфичне површине праха добије</w:t>
      </w:r>
      <w:r w:rsidR="00406234" w:rsidRPr="003462A3">
        <w:rPr>
          <w:rFonts w:ascii="Times New Roman" w:eastAsiaTheme="minorEastAsia" w:hAnsi="Times New Roman" w:cs="Times New Roman"/>
        </w:rPr>
        <w:t>ног фино преципитираног алуминијум хидроксида.</w:t>
      </w:r>
    </w:p>
    <w:p w:rsidR="00406234" w:rsidRPr="003462A3" w:rsidRDefault="00406234" w:rsidP="003462A3">
      <w:pPr>
        <w:pStyle w:val="ListParagraph"/>
        <w:numPr>
          <w:ilvl w:val="0"/>
          <w:numId w:val="1"/>
        </w:numPr>
        <w:jc w:val="both"/>
        <w:rPr>
          <w:rFonts w:ascii="Times New Roman" w:eastAsiaTheme="minorEastAsia" w:hAnsi="Times New Roman" w:cs="Times New Roman"/>
        </w:rPr>
      </w:pPr>
      <w:r w:rsidRPr="003462A3">
        <w:rPr>
          <w:rFonts w:ascii="Times New Roman" w:eastAsiaTheme="minorEastAsia" w:hAnsi="Times New Roman" w:cs="Times New Roman"/>
        </w:rPr>
        <w:t xml:space="preserve">Резултатима добијеним на основу истраживања утицаја разређења алуминатниог ратвора при константној темепратури од 40⁰С може се потврдити опште правило да се мање концентровани раствори лакше разлажу при истом каустичном модулу од јако концентрованих. С тим у вези може се закључити да са смањењем концетрације </w:t>
      </w:r>
      <w:r w:rsidRPr="003462A3">
        <w:rPr>
          <w:rFonts w:ascii="Times New Roman" w:eastAsiaTheme="minorEastAsia" w:hAnsi="Times New Roman" w:cs="Times New Roman"/>
          <w:lang w:val="sr-Latn-BA"/>
        </w:rPr>
        <w:t>Na</w:t>
      </w:r>
      <w:r w:rsidRPr="003462A3">
        <w:rPr>
          <w:rFonts w:ascii="Times New Roman" w:eastAsiaTheme="minorEastAsia" w:hAnsi="Times New Roman" w:cs="Times New Roman"/>
          <w:vertAlign w:val="subscript"/>
          <w:lang w:val="sr-Latn-BA"/>
        </w:rPr>
        <w:t>2</w:t>
      </w:r>
      <w:r w:rsidRPr="003462A3">
        <w:rPr>
          <w:rFonts w:ascii="Times New Roman" w:eastAsiaTheme="minorEastAsia" w:hAnsi="Times New Roman" w:cs="Times New Roman"/>
          <w:lang w:val="sr-Latn-BA"/>
        </w:rPr>
        <w:t>O</w:t>
      </w:r>
      <w:r w:rsidRPr="003462A3">
        <w:rPr>
          <w:rFonts w:ascii="Times New Roman" w:eastAsiaTheme="minorEastAsia" w:hAnsi="Times New Roman" w:cs="Times New Roman"/>
          <w:vertAlign w:val="subscript"/>
          <w:lang w:val="sr-Latn-BA"/>
        </w:rPr>
        <w:t>k</w:t>
      </w:r>
      <w:r w:rsidRPr="003462A3">
        <w:rPr>
          <w:rFonts w:ascii="Times New Roman" w:eastAsiaTheme="minorEastAsia" w:hAnsi="Times New Roman" w:cs="Times New Roman"/>
          <w:lang w:val="sr-Latn-BA"/>
        </w:rPr>
        <w:t xml:space="preserve"> </w:t>
      </w:r>
      <w:r w:rsidRPr="003462A3">
        <w:rPr>
          <w:rFonts w:ascii="Times New Roman" w:eastAsiaTheme="minorEastAsia" w:hAnsi="Times New Roman" w:cs="Times New Roman"/>
        </w:rPr>
        <w:t>у алуминатном раствору добиају се честице са мањим средњим пречником, из чега произилази да је већа специфична површина честица фино преципитираног алуминијум хидроксида. Такође се може закључити да се сорпција уља повећава са повећавањем специфичне повр</w:t>
      </w:r>
      <w:r w:rsidR="001F0BF0" w:rsidRPr="003462A3">
        <w:rPr>
          <w:rFonts w:ascii="Times New Roman" w:eastAsiaTheme="minorEastAsia" w:hAnsi="Times New Roman" w:cs="Times New Roman"/>
        </w:rPr>
        <w:t>шине честице.</w:t>
      </w:r>
    </w:p>
    <w:p w:rsidR="001F0BF0" w:rsidRPr="003462A3" w:rsidRDefault="001F0BF0" w:rsidP="003462A3">
      <w:pPr>
        <w:pStyle w:val="ListParagraph"/>
        <w:numPr>
          <w:ilvl w:val="0"/>
          <w:numId w:val="1"/>
        </w:numPr>
        <w:jc w:val="both"/>
        <w:rPr>
          <w:rFonts w:ascii="Times New Roman" w:eastAsiaTheme="minorEastAsia" w:hAnsi="Times New Roman" w:cs="Times New Roman"/>
        </w:rPr>
      </w:pPr>
      <w:r w:rsidRPr="003462A3">
        <w:rPr>
          <w:rFonts w:ascii="Times New Roman" w:eastAsiaTheme="minorEastAsia" w:hAnsi="Times New Roman" w:cs="Times New Roman"/>
        </w:rPr>
        <w:t>Из резултата добијених на основу испитивања утицаја количине клица кристализације при константној почетној температури може се закључити да што је средњи пречник честице клица кристализације мањи, специфична површина у јединици запремине је већа. Такође, додавањем клица кристализације у алуминатни раствор са клицама веће специфичне површине добија се мањи средњи пречник честице фино преципитираног алуминијум хидорксида. Евиденстно је да самим тим са повећавањем специфичне површине клица кристализације, повећава се и специфична површина честице фино преципитираног алуминјум хидроксида, а и ланеног уња и олњинске киселине.</w:t>
      </w:r>
    </w:p>
    <w:p w:rsidR="009C7006" w:rsidRPr="003462A3" w:rsidRDefault="001F0BF0" w:rsidP="003462A3">
      <w:pPr>
        <w:pStyle w:val="ListParagraph"/>
        <w:numPr>
          <w:ilvl w:val="0"/>
          <w:numId w:val="1"/>
        </w:numPr>
        <w:jc w:val="both"/>
        <w:rPr>
          <w:rFonts w:ascii="Times New Roman" w:eastAsiaTheme="minorEastAsia" w:hAnsi="Times New Roman" w:cs="Times New Roman"/>
        </w:rPr>
      </w:pPr>
      <w:r w:rsidRPr="003462A3">
        <w:rPr>
          <w:rFonts w:ascii="Times New Roman" w:eastAsiaTheme="minorEastAsia" w:hAnsi="Times New Roman" w:cs="Times New Roman"/>
        </w:rPr>
        <w:t>Из добијених резултата на основу испитивања утицаја додат</w:t>
      </w:r>
      <w:r w:rsidR="009C7006" w:rsidRPr="003462A3">
        <w:rPr>
          <w:rFonts w:ascii="Times New Roman" w:eastAsiaTheme="minorEastAsia" w:hAnsi="Times New Roman" w:cs="Times New Roman"/>
        </w:rPr>
        <w:t>ка сулфата у алуминатни раствор може се закеучити да у основу на претходне закѕучке у овом случају додатком сулфата у алуминатни раствор дибија се већа спеигична површина честице фино преципитираног алуминијум хидроксида.  Облици честица играји значајну улогу у контроли безине сорпције уља, што је потврђено резултатима СЕМ снимака. Такође, из резултата СЕМ снимака узорака фино преципитираноф алуминијума хидроксида уз додатак сулфата, види да су честице игличастог облика које имају већу специфичну површину. Цилиндрична зрна имају већи вриједнст сорпције уља него игличастре или сферне честице, углавно због расположивог броја празнина. Материјали финијих честиџа имају већу специфичну површину и заједно са мањом величином честица имају већу сорпцију уља.</w:t>
      </w:r>
    </w:p>
    <w:p w:rsidR="001E1DA4" w:rsidRDefault="00C20C29" w:rsidP="00965DC0">
      <w:pPr>
        <w:ind w:left="360"/>
        <w:jc w:val="both"/>
        <w:rPr>
          <w:rFonts w:ascii="Times New Roman" w:eastAsiaTheme="minorEastAsia" w:hAnsi="Times New Roman" w:cs="Times New Roman"/>
          <w:lang w:val="sr-Cyrl-RS"/>
        </w:rPr>
      </w:pPr>
      <w:r w:rsidRPr="003462A3">
        <w:rPr>
          <w:rFonts w:ascii="Times New Roman" w:eastAsiaTheme="minorEastAsia" w:hAnsi="Times New Roman" w:cs="Times New Roman"/>
        </w:rPr>
        <w:t>На основу резултата СЕМ снимака види се да узорци са већим средњим пречником честице, мањом специфичног поврпином честице имају веће кристале прави</w:t>
      </w:r>
      <w:r w:rsidR="000D5163" w:rsidRPr="003462A3">
        <w:rPr>
          <w:rFonts w:ascii="Times New Roman" w:eastAsiaTheme="minorEastAsia" w:hAnsi="Times New Roman" w:cs="Times New Roman"/>
        </w:rPr>
        <w:t>лног хексагонално</w:t>
      </w:r>
      <w:r w:rsidRPr="003462A3">
        <w:rPr>
          <w:rFonts w:ascii="Times New Roman" w:eastAsiaTheme="minorEastAsia" w:hAnsi="Times New Roman" w:cs="Times New Roman"/>
        </w:rPr>
        <w:t>г облика. Са смањењм средњег пречника честице, самим тим и већом</w:t>
      </w:r>
      <w:r w:rsidR="000D5163" w:rsidRPr="003462A3">
        <w:rPr>
          <w:rFonts w:ascii="Times New Roman" w:eastAsiaTheme="minorEastAsia" w:hAnsi="Times New Roman" w:cs="Times New Roman"/>
        </w:rPr>
        <w:t xml:space="preserve"> </w:t>
      </w:r>
      <w:r w:rsidRPr="003462A3">
        <w:rPr>
          <w:rFonts w:ascii="Times New Roman" w:eastAsiaTheme="minorEastAsia" w:hAnsi="Times New Roman" w:cs="Times New Roman"/>
        </w:rPr>
        <w:t>специф</w:t>
      </w:r>
      <w:r w:rsidR="000D5163" w:rsidRPr="003462A3">
        <w:rPr>
          <w:rFonts w:ascii="Times New Roman" w:eastAsiaTheme="minorEastAsia" w:hAnsi="Times New Roman" w:cs="Times New Roman"/>
        </w:rPr>
        <w:t>ичном површино честице код узорака облик је неправилнији и са више слојева.</w:t>
      </w:r>
    </w:p>
    <w:p w:rsidR="00965DC0" w:rsidRDefault="00965DC0" w:rsidP="00965DC0">
      <w:pPr>
        <w:ind w:left="360"/>
        <w:jc w:val="both"/>
        <w:rPr>
          <w:rFonts w:ascii="Times New Roman" w:eastAsiaTheme="minorEastAsia" w:hAnsi="Times New Roman" w:cs="Times New Roman"/>
          <w:lang w:val="sr-Latn-RS"/>
        </w:rPr>
      </w:pPr>
    </w:p>
    <w:p w:rsidR="00FE6399" w:rsidRPr="00FE6399" w:rsidRDefault="00FE6399" w:rsidP="00965DC0">
      <w:pPr>
        <w:ind w:left="360"/>
        <w:jc w:val="both"/>
        <w:rPr>
          <w:rFonts w:ascii="Times New Roman" w:eastAsiaTheme="minorEastAsia" w:hAnsi="Times New Roman" w:cs="Times New Roman"/>
          <w:lang w:val="sr-Latn-RS"/>
        </w:rPr>
      </w:pPr>
    </w:p>
    <w:p w:rsidR="001E1DA4" w:rsidRPr="00822B64" w:rsidRDefault="0033746D" w:rsidP="003462A3">
      <w:pPr>
        <w:jc w:val="both"/>
        <w:rPr>
          <w:rFonts w:ascii="Times New Roman" w:eastAsiaTheme="minorEastAsia" w:hAnsi="Times New Roman" w:cs="Times New Roman"/>
          <w:b/>
        </w:rPr>
      </w:pPr>
      <w:r w:rsidRPr="00822B64">
        <w:rPr>
          <w:rFonts w:ascii="Times New Roman" w:eastAsiaTheme="minorEastAsia" w:hAnsi="Times New Roman" w:cs="Times New Roman"/>
          <w:b/>
          <w:lang w:val="sr-Latn-BA"/>
        </w:rPr>
        <w:lastRenderedPageBreak/>
        <w:t>4.</w:t>
      </w:r>
      <w:r w:rsidR="003462A3" w:rsidRPr="00822B64">
        <w:rPr>
          <w:rFonts w:ascii="Times New Roman" w:eastAsiaTheme="minorEastAsia" w:hAnsi="Times New Roman" w:cs="Times New Roman"/>
          <w:b/>
        </w:rPr>
        <w:t>ЛИТЕРАТУРА</w:t>
      </w:r>
    </w:p>
    <w:p w:rsidR="00A666F4" w:rsidRPr="003462A3" w:rsidRDefault="00A666F4" w:rsidP="003462A3">
      <w:pPr>
        <w:ind w:left="360"/>
        <w:jc w:val="both"/>
        <w:rPr>
          <w:rFonts w:ascii="Times New Roman" w:eastAsiaTheme="minorEastAsia" w:hAnsi="Times New Roman" w:cs="Times New Roman"/>
          <w:lang w:val="sr-Latn-BA"/>
        </w:rPr>
      </w:pPr>
    </w:p>
    <w:p w:rsidR="00A666F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lang w:val="sr-Latn-BA"/>
        </w:rPr>
        <w:t>[1]</w:t>
      </w:r>
      <w:r w:rsidRPr="003462A3">
        <w:rPr>
          <w:rFonts w:ascii="Times New Roman" w:eastAsiaTheme="minorEastAsia" w:hAnsi="Times New Roman" w:cs="Times New Roman"/>
        </w:rPr>
        <w:t xml:space="preserve"> Joseph L. Anjier, William E. Atchison, &amp;amp; Morris L. Roberson. (1984). </w:t>
      </w:r>
      <w:r w:rsidRPr="003462A3">
        <w:rPr>
          <w:rFonts w:ascii="Times New Roman" w:eastAsiaTheme="minorEastAsia" w:hAnsi="Times New Roman" w:cs="Times New Roman"/>
          <w:i/>
        </w:rPr>
        <w:t>Bayer process production of alumina hydrate</w:t>
      </w:r>
      <w:r w:rsidRPr="003462A3">
        <w:rPr>
          <w:rFonts w:ascii="Times New Roman" w:eastAsiaTheme="minorEastAsia" w:hAnsi="Times New Roman" w:cs="Times New Roman"/>
        </w:rPr>
        <w:t xml:space="preserve"> (Patent US4511542A)</w:t>
      </w:r>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lang w:val="sr-Latn-BA"/>
        </w:rPr>
        <w:t>[2]</w:t>
      </w:r>
      <w:r w:rsidRPr="003462A3">
        <w:rPr>
          <w:rFonts w:ascii="Times New Roman" w:eastAsiaTheme="minorEastAsia" w:hAnsi="Times New Roman" w:cs="Times New Roman"/>
        </w:rPr>
        <w:t xml:space="preserve"> Takashi, S., Watanabe, H., Fuji, M., &amp;amp; Takashi, M. (2009). (16) </w:t>
      </w:r>
      <w:r w:rsidRPr="003462A3">
        <w:rPr>
          <w:rFonts w:ascii="Times New Roman" w:eastAsiaTheme="minorEastAsia" w:hAnsi="Times New Roman" w:cs="Times New Roman"/>
          <w:i/>
        </w:rPr>
        <w:t>Structural properties and surface characteristics on aluminum oxide powders</w:t>
      </w:r>
      <w:r w:rsidRPr="003462A3">
        <w:rPr>
          <w:rFonts w:ascii="Times New Roman" w:eastAsiaTheme="minorEastAsia" w:hAnsi="Times New Roman" w:cs="Times New Roman"/>
        </w:rPr>
        <w:t xml:space="preserve"> | Request PDF.</w:t>
      </w:r>
    </w:p>
    <w:p w:rsidR="00984CE4" w:rsidRPr="003462A3" w:rsidRDefault="00000000" w:rsidP="003462A3">
      <w:pPr>
        <w:jc w:val="both"/>
        <w:rPr>
          <w:rFonts w:ascii="Times New Roman" w:eastAsiaTheme="minorEastAsia" w:hAnsi="Times New Roman" w:cs="Times New Roman"/>
        </w:rPr>
      </w:pPr>
      <w:hyperlink r:id="rId15" w:history="1">
        <w:r w:rsidR="00984CE4" w:rsidRPr="003462A3">
          <w:rPr>
            <w:rStyle w:val="Hyperlink"/>
            <w:rFonts w:ascii="Times New Roman" w:eastAsiaTheme="minorEastAsia" w:hAnsi="Times New Roman" w:cs="Times New Roman"/>
          </w:rPr>
          <w:t>https://www.researchgate.net/publication/313650783_Structural_properties_and_surface_characteristics_on_aluminum_oxide_powders/citations</w:t>
        </w:r>
      </w:hyperlink>
    </w:p>
    <w:p w:rsidR="00BF1C13"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[3]</w:t>
      </w:r>
      <w:r w:rsidR="00BF1C13" w:rsidRPr="003462A3">
        <w:rPr>
          <w:rFonts w:ascii="Times New Roman" w:eastAsiaTheme="minorEastAsia" w:hAnsi="Times New Roman" w:cs="Times New Roman"/>
        </w:rPr>
        <w:t xml:space="preserve"> Thangaraj, K. (2013). </w:t>
      </w:r>
      <w:r w:rsidR="00BF1C13" w:rsidRPr="003462A3">
        <w:rPr>
          <w:rFonts w:ascii="Times New Roman" w:eastAsiaTheme="minorEastAsia" w:hAnsi="Times New Roman" w:cs="Times New Roman"/>
          <w:i/>
        </w:rPr>
        <w:t>Review on alumina trihydrate precipitation mechanisms and effect of Bayer impurities on hydrate particle growth rate. In International Journal of Mineral Processing.</w:t>
      </w:r>
    </w:p>
    <w:p w:rsidR="00BF1C13" w:rsidRPr="003462A3" w:rsidRDefault="00000000" w:rsidP="003462A3">
      <w:pPr>
        <w:jc w:val="both"/>
        <w:rPr>
          <w:rFonts w:ascii="Times New Roman" w:eastAsiaTheme="minorEastAsia" w:hAnsi="Times New Roman" w:cs="Times New Roman"/>
        </w:rPr>
      </w:pPr>
      <w:hyperlink r:id="rId16" w:history="1">
        <w:r w:rsidR="00BF1C13" w:rsidRPr="003462A3">
          <w:rPr>
            <w:rStyle w:val="Hyperlink"/>
            <w:rFonts w:ascii="Times New Roman" w:eastAsiaTheme="minorEastAsia" w:hAnsi="Times New Roman" w:cs="Times New Roman"/>
          </w:rPr>
          <w:t>https://www.academia.edu/62430532/Review_on_alumina_trihydrate_precipitation_mechanisms_and_effect_of_Bayer_impurities_on_hydrate_particle_growth_rate</w:t>
        </w:r>
      </w:hyperlink>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[4]</w:t>
      </w:r>
      <w:r w:rsidR="00BF1C13" w:rsidRPr="003462A3">
        <w:t xml:space="preserve"> Врачар, Р.Ж.Ж. </w:t>
      </w:r>
      <w:r w:rsidR="00BF1C13" w:rsidRPr="003462A3">
        <w:rPr>
          <w:rFonts w:ascii="Times New Roman" w:eastAsiaTheme="minorEastAsia" w:hAnsi="Times New Roman" w:cs="Times New Roman"/>
        </w:rPr>
        <w:t xml:space="preserve">Vračar, (1993). </w:t>
      </w:r>
      <w:r w:rsidR="00BF1C13" w:rsidRPr="003462A3">
        <w:rPr>
          <w:rFonts w:ascii="Times New Roman" w:eastAsiaTheme="minorEastAsia" w:hAnsi="Times New Roman" w:cs="Times New Roman"/>
          <w:i/>
        </w:rPr>
        <w:t>Екстрактивна металургија алуминијума</w:t>
      </w:r>
      <w:r w:rsidR="00BF1C13" w:rsidRPr="003462A3">
        <w:rPr>
          <w:rFonts w:ascii="Times New Roman" w:eastAsiaTheme="minorEastAsia" w:hAnsi="Times New Roman" w:cs="Times New Roman"/>
        </w:rPr>
        <w:t>. Научна књига</w:t>
      </w:r>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[5]</w:t>
      </w:r>
      <w:r w:rsidR="00BF1C13" w:rsidRPr="003462A3">
        <w:rPr>
          <w:rFonts w:ascii="Times New Roman" w:eastAsiaTheme="minorEastAsia" w:hAnsi="Times New Roman" w:cs="Times New Roman"/>
        </w:rPr>
        <w:t xml:space="preserve"> Jean Fabre, Eric Lavalou, &amp;amp; Francois Nicolas. (1984). </w:t>
      </w:r>
      <w:r w:rsidR="00BF1C13" w:rsidRPr="003462A3">
        <w:rPr>
          <w:rFonts w:ascii="Times New Roman" w:eastAsiaTheme="minorEastAsia" w:hAnsi="Times New Roman" w:cs="Times New Roman"/>
          <w:i/>
        </w:rPr>
        <w:t>Bayer process production of alumina hydrate</w:t>
      </w:r>
      <w:r w:rsidR="00BF1C13" w:rsidRPr="003462A3">
        <w:rPr>
          <w:rFonts w:ascii="Times New Roman" w:eastAsiaTheme="minorEastAsia" w:hAnsi="Times New Roman" w:cs="Times New Roman"/>
        </w:rPr>
        <w:t xml:space="preserve"> (Patent US4511542A).</w:t>
      </w:r>
    </w:p>
    <w:p w:rsidR="00BF1C13"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[6]</w:t>
      </w:r>
      <w:r w:rsidR="00BF1C13" w:rsidRPr="003462A3">
        <w:rPr>
          <w:rFonts w:ascii="Times New Roman" w:eastAsiaTheme="minorEastAsia" w:hAnsi="Times New Roman" w:cs="Times New Roman"/>
        </w:rPr>
        <w:t xml:space="preserve"> Рис. (n.d.). Алюминатный раствор ГКАК.</w:t>
      </w:r>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[7]</w:t>
      </w:r>
      <w:r w:rsidR="00BF1C13" w:rsidRPr="003462A3">
        <w:rPr>
          <w:rFonts w:ascii="Times New Roman" w:eastAsiaTheme="minorEastAsia" w:hAnsi="Times New Roman" w:cs="Times New Roman"/>
        </w:rPr>
        <w:t xml:space="preserve"> Миро Судар. (2010) </w:t>
      </w:r>
      <w:r w:rsidR="00BF1C13" w:rsidRPr="003462A3">
        <w:rPr>
          <w:rFonts w:ascii="Times New Roman" w:eastAsiaTheme="minorEastAsia" w:hAnsi="Times New Roman" w:cs="Times New Roman"/>
          <w:i/>
        </w:rPr>
        <w:t>Технолошке операције</w:t>
      </w:r>
      <w:r w:rsidR="00BF1C13" w:rsidRPr="003462A3">
        <w:rPr>
          <w:rFonts w:ascii="Times New Roman" w:eastAsiaTheme="minorEastAsia" w:hAnsi="Times New Roman" w:cs="Times New Roman"/>
          <w:i/>
          <w:lang w:val="sr-Latn-BA"/>
        </w:rPr>
        <w:t xml:space="preserve"> III</w:t>
      </w:r>
      <w:r w:rsidR="00BF1C13" w:rsidRPr="003462A3">
        <w:rPr>
          <w:rFonts w:ascii="Times New Roman" w:eastAsiaTheme="minorEastAsia" w:hAnsi="Times New Roman" w:cs="Times New Roman"/>
          <w:lang w:val="sr-Latn-BA"/>
        </w:rPr>
        <w:t xml:space="preserve">, </w:t>
      </w:r>
      <w:r w:rsidR="00BF1C13" w:rsidRPr="003462A3">
        <w:rPr>
          <w:rFonts w:ascii="Times New Roman" w:eastAsiaTheme="minorEastAsia" w:hAnsi="Times New Roman" w:cs="Times New Roman"/>
        </w:rPr>
        <w:t>Технолошки факултет Зворник</w:t>
      </w:r>
      <w:r w:rsidR="00BF1C13" w:rsidRPr="003462A3">
        <w:rPr>
          <w:rFonts w:ascii="Times New Roman" w:eastAsiaTheme="minorEastAsia" w:hAnsi="Times New Roman" w:cs="Times New Roman"/>
          <w:lang w:val="sr-Latn-BA"/>
        </w:rPr>
        <w:t>.</w:t>
      </w:r>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[8]</w:t>
      </w:r>
      <w:r w:rsidR="00BF1C13" w:rsidRPr="003462A3">
        <w:rPr>
          <w:rFonts w:ascii="Times New Roman" w:eastAsiaTheme="minorEastAsia" w:hAnsi="Times New Roman" w:cs="Times New Roman"/>
        </w:rPr>
        <w:t xml:space="preserve"> Norisetty, A. (2011). Application of Alumina to Oil and Grease Removal from Refinery Effluent. </w:t>
      </w:r>
      <w:r w:rsidR="00BF1C13" w:rsidRPr="003462A3">
        <w:rPr>
          <w:rFonts w:ascii="Times New Roman" w:eastAsiaTheme="minorEastAsia" w:hAnsi="Times New Roman" w:cs="Times New Roman"/>
          <w:i/>
        </w:rPr>
        <w:t>Journal of Waste Water Treatment &amp; Analysis</w:t>
      </w:r>
      <w:r w:rsidR="00BF1C13" w:rsidRPr="003462A3">
        <w:rPr>
          <w:rFonts w:ascii="Times New Roman" w:eastAsiaTheme="minorEastAsia" w:hAnsi="Times New Roman" w:cs="Times New Roman"/>
        </w:rPr>
        <w:t xml:space="preserve">, 02(04). </w:t>
      </w:r>
      <w:hyperlink r:id="rId17" w:history="1">
        <w:r w:rsidR="00BF1C13" w:rsidRPr="003462A3">
          <w:rPr>
            <w:rStyle w:val="Hyperlink"/>
            <w:rFonts w:ascii="Times New Roman" w:eastAsiaTheme="minorEastAsia" w:hAnsi="Times New Roman" w:cs="Times New Roman"/>
          </w:rPr>
          <w:t>https://doi.org/10.4172/2157-7587.1000119</w:t>
        </w:r>
      </w:hyperlink>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[9]</w:t>
      </w:r>
      <w:r w:rsidR="00BF1C13" w:rsidRPr="003462A3">
        <w:rPr>
          <w:rFonts w:ascii="Times New Roman" w:eastAsiaTheme="minorEastAsia" w:hAnsi="Times New Roman" w:cs="Times New Roman"/>
        </w:rPr>
        <w:t xml:space="preserve"> Yang, H.-B., Qi, L.-J., Li, Y.-G., Yang, G.-L., &amp;amp; Kang, S.-J. (2020). </w:t>
      </w:r>
      <w:r w:rsidR="00BF1C13" w:rsidRPr="003462A3">
        <w:rPr>
          <w:rFonts w:ascii="Times New Roman" w:eastAsiaTheme="minorEastAsia" w:hAnsi="Times New Roman" w:cs="Times New Roman"/>
          <w:i/>
        </w:rPr>
        <w:t>AA17-Characteristics of Sodium Oxalate Precipitates from the Bayer Precipitation Process</w:t>
      </w:r>
      <w:r w:rsidR="00BF1C13" w:rsidRPr="003462A3">
        <w:rPr>
          <w:rFonts w:ascii="Times New Roman" w:eastAsiaTheme="minorEastAsia" w:hAnsi="Times New Roman" w:cs="Times New Roman"/>
        </w:rPr>
        <w:t>.</w:t>
      </w:r>
    </w:p>
    <w:p w:rsidR="003824F0"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[10]</w:t>
      </w:r>
      <w:r w:rsidR="003824F0" w:rsidRPr="003462A3">
        <w:rPr>
          <w:rFonts w:ascii="Times New Roman" w:eastAsiaTheme="minorEastAsia" w:hAnsi="Times New Roman" w:cs="Times New Roman"/>
        </w:rPr>
        <w:t xml:space="preserve"> Hami, H. K., Abbas, R. F., Eltayef, M., &amp;amp; Mahdi, N. I. (2020). Samarra Journal of Pure and Applied Science</w:t>
      </w:r>
    </w:p>
    <w:p w:rsidR="00984CE4" w:rsidRPr="003462A3" w:rsidRDefault="003824F0" w:rsidP="003462A3">
      <w:pPr>
        <w:jc w:val="both"/>
        <w:rPr>
          <w:rFonts w:ascii="Times New Roman" w:eastAsiaTheme="minorEastAsia" w:hAnsi="Times New Roman" w:cs="Times New Roman"/>
        </w:rPr>
      </w:pPr>
      <w:r w:rsidRPr="003462A3">
        <w:rPr>
          <w:rFonts w:ascii="Times New Roman" w:eastAsiaTheme="minorEastAsia" w:hAnsi="Times New Roman" w:cs="Times New Roman"/>
        </w:rPr>
        <w:t xml:space="preserve">www.sjpas.com Applications of aluminum oxide and nano aluminum oxide as adsorbents: review. </w:t>
      </w:r>
      <w:r w:rsidRPr="003462A3">
        <w:rPr>
          <w:rFonts w:ascii="Times New Roman" w:eastAsiaTheme="minorEastAsia" w:hAnsi="Times New Roman" w:cs="Times New Roman"/>
          <w:i/>
        </w:rPr>
        <w:t>In Samarra J. Pure Appl. Sci</w:t>
      </w:r>
      <w:r w:rsidRPr="003462A3">
        <w:rPr>
          <w:rFonts w:ascii="Times New Roman" w:eastAsiaTheme="minorEastAsia" w:hAnsi="Times New Roman" w:cs="Times New Roman"/>
        </w:rPr>
        <w:t xml:space="preserve"> (Vol. 2, Issue 2). </w:t>
      </w:r>
      <w:hyperlink r:id="rId18" w:history="1">
        <w:r w:rsidRPr="003462A3">
          <w:rPr>
            <w:rStyle w:val="Hyperlink"/>
            <w:rFonts w:ascii="Times New Roman" w:eastAsiaTheme="minorEastAsia" w:hAnsi="Times New Roman" w:cs="Times New Roman"/>
          </w:rPr>
          <w:t>www.sjpas.com</w:t>
        </w:r>
      </w:hyperlink>
    </w:p>
    <w:p w:rsidR="00984CE4" w:rsidRPr="003462A3" w:rsidRDefault="00984CE4" w:rsidP="003462A3">
      <w:pPr>
        <w:jc w:val="both"/>
        <w:rPr>
          <w:rFonts w:ascii="Times New Roman" w:eastAsiaTheme="minorEastAsia" w:hAnsi="Times New Roman" w:cs="Times New Roman"/>
        </w:rPr>
      </w:pPr>
      <w:r w:rsidRPr="003462A3">
        <w:rPr>
          <w:rFonts w:ascii="Times New Roman" w:eastAsiaTheme="minorEastAsia" w:hAnsi="Times New Roman" w:cs="Times New Roman"/>
        </w:rPr>
        <w:t>[11]</w:t>
      </w:r>
      <w:r w:rsidR="003824F0" w:rsidRPr="003462A3">
        <w:rPr>
          <w:rFonts w:ascii="Times New Roman" w:eastAsiaTheme="minorEastAsia" w:hAnsi="Times New Roman" w:cs="Times New Roman"/>
        </w:rPr>
        <w:t xml:space="preserve"> Бранимир Гргур, (2018) </w:t>
      </w:r>
      <w:r w:rsidR="003824F0" w:rsidRPr="003462A3">
        <w:rPr>
          <w:rFonts w:ascii="Times New Roman" w:eastAsiaTheme="minorEastAsia" w:hAnsi="Times New Roman" w:cs="Times New Roman"/>
          <w:i/>
        </w:rPr>
        <w:t>Електорхемија</w:t>
      </w:r>
      <w:r w:rsidR="003824F0" w:rsidRPr="003462A3">
        <w:rPr>
          <w:rFonts w:ascii="Times New Roman" w:eastAsiaTheme="minorEastAsia" w:hAnsi="Times New Roman" w:cs="Times New Roman"/>
        </w:rPr>
        <w:t>, Зваод за уџбенике и наставна средства Београд</w:t>
      </w:r>
    </w:p>
    <w:p w:rsidR="003824F0" w:rsidRPr="003462A3" w:rsidRDefault="003824F0" w:rsidP="003462A3">
      <w:pPr>
        <w:jc w:val="both"/>
        <w:rPr>
          <w:rFonts w:ascii="Times New Roman" w:eastAsiaTheme="minorEastAsia" w:hAnsi="Times New Roman" w:cs="Times New Roman"/>
          <w:i/>
        </w:rPr>
      </w:pPr>
      <w:r w:rsidRPr="003462A3">
        <w:rPr>
          <w:rFonts w:ascii="Times New Roman" w:eastAsiaTheme="minorEastAsia" w:hAnsi="Times New Roman" w:cs="Times New Roman"/>
        </w:rPr>
        <w:t xml:space="preserve">[12] Vassilis J. Inglezakis, &amp;amp; Stavros G. Poulopoulos. (2006). </w:t>
      </w:r>
      <w:r w:rsidRPr="003462A3">
        <w:rPr>
          <w:rFonts w:ascii="Times New Roman" w:eastAsiaTheme="minorEastAsia" w:hAnsi="Times New Roman" w:cs="Times New Roman"/>
          <w:i/>
        </w:rPr>
        <w:t>Adsorption, Ion Exchange and Catalysis. Elsevier.</w:t>
      </w:r>
    </w:p>
    <w:p w:rsidR="003824F0" w:rsidRPr="003462A3" w:rsidRDefault="00000000" w:rsidP="003462A3">
      <w:pPr>
        <w:jc w:val="both"/>
        <w:rPr>
          <w:rFonts w:ascii="Times New Roman" w:eastAsiaTheme="minorEastAsia" w:hAnsi="Times New Roman" w:cs="Times New Roman"/>
        </w:rPr>
      </w:pPr>
      <w:hyperlink r:id="rId19" w:history="1">
        <w:r w:rsidR="003824F0" w:rsidRPr="003462A3">
          <w:rPr>
            <w:rStyle w:val="Hyperlink"/>
            <w:rFonts w:ascii="Times New Roman" w:eastAsiaTheme="minorEastAsia" w:hAnsi="Times New Roman" w:cs="Times New Roman"/>
          </w:rPr>
          <w:t>https://doi.org/10.1016/B978-0-444-52783-7.X5000-9</w:t>
        </w:r>
      </w:hyperlink>
    </w:p>
    <w:p w:rsidR="00984CE4" w:rsidRPr="003462A3" w:rsidRDefault="00FE6399" w:rsidP="003462A3">
      <w:pPr>
        <w:jc w:val="both"/>
        <w:rPr>
          <w:rFonts w:ascii="Times New Roman" w:eastAsiaTheme="minorEastAsia" w:hAnsi="Times New Roman" w:cs="Times New Roman"/>
          <w:lang w:val="sr-Latn-BA"/>
        </w:rPr>
      </w:pPr>
      <w:r w:rsidRPr="003462A3">
        <w:rPr>
          <w:rFonts w:ascii="Times New Roman" w:eastAsiaTheme="minorEastAsia" w:hAnsi="Times New Roman" w:cs="Times New Roman"/>
        </w:rPr>
        <w:t>[1</w:t>
      </w:r>
      <w:r>
        <w:rPr>
          <w:rFonts w:ascii="Times New Roman" w:eastAsiaTheme="minorEastAsia" w:hAnsi="Times New Roman" w:cs="Times New Roman"/>
          <w:lang w:val="sr-Latn-RS"/>
        </w:rPr>
        <w:t>3</w:t>
      </w:r>
      <w:r w:rsidRPr="003462A3">
        <w:rPr>
          <w:rFonts w:ascii="Times New Roman" w:eastAsiaTheme="minorEastAsia" w:hAnsi="Times New Roman" w:cs="Times New Roman"/>
        </w:rPr>
        <w:t xml:space="preserve">] </w:t>
      </w:r>
      <w:r w:rsidR="00CD1D89" w:rsidRPr="00CD1D89">
        <w:rPr>
          <w:rFonts w:ascii="Times New Roman" w:eastAsiaTheme="minorEastAsia" w:hAnsi="Times New Roman" w:cs="Times New Roman"/>
        </w:rPr>
        <w:t xml:space="preserve">Damjanovic, Vladimir, Radislav Filipovic, Zoran Obrenovic, Mitar Perusic, Dusko Kostic, Slavko Smiljanic, and Srecko Stopic. </w:t>
      </w:r>
      <w:r w:rsidR="00CD1D89">
        <w:rPr>
          <w:rFonts w:ascii="Times New Roman" w:eastAsiaTheme="minorEastAsia" w:hAnsi="Times New Roman" w:cs="Times New Roman"/>
          <w:lang w:val="sr-Latn-RS"/>
        </w:rPr>
        <w:t>(</w:t>
      </w:r>
      <w:r w:rsidR="00CD1D89" w:rsidRPr="00CD1D89">
        <w:rPr>
          <w:rFonts w:ascii="Times New Roman" w:eastAsiaTheme="minorEastAsia" w:hAnsi="Times New Roman" w:cs="Times New Roman"/>
        </w:rPr>
        <w:t>2023</w:t>
      </w:r>
      <w:r w:rsidR="00CD1D89">
        <w:rPr>
          <w:rFonts w:ascii="Times New Roman" w:eastAsiaTheme="minorEastAsia" w:hAnsi="Times New Roman" w:cs="Times New Roman"/>
          <w:lang w:val="sr-Latn-RS"/>
        </w:rPr>
        <w:t>)</w:t>
      </w:r>
      <w:r w:rsidR="00CD1D89" w:rsidRPr="00CD1D89">
        <w:rPr>
          <w:rFonts w:ascii="Times New Roman" w:eastAsiaTheme="minorEastAsia" w:hAnsi="Times New Roman" w:cs="Times New Roman"/>
        </w:rPr>
        <w:t xml:space="preserve">. </w:t>
      </w:r>
      <w:r w:rsidR="00CD1D89" w:rsidRPr="00CD1D89">
        <w:rPr>
          <w:rFonts w:ascii="Times New Roman" w:eastAsiaTheme="minorEastAsia" w:hAnsi="Times New Roman" w:cs="Times New Roman"/>
          <w:i/>
          <w:iCs/>
        </w:rPr>
        <w:t>Influence of Process Parameters in Three-Stage Purification of Aluminate Solution and Aluminum Hydroxide</w:t>
      </w:r>
      <w:r w:rsidR="00CD1D89">
        <w:rPr>
          <w:rFonts w:ascii="Times New Roman" w:eastAsiaTheme="minorEastAsia" w:hAnsi="Times New Roman" w:cs="Times New Roman"/>
          <w:lang w:val="sr-Latn-RS"/>
        </w:rPr>
        <w:t>,</w:t>
      </w:r>
      <w:r w:rsidR="00CD1D89" w:rsidRPr="00CD1D89">
        <w:rPr>
          <w:rFonts w:ascii="Times New Roman" w:eastAsiaTheme="minorEastAsia" w:hAnsi="Times New Roman" w:cs="Times New Roman"/>
        </w:rPr>
        <w:t> </w:t>
      </w:r>
      <w:r w:rsidR="00CD1D89" w:rsidRPr="00CD1D89">
        <w:rPr>
          <w:rFonts w:ascii="Times New Roman" w:eastAsiaTheme="minorEastAsia" w:hAnsi="Times New Roman" w:cs="Times New Roman"/>
          <w:i/>
          <w:iCs/>
        </w:rPr>
        <w:t>Metals</w:t>
      </w:r>
      <w:r w:rsidR="00CD1D89" w:rsidRPr="00CD1D89">
        <w:rPr>
          <w:rFonts w:ascii="Times New Roman" w:eastAsiaTheme="minorEastAsia" w:hAnsi="Times New Roman" w:cs="Times New Roman"/>
        </w:rPr>
        <w:t> 13, no. 11: 1816. https://doi.org/10.3390/met13111816</w:t>
      </w:r>
    </w:p>
    <w:p w:rsidR="00984CE4" w:rsidRPr="003462A3" w:rsidRDefault="00984CE4" w:rsidP="003462A3">
      <w:pPr>
        <w:jc w:val="both"/>
        <w:rPr>
          <w:rFonts w:ascii="Times New Roman" w:eastAsiaTheme="minorEastAsia" w:hAnsi="Times New Roman" w:cs="Times New Roman"/>
          <w:lang w:val="sr-Latn-BA"/>
        </w:rPr>
      </w:pPr>
    </w:p>
    <w:sectPr w:rsidR="00984CE4" w:rsidRPr="003462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5F19" w:rsidRDefault="000E5F19" w:rsidP="00373F12">
      <w:pPr>
        <w:spacing w:after="0" w:line="240" w:lineRule="auto"/>
      </w:pPr>
      <w:r>
        <w:separator/>
      </w:r>
    </w:p>
  </w:endnote>
  <w:endnote w:type="continuationSeparator" w:id="0">
    <w:p w:rsidR="000E5F19" w:rsidRDefault="000E5F19" w:rsidP="0037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5F19" w:rsidRDefault="000E5F19" w:rsidP="00373F12">
      <w:pPr>
        <w:spacing w:after="0" w:line="240" w:lineRule="auto"/>
      </w:pPr>
      <w:r>
        <w:separator/>
      </w:r>
    </w:p>
  </w:footnote>
  <w:footnote w:type="continuationSeparator" w:id="0">
    <w:p w:rsidR="000E5F19" w:rsidRDefault="000E5F19" w:rsidP="00373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4180A"/>
    <w:multiLevelType w:val="hybridMultilevel"/>
    <w:tmpl w:val="E8DCE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6777EC"/>
    <w:multiLevelType w:val="hybridMultilevel"/>
    <w:tmpl w:val="A322F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3698469">
    <w:abstractNumId w:val="0"/>
  </w:num>
  <w:num w:numId="2" w16cid:durableId="1765149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FBC"/>
    <w:rsid w:val="00003D1D"/>
    <w:rsid w:val="00003FBC"/>
    <w:rsid w:val="00077527"/>
    <w:rsid w:val="000D5163"/>
    <w:rsid w:val="000E5F19"/>
    <w:rsid w:val="00117340"/>
    <w:rsid w:val="00170E1F"/>
    <w:rsid w:val="001A5160"/>
    <w:rsid w:val="001E1DA4"/>
    <w:rsid w:val="001F0BF0"/>
    <w:rsid w:val="00244895"/>
    <w:rsid w:val="002A1BEA"/>
    <w:rsid w:val="002B5207"/>
    <w:rsid w:val="002C6CA9"/>
    <w:rsid w:val="002F3126"/>
    <w:rsid w:val="003022B8"/>
    <w:rsid w:val="0033746D"/>
    <w:rsid w:val="003462A3"/>
    <w:rsid w:val="00373F12"/>
    <w:rsid w:val="003824F0"/>
    <w:rsid w:val="00382F2B"/>
    <w:rsid w:val="00393EEA"/>
    <w:rsid w:val="003C3875"/>
    <w:rsid w:val="003D5F51"/>
    <w:rsid w:val="00406234"/>
    <w:rsid w:val="00415AC3"/>
    <w:rsid w:val="004B35AE"/>
    <w:rsid w:val="00517A92"/>
    <w:rsid w:val="00532571"/>
    <w:rsid w:val="00595E5E"/>
    <w:rsid w:val="005E5326"/>
    <w:rsid w:val="005F15C7"/>
    <w:rsid w:val="006A779F"/>
    <w:rsid w:val="00750050"/>
    <w:rsid w:val="007C55C4"/>
    <w:rsid w:val="007D7A23"/>
    <w:rsid w:val="00822B64"/>
    <w:rsid w:val="00830B32"/>
    <w:rsid w:val="008A2CB9"/>
    <w:rsid w:val="008B0CCA"/>
    <w:rsid w:val="008F1242"/>
    <w:rsid w:val="00942FF8"/>
    <w:rsid w:val="00951CD6"/>
    <w:rsid w:val="00965DC0"/>
    <w:rsid w:val="00980B11"/>
    <w:rsid w:val="00984CE4"/>
    <w:rsid w:val="009C7006"/>
    <w:rsid w:val="00A666F4"/>
    <w:rsid w:val="00AF481F"/>
    <w:rsid w:val="00BF1C13"/>
    <w:rsid w:val="00BF770A"/>
    <w:rsid w:val="00C20C29"/>
    <w:rsid w:val="00C22BDE"/>
    <w:rsid w:val="00CD1D89"/>
    <w:rsid w:val="00D40A76"/>
    <w:rsid w:val="00D456C2"/>
    <w:rsid w:val="00D673A4"/>
    <w:rsid w:val="00E00380"/>
    <w:rsid w:val="00EB2079"/>
    <w:rsid w:val="00F21FF0"/>
    <w:rsid w:val="00F574E6"/>
    <w:rsid w:val="00FE6399"/>
    <w:rsid w:val="00FF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7020"/>
  <w15:chartTrackingRefBased/>
  <w15:docId w15:val="{E72279F5-A807-4FF6-AF3B-D4AE503D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81F"/>
    <w:rPr>
      <w:noProof/>
      <w:lang w:val="sr-Cyrl-B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56C2"/>
    <w:rPr>
      <w:color w:val="808080"/>
    </w:rPr>
  </w:style>
  <w:style w:type="paragraph" w:styleId="ListParagraph">
    <w:name w:val="List Paragraph"/>
    <w:basedOn w:val="Normal"/>
    <w:uiPriority w:val="34"/>
    <w:qFormat/>
    <w:rsid w:val="00942FF8"/>
    <w:pPr>
      <w:ind w:left="720"/>
      <w:contextualSpacing/>
    </w:pPr>
  </w:style>
  <w:style w:type="character" w:styleId="Hyperlink">
    <w:name w:val="Hyperlink"/>
    <w:basedOn w:val="DefaultParagraphFont"/>
    <w:uiPriority w:val="99"/>
    <w:unhideWhenUsed/>
    <w:rsid w:val="00984CE4"/>
    <w:rPr>
      <w:color w:val="0563C1" w:themeColor="hyperlink"/>
      <w:u w:val="single"/>
    </w:rPr>
  </w:style>
  <w:style w:type="paragraph" w:styleId="Header">
    <w:name w:val="header"/>
    <w:basedOn w:val="Normal"/>
    <w:link w:val="HeaderChar"/>
    <w:uiPriority w:val="99"/>
    <w:unhideWhenUsed/>
    <w:rsid w:val="00373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F12"/>
    <w:rPr>
      <w:noProof/>
      <w:lang w:val="sr-Cyrl-BA"/>
    </w:rPr>
  </w:style>
  <w:style w:type="paragraph" w:styleId="Footer">
    <w:name w:val="footer"/>
    <w:basedOn w:val="Normal"/>
    <w:link w:val="FooterChar"/>
    <w:uiPriority w:val="99"/>
    <w:unhideWhenUsed/>
    <w:rsid w:val="00373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F12"/>
    <w:rPr>
      <w:noProof/>
      <w:lang w:val="sr-Cyrl-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png"/><Relationship Id="rId18" Type="http://schemas.openxmlformats.org/officeDocument/2006/relationships/hyperlink" Target="http://www.sjpas.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image" Target="media/image2.png"/><Relationship Id="rId17" Type="http://schemas.openxmlformats.org/officeDocument/2006/relationships/hyperlink" Target="https://doi.org/10.4172/2157-7587.1000119" TargetMode="External"/><Relationship Id="rId2" Type="http://schemas.openxmlformats.org/officeDocument/2006/relationships/styles" Target="styles.xml"/><Relationship Id="rId16" Type="http://schemas.openxmlformats.org/officeDocument/2006/relationships/hyperlink" Target="https://www.academia.edu/62430532/Review_on_alumina_trihydrate_precipitation_mechanisms_and_effect_of_Bayer_impurities_on_hydrate_particle_growth_rat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researchgate.net/publication/313650783_Structural_properties_and_surface_characteristics_on_aluminum_oxide_powders/citations" TargetMode="External"/><Relationship Id="rId10" Type="http://schemas.openxmlformats.org/officeDocument/2006/relationships/chart" Target="charts/chart4.xml"/><Relationship Id="rId19" Type="http://schemas.openxmlformats.org/officeDocument/2006/relationships/hyperlink" Target="https://doi.org/10.1016/B978-0-444-52783-7.X5000-9"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704881535676507"/>
          <c:y val="4.2666666666666665E-2"/>
          <c:w val="0.65181748571479159"/>
          <c:h val="0.73716829396325456"/>
        </c:manualLayout>
      </c:layout>
      <c:lineChart>
        <c:grouping val="standard"/>
        <c:varyColors val="0"/>
        <c:ser>
          <c:idx val="2"/>
          <c:order val="1"/>
          <c:tx>
            <c:v>Л.уље</c:v>
          </c:tx>
          <c:spPr>
            <a:ln w="28575" cap="rnd">
              <a:solidFill>
                <a:srgbClr val="FF00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Word]Sheet7'!$C$14:$C$18</c:f>
              <c:numCache>
                <c:formatCode>General</c:formatCode>
                <c:ptCount val="5"/>
                <c:pt idx="0">
                  <c:v>6.75</c:v>
                </c:pt>
                <c:pt idx="1">
                  <c:v>6.69</c:v>
                </c:pt>
                <c:pt idx="2">
                  <c:v>7.26</c:v>
                </c:pt>
                <c:pt idx="3">
                  <c:v>7.59</c:v>
                </c:pt>
                <c:pt idx="4">
                  <c:v>7.87</c:v>
                </c:pt>
              </c:numCache>
            </c:numRef>
          </c:cat>
          <c:val>
            <c:numRef>
              <c:f>'[Chart in Microsoft Word]Sheet7'!$D$14:$D$18</c:f>
              <c:numCache>
                <c:formatCode>General</c:formatCode>
                <c:ptCount val="5"/>
                <c:pt idx="0">
                  <c:v>50</c:v>
                </c:pt>
                <c:pt idx="1">
                  <c:v>50.4</c:v>
                </c:pt>
                <c:pt idx="2">
                  <c:v>51.2</c:v>
                </c:pt>
                <c:pt idx="3">
                  <c:v>53</c:v>
                </c:pt>
                <c:pt idx="4">
                  <c:v>54</c:v>
                </c:pt>
              </c:numCache>
            </c:numRef>
          </c:val>
          <c:smooth val="0"/>
          <c:extLst>
            <c:ext xmlns:c16="http://schemas.microsoft.com/office/drawing/2014/chart" uri="{C3380CC4-5D6E-409C-BE32-E72D297353CC}">
              <c16:uniqueId val="{00000000-1BE5-E743-81D1-DC58FB8821DD}"/>
            </c:ext>
          </c:extLst>
        </c:ser>
        <c:ser>
          <c:idx val="3"/>
          <c:order val="2"/>
          <c:tx>
            <c:v>О.киселина</c:v>
          </c:tx>
          <c:spPr>
            <a:ln w="28575" cap="rnd">
              <a:solidFill>
                <a:schemeClr val="accent1">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Word]Sheet7'!$C$14:$C$18</c:f>
              <c:numCache>
                <c:formatCode>General</c:formatCode>
                <c:ptCount val="5"/>
                <c:pt idx="0">
                  <c:v>6.75</c:v>
                </c:pt>
                <c:pt idx="1">
                  <c:v>6.69</c:v>
                </c:pt>
                <c:pt idx="2">
                  <c:v>7.26</c:v>
                </c:pt>
                <c:pt idx="3">
                  <c:v>7.59</c:v>
                </c:pt>
                <c:pt idx="4">
                  <c:v>7.87</c:v>
                </c:pt>
              </c:numCache>
            </c:numRef>
          </c:cat>
          <c:val>
            <c:numRef>
              <c:f>'[Chart in Microsoft Word]Sheet7'!$E$14:$E$18</c:f>
              <c:numCache>
                <c:formatCode>General</c:formatCode>
                <c:ptCount val="5"/>
                <c:pt idx="0">
                  <c:v>46</c:v>
                </c:pt>
                <c:pt idx="1">
                  <c:v>47</c:v>
                </c:pt>
                <c:pt idx="2">
                  <c:v>47</c:v>
                </c:pt>
                <c:pt idx="3">
                  <c:v>48</c:v>
                </c:pt>
                <c:pt idx="4">
                  <c:v>48</c:v>
                </c:pt>
              </c:numCache>
            </c:numRef>
          </c:val>
          <c:smooth val="0"/>
          <c:extLst>
            <c:ext xmlns:c16="http://schemas.microsoft.com/office/drawing/2014/chart" uri="{C3380CC4-5D6E-409C-BE32-E72D297353CC}">
              <c16:uniqueId val="{00000001-1BE5-E743-81D1-DC58FB8821DD}"/>
            </c:ext>
          </c:extLst>
        </c:ser>
        <c:dLbls>
          <c:showLegendKey val="0"/>
          <c:showVal val="0"/>
          <c:showCatName val="0"/>
          <c:showSerName val="0"/>
          <c:showPercent val="0"/>
          <c:showBubbleSize val="0"/>
        </c:dLbls>
        <c:marker val="1"/>
        <c:smooth val="0"/>
        <c:axId val="498735632"/>
        <c:axId val="498737872"/>
      </c:lineChart>
      <c:lineChart>
        <c:grouping val="standard"/>
        <c:varyColors val="0"/>
        <c:ser>
          <c:idx val="0"/>
          <c:order val="0"/>
          <c:tx>
            <c:v>Каустични модул</c:v>
          </c:tx>
          <c:spPr>
            <a:ln w="28575" cap="rnd">
              <a:solidFill>
                <a:schemeClr val="accent6">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Word]Sheet7'!$C$14:$C$18</c:f>
              <c:numCache>
                <c:formatCode>General</c:formatCode>
                <c:ptCount val="5"/>
                <c:pt idx="0">
                  <c:v>6.75</c:v>
                </c:pt>
                <c:pt idx="1">
                  <c:v>6.69</c:v>
                </c:pt>
                <c:pt idx="2">
                  <c:v>7.26</c:v>
                </c:pt>
                <c:pt idx="3">
                  <c:v>7.59</c:v>
                </c:pt>
                <c:pt idx="4">
                  <c:v>7.87</c:v>
                </c:pt>
              </c:numCache>
            </c:numRef>
          </c:cat>
          <c:val>
            <c:numRef>
              <c:f>'[Chart in Microsoft Word]Sheet7'!$B$14:$B$18</c:f>
              <c:numCache>
                <c:formatCode>General</c:formatCode>
                <c:ptCount val="5"/>
                <c:pt idx="0">
                  <c:v>1.5</c:v>
                </c:pt>
                <c:pt idx="1">
                  <c:v>1.44</c:v>
                </c:pt>
                <c:pt idx="2">
                  <c:v>1.43</c:v>
                </c:pt>
                <c:pt idx="3">
                  <c:v>1.34</c:v>
                </c:pt>
                <c:pt idx="4" formatCode="0.00">
                  <c:v>1.29</c:v>
                </c:pt>
              </c:numCache>
            </c:numRef>
          </c:val>
          <c:smooth val="0"/>
          <c:extLst>
            <c:ext xmlns:c16="http://schemas.microsoft.com/office/drawing/2014/chart" uri="{C3380CC4-5D6E-409C-BE32-E72D297353CC}">
              <c16:uniqueId val="{00000002-1BE5-E743-81D1-DC58FB8821DD}"/>
            </c:ext>
          </c:extLst>
        </c:ser>
        <c:dLbls>
          <c:showLegendKey val="0"/>
          <c:showVal val="0"/>
          <c:showCatName val="0"/>
          <c:showSerName val="0"/>
          <c:showPercent val="0"/>
          <c:showBubbleSize val="0"/>
        </c:dLbls>
        <c:marker val="1"/>
        <c:smooth val="0"/>
        <c:axId val="498746272"/>
        <c:axId val="498743472"/>
      </c:lineChart>
      <c:catAx>
        <c:axId val="49873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37872"/>
        <c:crosses val="autoZero"/>
        <c:auto val="1"/>
        <c:lblAlgn val="ctr"/>
        <c:lblOffset val="100"/>
        <c:noMultiLvlLbl val="0"/>
      </c:catAx>
      <c:valAx>
        <c:axId val="498737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a:latin typeface="Times New Roman" panose="02020603050405020304" pitchFamily="18" charset="0"/>
                    <a:cs typeface="Times New Roman" panose="02020603050405020304" pitchFamily="18" charset="0"/>
                  </a:rPr>
                  <a:t>Сорпција</a:t>
                </a:r>
                <a:r>
                  <a:rPr lang="sr-Cyrl-RS" baseline="0">
                    <a:latin typeface="Times New Roman" panose="02020603050405020304" pitchFamily="18" charset="0"/>
                    <a:cs typeface="Times New Roman" panose="02020603050405020304" pitchFamily="18" charset="0"/>
                  </a:rPr>
                  <a:t> уља [</a:t>
                </a:r>
                <a:r>
                  <a:rPr lang="sr-Latn-RS" baseline="0">
                    <a:latin typeface="Times New Roman" panose="02020603050405020304" pitchFamily="18" charset="0"/>
                    <a:cs typeface="Times New Roman" panose="02020603050405020304" pitchFamily="18" charset="0"/>
                  </a:rPr>
                  <a:t>ml/100g</a:t>
                </a:r>
                <a:r>
                  <a:rPr lang="sr-Cyrl-RS" baseline="0">
                    <a:latin typeface="Times New Roman" panose="02020603050405020304" pitchFamily="18" charset="0"/>
                    <a:cs typeface="Times New Roman" panose="02020603050405020304" pitchFamily="18" charset="0"/>
                  </a:rPr>
                  <a:t>]</a:t>
                </a:r>
                <a:endParaRPr lang="en-US">
                  <a:latin typeface="Times New Roman" panose="02020603050405020304" pitchFamily="18" charset="0"/>
                  <a:cs typeface="Times New Roman" panose="02020603050405020304" pitchFamily="18" charset="0"/>
                </a:endParaRPr>
              </a:p>
            </c:rich>
          </c:tx>
          <c:layout>
            <c:manualLayout>
              <c:xMode val="edge"/>
              <c:yMode val="edge"/>
              <c:x val="0.15630351084163258"/>
              <c:y val="0.229228694479488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35632"/>
        <c:crosses val="autoZero"/>
        <c:crossBetween val="between"/>
      </c:valAx>
      <c:valAx>
        <c:axId val="498743472"/>
        <c:scaling>
          <c:orientation val="minMax"/>
        </c:scaling>
        <c:delete val="0"/>
        <c:axPos val="r"/>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K</a:t>
                </a:r>
                <a:r>
                  <a:rPr lang="sr-Latn-RS">
                    <a:latin typeface="Times New Roman" panose="02020603050405020304" pitchFamily="18" charset="0"/>
                    <a:cs typeface="Times New Roman" panose="02020603050405020304" pitchFamily="18" charset="0"/>
                  </a:rPr>
                  <a:t>a</a:t>
                </a:r>
                <a:r>
                  <a:rPr lang="sr-Cyrl-RS">
                    <a:latin typeface="Times New Roman" panose="02020603050405020304" pitchFamily="18" charset="0"/>
                    <a:cs typeface="Times New Roman" panose="02020603050405020304" pitchFamily="18" charset="0"/>
                  </a:rPr>
                  <a:t>устични</a:t>
                </a:r>
                <a:r>
                  <a:rPr lang="sr-Cyrl-RS" baseline="0">
                    <a:latin typeface="Times New Roman" panose="02020603050405020304" pitchFamily="18" charset="0"/>
                    <a:cs typeface="Times New Roman" panose="02020603050405020304" pitchFamily="18" charset="0"/>
                  </a:rPr>
                  <a:t> модул </a:t>
                </a:r>
                <a:r>
                  <a:rPr lang="sr-Latn-BA" sz="1000" b="0" i="0" u="none" strike="noStrike" baseline="0">
                    <a:effectLst/>
                    <a:latin typeface="Times New Roman" panose="02020603050405020304" pitchFamily="18" charset="0"/>
                    <a:cs typeface="Times New Roman" panose="02020603050405020304" pitchFamily="18" charset="0"/>
                  </a:rPr>
                  <a:t>α</a:t>
                </a:r>
                <a:r>
                  <a:rPr lang="sr-Latn-BA" sz="1000" b="0" i="0" u="none" strike="noStrike" baseline="-25000">
                    <a:effectLst/>
                    <a:latin typeface="Times New Roman" panose="02020603050405020304" pitchFamily="18" charset="0"/>
                    <a:cs typeface="Times New Roman" panose="02020603050405020304" pitchFamily="18" charset="0"/>
                  </a:rPr>
                  <a:t>k</a:t>
                </a:r>
                <a:r>
                  <a:rPr lang="sr-Cyrl-RS" baseline="0">
                    <a:latin typeface="Times New Roman" panose="02020603050405020304" pitchFamily="18" charset="0"/>
                    <a:cs typeface="Times New Roman" panose="02020603050405020304" pitchFamily="18" charset="0"/>
                  </a:rPr>
                  <a:t> </a:t>
                </a:r>
                <a:endParaRPr lang="en-US">
                  <a:latin typeface="Times New Roman" panose="02020603050405020304" pitchFamily="18" charset="0"/>
                  <a:cs typeface="Times New Roman" panose="02020603050405020304" pitchFamily="18" charset="0"/>
                </a:endParaRPr>
              </a:p>
            </c:rich>
          </c:tx>
          <c:layout>
            <c:manualLayout>
              <c:xMode val="edge"/>
              <c:yMode val="edge"/>
              <c:x val="0.96203485800230026"/>
              <c:y val="0.28450797022806168"/>
            </c:manualLayout>
          </c:layout>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46272"/>
        <c:crosses val="max"/>
        <c:crossBetween val="between"/>
      </c:valAx>
      <c:catAx>
        <c:axId val="498746272"/>
        <c:scaling>
          <c:orientation val="minMax"/>
        </c:scaling>
        <c:delete val="1"/>
        <c:axPos val="b"/>
        <c:numFmt formatCode="General" sourceLinked="1"/>
        <c:majorTickMark val="out"/>
        <c:minorTickMark val="none"/>
        <c:tickLblPos val="nextTo"/>
        <c:crossAx val="498743472"/>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381944444444445"/>
          <c:y val="4.1240777106251542E-2"/>
          <c:w val="0.63607464729559404"/>
          <c:h val="0.7294686469276086"/>
        </c:manualLayout>
      </c:layout>
      <c:lineChart>
        <c:grouping val="standard"/>
        <c:varyColors val="0"/>
        <c:ser>
          <c:idx val="2"/>
          <c:order val="2"/>
          <c:tx>
            <c:v>Л.уље</c:v>
          </c:tx>
          <c:spPr>
            <a:ln w="28575" cap="rnd">
              <a:solidFill>
                <a:srgbClr val="FF00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Word]Sheet5'!$F$6:$F$10</c:f>
              <c:numCache>
                <c:formatCode>General</c:formatCode>
                <c:ptCount val="5"/>
                <c:pt idx="0">
                  <c:v>5.54</c:v>
                </c:pt>
                <c:pt idx="1">
                  <c:v>5.96</c:v>
                </c:pt>
                <c:pt idx="2">
                  <c:v>6.04</c:v>
                </c:pt>
                <c:pt idx="3">
                  <c:v>6.65</c:v>
                </c:pt>
                <c:pt idx="4">
                  <c:v>7.06</c:v>
                </c:pt>
              </c:numCache>
            </c:numRef>
          </c:cat>
          <c:val>
            <c:numRef>
              <c:f>'[Chart in Microsoft Word]Sheet5'!$C$15:$C$19</c:f>
              <c:numCache>
                <c:formatCode>General</c:formatCode>
                <c:ptCount val="5"/>
                <c:pt idx="0">
                  <c:v>53.6</c:v>
                </c:pt>
                <c:pt idx="1">
                  <c:v>53.6</c:v>
                </c:pt>
                <c:pt idx="2">
                  <c:v>54</c:v>
                </c:pt>
                <c:pt idx="3">
                  <c:v>54.4</c:v>
                </c:pt>
                <c:pt idx="4">
                  <c:v>55.2</c:v>
                </c:pt>
              </c:numCache>
            </c:numRef>
          </c:val>
          <c:smooth val="0"/>
          <c:extLst>
            <c:ext xmlns:c16="http://schemas.microsoft.com/office/drawing/2014/chart" uri="{C3380CC4-5D6E-409C-BE32-E72D297353CC}">
              <c16:uniqueId val="{00000000-D959-E442-978B-5A19D097D0E4}"/>
            </c:ext>
          </c:extLst>
        </c:ser>
        <c:ser>
          <c:idx val="3"/>
          <c:order val="3"/>
          <c:tx>
            <c:v>О.киселина</c:v>
          </c:tx>
          <c:spPr>
            <a:ln w="28575" cap="rnd">
              <a:solidFill>
                <a:schemeClr val="accent1">
                  <a:lumMod val="5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Word]Sheet5'!$F$6:$F$10</c:f>
              <c:numCache>
                <c:formatCode>General</c:formatCode>
                <c:ptCount val="5"/>
                <c:pt idx="0">
                  <c:v>5.54</c:v>
                </c:pt>
                <c:pt idx="1">
                  <c:v>5.96</c:v>
                </c:pt>
                <c:pt idx="2">
                  <c:v>6.04</c:v>
                </c:pt>
                <c:pt idx="3">
                  <c:v>6.65</c:v>
                </c:pt>
                <c:pt idx="4">
                  <c:v>7.06</c:v>
                </c:pt>
              </c:numCache>
            </c:numRef>
          </c:cat>
          <c:val>
            <c:numRef>
              <c:f>'[Chart in Microsoft Word]Sheet5'!$D$15:$D$19</c:f>
              <c:numCache>
                <c:formatCode>General</c:formatCode>
                <c:ptCount val="5"/>
                <c:pt idx="0">
                  <c:v>44</c:v>
                </c:pt>
                <c:pt idx="1">
                  <c:v>46</c:v>
                </c:pt>
                <c:pt idx="2">
                  <c:v>46</c:v>
                </c:pt>
                <c:pt idx="3">
                  <c:v>48</c:v>
                </c:pt>
                <c:pt idx="4">
                  <c:v>48</c:v>
                </c:pt>
              </c:numCache>
            </c:numRef>
          </c:val>
          <c:smooth val="0"/>
          <c:extLst>
            <c:ext xmlns:c16="http://schemas.microsoft.com/office/drawing/2014/chart" uri="{C3380CC4-5D6E-409C-BE32-E72D297353CC}">
              <c16:uniqueId val="{00000001-D959-E442-978B-5A19D097D0E4}"/>
            </c:ext>
          </c:extLst>
        </c:ser>
        <c:dLbls>
          <c:showLegendKey val="0"/>
          <c:showVal val="0"/>
          <c:showCatName val="0"/>
          <c:showSerName val="0"/>
          <c:showPercent val="0"/>
          <c:showBubbleSize val="0"/>
        </c:dLbls>
        <c:marker val="1"/>
        <c:smooth val="0"/>
        <c:axId val="498734512"/>
        <c:axId val="498737312"/>
        <c:extLst>
          <c:ext xmlns:c15="http://schemas.microsoft.com/office/drawing/2012/chart" uri="{02D57815-91ED-43cb-92C2-25804820EDAC}">
            <c15:filteredLineSeries>
              <c15:ser>
                <c:idx val="1"/>
                <c:order val="1"/>
                <c:spPr>
                  <a:ln w="28575" cap="rnd">
                    <a:solidFill>
                      <a:schemeClr val="accent2"/>
                    </a:solidFill>
                    <a:round/>
                  </a:ln>
                  <a:effectLst/>
                </c:spPr>
                <c:marker>
                  <c:symbol val="none"/>
                </c:marker>
                <c:cat>
                  <c:numRef>
                    <c:extLst>
                      <c:ext uri="{02D57815-91ED-43cb-92C2-25804820EDAC}">
                        <c15:formulaRef>
                          <c15:sqref>'[Chart in Microsoft Word]Sheet5'!$F$6:$F$10</c15:sqref>
                        </c15:formulaRef>
                      </c:ext>
                    </c:extLst>
                    <c:numCache>
                      <c:formatCode>General</c:formatCode>
                      <c:ptCount val="5"/>
                      <c:pt idx="0">
                        <c:v>5.54</c:v>
                      </c:pt>
                      <c:pt idx="1">
                        <c:v>5.96</c:v>
                      </c:pt>
                      <c:pt idx="2">
                        <c:v>6.04</c:v>
                      </c:pt>
                      <c:pt idx="3">
                        <c:v>6.65</c:v>
                      </c:pt>
                      <c:pt idx="4">
                        <c:v>7.06</c:v>
                      </c:pt>
                    </c:numCache>
                  </c:numRef>
                </c:cat>
                <c:val>
                  <c:numRef>
                    <c:extLst>
                      <c:ext uri="{02D57815-91ED-43cb-92C2-25804820EDAC}">
                        <c15:formulaRef>
                          <c15:sqref>'[Chart in Microsoft Word]Sheet5'!$B$15:$B$19</c15:sqref>
                        </c15:formulaRef>
                      </c:ext>
                    </c:extLst>
                    <c:numCache>
                      <c:formatCode>General</c:formatCode>
                      <c:ptCount val="5"/>
                      <c:pt idx="0">
                        <c:v>5.54</c:v>
                      </c:pt>
                      <c:pt idx="1">
                        <c:v>5.96</c:v>
                      </c:pt>
                      <c:pt idx="2">
                        <c:v>6.04</c:v>
                      </c:pt>
                      <c:pt idx="3">
                        <c:v>6.65</c:v>
                      </c:pt>
                      <c:pt idx="4">
                        <c:v>7.06</c:v>
                      </c:pt>
                    </c:numCache>
                  </c:numRef>
                </c:val>
                <c:smooth val="0"/>
                <c:extLst>
                  <c:ext xmlns:c16="http://schemas.microsoft.com/office/drawing/2014/chart" uri="{C3380CC4-5D6E-409C-BE32-E72D297353CC}">
                    <c16:uniqueId val="{00000003-D959-E442-978B-5A19D097D0E4}"/>
                  </c:ext>
                </c:extLst>
              </c15:ser>
            </c15:filteredLineSeries>
          </c:ext>
        </c:extLst>
      </c:lineChart>
      <c:lineChart>
        <c:grouping val="standard"/>
        <c:varyColors val="0"/>
        <c:ser>
          <c:idx val="0"/>
          <c:order val="0"/>
          <c:tx>
            <c:v>Концетрација Na2Ok</c:v>
          </c:tx>
          <c:spPr>
            <a:ln w="28575" cap="rnd">
              <a:solidFill>
                <a:schemeClr val="accent6">
                  <a:lumMod val="5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Word]Sheet5'!$F$6:$F$10</c:f>
              <c:numCache>
                <c:formatCode>General</c:formatCode>
                <c:ptCount val="5"/>
                <c:pt idx="0">
                  <c:v>5.54</c:v>
                </c:pt>
                <c:pt idx="1">
                  <c:v>5.96</c:v>
                </c:pt>
                <c:pt idx="2">
                  <c:v>6.04</c:v>
                </c:pt>
                <c:pt idx="3">
                  <c:v>6.65</c:v>
                </c:pt>
                <c:pt idx="4">
                  <c:v>7.06</c:v>
                </c:pt>
              </c:numCache>
            </c:numRef>
          </c:cat>
          <c:val>
            <c:numRef>
              <c:f>'[Chart in Microsoft Word]Sheet5'!$A$15:$A$19</c:f>
              <c:numCache>
                <c:formatCode>General</c:formatCode>
                <c:ptCount val="5"/>
                <c:pt idx="0">
                  <c:v>140</c:v>
                </c:pt>
                <c:pt idx="1">
                  <c:v>120</c:v>
                </c:pt>
                <c:pt idx="2">
                  <c:v>90</c:v>
                </c:pt>
                <c:pt idx="3">
                  <c:v>70</c:v>
                </c:pt>
                <c:pt idx="4">
                  <c:v>50</c:v>
                </c:pt>
              </c:numCache>
            </c:numRef>
          </c:val>
          <c:smooth val="0"/>
          <c:extLst>
            <c:ext xmlns:c16="http://schemas.microsoft.com/office/drawing/2014/chart" uri="{C3380CC4-5D6E-409C-BE32-E72D297353CC}">
              <c16:uniqueId val="{00000002-D959-E442-978B-5A19D097D0E4}"/>
            </c:ext>
          </c:extLst>
        </c:ser>
        <c:dLbls>
          <c:showLegendKey val="0"/>
          <c:showVal val="0"/>
          <c:showCatName val="0"/>
          <c:showSerName val="0"/>
          <c:showPercent val="0"/>
          <c:showBubbleSize val="0"/>
        </c:dLbls>
        <c:marker val="1"/>
        <c:smooth val="0"/>
        <c:axId val="498739552"/>
        <c:axId val="498731712"/>
      </c:lineChart>
      <c:catAx>
        <c:axId val="49873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37312"/>
        <c:crosses val="autoZero"/>
        <c:auto val="1"/>
        <c:lblAlgn val="ctr"/>
        <c:lblOffset val="100"/>
        <c:noMultiLvlLbl val="0"/>
      </c:catAx>
      <c:valAx>
        <c:axId val="498737312"/>
        <c:scaling>
          <c:orientation val="minMax"/>
          <c:max val="56"/>
          <c:min val="4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Cyrl-RS"/>
                  <a:t>Сорпција</a:t>
                </a:r>
                <a:r>
                  <a:rPr lang="sr-Cyrl-RS" baseline="0"/>
                  <a:t> уља </a:t>
                </a:r>
                <a:r>
                  <a:rPr lang="sr-Cyrl-RS" baseline="0">
                    <a:latin typeface="Calibri" panose="020F0502020204030204" pitchFamily="34" charset="0"/>
                  </a:rPr>
                  <a:t>[</a:t>
                </a:r>
                <a:r>
                  <a:rPr lang="sr-Latn-RS" baseline="0">
                    <a:latin typeface="Calibri" panose="020F0502020204030204" pitchFamily="34" charset="0"/>
                  </a:rPr>
                  <a:t>ml/100g</a:t>
                </a:r>
                <a:r>
                  <a:rPr lang="sr-Cyrl-RS" baseline="0">
                    <a:latin typeface="Calibri" panose="020F0502020204030204" pitchFamily="34" charset="0"/>
                  </a:rPr>
                  <a:t>]</a:t>
                </a:r>
                <a:endParaRPr lang="en-US"/>
              </a:p>
            </c:rich>
          </c:tx>
          <c:layout>
            <c:manualLayout>
              <c:xMode val="edge"/>
              <c:yMode val="edge"/>
              <c:x val="0.19287480631186163"/>
              <c:y val="0.2780682923109188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B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34512"/>
        <c:crosses val="autoZero"/>
        <c:crossBetween val="between"/>
      </c:valAx>
      <c:valAx>
        <c:axId val="498731712"/>
        <c:scaling>
          <c:orientation val="minMax"/>
          <c:max val="180"/>
          <c:min val="40"/>
        </c:scaling>
        <c:delete val="0"/>
        <c:axPos val="r"/>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RS"/>
                  <a:t>Ko</a:t>
                </a:r>
                <a:r>
                  <a:rPr lang="sr-Cyrl-RS"/>
                  <a:t>нцетрација  </a:t>
                </a:r>
                <a:r>
                  <a:rPr lang="sr-Latn-RS"/>
                  <a:t>Na₂O</a:t>
                </a:r>
                <a:r>
                  <a:rPr lang="sr-Cyrl-RS"/>
                  <a:t>к</a:t>
                </a:r>
                <a:r>
                  <a:rPr lang="en-US"/>
                  <a:t> </a:t>
                </a:r>
                <a:r>
                  <a:rPr lang="en-US">
                    <a:latin typeface="Calibri" panose="020F0502020204030204" pitchFamily="34" charset="0"/>
                  </a:rPr>
                  <a:t>[g/l]</a:t>
                </a:r>
                <a:endParaRPr lang="en-US"/>
              </a:p>
            </c:rich>
          </c:tx>
          <c:layout>
            <c:manualLayout>
              <c:xMode val="edge"/>
              <c:yMode val="edge"/>
              <c:x val="0.96488360641666782"/>
              <c:y val="0.27186313575209881"/>
            </c:manualLayout>
          </c:layout>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BA"/>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A"/>
          </a:p>
        </c:txPr>
        <c:crossAx val="498739552"/>
        <c:crosses val="max"/>
        <c:crossBetween val="between"/>
      </c:valAx>
      <c:catAx>
        <c:axId val="498739552"/>
        <c:scaling>
          <c:orientation val="minMax"/>
        </c:scaling>
        <c:delete val="1"/>
        <c:axPos val="b"/>
        <c:numFmt formatCode="General" sourceLinked="1"/>
        <c:majorTickMark val="out"/>
        <c:minorTickMark val="none"/>
        <c:tickLblPos val="nextTo"/>
        <c:crossAx val="498731712"/>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020307557709134"/>
          <c:y val="3.5378797989234392E-2"/>
          <c:w val="0.71745894444939129"/>
          <c:h val="0.74539891553103899"/>
        </c:manualLayout>
      </c:layout>
      <c:lineChart>
        <c:grouping val="standard"/>
        <c:varyColors val="0"/>
        <c:ser>
          <c:idx val="2"/>
          <c:order val="2"/>
          <c:tx>
            <c:v>Л.уље</c:v>
          </c:tx>
          <c:spPr>
            <a:ln w="28575" cap="rnd">
              <a:solidFill>
                <a:srgbClr val="FF0000"/>
              </a:solidFill>
              <a:round/>
            </a:ln>
            <a:effectLst/>
          </c:spPr>
          <c:marker>
            <c:symbol val="circle"/>
            <c:size val="5"/>
            <c:spPr>
              <a:no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Word]Sheet2'!$F$11:$F$20</c:f>
              <c:numCache>
                <c:formatCode>General</c:formatCode>
                <c:ptCount val="10"/>
                <c:pt idx="0">
                  <c:v>3.59</c:v>
                </c:pt>
                <c:pt idx="1">
                  <c:v>4.05</c:v>
                </c:pt>
                <c:pt idx="2">
                  <c:v>4.25</c:v>
                </c:pt>
                <c:pt idx="3">
                  <c:v>5.21</c:v>
                </c:pt>
                <c:pt idx="4">
                  <c:v>5.87</c:v>
                </c:pt>
                <c:pt idx="5">
                  <c:v>5.91</c:v>
                </c:pt>
                <c:pt idx="6">
                  <c:v>7.2</c:v>
                </c:pt>
                <c:pt idx="7">
                  <c:v>7.58</c:v>
                </c:pt>
                <c:pt idx="8">
                  <c:v>9.77</c:v>
                </c:pt>
                <c:pt idx="9">
                  <c:v>9.91</c:v>
                </c:pt>
              </c:numCache>
            </c:numRef>
          </c:cat>
          <c:val>
            <c:numRef>
              <c:f>'[Chart in Microsoft Word]Sheet2'!$G$11:$G$20</c:f>
              <c:numCache>
                <c:formatCode>General</c:formatCode>
                <c:ptCount val="10"/>
                <c:pt idx="0">
                  <c:v>34</c:v>
                </c:pt>
                <c:pt idx="1">
                  <c:v>36.700000000000003</c:v>
                </c:pt>
                <c:pt idx="2">
                  <c:v>37.4</c:v>
                </c:pt>
                <c:pt idx="3">
                  <c:v>37.700000000000003</c:v>
                </c:pt>
                <c:pt idx="4">
                  <c:v>39.200000000000003</c:v>
                </c:pt>
                <c:pt idx="5">
                  <c:v>39.4</c:v>
                </c:pt>
                <c:pt idx="6">
                  <c:v>41.6</c:v>
                </c:pt>
                <c:pt idx="7">
                  <c:v>43.2</c:v>
                </c:pt>
                <c:pt idx="8">
                  <c:v>55.2</c:v>
                </c:pt>
                <c:pt idx="9">
                  <c:v>59.2</c:v>
                </c:pt>
              </c:numCache>
            </c:numRef>
          </c:val>
          <c:smooth val="0"/>
          <c:extLst>
            <c:ext xmlns:c16="http://schemas.microsoft.com/office/drawing/2014/chart" uri="{C3380CC4-5D6E-409C-BE32-E72D297353CC}">
              <c16:uniqueId val="{00000000-57A7-42A5-95A7-EB2504FD7054}"/>
            </c:ext>
          </c:extLst>
        </c:ser>
        <c:ser>
          <c:idx val="3"/>
          <c:order val="3"/>
          <c:tx>
            <c:v>О.киселина</c:v>
          </c:tx>
          <c:spPr>
            <a:ln w="28575" cap="rnd">
              <a:solidFill>
                <a:srgbClr val="5B9BD5">
                  <a:lumMod val="75000"/>
                </a:srgbClr>
              </a:solidFill>
              <a:round/>
            </a:ln>
            <a:effectLst/>
          </c:spPr>
          <c:marker>
            <c:symbol val="circle"/>
            <c:size val="5"/>
            <c:spPr>
              <a:no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Word]Sheet2'!$F$11:$F$20</c:f>
              <c:numCache>
                <c:formatCode>General</c:formatCode>
                <c:ptCount val="10"/>
                <c:pt idx="0">
                  <c:v>3.59</c:v>
                </c:pt>
                <c:pt idx="1">
                  <c:v>4.05</c:v>
                </c:pt>
                <c:pt idx="2">
                  <c:v>4.25</c:v>
                </c:pt>
                <c:pt idx="3">
                  <c:v>5.21</c:v>
                </c:pt>
                <c:pt idx="4">
                  <c:v>5.87</c:v>
                </c:pt>
                <c:pt idx="5">
                  <c:v>5.91</c:v>
                </c:pt>
                <c:pt idx="6">
                  <c:v>7.2</c:v>
                </c:pt>
                <c:pt idx="7">
                  <c:v>7.58</c:v>
                </c:pt>
                <c:pt idx="8">
                  <c:v>9.77</c:v>
                </c:pt>
                <c:pt idx="9">
                  <c:v>9.91</c:v>
                </c:pt>
              </c:numCache>
            </c:numRef>
          </c:cat>
          <c:val>
            <c:numRef>
              <c:f>'[Chart in Microsoft Word]Sheet2'!$H$11:$H$20</c:f>
              <c:numCache>
                <c:formatCode>General</c:formatCode>
                <c:ptCount val="10"/>
                <c:pt idx="0">
                  <c:v>32</c:v>
                </c:pt>
                <c:pt idx="1">
                  <c:v>33</c:v>
                </c:pt>
                <c:pt idx="2">
                  <c:v>34</c:v>
                </c:pt>
                <c:pt idx="3">
                  <c:v>34.5</c:v>
                </c:pt>
                <c:pt idx="4">
                  <c:v>36</c:v>
                </c:pt>
                <c:pt idx="5">
                  <c:v>36</c:v>
                </c:pt>
                <c:pt idx="6">
                  <c:v>37</c:v>
                </c:pt>
                <c:pt idx="7">
                  <c:v>38</c:v>
                </c:pt>
                <c:pt idx="8">
                  <c:v>52</c:v>
                </c:pt>
                <c:pt idx="9">
                  <c:v>54</c:v>
                </c:pt>
              </c:numCache>
            </c:numRef>
          </c:val>
          <c:smooth val="0"/>
          <c:extLst>
            <c:ext xmlns:c16="http://schemas.microsoft.com/office/drawing/2014/chart" uri="{C3380CC4-5D6E-409C-BE32-E72D297353CC}">
              <c16:uniqueId val="{00000001-57A7-42A5-95A7-EB2504FD7054}"/>
            </c:ext>
          </c:extLst>
        </c:ser>
        <c:dLbls>
          <c:showLegendKey val="0"/>
          <c:showVal val="0"/>
          <c:showCatName val="0"/>
          <c:showSerName val="0"/>
          <c:showPercent val="0"/>
          <c:showBubbleSize val="0"/>
        </c:dLbls>
        <c:marker val="1"/>
        <c:smooth val="0"/>
        <c:axId val="825111712"/>
        <c:axId val="825111152"/>
        <c:extLst>
          <c:ext xmlns:c15="http://schemas.microsoft.com/office/drawing/2012/chart" uri="{02D57815-91ED-43cb-92C2-25804820EDAC}">
            <c15:filteredLineSeries>
              <c15:ser>
                <c:idx val="1"/>
                <c:order val="1"/>
                <c:tx>
                  <c:strRef>
                    <c:extLst>
                      <c:ext uri="{02D57815-91ED-43cb-92C2-25804820EDAC}">
                        <c15:formulaRef>
                          <c15:sqref>'[Chart in Microsoft Word]Sheet1'!$B$1</c15:sqref>
                        </c15:formulaRef>
                      </c:ext>
                    </c:extLst>
                    <c:strCache>
                      <c:ptCount val="1"/>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c:ext uri="{02D57815-91ED-43cb-92C2-25804820EDAC}">
                        <c15:formulaRef>
                          <c15:sqref>'[Chart in Microsoft Word]Sheet2'!$F$11:$F$20</c15:sqref>
                        </c15:formulaRef>
                      </c:ext>
                    </c:extLst>
                    <c:numCache>
                      <c:formatCode>General</c:formatCode>
                      <c:ptCount val="10"/>
                      <c:pt idx="0">
                        <c:v>3.59</c:v>
                      </c:pt>
                      <c:pt idx="1">
                        <c:v>4.05</c:v>
                      </c:pt>
                      <c:pt idx="2">
                        <c:v>4.25</c:v>
                      </c:pt>
                      <c:pt idx="3">
                        <c:v>5.21</c:v>
                      </c:pt>
                      <c:pt idx="4">
                        <c:v>5.87</c:v>
                      </c:pt>
                      <c:pt idx="5">
                        <c:v>5.91</c:v>
                      </c:pt>
                      <c:pt idx="6">
                        <c:v>7.2</c:v>
                      </c:pt>
                      <c:pt idx="7">
                        <c:v>7.58</c:v>
                      </c:pt>
                      <c:pt idx="8">
                        <c:v>9.77</c:v>
                      </c:pt>
                      <c:pt idx="9">
                        <c:v>9.91</c:v>
                      </c:pt>
                    </c:numCache>
                  </c:numRef>
                </c:cat>
                <c:val>
                  <c:numRef>
                    <c:extLst>
                      <c:ext uri="{02D57815-91ED-43cb-92C2-25804820EDAC}">
                        <c15:formulaRef>
                          <c15:sqref>'[Chart in Microsoft Word]Sheet1'!$B$2:$B$11</c15:sqref>
                        </c15:formulaRef>
                      </c:ext>
                    </c:extLst>
                    <c:numCache>
                      <c:formatCode>General</c:formatCode>
                      <c:ptCount val="10"/>
                      <c:pt idx="4">
                        <c:v>0</c:v>
                      </c:pt>
                      <c:pt idx="6">
                        <c:v>1</c:v>
                      </c:pt>
                      <c:pt idx="7">
                        <c:v>2</c:v>
                      </c:pt>
                      <c:pt idx="8">
                        <c:v>3</c:v>
                      </c:pt>
                      <c:pt idx="9">
                        <c:v>4</c:v>
                      </c:pt>
                    </c:numCache>
                  </c:numRef>
                </c:val>
                <c:smooth val="0"/>
                <c:extLst>
                  <c:ext xmlns:c16="http://schemas.microsoft.com/office/drawing/2014/chart" uri="{C3380CC4-5D6E-409C-BE32-E72D297353CC}">
                    <c16:uniqueId val="{00000003-57A7-42A5-95A7-EB2504FD7054}"/>
                  </c:ext>
                </c:extLst>
              </c15:ser>
            </c15:filteredLineSeries>
          </c:ext>
        </c:extLst>
      </c:lineChart>
      <c:lineChart>
        <c:grouping val="standard"/>
        <c:varyColors val="0"/>
        <c:ser>
          <c:idx val="0"/>
          <c:order val="0"/>
          <c:tx>
            <c:v>БЕТ цјепива</c:v>
          </c:tx>
          <c:spPr>
            <a:ln w="28575" cap="rnd">
              <a:solidFill>
                <a:srgbClr val="70AD47">
                  <a:lumMod val="75000"/>
                </a:srgbClr>
              </a:solidFill>
              <a:round/>
            </a:ln>
            <a:effectLst/>
          </c:spPr>
          <c:marker>
            <c:symbol val="circle"/>
            <c:size val="5"/>
            <c:spPr>
              <a:no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Word]Sheet2'!$F$11:$F$20</c:f>
              <c:numCache>
                <c:formatCode>General</c:formatCode>
                <c:ptCount val="10"/>
                <c:pt idx="0">
                  <c:v>3.59</c:v>
                </c:pt>
                <c:pt idx="1">
                  <c:v>4.05</c:v>
                </c:pt>
                <c:pt idx="2">
                  <c:v>4.25</c:v>
                </c:pt>
                <c:pt idx="3">
                  <c:v>5.21</c:v>
                </c:pt>
                <c:pt idx="4">
                  <c:v>5.87</c:v>
                </c:pt>
                <c:pt idx="5">
                  <c:v>5.91</c:v>
                </c:pt>
                <c:pt idx="6">
                  <c:v>7.2</c:v>
                </c:pt>
                <c:pt idx="7">
                  <c:v>7.58</c:v>
                </c:pt>
                <c:pt idx="8">
                  <c:v>9.77</c:v>
                </c:pt>
                <c:pt idx="9">
                  <c:v>9.91</c:v>
                </c:pt>
              </c:numCache>
            </c:numRef>
          </c:cat>
          <c:val>
            <c:numRef>
              <c:f>'[Chart in Microsoft Word]Sheet2'!$D$11:$D$20</c:f>
              <c:numCache>
                <c:formatCode>General</c:formatCode>
                <c:ptCount val="10"/>
                <c:pt idx="0">
                  <c:v>50.22</c:v>
                </c:pt>
                <c:pt idx="1">
                  <c:v>50.22</c:v>
                </c:pt>
                <c:pt idx="2">
                  <c:v>48.5</c:v>
                </c:pt>
                <c:pt idx="3">
                  <c:v>48</c:v>
                </c:pt>
                <c:pt idx="4">
                  <c:v>39.82</c:v>
                </c:pt>
                <c:pt idx="5">
                  <c:v>39.82</c:v>
                </c:pt>
                <c:pt idx="6">
                  <c:v>203</c:v>
                </c:pt>
                <c:pt idx="7">
                  <c:v>271</c:v>
                </c:pt>
                <c:pt idx="8">
                  <c:v>354.3</c:v>
                </c:pt>
                <c:pt idx="9">
                  <c:v>436</c:v>
                </c:pt>
              </c:numCache>
            </c:numRef>
          </c:val>
          <c:smooth val="0"/>
          <c:extLst>
            <c:ext xmlns:c16="http://schemas.microsoft.com/office/drawing/2014/chart" uri="{C3380CC4-5D6E-409C-BE32-E72D297353CC}">
              <c16:uniqueId val="{00000002-57A7-42A5-95A7-EB2504FD7054}"/>
            </c:ext>
          </c:extLst>
        </c:ser>
        <c:dLbls>
          <c:showLegendKey val="0"/>
          <c:showVal val="0"/>
          <c:showCatName val="0"/>
          <c:showSerName val="0"/>
          <c:showPercent val="0"/>
          <c:showBubbleSize val="0"/>
        </c:dLbls>
        <c:marker val="1"/>
        <c:smooth val="0"/>
        <c:axId val="825092672"/>
        <c:axId val="825093232"/>
      </c:lineChart>
      <c:catAx>
        <c:axId val="82511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111152"/>
        <c:crosses val="autoZero"/>
        <c:auto val="1"/>
        <c:lblAlgn val="ctr"/>
        <c:lblOffset val="100"/>
        <c:noMultiLvlLbl val="0"/>
      </c:catAx>
      <c:valAx>
        <c:axId val="825111152"/>
        <c:scaling>
          <c:orientation val="minMax"/>
          <c:max val="65"/>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sz="1000" baseline="0">
                    <a:latin typeface="Times New Roman" panose="02020603050405020304" pitchFamily="18" charset="0"/>
                    <a:cs typeface="Times New Roman" panose="02020603050405020304" pitchFamily="18" charset="0"/>
                  </a:rPr>
                  <a:t>Сорпција уља</a:t>
                </a:r>
                <a:r>
                  <a:rPr lang="en-US" sz="1000" baseline="0">
                    <a:latin typeface="Times New Roman" panose="02020603050405020304" pitchFamily="18" charset="0"/>
                    <a:cs typeface="Times New Roman" panose="02020603050405020304" pitchFamily="18" charset="0"/>
                  </a:rPr>
                  <a:t> [ml/100g]</a:t>
                </a:r>
                <a:endParaRPr lang="en-US" sz="1000">
                  <a:latin typeface="Times New Roman" panose="02020603050405020304" pitchFamily="18" charset="0"/>
                  <a:cs typeface="Times New Roman" panose="02020603050405020304" pitchFamily="18" charset="0"/>
                </a:endParaRPr>
              </a:p>
            </c:rich>
          </c:tx>
          <c:layout>
            <c:manualLayout>
              <c:xMode val="edge"/>
              <c:yMode val="edge"/>
              <c:x val="0.10473014402611436"/>
              <c:y val="0.2808298484220572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111712"/>
        <c:crosses val="autoZero"/>
        <c:crossBetween val="between"/>
      </c:valAx>
      <c:valAx>
        <c:axId val="825093232"/>
        <c:scaling>
          <c:orientation val="minMax"/>
          <c:max val="450"/>
          <c:min val="0"/>
        </c:scaling>
        <c:delete val="0"/>
        <c:axPos val="r"/>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sz="1000" baseline="0">
                    <a:latin typeface="Times New Roman" panose="02020603050405020304" pitchFamily="18" charset="0"/>
                    <a:cs typeface="Times New Roman" panose="02020603050405020304" pitchFamily="18" charset="0"/>
                  </a:rPr>
                  <a:t>Специфична површина цјепива </a:t>
                </a:r>
                <a:r>
                  <a:rPr lang="en-US" sz="1000" baseline="0">
                    <a:latin typeface="Times New Roman" panose="02020603050405020304" pitchFamily="18" charset="0"/>
                    <a:cs typeface="Times New Roman" panose="02020603050405020304" pitchFamily="18" charset="0"/>
                  </a:rPr>
                  <a:t>[m</a:t>
                </a:r>
                <a:r>
                  <a:rPr lang="en-US" sz="1000" baseline="30000">
                    <a:latin typeface="Times New Roman" panose="02020603050405020304" pitchFamily="18" charset="0"/>
                    <a:cs typeface="Times New Roman" panose="02020603050405020304" pitchFamily="18" charset="0"/>
                  </a:rPr>
                  <a:t>2</a:t>
                </a:r>
                <a:r>
                  <a:rPr lang="en-US" sz="1000" baseline="0">
                    <a:latin typeface="Times New Roman" panose="02020603050405020304" pitchFamily="18" charset="0"/>
                    <a:cs typeface="Times New Roman" panose="02020603050405020304" pitchFamily="18" charset="0"/>
                  </a:rPr>
                  <a:t>/l]</a:t>
                </a:r>
                <a:endParaRPr lang="en-US" sz="1000">
                  <a:latin typeface="Times New Roman" panose="02020603050405020304" pitchFamily="18" charset="0"/>
                  <a:cs typeface="Times New Roman" panose="02020603050405020304" pitchFamily="18" charset="0"/>
                </a:endParaRPr>
              </a:p>
            </c:rich>
          </c:tx>
          <c:layout>
            <c:manualLayout>
              <c:xMode val="edge"/>
              <c:yMode val="edge"/>
              <c:x val="0.96600119102759219"/>
              <c:y val="0.201596386746073"/>
            </c:manualLayout>
          </c:layout>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092672"/>
        <c:crosses val="max"/>
        <c:crossBetween val="between"/>
      </c:valAx>
      <c:catAx>
        <c:axId val="825092672"/>
        <c:scaling>
          <c:orientation val="minMax"/>
        </c:scaling>
        <c:delete val="1"/>
        <c:axPos val="b"/>
        <c:numFmt formatCode="General" sourceLinked="1"/>
        <c:majorTickMark val="out"/>
        <c:minorTickMark val="none"/>
        <c:tickLblPos val="nextTo"/>
        <c:crossAx val="825093232"/>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dTable>
      <c:spPr>
        <a:noFill/>
        <a:ln>
          <a:solidFill>
            <a:schemeClr val="bg2">
              <a:lumMod val="90000"/>
            </a:schemeClr>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2"/>
          <c:order val="2"/>
          <c:tx>
            <c:v>Л.уље</c:v>
          </c:tx>
          <c:spPr>
            <a:ln w="28575" cap="rnd">
              <a:solidFill>
                <a:srgbClr val="FF0000"/>
              </a:solidFill>
              <a:round/>
            </a:ln>
            <a:effectLst/>
          </c:spPr>
          <c:marker>
            <c:symbol val="circle"/>
            <c:size val="5"/>
            <c:spPr>
              <a:no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Word]Sheet1'!$F$8:$F$16</c:f>
              <c:numCache>
                <c:formatCode>General</c:formatCode>
                <c:ptCount val="9"/>
                <c:pt idx="0">
                  <c:v>30</c:v>
                </c:pt>
                <c:pt idx="1">
                  <c:v>30</c:v>
                </c:pt>
                <c:pt idx="2">
                  <c:v>40</c:v>
                </c:pt>
                <c:pt idx="3">
                  <c:v>40</c:v>
                </c:pt>
                <c:pt idx="4">
                  <c:v>40</c:v>
                </c:pt>
                <c:pt idx="5">
                  <c:v>50</c:v>
                </c:pt>
                <c:pt idx="6">
                  <c:v>50</c:v>
                </c:pt>
                <c:pt idx="7">
                  <c:v>60</c:v>
                </c:pt>
                <c:pt idx="8">
                  <c:v>60</c:v>
                </c:pt>
              </c:numCache>
            </c:numRef>
          </c:cat>
          <c:val>
            <c:numRef>
              <c:f>'[Chart in Microsoft Word]Sheet1'!$I$8:$I$16</c:f>
              <c:numCache>
                <c:formatCode>General</c:formatCode>
                <c:ptCount val="9"/>
                <c:pt idx="0">
                  <c:v>48</c:v>
                </c:pt>
                <c:pt idx="1">
                  <c:v>48.6</c:v>
                </c:pt>
                <c:pt idx="2">
                  <c:v>48.8</c:v>
                </c:pt>
                <c:pt idx="3">
                  <c:v>48.6</c:v>
                </c:pt>
                <c:pt idx="4">
                  <c:v>49.6</c:v>
                </c:pt>
                <c:pt idx="5">
                  <c:v>49.2</c:v>
                </c:pt>
                <c:pt idx="6">
                  <c:v>49.2</c:v>
                </c:pt>
                <c:pt idx="7">
                  <c:v>48.8</c:v>
                </c:pt>
                <c:pt idx="8">
                  <c:v>49.6</c:v>
                </c:pt>
              </c:numCache>
            </c:numRef>
          </c:val>
          <c:smooth val="0"/>
          <c:extLst>
            <c:ext xmlns:c16="http://schemas.microsoft.com/office/drawing/2014/chart" uri="{C3380CC4-5D6E-409C-BE32-E72D297353CC}">
              <c16:uniqueId val="{00000000-E750-4AF2-ABF0-F0EF43CA01B0}"/>
            </c:ext>
          </c:extLst>
        </c:ser>
        <c:ser>
          <c:idx val="3"/>
          <c:order val="3"/>
          <c:tx>
            <c:v>О.киселина</c:v>
          </c:tx>
          <c:spPr>
            <a:ln w="28575" cap="rnd">
              <a:solidFill>
                <a:schemeClr val="accent1">
                  <a:lumMod val="75000"/>
                </a:schemeClr>
              </a:solidFill>
              <a:round/>
            </a:ln>
            <a:effectLst/>
          </c:spPr>
          <c:marker>
            <c:symbol val="circle"/>
            <c:size val="5"/>
            <c:spPr>
              <a:no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 in Microsoft Word]Sheet1'!$F$8:$F$16</c:f>
              <c:numCache>
                <c:formatCode>General</c:formatCode>
                <c:ptCount val="9"/>
                <c:pt idx="0">
                  <c:v>30</c:v>
                </c:pt>
                <c:pt idx="1">
                  <c:v>30</c:v>
                </c:pt>
                <c:pt idx="2">
                  <c:v>40</c:v>
                </c:pt>
                <c:pt idx="3">
                  <c:v>40</c:v>
                </c:pt>
                <c:pt idx="4">
                  <c:v>40</c:v>
                </c:pt>
                <c:pt idx="5">
                  <c:v>50</c:v>
                </c:pt>
                <c:pt idx="6">
                  <c:v>50</c:v>
                </c:pt>
                <c:pt idx="7">
                  <c:v>60</c:v>
                </c:pt>
                <c:pt idx="8">
                  <c:v>60</c:v>
                </c:pt>
              </c:numCache>
            </c:numRef>
          </c:cat>
          <c:val>
            <c:numRef>
              <c:f>'[Chart in Microsoft Word]Sheet1'!$K$8:$K$16</c:f>
              <c:numCache>
                <c:formatCode>General</c:formatCode>
                <c:ptCount val="9"/>
                <c:pt idx="0">
                  <c:v>40</c:v>
                </c:pt>
                <c:pt idx="1">
                  <c:v>42</c:v>
                </c:pt>
                <c:pt idx="2">
                  <c:v>42</c:v>
                </c:pt>
                <c:pt idx="3">
                  <c:v>42</c:v>
                </c:pt>
                <c:pt idx="4">
                  <c:v>43</c:v>
                </c:pt>
                <c:pt idx="5">
                  <c:v>43</c:v>
                </c:pt>
                <c:pt idx="6">
                  <c:v>43</c:v>
                </c:pt>
                <c:pt idx="7">
                  <c:v>44</c:v>
                </c:pt>
                <c:pt idx="8">
                  <c:v>42</c:v>
                </c:pt>
              </c:numCache>
            </c:numRef>
          </c:val>
          <c:smooth val="0"/>
          <c:extLst>
            <c:ext xmlns:c16="http://schemas.microsoft.com/office/drawing/2014/chart" uri="{C3380CC4-5D6E-409C-BE32-E72D297353CC}">
              <c16:uniqueId val="{00000001-E750-4AF2-ABF0-F0EF43CA01B0}"/>
            </c:ext>
          </c:extLst>
        </c:ser>
        <c:dLbls>
          <c:showLegendKey val="0"/>
          <c:showVal val="0"/>
          <c:showCatName val="0"/>
          <c:showSerName val="0"/>
          <c:showPercent val="0"/>
          <c:showBubbleSize val="0"/>
        </c:dLbls>
        <c:marker val="1"/>
        <c:smooth val="0"/>
        <c:axId val="825101072"/>
        <c:axId val="825113392"/>
        <c:extLst>
          <c:ext xmlns:c15="http://schemas.microsoft.com/office/drawing/2012/chart" uri="{02D57815-91ED-43cb-92C2-25804820EDAC}">
            <c15:filteredLineSeries>
              <c15:ser>
                <c:idx val="1"/>
                <c:order val="1"/>
                <c:tx>
                  <c:strRef>
                    <c:extLst>
                      <c:ext uri="{02D57815-91ED-43cb-92C2-25804820EDAC}">
                        <c15:formulaRef>
                          <c15:sqref>sulfati!$B$1</c15:sqref>
                        </c15:formulaRef>
                      </c:ext>
                    </c:extLst>
                    <c:strCache>
                      <c:ptCount val="1"/>
                      <c:pt idx="0">
                        <c:v>#REF!</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c:ext uri="{02D57815-91ED-43cb-92C2-25804820EDAC}">
                        <c15:formulaRef>
                          <c15:sqref>'[Chart in Microsoft Word]Sheet1'!$F$8:$F$16</c15:sqref>
                        </c15:formulaRef>
                      </c:ext>
                    </c:extLst>
                    <c:numCache>
                      <c:formatCode>General</c:formatCode>
                      <c:ptCount val="9"/>
                      <c:pt idx="0">
                        <c:v>30</c:v>
                      </c:pt>
                      <c:pt idx="1">
                        <c:v>30</c:v>
                      </c:pt>
                      <c:pt idx="2">
                        <c:v>40</c:v>
                      </c:pt>
                      <c:pt idx="3">
                        <c:v>40</c:v>
                      </c:pt>
                      <c:pt idx="4">
                        <c:v>40</c:v>
                      </c:pt>
                      <c:pt idx="5">
                        <c:v>50</c:v>
                      </c:pt>
                      <c:pt idx="6">
                        <c:v>50</c:v>
                      </c:pt>
                      <c:pt idx="7">
                        <c:v>60</c:v>
                      </c:pt>
                      <c:pt idx="8">
                        <c:v>60</c:v>
                      </c:pt>
                    </c:numCache>
                  </c:numRef>
                </c:cat>
                <c:val>
                  <c:numRef>
                    <c:extLst>
                      <c:ext uri="{02D57815-91ED-43cb-92C2-25804820EDAC}">
                        <c15:formulaRef>
                          <c15:sqref>sulfati!$B$2:$B$10</c15:sqref>
                        </c15:formulaRef>
                      </c:ext>
                    </c:extLst>
                    <c:numCache>
                      <c:formatCode>General</c:formatCode>
                      <c:ptCount val="9"/>
                      <c:pt idx="0">
                        <c:v>0</c:v>
                      </c:pt>
                      <c:pt idx="1">
                        <c:v>0</c:v>
                      </c:pt>
                      <c:pt idx="2">
                        <c:v>0</c:v>
                      </c:pt>
                      <c:pt idx="3">
                        <c:v>0</c:v>
                      </c:pt>
                      <c:pt idx="4">
                        <c:v>0</c:v>
                      </c:pt>
                      <c:pt idx="5">
                        <c:v>0</c:v>
                      </c:pt>
                      <c:pt idx="6">
                        <c:v>0</c:v>
                      </c:pt>
                      <c:pt idx="7">
                        <c:v>0</c:v>
                      </c:pt>
                      <c:pt idx="8">
                        <c:v>0</c:v>
                      </c:pt>
                    </c:numCache>
                  </c:numRef>
                </c:val>
                <c:smooth val="0"/>
                <c:extLst>
                  <c:ext xmlns:c16="http://schemas.microsoft.com/office/drawing/2014/chart" uri="{C3380CC4-5D6E-409C-BE32-E72D297353CC}">
                    <c16:uniqueId val="{00000003-E750-4AF2-ABF0-F0EF43CA01B0}"/>
                  </c:ext>
                </c:extLst>
              </c15:ser>
            </c15:filteredLineSeries>
          </c:ext>
        </c:extLst>
      </c:lineChart>
      <c:lineChart>
        <c:grouping val="standard"/>
        <c:varyColors val="0"/>
        <c:ser>
          <c:idx val="4"/>
          <c:order val="4"/>
          <c:tx>
            <c:v>БЕТ праха</c:v>
          </c:tx>
          <c:spPr>
            <a:ln w="28575" cap="rnd">
              <a:solidFill>
                <a:schemeClr val="accent6">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B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'[Chart in Microsoft Word]Sheet1'!$H$8:$H$16</c:f>
              <c:numCache>
                <c:formatCode>General</c:formatCode>
                <c:ptCount val="9"/>
                <c:pt idx="0">
                  <c:v>6.43</c:v>
                </c:pt>
                <c:pt idx="1">
                  <c:v>7.69</c:v>
                </c:pt>
                <c:pt idx="2">
                  <c:v>8.36</c:v>
                </c:pt>
                <c:pt idx="3">
                  <c:v>8.48</c:v>
                </c:pt>
                <c:pt idx="4">
                  <c:v>8.92</c:v>
                </c:pt>
                <c:pt idx="5">
                  <c:v>9.39</c:v>
                </c:pt>
                <c:pt idx="6">
                  <c:v>9.39</c:v>
                </c:pt>
                <c:pt idx="7">
                  <c:v>9.7200000000000006</c:v>
                </c:pt>
                <c:pt idx="8">
                  <c:v>12.3</c:v>
                </c:pt>
              </c:numCache>
            </c:numRef>
          </c:val>
          <c:smooth val="0"/>
          <c:extLst>
            <c:ext xmlns:c16="http://schemas.microsoft.com/office/drawing/2014/chart" uri="{C3380CC4-5D6E-409C-BE32-E72D297353CC}">
              <c16:uniqueId val="{00000005-E750-4AF2-ABF0-F0EF43CA01B0}"/>
            </c:ext>
          </c:extLst>
        </c:ser>
        <c:dLbls>
          <c:showLegendKey val="0"/>
          <c:showVal val="0"/>
          <c:showCatName val="0"/>
          <c:showSerName val="0"/>
          <c:showPercent val="0"/>
          <c:showBubbleSize val="0"/>
        </c:dLbls>
        <c:marker val="1"/>
        <c:smooth val="0"/>
        <c:axId val="825097152"/>
        <c:axId val="825104992"/>
        <c:extLst>
          <c:ext xmlns:c15="http://schemas.microsoft.com/office/drawing/2012/chart" uri="{02D57815-91ED-43cb-92C2-25804820EDAC}">
            <c15:filteredLineSeries>
              <c15:ser>
                <c:idx val="0"/>
                <c:order val="0"/>
                <c:tx>
                  <c:v>Količina sulfata</c:v>
                </c:tx>
                <c:spPr>
                  <a:ln w="28575" cap="rnd">
                    <a:solidFill>
                      <a:schemeClr val="accent6"/>
                    </a:solidFill>
                    <a:round/>
                  </a:ln>
                  <a:effectLst/>
                </c:spPr>
                <c:marker>
                  <c:symbol val="circle"/>
                  <c:size val="5"/>
                  <c:spPr>
                    <a:noFill/>
                    <a:ln w="9525">
                      <a:noFill/>
                    </a:ln>
                    <a:effectLst/>
                  </c:spPr>
                </c:marker>
                <c:cat>
                  <c:numRef>
                    <c:extLst>
                      <c:ext uri="{02D57815-91ED-43cb-92C2-25804820EDAC}">
                        <c15:formulaRef>
                          <c15:sqref>'[Chart in Microsoft Word]Sheet1'!$F$8:$F$16</c15:sqref>
                        </c15:formulaRef>
                      </c:ext>
                    </c:extLst>
                    <c:numCache>
                      <c:formatCode>General</c:formatCode>
                      <c:ptCount val="9"/>
                      <c:pt idx="0">
                        <c:v>30</c:v>
                      </c:pt>
                      <c:pt idx="1">
                        <c:v>30</c:v>
                      </c:pt>
                      <c:pt idx="2">
                        <c:v>40</c:v>
                      </c:pt>
                      <c:pt idx="3">
                        <c:v>40</c:v>
                      </c:pt>
                      <c:pt idx="4">
                        <c:v>40</c:v>
                      </c:pt>
                      <c:pt idx="5">
                        <c:v>50</c:v>
                      </c:pt>
                      <c:pt idx="6">
                        <c:v>50</c:v>
                      </c:pt>
                      <c:pt idx="7">
                        <c:v>60</c:v>
                      </c:pt>
                      <c:pt idx="8">
                        <c:v>60</c:v>
                      </c:pt>
                    </c:numCache>
                  </c:numRef>
                </c:cat>
                <c:val>
                  <c:numRef>
                    <c:extLst>
                      <c:ext uri="{02D57815-91ED-43cb-92C2-25804820EDAC}">
                        <c15:formulaRef>
                          <c15:sqref>sulfati!$A$2:$A$10</c15:sqref>
                        </c15:formulaRef>
                      </c:ext>
                    </c:extLst>
                    <c:numCache>
                      <c:formatCode>General</c:formatCode>
                      <c:ptCount val="9"/>
                      <c:pt idx="0">
                        <c:v>0</c:v>
                      </c:pt>
                      <c:pt idx="1">
                        <c:v>0</c:v>
                      </c:pt>
                      <c:pt idx="2">
                        <c:v>0</c:v>
                      </c:pt>
                      <c:pt idx="3">
                        <c:v>0</c:v>
                      </c:pt>
                      <c:pt idx="4">
                        <c:v>0</c:v>
                      </c:pt>
                      <c:pt idx="5">
                        <c:v>0</c:v>
                      </c:pt>
                      <c:pt idx="6">
                        <c:v>0</c:v>
                      </c:pt>
                      <c:pt idx="7">
                        <c:v>0</c:v>
                      </c:pt>
                      <c:pt idx="8">
                        <c:v>0</c:v>
                      </c:pt>
                    </c:numCache>
                  </c:numRef>
                </c:val>
                <c:smooth val="0"/>
                <c:extLst>
                  <c:ext xmlns:c16="http://schemas.microsoft.com/office/drawing/2014/chart" uri="{C3380CC4-5D6E-409C-BE32-E72D297353CC}">
                    <c16:uniqueId val="{00000002-E750-4AF2-ABF0-F0EF43CA01B0}"/>
                  </c:ext>
                </c:extLst>
              </c15:ser>
            </c15:filteredLineSeries>
          </c:ext>
        </c:extLst>
      </c:lineChart>
      <c:catAx>
        <c:axId val="82510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113392"/>
        <c:crosses val="autoZero"/>
        <c:auto val="1"/>
        <c:lblAlgn val="ctr"/>
        <c:lblOffset val="100"/>
        <c:noMultiLvlLbl val="0"/>
      </c:catAx>
      <c:valAx>
        <c:axId val="825113392"/>
        <c:scaling>
          <c:orientation val="minMax"/>
          <c:max val="52"/>
          <c:min val="3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sz="1000"/>
                  <a:t>Сорпција</a:t>
                </a:r>
                <a:r>
                  <a:rPr lang="sr-Cyrl-RS" sz="1000" baseline="0"/>
                  <a:t> уља</a:t>
                </a:r>
                <a:r>
                  <a:rPr lang="en-US" sz="1000"/>
                  <a:t> [ml/100g]</a:t>
                </a:r>
              </a:p>
            </c:rich>
          </c:tx>
          <c:layout>
            <c:manualLayout>
              <c:xMode val="edge"/>
              <c:yMode val="edge"/>
              <c:x val="0.11170603674540683"/>
              <c:y val="0.2564315006643161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101072"/>
        <c:crosses val="autoZero"/>
        <c:crossBetween val="between"/>
      </c:valAx>
      <c:valAx>
        <c:axId val="825104992"/>
        <c:scaling>
          <c:orientation val="minMax"/>
          <c:min val="0"/>
        </c:scaling>
        <c:delete val="0"/>
        <c:axPos val="r"/>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sz="1000"/>
                  <a:t>Специфична</a:t>
                </a:r>
                <a:r>
                  <a:rPr lang="sr-Cyrl-RS" sz="1000" baseline="0"/>
                  <a:t> површина праха </a:t>
                </a:r>
                <a:r>
                  <a:rPr lang="sr-Cyrl-RS" sz="1000" baseline="0">
                    <a:latin typeface="Calibri" panose="020F0502020204030204" pitchFamily="34" charset="0"/>
                  </a:rPr>
                  <a:t>[</a:t>
                </a:r>
                <a:r>
                  <a:rPr lang="sr-Latn-RS" sz="1000" baseline="0"/>
                  <a:t>m</a:t>
                </a:r>
                <a:r>
                  <a:rPr lang="sr-Latn-RS" sz="1000" baseline="0">
                    <a:latin typeface="Calibri" panose="020F0502020204030204" pitchFamily="34" charset="0"/>
                  </a:rPr>
                  <a:t>²/g]</a:t>
                </a:r>
                <a:endParaRPr lang="en-US" sz="1000"/>
              </a:p>
            </c:rich>
          </c:tx>
          <c:layout>
            <c:manualLayout>
              <c:xMode val="edge"/>
              <c:yMode val="edge"/>
              <c:x val="0.93841880341880346"/>
              <c:y val="0.17451930543013755"/>
            </c:manualLayout>
          </c:layout>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crossAx val="825097152"/>
        <c:crosses val="max"/>
        <c:crossBetween val="between"/>
      </c:valAx>
      <c:catAx>
        <c:axId val="825097152"/>
        <c:scaling>
          <c:orientation val="minMax"/>
        </c:scaling>
        <c:delete val="1"/>
        <c:axPos val="b"/>
        <c:numFmt formatCode="General" sourceLinked="1"/>
        <c:majorTickMark val="out"/>
        <c:minorTickMark val="none"/>
        <c:tickLblPos val="nextTo"/>
        <c:crossAx val="825104992"/>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BA"/>
          </a:p>
        </c:txPr>
      </c:dTable>
      <c:spPr>
        <a:noFill/>
        <a:ln>
          <a:solidFill>
            <a:schemeClr val="bg2">
              <a:lumMod val="90000"/>
            </a:schemeClr>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B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.~WRD0001</Template>
  <TotalTime>21</TotalTime>
  <Pages>10</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Eva Perusic</cp:lastModifiedBy>
  <cp:revision>8</cp:revision>
  <dcterms:created xsi:type="dcterms:W3CDTF">2024-06-21T08:06:00Z</dcterms:created>
  <dcterms:modified xsi:type="dcterms:W3CDTF">2024-06-21T08:50:00Z</dcterms:modified>
</cp:coreProperties>
</file>