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542" w:rsidRDefault="006F2542" w:rsidP="006F2542">
      <w:pPr>
        <w:jc w:val="center"/>
        <w:rPr>
          <w:rFonts w:ascii="Times New Roman" w:hAnsi="Times New Roman" w:cs="Times New Roman"/>
          <w:sz w:val="32"/>
          <w:szCs w:val="32"/>
          <w:lang w:val="sr-Latn-BA"/>
        </w:rPr>
      </w:pPr>
      <w:r>
        <w:rPr>
          <w:rFonts w:ascii="Times New Roman" w:hAnsi="Times New Roman" w:cs="Times New Roman"/>
          <w:sz w:val="32"/>
          <w:szCs w:val="32"/>
          <w:lang w:val="sr-Latn-BA"/>
        </w:rPr>
        <w:t>KOŠTANA REGENERACIJA VILIČNIH KOSTIJU</w:t>
      </w:r>
    </w:p>
    <w:p w:rsidR="006F2542" w:rsidRPr="005C69F4" w:rsidRDefault="006F2542" w:rsidP="006F2542">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p>
    <w:p w:rsidR="006F2542" w:rsidRPr="005C69F4" w:rsidRDefault="006F2542" w:rsidP="006F2542">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p>
    <w:p w:rsidR="006F2542" w:rsidRPr="005C69F4" w:rsidRDefault="006F2542" w:rsidP="006F2542">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Univerzitet u Banjoj Luci, Medicinski fakultet, studijski program Dentalna medicina</w:t>
      </w:r>
    </w:p>
    <w:p w:rsidR="006F2542" w:rsidRPr="006F2542" w:rsidRDefault="006F2542" w:rsidP="006F2542">
      <w:pPr>
        <w:rPr>
          <w:rFonts w:ascii="Times New Roman" w:hAnsi="Times New Roman" w:cs="Times New Roman"/>
          <w:lang w:val="sr-Latn-BA"/>
        </w:rPr>
      </w:pPr>
    </w:p>
    <w:p w:rsidR="006F2542" w:rsidRDefault="006F2542" w:rsidP="006F2542">
      <w:pPr>
        <w:rPr>
          <w:rFonts w:ascii="Times New Roman" w:hAnsi="Times New Roman" w:cs="Times New Roman"/>
          <w:sz w:val="32"/>
          <w:szCs w:val="32"/>
          <w:lang w:val="sr-Latn-BA"/>
        </w:rPr>
      </w:pPr>
    </w:p>
    <w:p w:rsidR="006F2542" w:rsidRPr="008F39F3" w:rsidRDefault="006F2542" w:rsidP="006F2542">
      <w:pPr>
        <w:jc w:val="both"/>
        <w:rPr>
          <w:rFonts w:ascii="Times New Roman" w:hAnsi="Times New Roman" w:cs="Times New Roman"/>
          <w:b/>
          <w:sz w:val="32"/>
          <w:szCs w:val="32"/>
          <w:lang w:val="sr-Latn-BA"/>
        </w:rPr>
      </w:pPr>
      <w:r w:rsidRPr="008F39F3">
        <w:rPr>
          <w:rFonts w:ascii="Times New Roman" w:hAnsi="Times New Roman" w:cs="Times New Roman"/>
          <w:b/>
          <w:sz w:val="32"/>
          <w:szCs w:val="32"/>
          <w:lang w:val="sr-Latn-BA"/>
        </w:rPr>
        <w:t>SAŽETAK</w:t>
      </w:r>
    </w:p>
    <w:p w:rsidR="006F2542" w:rsidRPr="00535E5B" w:rsidRDefault="006F2542" w:rsidP="006F2542">
      <w:pPr>
        <w:jc w:val="both"/>
        <w:rPr>
          <w:rFonts w:ascii="Times New Roman" w:hAnsi="Times New Roman" w:cs="Times New Roman"/>
          <w:sz w:val="24"/>
          <w:szCs w:val="24"/>
          <w:lang w:val="sr-Latn-BA"/>
        </w:rPr>
      </w:pPr>
      <w:r w:rsidRPr="00535E5B">
        <w:rPr>
          <w:rFonts w:ascii="Times New Roman" w:hAnsi="Times New Roman" w:cs="Times New Roman"/>
          <w:sz w:val="24"/>
          <w:szCs w:val="24"/>
          <w:lang w:val="sr-Latn-BA"/>
        </w:rPr>
        <w:t>Kost posjeduje iznimnu</w:t>
      </w:r>
      <w:r>
        <w:rPr>
          <w:rFonts w:ascii="Times New Roman" w:hAnsi="Times New Roman" w:cs="Times New Roman"/>
          <w:sz w:val="24"/>
          <w:szCs w:val="24"/>
          <w:lang w:val="sr-Latn-BA"/>
        </w:rPr>
        <w:t xml:space="preserve"> regenerativnu sposobnost pa većina ozljeda cijeli bez nastanka </w:t>
      </w:r>
      <w:r w:rsidRPr="00535E5B">
        <w:rPr>
          <w:rFonts w:ascii="Times New Roman" w:hAnsi="Times New Roman" w:cs="Times New Roman"/>
          <w:sz w:val="24"/>
          <w:szCs w:val="24"/>
          <w:lang w:val="sr-Latn-BA"/>
        </w:rPr>
        <w:t>o</w:t>
      </w:r>
      <w:r>
        <w:rPr>
          <w:rFonts w:ascii="Times New Roman" w:hAnsi="Times New Roman" w:cs="Times New Roman"/>
          <w:sz w:val="24"/>
          <w:szCs w:val="24"/>
          <w:lang w:val="sr-Latn-BA"/>
        </w:rPr>
        <w:t>žiljkastog tkiva. Medutim, različ</w:t>
      </w:r>
      <w:r w:rsidRPr="00535E5B">
        <w:rPr>
          <w:rFonts w:ascii="Times New Roman" w:hAnsi="Times New Roman" w:cs="Times New Roman"/>
          <w:sz w:val="24"/>
          <w:szCs w:val="24"/>
          <w:lang w:val="sr-Latn-BA"/>
        </w:rPr>
        <w:t>iti lokalni i sitemski uzroci mogu kompromitirati koštano</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cijeljenje i kao rezultat imati nastanak koštanih defekata. U takvim situacijama kirurškim</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metodama može se potaknuti koštana regeneracija.</w:t>
      </w:r>
    </w:p>
    <w:p w:rsidR="006F2542" w:rsidRDefault="006F2542" w:rsidP="006F2542">
      <w:pPr>
        <w:jc w:val="both"/>
        <w:rPr>
          <w:rFonts w:ascii="Times New Roman" w:hAnsi="Times New Roman" w:cs="Times New Roman"/>
          <w:sz w:val="24"/>
          <w:szCs w:val="24"/>
          <w:lang w:val="sr-Latn-BA"/>
        </w:rPr>
      </w:pPr>
      <w:r w:rsidRPr="00535E5B">
        <w:rPr>
          <w:rFonts w:ascii="Times New Roman" w:hAnsi="Times New Roman" w:cs="Times New Roman"/>
          <w:sz w:val="24"/>
          <w:szCs w:val="24"/>
          <w:lang w:val="sr-Latn-BA"/>
        </w:rPr>
        <w:t>Autogena i alogena kost, ksenogeni transplantati i aloplasti</w:t>
      </w:r>
      <w:r>
        <w:rPr>
          <w:rFonts w:ascii="Times New Roman" w:hAnsi="Times New Roman" w:cs="Times New Roman"/>
          <w:sz w:val="24"/>
          <w:szCs w:val="24"/>
          <w:lang w:val="sr-Latn-BA"/>
        </w:rPr>
        <w:t xml:space="preserve">čni materijali samostalno ili u </w:t>
      </w:r>
      <w:r w:rsidRPr="00535E5B">
        <w:rPr>
          <w:rFonts w:ascii="Times New Roman" w:hAnsi="Times New Roman" w:cs="Times New Roman"/>
          <w:sz w:val="24"/>
          <w:szCs w:val="24"/>
          <w:lang w:val="sr-Latn-BA"/>
        </w:rPr>
        <w:t>kombinaciji</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s</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membranama</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u</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tehnici</w:t>
      </w:r>
      <w:r>
        <w:rPr>
          <w:rFonts w:ascii="Times New Roman" w:hAnsi="Times New Roman" w:cs="Times New Roman"/>
          <w:sz w:val="24"/>
          <w:szCs w:val="24"/>
          <w:lang w:val="sr-Latn-BA"/>
        </w:rPr>
        <w:t xml:space="preserve"> vođ</w:t>
      </w:r>
      <w:r w:rsidRPr="00535E5B">
        <w:rPr>
          <w:rFonts w:ascii="Times New Roman" w:hAnsi="Times New Roman" w:cs="Times New Roman"/>
          <w:sz w:val="24"/>
          <w:szCs w:val="24"/>
          <w:lang w:val="sr-Latn-BA"/>
        </w:rPr>
        <w:t>ene</w:t>
      </w:r>
      <w:r>
        <w:rPr>
          <w:rFonts w:ascii="Times New Roman" w:hAnsi="Times New Roman" w:cs="Times New Roman"/>
          <w:sz w:val="24"/>
          <w:szCs w:val="24"/>
          <w:lang w:val="sr-Latn-BA"/>
        </w:rPr>
        <w:t xml:space="preserve"> regeneracije </w:t>
      </w:r>
      <w:r w:rsidRPr="00535E5B">
        <w:rPr>
          <w:rFonts w:ascii="Times New Roman" w:hAnsi="Times New Roman" w:cs="Times New Roman"/>
          <w:sz w:val="24"/>
          <w:szCs w:val="24"/>
          <w:lang w:val="sr-Latn-BA"/>
        </w:rPr>
        <w:t>kosti</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(engl.</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guided</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bone</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regeneration, GBR) materijali su koji se dugo godina koriste za obnovu koštanog tkiva.</w:t>
      </w:r>
      <w:r>
        <w:rPr>
          <w:rFonts w:ascii="Times New Roman" w:hAnsi="Times New Roman" w:cs="Times New Roman"/>
          <w:sz w:val="24"/>
          <w:szCs w:val="24"/>
          <w:lang w:val="sr-Latn-BA"/>
        </w:rPr>
        <w:t xml:space="preserve"> </w:t>
      </w:r>
    </w:p>
    <w:p w:rsidR="006F2542" w:rsidRPr="00535E5B" w:rsidRDefault="006F2542" w:rsidP="006F2542">
      <w:pPr>
        <w:jc w:val="both"/>
        <w:rPr>
          <w:rFonts w:ascii="Times New Roman" w:hAnsi="Times New Roman" w:cs="Times New Roman"/>
          <w:sz w:val="24"/>
          <w:szCs w:val="24"/>
          <w:lang w:val="sr-Latn-BA"/>
        </w:rPr>
      </w:pPr>
      <w:r>
        <w:rPr>
          <w:rFonts w:ascii="Times New Roman" w:hAnsi="Times New Roman" w:cs="Times New Roman"/>
          <w:sz w:val="24"/>
          <w:szCs w:val="24"/>
          <w:lang w:val="sr-Latn-BA"/>
        </w:rPr>
        <w:t>Trombocitima obogać</w:t>
      </w:r>
      <w:r w:rsidRPr="00535E5B">
        <w:rPr>
          <w:rFonts w:ascii="Times New Roman" w:hAnsi="Times New Roman" w:cs="Times New Roman"/>
          <w:sz w:val="24"/>
          <w:szCs w:val="24"/>
          <w:lang w:val="sr-Latn-BA"/>
        </w:rPr>
        <w:t>ena plazma (engl. platelet rich p</w:t>
      </w:r>
      <w:r>
        <w:rPr>
          <w:rFonts w:ascii="Times New Roman" w:hAnsi="Times New Roman" w:cs="Times New Roman"/>
          <w:sz w:val="24"/>
          <w:szCs w:val="24"/>
          <w:lang w:val="sr-Latn-BA"/>
        </w:rPr>
        <w:t>lasma, PRP), trombocitima obogać</w:t>
      </w:r>
      <w:r w:rsidRPr="00535E5B">
        <w:rPr>
          <w:rFonts w:ascii="Times New Roman" w:hAnsi="Times New Roman" w:cs="Times New Roman"/>
          <w:sz w:val="24"/>
          <w:szCs w:val="24"/>
          <w:lang w:val="sr-Latn-BA"/>
        </w:rPr>
        <w:t>en</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fibrin (engl. platelet rich fibrin, PRF) i plazma bogata faktorima rasta (engl. plasma rich in</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growth factors, PRGF) preparati su dobiveni centrifugiranjem krvi pacijenta i predstavljaju</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optimizirani krvni ugrušak. Upotrebom trombocit</w:t>
      </w:r>
      <w:r>
        <w:rPr>
          <w:rFonts w:ascii="Times New Roman" w:hAnsi="Times New Roman" w:cs="Times New Roman"/>
          <w:sz w:val="24"/>
          <w:szCs w:val="24"/>
          <w:lang w:val="sr-Latn-BA"/>
        </w:rPr>
        <w:t>nih preparata može se poboljšati</w:t>
      </w:r>
      <w:r w:rsidRPr="00535E5B">
        <w:rPr>
          <w:rFonts w:ascii="Times New Roman" w:hAnsi="Times New Roman" w:cs="Times New Roman"/>
          <w:sz w:val="24"/>
          <w:szCs w:val="24"/>
          <w:lang w:val="sr-Latn-BA"/>
        </w:rPr>
        <w:t xml:space="preserve"> proces</w:t>
      </w:r>
      <w:r>
        <w:rPr>
          <w:rFonts w:ascii="Times New Roman" w:hAnsi="Times New Roman" w:cs="Times New Roman"/>
          <w:sz w:val="24"/>
          <w:szCs w:val="24"/>
          <w:lang w:val="sr-Latn-BA"/>
        </w:rPr>
        <w:t xml:space="preserve"> </w:t>
      </w:r>
      <w:r w:rsidRPr="00535E5B">
        <w:rPr>
          <w:rFonts w:ascii="Times New Roman" w:hAnsi="Times New Roman" w:cs="Times New Roman"/>
          <w:sz w:val="24"/>
          <w:szCs w:val="24"/>
          <w:lang w:val="sr-Latn-BA"/>
        </w:rPr>
        <w:t>cijeljenja poticanjem neoangiogeneze, proliferacije fibroblasta, stvaranja kolagena, mitoze</w:t>
      </w:r>
      <w:r>
        <w:rPr>
          <w:rFonts w:ascii="Times New Roman" w:hAnsi="Times New Roman" w:cs="Times New Roman"/>
          <w:sz w:val="24"/>
          <w:szCs w:val="24"/>
          <w:lang w:val="sr-Latn-BA"/>
        </w:rPr>
        <w:t xml:space="preserve"> mezenhimalnih matič</w:t>
      </w:r>
      <w:r w:rsidRPr="00535E5B">
        <w:rPr>
          <w:rFonts w:ascii="Times New Roman" w:hAnsi="Times New Roman" w:cs="Times New Roman"/>
          <w:sz w:val="24"/>
          <w:szCs w:val="24"/>
          <w:lang w:val="sr-Latn-BA"/>
        </w:rPr>
        <w:t>n</w:t>
      </w:r>
      <w:r>
        <w:rPr>
          <w:rFonts w:ascii="Times New Roman" w:hAnsi="Times New Roman" w:cs="Times New Roman"/>
          <w:sz w:val="24"/>
          <w:szCs w:val="24"/>
          <w:lang w:val="sr-Latn-BA"/>
        </w:rPr>
        <w:t>ih stanica i osteoblasta.</w:t>
      </w:r>
    </w:p>
    <w:p w:rsidR="006F2542" w:rsidRDefault="006F2542" w:rsidP="006F2542">
      <w:pPr>
        <w:rPr>
          <w:rFonts w:ascii="Times New Roman" w:hAnsi="Times New Roman" w:cs="Times New Roman"/>
          <w:sz w:val="24"/>
          <w:szCs w:val="24"/>
          <w:lang w:val="sr-Latn-BA"/>
        </w:rPr>
      </w:pPr>
      <w:r>
        <w:rPr>
          <w:rFonts w:ascii="Times New Roman" w:hAnsi="Times New Roman" w:cs="Times New Roman"/>
          <w:sz w:val="24"/>
          <w:szCs w:val="24"/>
          <w:lang w:val="sr-Latn-BA"/>
        </w:rPr>
        <w:t>Ključne riječ</w:t>
      </w:r>
      <w:r w:rsidRPr="00535E5B">
        <w:rPr>
          <w:rFonts w:ascii="Times New Roman" w:hAnsi="Times New Roman" w:cs="Times New Roman"/>
          <w:sz w:val="24"/>
          <w:szCs w:val="24"/>
          <w:lang w:val="sr-Latn-BA"/>
        </w:rPr>
        <w:t>i: koštana regeneracija; GBR; trombocitni preparati; BMP</w:t>
      </w:r>
    </w:p>
    <w:p w:rsidR="005D4C2E" w:rsidRDefault="006F2542" w:rsidP="006F2542">
      <w:pPr>
        <w:rPr>
          <w:rFonts w:ascii="Times New Roman" w:hAnsi="Times New Roman" w:cs="Times New Roman"/>
          <w:sz w:val="24"/>
          <w:szCs w:val="24"/>
          <w:lang w:val="sr-Latn-BA"/>
        </w:rPr>
      </w:pPr>
      <w:r>
        <w:rPr>
          <w:rFonts w:ascii="Times New Roman" w:hAnsi="Times New Roman" w:cs="Times New Roman"/>
          <w:sz w:val="24"/>
          <w:szCs w:val="24"/>
          <w:lang w:val="sr-Latn-BA"/>
        </w:rPr>
        <w:tab/>
      </w:r>
    </w:p>
    <w:p w:rsidR="006F2542" w:rsidRDefault="006F2542" w:rsidP="006F2542">
      <w:pPr>
        <w:rPr>
          <w:rFonts w:ascii="Times New Roman" w:hAnsi="Times New Roman" w:cs="Times New Roman"/>
          <w:sz w:val="24"/>
          <w:szCs w:val="24"/>
          <w:lang w:val="sr-Latn-BA"/>
        </w:rPr>
      </w:pPr>
    </w:p>
    <w:p w:rsidR="006F2542" w:rsidRPr="006F2542" w:rsidRDefault="006F2542" w:rsidP="006F2542">
      <w:pPr>
        <w:jc w:val="center"/>
        <w:rPr>
          <w:rFonts w:ascii="Times New Roman" w:hAnsi="Times New Roman" w:cs="Times New Roman"/>
          <w:sz w:val="32"/>
          <w:szCs w:val="32"/>
          <w:lang w:val="sr-Latn-BA"/>
        </w:rPr>
      </w:pPr>
    </w:p>
    <w:p w:rsidR="006F2542" w:rsidRDefault="006F2542" w:rsidP="006F2542">
      <w:pPr>
        <w:pStyle w:val="NormalWeb"/>
        <w:jc w:val="center"/>
        <w:rPr>
          <w:rStyle w:val="Strong"/>
          <w:b w:val="0"/>
          <w:sz w:val="32"/>
          <w:szCs w:val="32"/>
        </w:rPr>
      </w:pPr>
    </w:p>
    <w:p w:rsidR="006F2542" w:rsidRDefault="006F2542" w:rsidP="006F2542">
      <w:pPr>
        <w:pStyle w:val="NormalWeb"/>
        <w:jc w:val="center"/>
        <w:rPr>
          <w:rStyle w:val="Strong"/>
          <w:b w:val="0"/>
          <w:sz w:val="32"/>
          <w:szCs w:val="32"/>
        </w:rPr>
      </w:pPr>
    </w:p>
    <w:p w:rsidR="006F2542" w:rsidRDefault="006F2542" w:rsidP="006F2542">
      <w:pPr>
        <w:pStyle w:val="NormalWeb"/>
        <w:jc w:val="center"/>
        <w:rPr>
          <w:rStyle w:val="Strong"/>
          <w:b w:val="0"/>
          <w:sz w:val="32"/>
          <w:szCs w:val="32"/>
        </w:rPr>
      </w:pPr>
    </w:p>
    <w:p w:rsidR="006F2542" w:rsidRDefault="006F2542" w:rsidP="006F2542">
      <w:pPr>
        <w:pStyle w:val="NormalWeb"/>
        <w:jc w:val="center"/>
        <w:rPr>
          <w:rStyle w:val="Strong"/>
          <w:b w:val="0"/>
          <w:sz w:val="32"/>
          <w:szCs w:val="32"/>
        </w:rPr>
      </w:pPr>
    </w:p>
    <w:p w:rsidR="006F2542" w:rsidRDefault="006F2542" w:rsidP="006F2542">
      <w:pPr>
        <w:pStyle w:val="NormalWeb"/>
        <w:jc w:val="center"/>
        <w:rPr>
          <w:rStyle w:val="Strong"/>
          <w:b w:val="0"/>
          <w:sz w:val="32"/>
          <w:szCs w:val="32"/>
        </w:rPr>
      </w:pPr>
      <w:r w:rsidRPr="006F2542">
        <w:rPr>
          <w:rStyle w:val="Strong"/>
          <w:b w:val="0"/>
          <w:sz w:val="32"/>
          <w:szCs w:val="32"/>
        </w:rPr>
        <w:lastRenderedPageBreak/>
        <w:t>BONE REGENERATION OF JAW BONES</w:t>
      </w:r>
    </w:p>
    <w:p w:rsidR="006F2542" w:rsidRPr="005C69F4" w:rsidRDefault="006F2542" w:rsidP="006F2542">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p>
    <w:p w:rsidR="006F2542" w:rsidRDefault="006F2542" w:rsidP="006F2542">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p>
    <w:p w:rsidR="006F2542" w:rsidRPr="006F2542" w:rsidRDefault="006F2542" w:rsidP="006F2542">
      <w:pPr>
        <w:spacing w:line="240" w:lineRule="auto"/>
        <w:jc w:val="center"/>
        <w:rPr>
          <w:rFonts w:ascii="Times New Roman" w:hAnsi="Times New Roman" w:cs="Times New Roman"/>
          <w:sz w:val="18"/>
          <w:szCs w:val="18"/>
          <w:lang w:val="sr-Latn-BA"/>
        </w:rPr>
      </w:pPr>
      <w:r w:rsidRPr="006F2542">
        <w:rPr>
          <w:rFonts w:ascii="Times New Roman" w:hAnsi="Times New Roman" w:cs="Times New Roman"/>
          <w:sz w:val="18"/>
          <w:szCs w:val="18"/>
        </w:rPr>
        <w:t>University of Banja Luka, Facul</w:t>
      </w:r>
      <w:r>
        <w:rPr>
          <w:rFonts w:ascii="Times New Roman" w:hAnsi="Times New Roman" w:cs="Times New Roman"/>
          <w:sz w:val="18"/>
          <w:szCs w:val="18"/>
        </w:rPr>
        <w:t xml:space="preserve">ty of Medicine, Study </w:t>
      </w:r>
      <w:proofErr w:type="gramStart"/>
      <w:r>
        <w:rPr>
          <w:rFonts w:ascii="Times New Roman" w:hAnsi="Times New Roman" w:cs="Times New Roman"/>
          <w:sz w:val="18"/>
          <w:szCs w:val="18"/>
        </w:rPr>
        <w:t xml:space="preserve">Program </w:t>
      </w:r>
      <w:r w:rsidRPr="006F2542">
        <w:rPr>
          <w:rFonts w:ascii="Times New Roman" w:hAnsi="Times New Roman" w:cs="Times New Roman"/>
          <w:sz w:val="18"/>
          <w:szCs w:val="18"/>
        </w:rPr>
        <w:t xml:space="preserve"> Dental</w:t>
      </w:r>
      <w:proofErr w:type="gramEnd"/>
      <w:r w:rsidRPr="006F2542">
        <w:rPr>
          <w:rFonts w:ascii="Times New Roman" w:hAnsi="Times New Roman" w:cs="Times New Roman"/>
          <w:sz w:val="18"/>
          <w:szCs w:val="18"/>
        </w:rPr>
        <w:t xml:space="preserve"> Medicine</w:t>
      </w:r>
    </w:p>
    <w:p w:rsidR="006F2542" w:rsidRDefault="006F2542" w:rsidP="006F2542">
      <w:pPr>
        <w:pStyle w:val="NormalWeb"/>
        <w:rPr>
          <w:rStyle w:val="Strong"/>
        </w:rPr>
      </w:pPr>
    </w:p>
    <w:p w:rsidR="006F2542" w:rsidRPr="006F2542" w:rsidRDefault="006F2542" w:rsidP="006F2542">
      <w:pPr>
        <w:pStyle w:val="NormalWeb"/>
        <w:jc w:val="both"/>
        <w:rPr>
          <w:b/>
          <w:bCs/>
        </w:rPr>
      </w:pPr>
      <w:r>
        <w:rPr>
          <w:rStyle w:val="Strong"/>
        </w:rPr>
        <w:t>ABSTRACT</w:t>
      </w:r>
      <w:r>
        <w:br/>
        <w:t xml:space="preserve">Bone possesses an exceptional regenerative capacity, and most injuries heal without the formation of scar tissue. However, various local and systemic factors can compromise bone healing and result in the formation of bone defects. In such cases, surgical methods </w:t>
      </w:r>
      <w:proofErr w:type="gramStart"/>
      <w:r>
        <w:t>can be used</w:t>
      </w:r>
      <w:proofErr w:type="gramEnd"/>
      <w:r>
        <w:t xml:space="preserve"> to stimulate bone regeneration. Autogenous and allogeneic bone, xenogeneic grafts, and alloplastic materials—used either alone or in combination with membranes in the technique of guided bone regeneration (GBR)—have been employed for many years to restore bone tissue.</w:t>
      </w:r>
      <w:r>
        <w:br/>
        <w:t xml:space="preserve">Platelet-rich plasma (PRP), platelet-rich fibrin (PRF), and plasma rich in growth factors (PRGF) are preparations obtained by centrifugation of the patient's blood and represent an optimized blood clot. The use of platelet preparations can enhance the healing process by promoting </w:t>
      </w:r>
      <w:proofErr w:type="spellStart"/>
      <w:r>
        <w:t>neoangiogenesis</w:t>
      </w:r>
      <w:proofErr w:type="spellEnd"/>
      <w:r>
        <w:t>, fibroblast proliferation, collagen formation, mitosis of mesenchymal stem cells, and osteoblasts.</w:t>
      </w:r>
    </w:p>
    <w:p w:rsidR="006F2542" w:rsidRDefault="006F2542" w:rsidP="006F2542">
      <w:pPr>
        <w:pStyle w:val="NormalWeb"/>
        <w:jc w:val="both"/>
      </w:pPr>
      <w:r>
        <w:rPr>
          <w:rStyle w:val="Strong"/>
        </w:rPr>
        <w:t>Keywords:</w:t>
      </w:r>
      <w:r>
        <w:t xml:space="preserve"> bone regeneration; GBR; platelet preparations; BMP</w:t>
      </w:r>
    </w:p>
    <w:p w:rsidR="006F2542" w:rsidRPr="006F2542" w:rsidRDefault="006F2542" w:rsidP="006F2542">
      <w:pPr>
        <w:rPr>
          <w:rFonts w:ascii="Times New Roman" w:hAnsi="Times New Roman" w:cs="Times New Roman"/>
          <w:sz w:val="24"/>
          <w:szCs w:val="24"/>
        </w:rPr>
      </w:pPr>
    </w:p>
    <w:p w:rsidR="006F2542" w:rsidRDefault="006F2542" w:rsidP="006F2542">
      <w:pPr>
        <w:rPr>
          <w:rFonts w:ascii="Times New Roman" w:hAnsi="Times New Roman" w:cs="Times New Roman"/>
          <w:sz w:val="24"/>
          <w:szCs w:val="24"/>
          <w:lang w:val="sr-Latn-BA"/>
        </w:rPr>
      </w:pPr>
    </w:p>
    <w:p w:rsidR="006F2542" w:rsidRDefault="006F2542" w:rsidP="006F2542">
      <w:pPr>
        <w:rPr>
          <w:rFonts w:ascii="Times New Roman" w:hAnsi="Times New Roman" w:cs="Times New Roman"/>
          <w:sz w:val="24"/>
          <w:szCs w:val="24"/>
          <w:lang w:val="sr-Latn-BA"/>
        </w:rPr>
      </w:pPr>
    </w:p>
    <w:p w:rsidR="006F2542" w:rsidRDefault="006F2542" w:rsidP="006F2542">
      <w:pPr>
        <w:rPr>
          <w:rFonts w:ascii="Times New Roman" w:hAnsi="Times New Roman" w:cs="Times New Roman"/>
          <w:sz w:val="24"/>
          <w:szCs w:val="24"/>
          <w:lang w:val="sr-Latn-BA"/>
        </w:rPr>
      </w:pPr>
    </w:p>
    <w:p w:rsidR="006F2542" w:rsidRDefault="006F2542" w:rsidP="006F2542">
      <w:pPr>
        <w:rPr>
          <w:rFonts w:ascii="Times New Roman" w:hAnsi="Times New Roman" w:cs="Times New Roman"/>
          <w:sz w:val="24"/>
          <w:szCs w:val="24"/>
          <w:lang w:val="sr-Latn-BA"/>
        </w:rPr>
      </w:pPr>
    </w:p>
    <w:p w:rsidR="006F2542" w:rsidRDefault="006F2542" w:rsidP="006F2542">
      <w:pPr>
        <w:rPr>
          <w:rFonts w:ascii="Times New Roman" w:hAnsi="Times New Roman" w:cs="Times New Roman"/>
          <w:sz w:val="24"/>
          <w:szCs w:val="24"/>
          <w:lang w:val="sr-Latn-BA"/>
        </w:rPr>
      </w:pPr>
    </w:p>
    <w:p w:rsidR="006F2542" w:rsidRDefault="006F2542" w:rsidP="006F2542">
      <w:pPr>
        <w:rPr>
          <w:rFonts w:ascii="Times New Roman" w:hAnsi="Times New Roman" w:cs="Times New Roman"/>
          <w:sz w:val="24"/>
          <w:szCs w:val="24"/>
          <w:lang w:val="sr-Latn-BA"/>
        </w:rPr>
      </w:pPr>
    </w:p>
    <w:p w:rsidR="006F2542" w:rsidRDefault="006F2542" w:rsidP="006F2542">
      <w:pPr>
        <w:rPr>
          <w:rFonts w:ascii="Times New Roman" w:hAnsi="Times New Roman" w:cs="Times New Roman"/>
          <w:sz w:val="24"/>
          <w:szCs w:val="24"/>
          <w:lang w:val="sr-Latn-BA"/>
        </w:rPr>
      </w:pPr>
    </w:p>
    <w:p w:rsidR="006F2542" w:rsidRDefault="006F2542" w:rsidP="006F2542">
      <w:pPr>
        <w:rPr>
          <w:rFonts w:ascii="Times New Roman" w:hAnsi="Times New Roman" w:cs="Times New Roman"/>
          <w:sz w:val="24"/>
          <w:szCs w:val="24"/>
          <w:lang w:val="sr-Latn-BA"/>
        </w:rPr>
      </w:pPr>
    </w:p>
    <w:p w:rsidR="006F2542" w:rsidRDefault="006F2542" w:rsidP="006F2542">
      <w:pPr>
        <w:rPr>
          <w:rFonts w:ascii="Times New Roman" w:hAnsi="Times New Roman" w:cs="Times New Roman"/>
          <w:sz w:val="24"/>
          <w:szCs w:val="24"/>
          <w:lang w:val="sr-Latn-BA"/>
        </w:rPr>
      </w:pPr>
    </w:p>
    <w:p w:rsidR="006F2542" w:rsidRDefault="006F2542" w:rsidP="006F2542">
      <w:pPr>
        <w:rPr>
          <w:rFonts w:ascii="Times New Roman" w:hAnsi="Times New Roman" w:cs="Times New Roman"/>
          <w:sz w:val="24"/>
          <w:szCs w:val="24"/>
          <w:lang w:val="sr-Latn-BA"/>
        </w:rPr>
      </w:pPr>
    </w:p>
    <w:p w:rsidR="004B452E" w:rsidRPr="004B452E" w:rsidRDefault="004B452E" w:rsidP="004B452E">
      <w:pPr>
        <w:jc w:val="both"/>
      </w:pPr>
      <w:bookmarkStart w:id="0" w:name="_GoBack"/>
      <w:bookmarkEnd w:id="0"/>
    </w:p>
    <w:sectPr w:rsidR="004B452E" w:rsidRPr="004B452E" w:rsidSect="005D4C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D3999"/>
    <w:multiLevelType w:val="multilevel"/>
    <w:tmpl w:val="C848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B62796"/>
    <w:multiLevelType w:val="multilevel"/>
    <w:tmpl w:val="E4E2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542"/>
    <w:rsid w:val="004B452E"/>
    <w:rsid w:val="005D4C2E"/>
    <w:rsid w:val="006F2542"/>
    <w:rsid w:val="008B2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2A7B"/>
  <w15:docId w15:val="{BBB98ECE-7603-42A1-8A62-A9F7223A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5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25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25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103680">
      <w:bodyDiv w:val="1"/>
      <w:marLeft w:val="0"/>
      <w:marRight w:val="0"/>
      <w:marTop w:val="0"/>
      <w:marBottom w:val="0"/>
      <w:divBdr>
        <w:top w:val="none" w:sz="0" w:space="0" w:color="auto"/>
        <w:left w:val="none" w:sz="0" w:space="0" w:color="auto"/>
        <w:bottom w:val="none" w:sz="0" w:space="0" w:color="auto"/>
        <w:right w:val="none" w:sz="0" w:space="0" w:color="auto"/>
      </w:divBdr>
    </w:div>
    <w:div w:id="95298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Darko</cp:lastModifiedBy>
  <cp:revision>2</cp:revision>
  <dcterms:created xsi:type="dcterms:W3CDTF">2025-07-02T08:29:00Z</dcterms:created>
  <dcterms:modified xsi:type="dcterms:W3CDTF">2025-07-02T08:29:00Z</dcterms:modified>
</cp:coreProperties>
</file>