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21AB5" w14:textId="6AED90A6" w:rsidR="00E87BC0" w:rsidRDefault="00E87BC0" w:rsidP="002B254A">
      <w:pPr>
        <w:jc w:val="center"/>
        <w:rPr>
          <w:rFonts w:ascii="Times New Roman" w:hAnsi="Times New Roman" w:cs="Times New Roman"/>
          <w:b/>
          <w:bCs/>
          <w:sz w:val="28"/>
        </w:rPr>
      </w:pPr>
      <w:r w:rsidRPr="00E87BC0">
        <w:rPr>
          <w:rFonts w:ascii="Times New Roman" w:hAnsi="Times New Roman" w:cs="Times New Roman"/>
          <w:b/>
          <w:bCs/>
          <w:sz w:val="28"/>
        </w:rPr>
        <w:t>A</w:t>
      </w:r>
      <w:r>
        <w:rPr>
          <w:rFonts w:ascii="Times New Roman" w:hAnsi="Times New Roman" w:cs="Times New Roman"/>
          <w:b/>
          <w:bCs/>
          <w:sz w:val="28"/>
        </w:rPr>
        <w:t>PPLICATION</w:t>
      </w:r>
      <w:r w:rsidRPr="00E87BC0">
        <w:rPr>
          <w:rFonts w:ascii="Times New Roman" w:hAnsi="Times New Roman" w:cs="Times New Roman"/>
          <w:b/>
          <w:bCs/>
          <w:sz w:val="28"/>
        </w:rPr>
        <w:t xml:space="preserve"> </w:t>
      </w:r>
      <w:r>
        <w:rPr>
          <w:rFonts w:ascii="Times New Roman" w:hAnsi="Times New Roman" w:cs="Times New Roman"/>
          <w:b/>
          <w:bCs/>
          <w:sz w:val="28"/>
        </w:rPr>
        <w:t>OF ZEOLITE</w:t>
      </w:r>
      <w:r w:rsidRPr="00E87BC0">
        <w:rPr>
          <w:rFonts w:ascii="Times New Roman" w:hAnsi="Times New Roman" w:cs="Times New Roman"/>
          <w:b/>
          <w:bCs/>
          <w:sz w:val="28"/>
        </w:rPr>
        <w:t xml:space="preserve"> 4A </w:t>
      </w:r>
      <w:r>
        <w:rPr>
          <w:rFonts w:ascii="Times New Roman" w:hAnsi="Times New Roman" w:cs="Times New Roman"/>
          <w:b/>
          <w:bCs/>
          <w:sz w:val="28"/>
        </w:rPr>
        <w:t>IN THE REGENERATION OF SUNFLOWER OIL AFTER THERMAL DEGRADATION</w:t>
      </w:r>
    </w:p>
    <w:p w14:paraId="1B512E46" w14:textId="1940030F" w:rsidR="002B254A" w:rsidRPr="0078202C" w:rsidRDefault="002B254A" w:rsidP="002B254A">
      <w:pPr>
        <w:jc w:val="center"/>
        <w:rPr>
          <w:rFonts w:ascii="Times New Roman" w:hAnsi="Times New Roman" w:cs="Times New Roman"/>
          <w:bCs/>
        </w:rPr>
      </w:pPr>
      <w:r>
        <w:rPr>
          <w:rFonts w:ascii="Times New Roman" w:hAnsi="Times New Roman" w:cs="Times New Roman"/>
          <w:bCs/>
          <w:lang w:val="pt-BR"/>
        </w:rPr>
        <w:t>Milenko A</w:t>
      </w:r>
      <w:r>
        <w:rPr>
          <w:rFonts w:ascii="Times New Roman" w:hAnsi="Times New Roman" w:cs="Times New Roman"/>
          <w:bCs/>
          <w:lang w:val="sr-Latn-RS"/>
        </w:rPr>
        <w:t>ćimović</w:t>
      </w:r>
      <w:r>
        <w:rPr>
          <w:rFonts w:ascii="Times New Roman" w:hAnsi="Times New Roman" w:cs="Times New Roman"/>
          <w:bCs/>
          <w:vertAlign w:val="superscript"/>
          <w:lang w:val="pt-BR"/>
        </w:rPr>
        <w:t>1,2</w:t>
      </w:r>
      <w:r>
        <w:rPr>
          <w:rFonts w:ascii="Times New Roman" w:hAnsi="Times New Roman" w:cs="Times New Roman"/>
          <w:bCs/>
          <w:lang w:val="pt-BR"/>
        </w:rPr>
        <w:t>, Milica Balaban</w:t>
      </w:r>
      <w:r w:rsidR="00EF50DF">
        <w:rPr>
          <w:rFonts w:ascii="Times New Roman" w:hAnsi="Times New Roman" w:cs="Times New Roman"/>
          <w:bCs/>
          <w:vertAlign w:val="superscript"/>
          <w:lang w:val="pt-BR"/>
        </w:rPr>
        <w:t>2</w:t>
      </w:r>
      <w:r>
        <w:rPr>
          <w:rFonts w:ascii="Times New Roman" w:hAnsi="Times New Roman" w:cs="Times New Roman"/>
          <w:bCs/>
          <w:lang w:val="pt-BR"/>
        </w:rPr>
        <w:t>, Ljubica Vasiljević</w:t>
      </w:r>
      <w:r>
        <w:rPr>
          <w:rFonts w:ascii="Times New Roman" w:hAnsi="Times New Roman" w:cs="Times New Roman"/>
          <w:bCs/>
          <w:vertAlign w:val="superscript"/>
          <w:lang w:val="pt-BR"/>
        </w:rPr>
        <w:t>1</w:t>
      </w:r>
      <w:r>
        <w:rPr>
          <w:rFonts w:ascii="Times New Roman" w:hAnsi="Times New Roman" w:cs="Times New Roman"/>
          <w:bCs/>
          <w:lang w:val="pt-BR"/>
        </w:rPr>
        <w:t>, Stevan Blagojević</w:t>
      </w:r>
      <w:r>
        <w:rPr>
          <w:rFonts w:ascii="Times New Roman" w:hAnsi="Times New Roman" w:cs="Times New Roman"/>
          <w:bCs/>
          <w:vertAlign w:val="superscript"/>
          <w:lang w:val="pt-BR"/>
        </w:rPr>
        <w:t>3</w:t>
      </w:r>
    </w:p>
    <w:p w14:paraId="2C8B8994" w14:textId="77777777" w:rsidR="00E87BC0" w:rsidRPr="00CA5029" w:rsidRDefault="002B254A" w:rsidP="002B254A">
      <w:pPr>
        <w:jc w:val="center"/>
        <w:rPr>
          <w:rFonts w:ascii="Times New Roman" w:hAnsi="Times New Roman" w:cs="Times New Roman"/>
          <w:sz w:val="22"/>
          <w:szCs w:val="22"/>
          <w:vertAlign w:val="superscript"/>
        </w:rPr>
      </w:pPr>
      <w:r w:rsidRPr="00CA5029">
        <w:rPr>
          <w:rFonts w:ascii="Times New Roman" w:hAnsi="Times New Roman" w:cs="Times New Roman"/>
          <w:sz w:val="22"/>
          <w:szCs w:val="22"/>
          <w:vertAlign w:val="superscript"/>
        </w:rPr>
        <w:t>1</w:t>
      </w:r>
      <w:r w:rsidR="00E87BC0" w:rsidRPr="00CA5029">
        <w:rPr>
          <w:rFonts w:ascii="Times New Roman" w:hAnsi="Times New Roman" w:cs="Times New Roman"/>
          <w:sz w:val="22"/>
          <w:szCs w:val="22"/>
        </w:rPr>
        <w:t>University of East Sarajevo, Faculty of Technology Zvornik, Karakaj 34a, 75400 Zvornik, Republic of Srpska, Bosnia and Herzegovina.</w:t>
      </w:r>
      <w:r w:rsidR="00E87BC0" w:rsidRPr="00CA5029">
        <w:rPr>
          <w:rFonts w:ascii="Times New Roman" w:hAnsi="Times New Roman" w:cs="Times New Roman"/>
          <w:sz w:val="22"/>
          <w:szCs w:val="22"/>
          <w:vertAlign w:val="superscript"/>
        </w:rPr>
        <w:t xml:space="preserve"> </w:t>
      </w:r>
    </w:p>
    <w:p w14:paraId="14A2F3FF" w14:textId="77777777" w:rsidR="00E87BC0" w:rsidRPr="00CA5029" w:rsidRDefault="00EF50DF" w:rsidP="00EF50DF">
      <w:pPr>
        <w:jc w:val="center"/>
        <w:rPr>
          <w:rFonts w:ascii="Times New Roman" w:hAnsi="Times New Roman" w:cs="Times New Roman"/>
          <w:sz w:val="22"/>
          <w:szCs w:val="22"/>
          <w:vertAlign w:val="superscript"/>
        </w:rPr>
      </w:pPr>
      <w:r w:rsidRPr="00CA5029">
        <w:rPr>
          <w:rFonts w:ascii="Times New Roman" w:hAnsi="Times New Roman" w:cs="Times New Roman"/>
          <w:sz w:val="22"/>
          <w:szCs w:val="22"/>
          <w:vertAlign w:val="superscript"/>
        </w:rPr>
        <w:t>2</w:t>
      </w:r>
      <w:r w:rsidR="00E87BC0" w:rsidRPr="00CA5029">
        <w:rPr>
          <w:rFonts w:ascii="Times New Roman" w:hAnsi="Times New Roman" w:cs="Times New Roman"/>
          <w:sz w:val="22"/>
          <w:szCs w:val="22"/>
        </w:rPr>
        <w:t>University of Banja Luka, Faculty of Natural Sciences and Mathematics, dr Mladena Stojanovića 2, 78000 Banja Luka, Republic of Srpska, Bosnia and Herzegovina.</w:t>
      </w:r>
      <w:r w:rsidR="00E87BC0" w:rsidRPr="00CA5029">
        <w:rPr>
          <w:rFonts w:ascii="Times New Roman" w:hAnsi="Times New Roman" w:cs="Times New Roman"/>
          <w:sz w:val="22"/>
          <w:szCs w:val="22"/>
          <w:vertAlign w:val="superscript"/>
        </w:rPr>
        <w:t xml:space="preserve"> </w:t>
      </w:r>
    </w:p>
    <w:p w14:paraId="1E492AF1" w14:textId="6A1D2566" w:rsidR="002B254A" w:rsidRPr="00CA5029" w:rsidRDefault="00EF50DF" w:rsidP="00EF50DF">
      <w:pPr>
        <w:jc w:val="center"/>
        <w:rPr>
          <w:rFonts w:ascii="Times New Roman" w:hAnsi="Times New Roman" w:cs="Times New Roman"/>
          <w:sz w:val="22"/>
          <w:szCs w:val="22"/>
        </w:rPr>
      </w:pPr>
      <w:r w:rsidRPr="00CA5029">
        <w:rPr>
          <w:rFonts w:ascii="Times New Roman" w:hAnsi="Times New Roman" w:cs="Times New Roman"/>
          <w:sz w:val="22"/>
          <w:szCs w:val="22"/>
          <w:vertAlign w:val="superscript"/>
        </w:rPr>
        <w:t>3</w:t>
      </w:r>
      <w:r w:rsidRPr="00CA5029">
        <w:rPr>
          <w:rFonts w:ascii="Times New Roman" w:hAnsi="Times New Roman" w:cs="Times New Roman"/>
          <w:sz w:val="22"/>
          <w:szCs w:val="22"/>
        </w:rPr>
        <w:t>Institut</w:t>
      </w:r>
      <w:r w:rsidR="00E87BC0" w:rsidRPr="00CA5029">
        <w:rPr>
          <w:rFonts w:ascii="Times New Roman" w:hAnsi="Times New Roman" w:cs="Times New Roman"/>
          <w:sz w:val="22"/>
          <w:szCs w:val="22"/>
        </w:rPr>
        <w:t>e</w:t>
      </w:r>
      <w:r w:rsidRPr="00CA5029">
        <w:rPr>
          <w:rFonts w:ascii="Times New Roman" w:hAnsi="Times New Roman" w:cs="Times New Roman"/>
          <w:sz w:val="22"/>
          <w:szCs w:val="22"/>
        </w:rPr>
        <w:t xml:space="preserve"> </w:t>
      </w:r>
      <w:r w:rsidR="00E87BC0" w:rsidRPr="00CA5029">
        <w:rPr>
          <w:rFonts w:ascii="Times New Roman" w:hAnsi="Times New Roman" w:cs="Times New Roman"/>
          <w:sz w:val="22"/>
          <w:szCs w:val="22"/>
        </w:rPr>
        <w:t>of</w:t>
      </w:r>
      <w:r w:rsidRPr="00CA5029">
        <w:rPr>
          <w:rFonts w:ascii="Times New Roman" w:hAnsi="Times New Roman" w:cs="Times New Roman"/>
          <w:sz w:val="22"/>
          <w:szCs w:val="22"/>
        </w:rPr>
        <w:t xml:space="preserve"> </w:t>
      </w:r>
      <w:r w:rsidR="00E87BC0" w:rsidRPr="00CA5029">
        <w:rPr>
          <w:rFonts w:ascii="Times New Roman" w:hAnsi="Times New Roman" w:cs="Times New Roman"/>
          <w:sz w:val="22"/>
          <w:szCs w:val="22"/>
        </w:rPr>
        <w:t>General and Physical Chemistry,</w:t>
      </w:r>
      <w:r w:rsidRPr="00CA5029">
        <w:rPr>
          <w:rFonts w:ascii="Times New Roman" w:hAnsi="Times New Roman" w:cs="Times New Roman"/>
          <w:sz w:val="22"/>
          <w:szCs w:val="22"/>
        </w:rPr>
        <w:t xml:space="preserve"> Studentski trg 12/V, 11158 Be</w:t>
      </w:r>
      <w:r w:rsidR="00E87BC0" w:rsidRPr="00CA5029">
        <w:rPr>
          <w:rFonts w:ascii="Times New Roman" w:hAnsi="Times New Roman" w:cs="Times New Roman"/>
          <w:sz w:val="22"/>
          <w:szCs w:val="22"/>
        </w:rPr>
        <w:t>lgrade</w:t>
      </w:r>
      <w:r w:rsidRPr="00CA5029">
        <w:rPr>
          <w:rFonts w:ascii="Times New Roman" w:hAnsi="Times New Roman" w:cs="Times New Roman"/>
          <w:sz w:val="22"/>
          <w:szCs w:val="22"/>
        </w:rPr>
        <w:t>, S</w:t>
      </w:r>
      <w:r w:rsidR="00E87BC0" w:rsidRPr="00CA5029">
        <w:rPr>
          <w:rFonts w:ascii="Times New Roman" w:hAnsi="Times New Roman" w:cs="Times New Roman"/>
          <w:sz w:val="22"/>
          <w:szCs w:val="22"/>
        </w:rPr>
        <w:t>erbia</w:t>
      </w:r>
    </w:p>
    <w:p w14:paraId="6C484853" w14:textId="77777777" w:rsidR="00A82B8D" w:rsidRPr="00A82B8D" w:rsidRDefault="00A82B8D" w:rsidP="00A82B8D">
      <w:pPr>
        <w:spacing w:after="0" w:line="240" w:lineRule="auto"/>
        <w:ind w:left="1134" w:right="1134" w:firstLine="567"/>
        <w:jc w:val="both"/>
        <w:rPr>
          <w:rFonts w:ascii="Times New Roman" w:hAnsi="Times New Roman" w:cs="Times New Roman"/>
          <w:sz w:val="20"/>
          <w:szCs w:val="20"/>
        </w:rPr>
      </w:pPr>
      <w:r w:rsidRPr="00A82B8D">
        <w:rPr>
          <w:rFonts w:ascii="Times New Roman" w:hAnsi="Times New Roman" w:cs="Times New Roman"/>
          <w:b/>
          <w:bCs/>
          <w:sz w:val="20"/>
          <w:szCs w:val="20"/>
        </w:rPr>
        <w:t>Abstract</w:t>
      </w:r>
      <w:r w:rsidRPr="00A82B8D">
        <w:rPr>
          <w:rFonts w:ascii="Times New Roman" w:hAnsi="Times New Roman" w:cs="Times New Roman"/>
          <w:sz w:val="20"/>
          <w:szCs w:val="20"/>
        </w:rPr>
        <w:t>: Edible oils, particularly sunflower oil, play an important role in human nutrition due to their high content of essential fatty acids and fat-soluble vitamins. However, their susceptibility to oxidation and thermal degradation during cooking and repeated heating leads to a reduction in nutritional value and the formation of undesirable degradation products. In order to preserve the quality of used oil, the possibility of regenerating sunflower oil using zeolite 4A, known for its pronounced adsorption properties, was investigated. The results showed that heating the oil caused an increase in acid value, a rise in moisture and volatile matter content, as well as a decrease in saponification value, indicating progressive oil degradation. The application of zeolite 4A as an adsorbent for oil regeneration resulted in a significant improvement of oil quality, reflected in the reduction of acid value and moisture content, while the saponification value remained more stable compared to untreated oil. These findings confirm the high efficiency of zeolite 4A in removing degradation products and highlight its potential for use in the regeneration of edible oils. It is concluded that zeolite 4A represents an effective and readily available adsorbent that can contribute to extending the shelf life of oils, preserving their sensory and nutritional properties, and improving food safety. The obtained results provide a basis for further research in the field of edible oil regeneration using zeolites and other adsorbents.</w:t>
      </w:r>
    </w:p>
    <w:p w14:paraId="2C0B95E2" w14:textId="77777777" w:rsidR="00A82B8D" w:rsidRPr="00A82B8D" w:rsidRDefault="00A82B8D" w:rsidP="00A82B8D">
      <w:pPr>
        <w:spacing w:after="0" w:line="240" w:lineRule="auto"/>
        <w:ind w:left="1134" w:right="1134" w:firstLine="567"/>
        <w:jc w:val="both"/>
        <w:rPr>
          <w:rFonts w:ascii="Times New Roman" w:hAnsi="Times New Roman" w:cs="Times New Roman"/>
          <w:sz w:val="20"/>
          <w:szCs w:val="20"/>
        </w:rPr>
      </w:pPr>
      <w:r w:rsidRPr="00A82B8D">
        <w:rPr>
          <w:rFonts w:ascii="Times New Roman" w:hAnsi="Times New Roman" w:cs="Times New Roman"/>
          <w:b/>
          <w:bCs/>
          <w:sz w:val="20"/>
          <w:szCs w:val="20"/>
        </w:rPr>
        <w:t>Keywords</w:t>
      </w:r>
      <w:r w:rsidRPr="00A82B8D">
        <w:rPr>
          <w:rFonts w:ascii="Times New Roman" w:hAnsi="Times New Roman" w:cs="Times New Roman"/>
          <w:sz w:val="20"/>
          <w:szCs w:val="20"/>
        </w:rPr>
        <w:t>: sunflower oil, thermal degradation, zeolite 4A, adsorption, regeneration.</w:t>
      </w:r>
    </w:p>
    <w:p w14:paraId="44B7DF7D" w14:textId="77777777" w:rsidR="00CD22D7" w:rsidRPr="00CD22D7" w:rsidRDefault="00CD22D7" w:rsidP="00CD22D7">
      <w:pPr>
        <w:spacing w:after="0" w:line="240" w:lineRule="auto"/>
        <w:ind w:left="1134" w:right="1134" w:firstLine="567"/>
        <w:jc w:val="both"/>
        <w:rPr>
          <w:rFonts w:ascii="Times New Roman" w:hAnsi="Times New Roman" w:cs="Times New Roman"/>
          <w:sz w:val="20"/>
        </w:rPr>
      </w:pPr>
    </w:p>
    <w:p w14:paraId="7F07805E" w14:textId="76670CF9" w:rsidR="0053413D" w:rsidRPr="000A503C" w:rsidRDefault="003A175C" w:rsidP="000A503C">
      <w:pPr>
        <w:pStyle w:val="Odlomakpopisa"/>
        <w:numPr>
          <w:ilvl w:val="0"/>
          <w:numId w:val="1"/>
        </w:numPr>
        <w:jc w:val="both"/>
        <w:rPr>
          <w:rFonts w:ascii="Times New Roman" w:hAnsi="Times New Roman" w:cs="Times New Roman"/>
          <w:b/>
          <w:bCs/>
          <w:sz w:val="22"/>
          <w:szCs w:val="22"/>
        </w:rPr>
      </w:pPr>
      <w:r>
        <w:rPr>
          <w:rFonts w:ascii="Times New Roman" w:hAnsi="Times New Roman" w:cs="Times New Roman"/>
          <w:sz w:val="22"/>
          <w:szCs w:val="22"/>
        </w:rPr>
        <w:t>INTRODUCTION</w:t>
      </w:r>
    </w:p>
    <w:p w14:paraId="0BF445B6" w14:textId="77777777" w:rsidR="003A175C" w:rsidRDefault="003A175C" w:rsidP="000A503C">
      <w:pPr>
        <w:ind w:firstLine="708"/>
        <w:jc w:val="both"/>
        <w:rPr>
          <w:rFonts w:asciiTheme="majorBidi" w:hAnsiTheme="majorBidi" w:cstheme="majorBidi"/>
          <w:sz w:val="22"/>
          <w:szCs w:val="22"/>
        </w:rPr>
      </w:pPr>
      <w:r w:rsidRPr="003A175C">
        <w:rPr>
          <w:rFonts w:asciiTheme="majorBidi" w:hAnsiTheme="majorBidi" w:cstheme="majorBidi"/>
          <w:sz w:val="22"/>
          <w:szCs w:val="22"/>
        </w:rPr>
        <w:t xml:space="preserve">Edible oils represent a group of plant- or animal-derived fats that are used in food preparation, such as frying, baking, and seasoning (e.g., salad dressings and bread spreads). They are an important part of the human diet because they contain fat-soluble vitamins such as A, D, E, and K. Vitamin E is particularly important, as it possesses antioxidant properties and neutralizes free radicals responsible for carcinogenesis and aging processes [1]. Sunflower oil, obtained from the seeds of the plant </w:t>
      </w:r>
      <w:r w:rsidRPr="003A175C">
        <w:rPr>
          <w:rFonts w:asciiTheme="majorBidi" w:hAnsiTheme="majorBidi" w:cstheme="majorBidi"/>
          <w:i/>
          <w:iCs/>
          <w:sz w:val="22"/>
          <w:szCs w:val="22"/>
        </w:rPr>
        <w:t>Helianthus annuus</w:t>
      </w:r>
      <w:r w:rsidRPr="003A175C">
        <w:rPr>
          <w:rFonts w:asciiTheme="majorBidi" w:hAnsiTheme="majorBidi" w:cstheme="majorBidi"/>
          <w:sz w:val="22"/>
          <w:szCs w:val="22"/>
        </w:rPr>
        <w:t>, is one of the most important edible oils and is widely used in nutrition, especially as a frying medium. Its composition is characterized by a high content of oleic and linoleic acids [2]. Linoleic acid accounts for a larger proportion of triacylglycerols (53.9 mg/kg) compared to oleic acid, with a concentration of 23.9 mg/kg [3,4]. In addition, sunflower oil is rich in natural antioxidants, including phenolic compounds [5].</w:t>
      </w:r>
    </w:p>
    <w:p w14:paraId="224F3D55" w14:textId="77777777" w:rsidR="003A175C" w:rsidRPr="003A175C" w:rsidRDefault="003A175C" w:rsidP="003A175C">
      <w:pPr>
        <w:ind w:firstLine="708"/>
        <w:jc w:val="both"/>
        <w:rPr>
          <w:rFonts w:asciiTheme="majorBidi" w:hAnsiTheme="majorBidi" w:cstheme="majorBidi"/>
          <w:sz w:val="22"/>
          <w:szCs w:val="22"/>
        </w:rPr>
      </w:pPr>
      <w:r w:rsidRPr="003A175C">
        <w:rPr>
          <w:rFonts w:asciiTheme="majorBidi" w:hAnsiTheme="majorBidi" w:cstheme="majorBidi"/>
          <w:sz w:val="22"/>
          <w:szCs w:val="22"/>
        </w:rPr>
        <w:t xml:space="preserve">The composition of edible oils is largely based on triacylglycerols, which make up about 96% of the total mass. However, due to their chemical structure, these oils are prone to oxidative processes, especially at high temperatures. During oxidation, fatty acids, either free or bound to glycerol, can degrade into volatile and non-volatile products [6]. In the course of this process, beneficial components break down, while potentially toxic compounds are formed, which can impair the sensory properties of the oil (odor and flavor) and negatively affect human health [7–11]. At temperatures above 150 °C, the oxidation rate of oils increases significantly. During thermal processing, in addition to the primary oxidation products, such as hydroperoxides and the compounds resulting from their decomposition, secondary thermo-oxidation products are also formed. This group includes dimers and polymers of fatty acids and triglycerides, oxy-polymers, cyclic fatty acids, as well as various volatile and non-volatile compounds [12–14]. Heating of oils leads to an increase in density, saponification value, acid value, and peroxide value, while the iodine value decreases simultaneously [15]. The saponification value (mg KOH/g) is defined as the amount of potassium hydroxide required to completely </w:t>
      </w:r>
      <w:r w:rsidRPr="003A175C">
        <w:rPr>
          <w:rFonts w:asciiTheme="majorBidi" w:hAnsiTheme="majorBidi" w:cstheme="majorBidi"/>
          <w:sz w:val="22"/>
          <w:szCs w:val="22"/>
        </w:rPr>
        <w:lastRenderedPageBreak/>
        <w:t>saponify (both free and esterified) fatty acids in one gram of oil or fat. The acid value (mg KOH/g) represents the amount of potassium hydroxide needed to neutralize the free fatty acids in one gram of oil or fat. Oils rich in polyunsaturated fatty acids, such as sunflower oil, are particularly susceptible to oxidation at elevated temperatures.</w:t>
      </w:r>
    </w:p>
    <w:p w14:paraId="30E2E77D" w14:textId="14062699" w:rsidR="003A175C" w:rsidRPr="003A175C" w:rsidRDefault="003A175C" w:rsidP="003A175C">
      <w:pPr>
        <w:ind w:firstLine="708"/>
        <w:jc w:val="both"/>
        <w:rPr>
          <w:rFonts w:asciiTheme="majorBidi" w:hAnsiTheme="majorBidi" w:cstheme="majorBidi"/>
          <w:sz w:val="22"/>
          <w:szCs w:val="22"/>
        </w:rPr>
      </w:pPr>
      <w:r w:rsidRPr="003A175C">
        <w:rPr>
          <w:rFonts w:asciiTheme="majorBidi" w:hAnsiTheme="majorBidi" w:cstheme="majorBidi"/>
          <w:sz w:val="22"/>
          <w:szCs w:val="22"/>
        </w:rPr>
        <w:t xml:space="preserve">One of the methods for preserving the quality of used oil is the application of adsorbents, through which undesirable products of thermal degradation can be removed. For this purpose, natural and synthetic adsorbents such as zeolites are particularly </w:t>
      </w:r>
      <w:r>
        <w:rPr>
          <w:rFonts w:asciiTheme="majorBidi" w:hAnsiTheme="majorBidi" w:cstheme="majorBidi"/>
          <w:sz w:val="22"/>
          <w:szCs w:val="22"/>
        </w:rPr>
        <w:t>used</w:t>
      </w:r>
      <w:r w:rsidRPr="003A175C">
        <w:rPr>
          <w:rFonts w:asciiTheme="majorBidi" w:hAnsiTheme="majorBidi" w:cstheme="majorBidi"/>
          <w:sz w:val="22"/>
          <w:szCs w:val="22"/>
        </w:rPr>
        <w:t>. Zeolites are microporous aluminosilicates of crystalline structure, well known for their pronounced ability of selective adsorption [16–19]. They have proven to be highly effective adsorptive materials for the removal of various organic compounds. Owing to their large specific surface area, high adsorption capacity, as well as excellent thermal and hydrothermal stability, zeolites are considered among the most important industrial adsorbents and catalysts [20,21]. Their adsorption efficiency is based on the microporous structure and precisely defined pore dimensions, which allow for selective binding of molecules depending on their size and shape [18].</w:t>
      </w:r>
    </w:p>
    <w:p w14:paraId="0BD78067" w14:textId="77777777" w:rsidR="003A175C" w:rsidRPr="003A175C" w:rsidRDefault="003A175C" w:rsidP="003A175C">
      <w:pPr>
        <w:ind w:firstLine="708"/>
        <w:jc w:val="both"/>
        <w:rPr>
          <w:rFonts w:asciiTheme="majorBidi" w:hAnsiTheme="majorBidi" w:cstheme="majorBidi"/>
          <w:sz w:val="22"/>
          <w:szCs w:val="22"/>
        </w:rPr>
      </w:pPr>
      <w:r w:rsidRPr="003A175C">
        <w:rPr>
          <w:rFonts w:asciiTheme="majorBidi" w:hAnsiTheme="majorBidi" w:cstheme="majorBidi"/>
          <w:sz w:val="22"/>
          <w:szCs w:val="22"/>
        </w:rPr>
        <w:t>Zeolite NaA, also known as 4A, forms a three-dimensional framework (denoted as LTA5), created by linking β-cages through double four-membered rings (D4R) (Figure 1). Each β-cage contains 12 tetrahedral units, [SiO₄]⁴⁻ and [AlO₄]⁵⁻, interconnected by shared oxygen atoms. The pores of zeolite NaA have a diameter of 4 Å, and through ion exchange with calcium or potassium salt solutions they can be modified to 5 or 3 Å, respectively [22]. In zeolites with high aluminum content (type A), where the negative framework charge is balanced by cations, electrostatic interactions are dominant, favoring the adsorption of polar molecules [23].</w:t>
      </w:r>
    </w:p>
    <w:p w14:paraId="6565A8A9" w14:textId="77777777" w:rsidR="003A175C" w:rsidRPr="003A175C" w:rsidRDefault="003A175C" w:rsidP="003A175C">
      <w:pPr>
        <w:ind w:firstLine="708"/>
        <w:jc w:val="both"/>
        <w:rPr>
          <w:rFonts w:asciiTheme="majorBidi" w:hAnsiTheme="majorBidi" w:cstheme="majorBidi"/>
          <w:sz w:val="22"/>
          <w:szCs w:val="22"/>
        </w:rPr>
      </w:pPr>
      <w:r w:rsidRPr="003A175C">
        <w:rPr>
          <w:rFonts w:asciiTheme="majorBidi" w:hAnsiTheme="majorBidi" w:cstheme="majorBidi"/>
          <w:sz w:val="22"/>
          <w:szCs w:val="22"/>
        </w:rPr>
        <w:t>The aim of this study was to investigate the influence of zeolite 4A on the regeneration of thermally degraded sunflower oil by determining key quality parameters, including acid value, saponification value, and moisture and volatile matter content. In this way, the efficiency of zeolite 4A as an adsorbent in removing degradation products and preserving the nutritional and sensory quality of oil is assessed.</w:t>
      </w:r>
    </w:p>
    <w:p w14:paraId="3D1D8919" w14:textId="76EE5940" w:rsidR="0053413D" w:rsidRDefault="00EF50DF" w:rsidP="00FE6B04">
      <w:pPr>
        <w:ind w:firstLine="708"/>
        <w:jc w:val="both"/>
        <w:rPr>
          <w:rFonts w:asciiTheme="majorBidi" w:hAnsiTheme="majorBidi" w:cstheme="majorBidi"/>
          <w:sz w:val="22"/>
          <w:szCs w:val="22"/>
          <w:lang w:val="en-US"/>
        </w:rPr>
      </w:pPr>
      <w:r>
        <w:rPr>
          <w:rFonts w:asciiTheme="majorBidi" w:hAnsiTheme="majorBidi" w:cstheme="majorBidi"/>
          <w:sz w:val="22"/>
          <w:szCs w:val="22"/>
        </w:rPr>
        <w:t>.</w:t>
      </w:r>
    </w:p>
    <w:p w14:paraId="6ED4D2D9" w14:textId="14EDA1D8" w:rsidR="00D34784" w:rsidRDefault="00D34784" w:rsidP="00D34784">
      <w:pPr>
        <w:ind w:firstLine="708"/>
        <w:jc w:val="center"/>
        <w:rPr>
          <w:rFonts w:asciiTheme="majorBidi" w:hAnsiTheme="majorBidi" w:cstheme="majorBidi"/>
          <w:sz w:val="22"/>
          <w:szCs w:val="22"/>
          <w:lang w:val="en-US"/>
        </w:rPr>
      </w:pPr>
      <w:r>
        <w:rPr>
          <w:rFonts w:ascii="Times New Roman" w:hAnsi="Times New Roman" w:cs="Times New Roman"/>
          <w:noProof/>
        </w:rPr>
        <w:drawing>
          <wp:inline distT="0" distB="0" distL="0" distR="0" wp14:anchorId="0A033170" wp14:editId="1B13E12B">
            <wp:extent cx="2396836" cy="2452385"/>
            <wp:effectExtent l="0" t="0" r="3810" b="5080"/>
            <wp:docPr id="782277783" name="Slika 3" descr="Slika na kojoj se prikazuje skeč, umjetničko djelo, dizajn, osmerokut&#10;&#10;Sadržaj generiran umjetnom inteligencijom može biti ne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277783" name="Slika 3" descr="Slika na kojoj se prikazuje skeč, umjetničko djelo, dizajn, osmerokut&#10;&#10;Sadržaj generiran umjetnom inteligencijom može biti netočan."/>
                    <pic:cNvPicPr/>
                  </pic:nvPicPr>
                  <pic:blipFill>
                    <a:blip r:embed="rId5">
                      <a:extLst>
                        <a:ext uri="{28A0092B-C50C-407E-A947-70E740481C1C}">
                          <a14:useLocalDpi xmlns:a14="http://schemas.microsoft.com/office/drawing/2010/main" val="0"/>
                        </a:ext>
                      </a:extLst>
                    </a:blip>
                    <a:stretch>
                      <a:fillRect/>
                    </a:stretch>
                  </pic:blipFill>
                  <pic:spPr>
                    <a:xfrm>
                      <a:off x="0" y="0"/>
                      <a:ext cx="2401012" cy="2456657"/>
                    </a:xfrm>
                    <a:prstGeom prst="rect">
                      <a:avLst/>
                    </a:prstGeom>
                  </pic:spPr>
                </pic:pic>
              </a:graphicData>
            </a:graphic>
          </wp:inline>
        </w:drawing>
      </w:r>
    </w:p>
    <w:p w14:paraId="3DB1DB9A" w14:textId="514A9A8A" w:rsidR="00D34784" w:rsidRPr="0068693A" w:rsidRDefault="0068693A" w:rsidP="0068693A">
      <w:pPr>
        <w:ind w:firstLine="708"/>
        <w:jc w:val="center"/>
        <w:rPr>
          <w:rFonts w:asciiTheme="majorBidi" w:hAnsiTheme="majorBidi" w:cstheme="majorBidi"/>
          <w:i/>
          <w:iCs/>
        </w:rPr>
      </w:pPr>
      <w:r>
        <w:rPr>
          <w:rFonts w:asciiTheme="majorBidi" w:hAnsiTheme="majorBidi" w:cstheme="majorBidi"/>
          <w:i/>
          <w:iCs/>
          <w:sz w:val="20"/>
          <w:szCs w:val="20"/>
          <w:lang w:val="en-US"/>
        </w:rPr>
        <w:t>Figure</w:t>
      </w:r>
      <w:r w:rsidR="00D34784">
        <w:rPr>
          <w:rFonts w:asciiTheme="majorBidi" w:hAnsiTheme="majorBidi" w:cstheme="majorBidi"/>
          <w:i/>
          <w:iCs/>
          <w:sz w:val="20"/>
          <w:szCs w:val="20"/>
          <w:lang w:val="en-US"/>
        </w:rPr>
        <w:t xml:space="preserve"> 1. </w:t>
      </w:r>
      <w:r w:rsidRPr="0068693A">
        <w:rPr>
          <w:rFonts w:asciiTheme="majorBidi" w:hAnsiTheme="majorBidi" w:cstheme="majorBidi"/>
          <w:i/>
          <w:iCs/>
          <w:sz w:val="20"/>
          <w:szCs w:val="20"/>
          <w:lang w:val="en"/>
        </w:rPr>
        <w:t>Three-dimensional structure of Zeolite A (LTA structure)</w:t>
      </w:r>
      <w:r w:rsidR="00D34784">
        <w:rPr>
          <w:rFonts w:asciiTheme="majorBidi" w:hAnsiTheme="majorBidi" w:cstheme="majorBidi"/>
          <w:i/>
          <w:iCs/>
          <w:sz w:val="20"/>
          <w:szCs w:val="20"/>
          <w:lang w:val="en-US"/>
        </w:rPr>
        <w:t xml:space="preserve"> [</w:t>
      </w:r>
      <w:r w:rsidR="00BA14BE">
        <w:rPr>
          <w:rFonts w:asciiTheme="majorBidi" w:hAnsiTheme="majorBidi" w:cstheme="majorBidi"/>
          <w:i/>
          <w:iCs/>
          <w:sz w:val="20"/>
          <w:szCs w:val="20"/>
          <w:lang w:val="en-US"/>
        </w:rPr>
        <w:t>24</w:t>
      </w:r>
      <w:r w:rsidR="00D34784">
        <w:rPr>
          <w:rFonts w:asciiTheme="majorBidi" w:hAnsiTheme="majorBidi" w:cstheme="majorBidi"/>
          <w:i/>
          <w:iCs/>
          <w:sz w:val="20"/>
          <w:szCs w:val="20"/>
          <w:lang w:val="en-US"/>
        </w:rPr>
        <w:t>]</w:t>
      </w:r>
    </w:p>
    <w:p w14:paraId="2AD224B7" w14:textId="77777777" w:rsidR="00C461B6" w:rsidRDefault="00C461B6" w:rsidP="00D34784">
      <w:pPr>
        <w:jc w:val="both"/>
        <w:rPr>
          <w:rFonts w:ascii="Times New Roman" w:hAnsi="Times New Roman" w:cs="Times New Roman"/>
          <w:sz w:val="22"/>
          <w:szCs w:val="22"/>
        </w:rPr>
      </w:pPr>
    </w:p>
    <w:p w14:paraId="7D2343A0" w14:textId="68B0A191" w:rsidR="00BD0D8E" w:rsidRPr="00BD0D8E" w:rsidRDefault="00BD0D8E" w:rsidP="00BD0D8E">
      <w:pPr>
        <w:pStyle w:val="Odlomakpopisa"/>
        <w:numPr>
          <w:ilvl w:val="0"/>
          <w:numId w:val="1"/>
        </w:numPr>
        <w:jc w:val="both"/>
        <w:rPr>
          <w:rFonts w:ascii="Times New Roman" w:hAnsi="Times New Roman" w:cs="Times New Roman"/>
          <w:sz w:val="22"/>
          <w:szCs w:val="22"/>
        </w:rPr>
      </w:pPr>
      <w:r w:rsidRPr="00BD0D8E">
        <w:rPr>
          <w:rFonts w:ascii="Times New Roman" w:hAnsi="Times New Roman" w:cs="Times New Roman"/>
          <w:sz w:val="22"/>
          <w:szCs w:val="22"/>
          <w:lang w:val="en"/>
        </w:rPr>
        <w:t>MATERIAL AND METHODS</w:t>
      </w:r>
    </w:p>
    <w:p w14:paraId="3731FE9F" w14:textId="4D19B7AA" w:rsidR="00CB4CED" w:rsidRDefault="00BD0D8E" w:rsidP="00CB4CED">
      <w:pPr>
        <w:ind w:firstLine="708"/>
        <w:jc w:val="both"/>
        <w:rPr>
          <w:rFonts w:ascii="Times New Roman" w:hAnsi="Times New Roman" w:cs="Times New Roman"/>
          <w:sz w:val="22"/>
          <w:szCs w:val="22"/>
          <w:lang w:val="en-GB"/>
        </w:rPr>
      </w:pPr>
      <w:r w:rsidRPr="00BD0D8E">
        <w:rPr>
          <w:rFonts w:ascii="Times New Roman" w:hAnsi="Times New Roman" w:cs="Times New Roman"/>
          <w:sz w:val="22"/>
          <w:szCs w:val="22"/>
        </w:rPr>
        <w:t xml:space="preserve">For the purposes of this study, we used edible sunflower oil produced in Bosnia and Herzegovina, while synthetic zeolite, Zeolite 4A, was applied as the adsorbent. In the initial oil sample, the values of acid value, saponification value, and moisture and volatile matter content were determined at room temperature. The oil was then heated at temperatures of 110℃, 130℃, 150℃, 170℃, and 190℃ for periods of 10 and 30 </w:t>
      </w:r>
      <w:r w:rsidRPr="00BD0D8E">
        <w:rPr>
          <w:rFonts w:ascii="Times New Roman" w:hAnsi="Times New Roman" w:cs="Times New Roman"/>
          <w:sz w:val="22"/>
          <w:szCs w:val="22"/>
        </w:rPr>
        <w:lastRenderedPageBreak/>
        <w:t>minutes. Regeneration of the oil was carried out using the adsorbent Zeolite 4A, after which the values of acid value, saponification value, and moisture and volatile matter content were determined again. These values were measured using standard methods:</w:t>
      </w:r>
    </w:p>
    <w:p w14:paraId="437DF696" w14:textId="42DA4A76" w:rsidR="000A503C" w:rsidRPr="000A503C" w:rsidRDefault="000A503C" w:rsidP="000A503C">
      <w:pPr>
        <w:pStyle w:val="Odlomakpopisa"/>
        <w:numPr>
          <w:ilvl w:val="0"/>
          <w:numId w:val="4"/>
        </w:numPr>
        <w:jc w:val="both"/>
        <w:rPr>
          <w:rFonts w:ascii="Times New Roman" w:hAnsi="Times New Roman" w:cs="Times New Roman"/>
          <w:sz w:val="22"/>
          <w:szCs w:val="22"/>
          <w:lang w:val="sr-Latn-RS"/>
        </w:rPr>
      </w:pPr>
      <w:r w:rsidRPr="000A503C">
        <w:rPr>
          <w:rFonts w:ascii="Times New Roman" w:hAnsi="Times New Roman" w:cs="Times New Roman"/>
          <w:sz w:val="22"/>
          <w:szCs w:val="22"/>
        </w:rPr>
        <w:t xml:space="preserve">BAS EN ISO 662 </w:t>
      </w:r>
      <w:r w:rsidR="00BD0D8E" w:rsidRPr="00BD0D8E">
        <w:rPr>
          <w:rFonts w:ascii="Times New Roman" w:hAnsi="Times New Roman" w:cs="Times New Roman"/>
          <w:sz w:val="22"/>
          <w:szCs w:val="22"/>
        </w:rPr>
        <w:t>Determination of moisture and volatile matter content</w:t>
      </w:r>
      <w:r w:rsidRPr="000A503C">
        <w:rPr>
          <w:rFonts w:ascii="Times New Roman" w:hAnsi="Times New Roman" w:cs="Times New Roman"/>
          <w:sz w:val="22"/>
          <w:szCs w:val="22"/>
        </w:rPr>
        <w:t>;</w:t>
      </w:r>
    </w:p>
    <w:p w14:paraId="2607063B" w14:textId="725AFF25" w:rsidR="000A503C" w:rsidRPr="000A503C" w:rsidRDefault="000A503C" w:rsidP="000A503C">
      <w:pPr>
        <w:pStyle w:val="Odlomakpopisa"/>
        <w:numPr>
          <w:ilvl w:val="0"/>
          <w:numId w:val="4"/>
        </w:numPr>
        <w:jc w:val="both"/>
        <w:rPr>
          <w:rFonts w:ascii="Times New Roman" w:hAnsi="Times New Roman" w:cs="Times New Roman"/>
          <w:sz w:val="22"/>
          <w:szCs w:val="22"/>
          <w:lang w:val="sr-Latn-RS"/>
        </w:rPr>
      </w:pPr>
      <w:r w:rsidRPr="000A503C">
        <w:rPr>
          <w:rFonts w:ascii="Times New Roman" w:hAnsi="Times New Roman" w:cs="Times New Roman"/>
          <w:sz w:val="22"/>
          <w:szCs w:val="22"/>
        </w:rPr>
        <w:t xml:space="preserve">BAS EN ISO 3657 </w:t>
      </w:r>
      <w:r w:rsidR="00BD0D8E" w:rsidRPr="00BD0D8E">
        <w:rPr>
          <w:rFonts w:ascii="Times New Roman" w:hAnsi="Times New Roman" w:cs="Times New Roman"/>
          <w:sz w:val="22"/>
          <w:szCs w:val="22"/>
        </w:rPr>
        <w:t>Determination of saponification value</w:t>
      </w:r>
      <w:r w:rsidRPr="000A503C">
        <w:rPr>
          <w:rFonts w:ascii="Times New Roman" w:hAnsi="Times New Roman" w:cs="Times New Roman"/>
          <w:sz w:val="22"/>
          <w:szCs w:val="22"/>
        </w:rPr>
        <w:t>;</w:t>
      </w:r>
    </w:p>
    <w:p w14:paraId="6AA4168D" w14:textId="0EC134C2" w:rsidR="000A503C" w:rsidRPr="00524F8C" w:rsidRDefault="000A503C" w:rsidP="008E1FD5">
      <w:pPr>
        <w:pStyle w:val="Odlomakpopisa"/>
        <w:numPr>
          <w:ilvl w:val="0"/>
          <w:numId w:val="4"/>
        </w:numPr>
        <w:jc w:val="both"/>
        <w:rPr>
          <w:rFonts w:ascii="Times New Roman" w:hAnsi="Times New Roman" w:cs="Times New Roman"/>
          <w:sz w:val="22"/>
          <w:szCs w:val="22"/>
          <w:lang w:val="sr-Latn-RS"/>
        </w:rPr>
      </w:pPr>
      <w:r w:rsidRPr="000A503C">
        <w:rPr>
          <w:rFonts w:ascii="Times New Roman" w:hAnsi="Times New Roman" w:cs="Times New Roman"/>
          <w:sz w:val="22"/>
          <w:szCs w:val="22"/>
        </w:rPr>
        <w:t xml:space="preserve">BAS EN ISO 660 </w:t>
      </w:r>
      <w:r w:rsidR="00BD0D8E" w:rsidRPr="00BD0D8E">
        <w:rPr>
          <w:rFonts w:ascii="Times New Roman" w:hAnsi="Times New Roman" w:cs="Times New Roman"/>
          <w:sz w:val="22"/>
          <w:szCs w:val="22"/>
        </w:rPr>
        <w:t>Determination of acid value and acidity</w:t>
      </w:r>
      <w:r>
        <w:rPr>
          <w:rFonts w:ascii="Times New Roman" w:hAnsi="Times New Roman" w:cs="Times New Roman"/>
          <w:sz w:val="22"/>
          <w:szCs w:val="22"/>
        </w:rPr>
        <w:t>.</w:t>
      </w:r>
    </w:p>
    <w:p w14:paraId="067DD0D1" w14:textId="77777777" w:rsidR="00524F8C" w:rsidRPr="008E1FD5" w:rsidRDefault="00524F8C" w:rsidP="00524F8C">
      <w:pPr>
        <w:pStyle w:val="Odlomakpopisa"/>
        <w:ind w:left="1428"/>
        <w:jc w:val="both"/>
        <w:rPr>
          <w:rFonts w:ascii="Times New Roman" w:hAnsi="Times New Roman" w:cs="Times New Roman"/>
          <w:sz w:val="22"/>
          <w:szCs w:val="22"/>
          <w:lang w:val="sr-Latn-RS"/>
        </w:rPr>
      </w:pPr>
    </w:p>
    <w:p w14:paraId="19591C5B" w14:textId="0D523D3B" w:rsidR="009D1601" w:rsidRPr="009D1601" w:rsidRDefault="009D1601" w:rsidP="009D1601">
      <w:pPr>
        <w:pStyle w:val="Odlomakpopisa"/>
        <w:numPr>
          <w:ilvl w:val="0"/>
          <w:numId w:val="1"/>
        </w:numPr>
        <w:jc w:val="both"/>
        <w:rPr>
          <w:rFonts w:ascii="Times New Roman" w:hAnsi="Times New Roman" w:cs="Times New Roman"/>
          <w:sz w:val="22"/>
          <w:szCs w:val="22"/>
        </w:rPr>
      </w:pPr>
      <w:r w:rsidRPr="009D1601">
        <w:rPr>
          <w:rFonts w:ascii="Times New Roman" w:hAnsi="Times New Roman" w:cs="Times New Roman"/>
          <w:sz w:val="22"/>
          <w:szCs w:val="22"/>
          <w:lang w:val="en"/>
        </w:rPr>
        <w:t>RESULTS AND DISCUSSION</w:t>
      </w:r>
    </w:p>
    <w:p w14:paraId="7DB599E8" w14:textId="2AC47D13" w:rsidR="0052028E" w:rsidRDefault="00CB4CED" w:rsidP="0052028E">
      <w:pPr>
        <w:ind w:firstLine="708"/>
        <w:jc w:val="both"/>
        <w:rPr>
          <w:rFonts w:ascii="Times New Roman" w:hAnsi="Times New Roman" w:cs="Times New Roman"/>
          <w:sz w:val="22"/>
          <w:szCs w:val="22"/>
        </w:rPr>
      </w:pPr>
      <w:r w:rsidRPr="00CB4CED">
        <w:rPr>
          <w:rFonts w:ascii="Times New Roman" w:hAnsi="Times New Roman" w:cs="Times New Roman"/>
          <w:sz w:val="22"/>
          <w:szCs w:val="22"/>
          <w:lang w:val="en-GB"/>
        </w:rPr>
        <w:t xml:space="preserve"> </w:t>
      </w:r>
      <w:r w:rsidR="0052028E" w:rsidRPr="0052028E">
        <w:rPr>
          <w:rFonts w:ascii="Times New Roman" w:hAnsi="Times New Roman" w:cs="Times New Roman"/>
          <w:sz w:val="22"/>
          <w:szCs w:val="22"/>
        </w:rPr>
        <w:t>After determining the acid value, saponification value, and the moisture and volatile matter content in the initial oil sample, the sunflower oil was heated to defined temperatures, and the results are presented in Table 1.</w:t>
      </w:r>
    </w:p>
    <w:p w14:paraId="5E7F15FB" w14:textId="09CA239A" w:rsidR="00677F7A" w:rsidRPr="00275610" w:rsidRDefault="0052028E" w:rsidP="0052028E">
      <w:pPr>
        <w:ind w:firstLine="708"/>
        <w:jc w:val="both"/>
        <w:rPr>
          <w:rFonts w:ascii="Times New Roman" w:hAnsi="Times New Roman" w:cs="Times New Roman"/>
          <w:i/>
          <w:iCs/>
          <w:sz w:val="20"/>
          <w:szCs w:val="20"/>
          <w:lang w:val="en-GB"/>
        </w:rPr>
      </w:pPr>
      <w:r w:rsidRPr="0052028E">
        <w:rPr>
          <w:rFonts w:ascii="Times New Roman" w:hAnsi="Times New Roman" w:cs="Times New Roman"/>
          <w:i/>
          <w:iCs/>
          <w:sz w:val="20"/>
          <w:szCs w:val="20"/>
        </w:rPr>
        <w:t xml:space="preserve">Table 1. </w:t>
      </w:r>
      <w:r w:rsidR="00F02437">
        <w:rPr>
          <w:rFonts w:ascii="Times New Roman" w:hAnsi="Times New Roman" w:cs="Times New Roman"/>
          <w:i/>
          <w:iCs/>
          <w:sz w:val="20"/>
          <w:szCs w:val="20"/>
        </w:rPr>
        <w:t>A</w:t>
      </w:r>
      <w:r w:rsidRPr="0052028E">
        <w:rPr>
          <w:rFonts w:ascii="Times New Roman" w:hAnsi="Times New Roman" w:cs="Times New Roman"/>
          <w:i/>
          <w:iCs/>
          <w:sz w:val="20"/>
          <w:szCs w:val="20"/>
        </w:rPr>
        <w:t>cid value, saponification value, and moisture and volatile matter content of heated oil before regeneration with Zeolite 4A.</w:t>
      </w:r>
    </w:p>
    <w:tbl>
      <w:tblPr>
        <w:tblStyle w:val="Svijetlatablicapopisa1-isticanje1"/>
        <w:tblW w:w="5000" w:type="pct"/>
        <w:tblLook w:val="04A0" w:firstRow="1" w:lastRow="0" w:firstColumn="1" w:lastColumn="0" w:noHBand="0" w:noVBand="1"/>
      </w:tblPr>
      <w:tblGrid>
        <w:gridCol w:w="1707"/>
        <w:gridCol w:w="1795"/>
        <w:gridCol w:w="1795"/>
        <w:gridCol w:w="2014"/>
        <w:gridCol w:w="2327"/>
      </w:tblGrid>
      <w:tr w:rsidR="003A5479" w:rsidRPr="0070045E" w14:paraId="668F4636" w14:textId="77777777" w:rsidTr="003A54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6" w:type="pct"/>
          </w:tcPr>
          <w:p w14:paraId="41923FF6" w14:textId="54A7E3B7" w:rsidR="003A5479" w:rsidRPr="0070045E" w:rsidRDefault="0052028E" w:rsidP="003A5479">
            <w:pPr>
              <w:jc w:val="center"/>
              <w:rPr>
                <w:rFonts w:ascii="Times New Roman" w:hAnsi="Times New Roman" w:cs="Times New Roman"/>
                <w:sz w:val="20"/>
                <w:szCs w:val="20"/>
                <w:lang w:val="en-GB"/>
              </w:rPr>
            </w:pPr>
            <w:r>
              <w:rPr>
                <w:rFonts w:ascii="Times New Roman" w:hAnsi="Times New Roman" w:cs="Times New Roman"/>
                <w:sz w:val="20"/>
                <w:szCs w:val="20"/>
                <w:lang w:val="en-GB"/>
              </w:rPr>
              <w:t xml:space="preserve">Time </w:t>
            </w:r>
            <w:r w:rsidR="003A5479">
              <w:rPr>
                <w:rFonts w:ascii="Times New Roman" w:hAnsi="Times New Roman" w:cs="Times New Roman"/>
                <w:sz w:val="20"/>
                <w:szCs w:val="20"/>
                <w:lang w:val="en-GB"/>
              </w:rPr>
              <w:t>(min)</w:t>
            </w:r>
          </w:p>
        </w:tc>
        <w:tc>
          <w:tcPr>
            <w:tcW w:w="931" w:type="pct"/>
          </w:tcPr>
          <w:p w14:paraId="09DF9D05" w14:textId="54CA8029" w:rsidR="003A5479" w:rsidRPr="0070045E" w:rsidRDefault="003A5479" w:rsidP="003A547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Temperatu</w:t>
            </w:r>
            <w:r w:rsidR="0052028E">
              <w:rPr>
                <w:rFonts w:ascii="Times New Roman" w:hAnsi="Times New Roman" w:cs="Times New Roman"/>
                <w:sz w:val="20"/>
                <w:szCs w:val="20"/>
                <w:lang w:val="en-GB"/>
              </w:rPr>
              <w:t xml:space="preserve">re </w:t>
            </w:r>
            <w:r w:rsidRPr="0070045E">
              <w:rPr>
                <w:rFonts w:ascii="Times New Roman" w:hAnsi="Times New Roman" w:cs="Times New Roman"/>
                <w:sz w:val="20"/>
                <w:szCs w:val="20"/>
                <w:lang w:val="en-GB"/>
              </w:rPr>
              <w:t>(℃)</w:t>
            </w:r>
          </w:p>
        </w:tc>
        <w:tc>
          <w:tcPr>
            <w:tcW w:w="931" w:type="pct"/>
          </w:tcPr>
          <w:p w14:paraId="22AC9424" w14:textId="199F2051" w:rsidR="003A5479" w:rsidRPr="0070045E" w:rsidRDefault="0052028E" w:rsidP="003A547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Acid value</w:t>
            </w:r>
            <w:r w:rsidR="003A5479" w:rsidRPr="0070045E">
              <w:rPr>
                <w:rFonts w:ascii="Times New Roman" w:hAnsi="Times New Roman" w:cs="Times New Roman"/>
                <w:sz w:val="20"/>
                <w:szCs w:val="20"/>
                <w:lang w:val="en-GB"/>
              </w:rPr>
              <w:t xml:space="preserve"> (mg KOH/g)</w:t>
            </w:r>
          </w:p>
        </w:tc>
        <w:tc>
          <w:tcPr>
            <w:tcW w:w="1045" w:type="pct"/>
          </w:tcPr>
          <w:p w14:paraId="51BBDF66" w14:textId="1EBDE764" w:rsidR="003A5479" w:rsidRPr="0070045E" w:rsidRDefault="0052028E" w:rsidP="003A547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Saponification value</w:t>
            </w:r>
            <w:r w:rsidR="003A5479" w:rsidRPr="0070045E">
              <w:rPr>
                <w:rFonts w:ascii="Times New Roman" w:hAnsi="Times New Roman" w:cs="Times New Roman"/>
                <w:sz w:val="20"/>
                <w:szCs w:val="20"/>
                <w:lang w:val="en-GB"/>
              </w:rPr>
              <w:t xml:space="preserve"> (mg KOH/g)</w:t>
            </w:r>
          </w:p>
        </w:tc>
        <w:tc>
          <w:tcPr>
            <w:tcW w:w="1207" w:type="pct"/>
          </w:tcPr>
          <w:p w14:paraId="2F764058" w14:textId="02BBE764" w:rsidR="003A5479" w:rsidRPr="0070045E" w:rsidRDefault="0052028E" w:rsidP="003A547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Moisture and volatile matter content</w:t>
            </w:r>
            <w:r w:rsidR="003A5479" w:rsidRPr="0070045E">
              <w:rPr>
                <w:rFonts w:ascii="Times New Roman" w:hAnsi="Times New Roman" w:cs="Times New Roman"/>
                <w:sz w:val="20"/>
                <w:szCs w:val="20"/>
                <w:lang w:val="en-GB"/>
              </w:rPr>
              <w:t xml:space="preserve"> (%)</w:t>
            </w:r>
          </w:p>
        </w:tc>
      </w:tr>
      <w:tr w:rsidR="003A5479" w:rsidRPr="0070045E" w14:paraId="0070FDC7" w14:textId="77777777" w:rsidTr="003A54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6" w:type="pct"/>
          </w:tcPr>
          <w:p w14:paraId="6406D74A" w14:textId="7D235E5C" w:rsidR="003A5479" w:rsidRPr="009D1C54" w:rsidRDefault="003A5479" w:rsidP="003A5479">
            <w:pPr>
              <w:jc w:val="center"/>
              <w:rPr>
                <w:rFonts w:ascii="Times New Roman" w:hAnsi="Times New Roman" w:cs="Times New Roman"/>
                <w:b w:val="0"/>
                <w:bCs w:val="0"/>
                <w:sz w:val="20"/>
                <w:szCs w:val="20"/>
                <w:lang w:val="en-GB"/>
              </w:rPr>
            </w:pPr>
            <w:r w:rsidRPr="009D1C54">
              <w:rPr>
                <w:rFonts w:ascii="Times New Roman" w:hAnsi="Times New Roman" w:cs="Times New Roman"/>
                <w:b w:val="0"/>
                <w:bCs w:val="0"/>
                <w:sz w:val="20"/>
                <w:szCs w:val="20"/>
                <w:lang w:val="en-GB"/>
              </w:rPr>
              <w:t>-</w:t>
            </w:r>
          </w:p>
        </w:tc>
        <w:tc>
          <w:tcPr>
            <w:tcW w:w="931" w:type="pct"/>
          </w:tcPr>
          <w:p w14:paraId="66E46DCC" w14:textId="526FE3EC" w:rsidR="003A5479" w:rsidRPr="0070045E" w:rsidRDefault="003A5479" w:rsidP="003A547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25</w:t>
            </w:r>
          </w:p>
        </w:tc>
        <w:tc>
          <w:tcPr>
            <w:tcW w:w="931" w:type="pct"/>
          </w:tcPr>
          <w:p w14:paraId="757E292A" w14:textId="6297715A" w:rsidR="003A5479" w:rsidRPr="0070045E" w:rsidRDefault="003A5479" w:rsidP="003A547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0,3</w:t>
            </w:r>
            <w:r>
              <w:rPr>
                <w:rFonts w:ascii="Times New Roman" w:hAnsi="Times New Roman" w:cs="Times New Roman"/>
                <w:sz w:val="20"/>
                <w:szCs w:val="20"/>
                <w:lang w:val="en-GB"/>
              </w:rPr>
              <w:t>0</w:t>
            </w:r>
          </w:p>
        </w:tc>
        <w:tc>
          <w:tcPr>
            <w:tcW w:w="1045" w:type="pct"/>
          </w:tcPr>
          <w:p w14:paraId="03FE370F" w14:textId="279E1878" w:rsidR="003A5479" w:rsidRPr="0070045E" w:rsidRDefault="003A5479" w:rsidP="003A547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189</w:t>
            </w:r>
          </w:p>
        </w:tc>
        <w:tc>
          <w:tcPr>
            <w:tcW w:w="1207" w:type="pct"/>
          </w:tcPr>
          <w:p w14:paraId="4A92E53C" w14:textId="57BAB916" w:rsidR="003A5479" w:rsidRPr="0070045E" w:rsidRDefault="003A5479" w:rsidP="003A547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0,02</w:t>
            </w:r>
          </w:p>
        </w:tc>
      </w:tr>
      <w:tr w:rsidR="003A5479" w:rsidRPr="0070045E" w14:paraId="5470660C" w14:textId="77777777" w:rsidTr="003A5479">
        <w:tc>
          <w:tcPr>
            <w:cnfStyle w:val="001000000000" w:firstRow="0" w:lastRow="0" w:firstColumn="1" w:lastColumn="0" w:oddVBand="0" w:evenVBand="0" w:oddHBand="0" w:evenHBand="0" w:firstRowFirstColumn="0" w:firstRowLastColumn="0" w:lastRowFirstColumn="0" w:lastRowLastColumn="0"/>
            <w:tcW w:w="886" w:type="pct"/>
          </w:tcPr>
          <w:p w14:paraId="151078A7" w14:textId="0FA00A70" w:rsidR="003A5479" w:rsidRPr="009D1C54" w:rsidRDefault="003A5479" w:rsidP="003A5479">
            <w:pPr>
              <w:jc w:val="center"/>
              <w:rPr>
                <w:rFonts w:ascii="Times New Roman" w:hAnsi="Times New Roman" w:cs="Times New Roman"/>
                <w:b w:val="0"/>
                <w:bCs w:val="0"/>
                <w:sz w:val="20"/>
                <w:szCs w:val="20"/>
                <w:lang w:val="en-GB"/>
              </w:rPr>
            </w:pPr>
            <w:r w:rsidRPr="009D1C54">
              <w:rPr>
                <w:rFonts w:ascii="Times New Roman" w:hAnsi="Times New Roman" w:cs="Times New Roman"/>
                <w:b w:val="0"/>
                <w:bCs w:val="0"/>
                <w:sz w:val="20"/>
                <w:szCs w:val="20"/>
                <w:lang w:val="en-GB"/>
              </w:rPr>
              <w:t>10</w:t>
            </w:r>
          </w:p>
        </w:tc>
        <w:tc>
          <w:tcPr>
            <w:tcW w:w="931" w:type="pct"/>
          </w:tcPr>
          <w:p w14:paraId="30888376" w14:textId="2987C5CE" w:rsidR="003A5479" w:rsidRPr="0070045E" w:rsidRDefault="003A5479" w:rsidP="003A547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110</w:t>
            </w:r>
          </w:p>
        </w:tc>
        <w:tc>
          <w:tcPr>
            <w:tcW w:w="931" w:type="pct"/>
          </w:tcPr>
          <w:p w14:paraId="33F15AE9" w14:textId="64551EB9" w:rsidR="003A5479" w:rsidRPr="0070045E" w:rsidRDefault="003A5479" w:rsidP="003A547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0,3</w:t>
            </w:r>
            <w:r>
              <w:rPr>
                <w:rFonts w:ascii="Times New Roman" w:hAnsi="Times New Roman" w:cs="Times New Roman"/>
                <w:sz w:val="20"/>
                <w:szCs w:val="20"/>
                <w:lang w:val="en-GB"/>
              </w:rPr>
              <w:t>0</w:t>
            </w:r>
          </w:p>
        </w:tc>
        <w:tc>
          <w:tcPr>
            <w:tcW w:w="1045" w:type="pct"/>
          </w:tcPr>
          <w:p w14:paraId="4D3977FB" w14:textId="35565BA6" w:rsidR="003A5479" w:rsidRPr="0070045E" w:rsidRDefault="003A5479" w:rsidP="003A547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189</w:t>
            </w:r>
          </w:p>
        </w:tc>
        <w:tc>
          <w:tcPr>
            <w:tcW w:w="1207" w:type="pct"/>
          </w:tcPr>
          <w:p w14:paraId="30BCC222" w14:textId="2D3A79AB" w:rsidR="003A5479" w:rsidRPr="0070045E" w:rsidRDefault="003A5479" w:rsidP="003A547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0,02</w:t>
            </w:r>
          </w:p>
        </w:tc>
      </w:tr>
      <w:tr w:rsidR="003A5479" w:rsidRPr="0070045E" w14:paraId="09179676" w14:textId="77777777" w:rsidTr="003A54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6" w:type="pct"/>
          </w:tcPr>
          <w:p w14:paraId="7CFAC14F" w14:textId="72B472AB" w:rsidR="003A5479" w:rsidRPr="009D1C54" w:rsidRDefault="003A5479" w:rsidP="003A5479">
            <w:pPr>
              <w:jc w:val="center"/>
              <w:rPr>
                <w:rFonts w:ascii="Times New Roman" w:hAnsi="Times New Roman" w:cs="Times New Roman"/>
                <w:b w:val="0"/>
                <w:bCs w:val="0"/>
                <w:sz w:val="20"/>
                <w:szCs w:val="20"/>
                <w:lang w:val="en-GB"/>
              </w:rPr>
            </w:pPr>
            <w:r w:rsidRPr="009D1C54">
              <w:rPr>
                <w:rFonts w:ascii="Times New Roman" w:hAnsi="Times New Roman" w:cs="Times New Roman"/>
                <w:b w:val="0"/>
                <w:bCs w:val="0"/>
                <w:sz w:val="20"/>
                <w:szCs w:val="20"/>
                <w:lang w:val="en-GB"/>
              </w:rPr>
              <w:t>10</w:t>
            </w:r>
          </w:p>
        </w:tc>
        <w:tc>
          <w:tcPr>
            <w:tcW w:w="931" w:type="pct"/>
          </w:tcPr>
          <w:p w14:paraId="1E88F21A" w14:textId="58BC26FB" w:rsidR="003A5479" w:rsidRPr="0070045E" w:rsidRDefault="003A5479" w:rsidP="003A547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130</w:t>
            </w:r>
          </w:p>
        </w:tc>
        <w:tc>
          <w:tcPr>
            <w:tcW w:w="931" w:type="pct"/>
          </w:tcPr>
          <w:p w14:paraId="3AD6F002" w14:textId="0028210F" w:rsidR="003A5479" w:rsidRPr="0070045E" w:rsidRDefault="003A5479" w:rsidP="003A547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0,3</w:t>
            </w:r>
            <w:r>
              <w:rPr>
                <w:rFonts w:ascii="Times New Roman" w:hAnsi="Times New Roman" w:cs="Times New Roman"/>
                <w:sz w:val="20"/>
                <w:szCs w:val="20"/>
                <w:lang w:val="en-GB"/>
              </w:rPr>
              <w:t>0</w:t>
            </w:r>
          </w:p>
        </w:tc>
        <w:tc>
          <w:tcPr>
            <w:tcW w:w="1045" w:type="pct"/>
          </w:tcPr>
          <w:p w14:paraId="62C23D63" w14:textId="0EAF5419" w:rsidR="003A5479" w:rsidRPr="0070045E" w:rsidRDefault="003A5479" w:rsidP="003A547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189</w:t>
            </w:r>
          </w:p>
        </w:tc>
        <w:tc>
          <w:tcPr>
            <w:tcW w:w="1207" w:type="pct"/>
          </w:tcPr>
          <w:p w14:paraId="50B9F5CD" w14:textId="148C03A4" w:rsidR="003A5479" w:rsidRPr="0070045E" w:rsidRDefault="003A5479" w:rsidP="003A547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0,02</w:t>
            </w:r>
          </w:p>
        </w:tc>
      </w:tr>
      <w:tr w:rsidR="003A5479" w:rsidRPr="0070045E" w14:paraId="0D55C554" w14:textId="77777777" w:rsidTr="003A5479">
        <w:tc>
          <w:tcPr>
            <w:cnfStyle w:val="001000000000" w:firstRow="0" w:lastRow="0" w:firstColumn="1" w:lastColumn="0" w:oddVBand="0" w:evenVBand="0" w:oddHBand="0" w:evenHBand="0" w:firstRowFirstColumn="0" w:firstRowLastColumn="0" w:lastRowFirstColumn="0" w:lastRowLastColumn="0"/>
            <w:tcW w:w="886" w:type="pct"/>
          </w:tcPr>
          <w:p w14:paraId="7156A617" w14:textId="2224A401" w:rsidR="003A5479" w:rsidRPr="009D1C54" w:rsidRDefault="003A5479" w:rsidP="003A5479">
            <w:pPr>
              <w:jc w:val="center"/>
              <w:rPr>
                <w:rFonts w:ascii="Times New Roman" w:hAnsi="Times New Roman" w:cs="Times New Roman"/>
                <w:b w:val="0"/>
                <w:bCs w:val="0"/>
                <w:sz w:val="20"/>
                <w:szCs w:val="20"/>
                <w:lang w:val="en-GB"/>
              </w:rPr>
            </w:pPr>
            <w:r w:rsidRPr="009D1C54">
              <w:rPr>
                <w:rFonts w:ascii="Times New Roman" w:hAnsi="Times New Roman" w:cs="Times New Roman"/>
                <w:b w:val="0"/>
                <w:bCs w:val="0"/>
                <w:sz w:val="20"/>
                <w:szCs w:val="20"/>
                <w:lang w:val="en-GB"/>
              </w:rPr>
              <w:t>10</w:t>
            </w:r>
          </w:p>
        </w:tc>
        <w:tc>
          <w:tcPr>
            <w:tcW w:w="931" w:type="pct"/>
          </w:tcPr>
          <w:p w14:paraId="0947F42D" w14:textId="45305F66" w:rsidR="003A5479" w:rsidRPr="0070045E" w:rsidRDefault="003A5479" w:rsidP="003A547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150</w:t>
            </w:r>
          </w:p>
        </w:tc>
        <w:tc>
          <w:tcPr>
            <w:tcW w:w="931" w:type="pct"/>
          </w:tcPr>
          <w:p w14:paraId="242EC4AE" w14:textId="06BC8506" w:rsidR="003A5479" w:rsidRPr="0070045E" w:rsidRDefault="003A5479" w:rsidP="003A547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0,6</w:t>
            </w:r>
            <w:r>
              <w:rPr>
                <w:rFonts w:ascii="Times New Roman" w:hAnsi="Times New Roman" w:cs="Times New Roman"/>
                <w:sz w:val="20"/>
                <w:szCs w:val="20"/>
                <w:lang w:val="en-GB"/>
              </w:rPr>
              <w:t>0</w:t>
            </w:r>
          </w:p>
        </w:tc>
        <w:tc>
          <w:tcPr>
            <w:tcW w:w="1045" w:type="pct"/>
          </w:tcPr>
          <w:p w14:paraId="313C18A9" w14:textId="775B0A1B" w:rsidR="003A5479" w:rsidRPr="0070045E" w:rsidRDefault="003A5479" w:rsidP="003A547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188</w:t>
            </w:r>
          </w:p>
        </w:tc>
        <w:tc>
          <w:tcPr>
            <w:tcW w:w="1207" w:type="pct"/>
          </w:tcPr>
          <w:p w14:paraId="698ACFE0" w14:textId="426A9222" w:rsidR="003A5479" w:rsidRPr="0070045E" w:rsidRDefault="003A5479" w:rsidP="003A547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0,10</w:t>
            </w:r>
          </w:p>
        </w:tc>
      </w:tr>
      <w:tr w:rsidR="003A5479" w:rsidRPr="0070045E" w14:paraId="652BD006" w14:textId="77777777" w:rsidTr="003A54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6" w:type="pct"/>
          </w:tcPr>
          <w:p w14:paraId="7D794BFB" w14:textId="213FA834" w:rsidR="003A5479" w:rsidRPr="009D1C54" w:rsidRDefault="003A5479" w:rsidP="003A5479">
            <w:pPr>
              <w:jc w:val="center"/>
              <w:rPr>
                <w:rFonts w:ascii="Times New Roman" w:hAnsi="Times New Roman" w:cs="Times New Roman"/>
                <w:b w:val="0"/>
                <w:bCs w:val="0"/>
                <w:sz w:val="20"/>
                <w:szCs w:val="20"/>
                <w:lang w:val="en-GB"/>
              </w:rPr>
            </w:pPr>
            <w:r w:rsidRPr="009D1C54">
              <w:rPr>
                <w:rFonts w:ascii="Times New Roman" w:hAnsi="Times New Roman" w:cs="Times New Roman"/>
                <w:b w:val="0"/>
                <w:bCs w:val="0"/>
                <w:sz w:val="20"/>
                <w:szCs w:val="20"/>
                <w:lang w:val="en-GB"/>
              </w:rPr>
              <w:t>10</w:t>
            </w:r>
          </w:p>
        </w:tc>
        <w:tc>
          <w:tcPr>
            <w:tcW w:w="931" w:type="pct"/>
          </w:tcPr>
          <w:p w14:paraId="47D05AE5" w14:textId="6BC89B54" w:rsidR="003A5479" w:rsidRPr="0070045E" w:rsidRDefault="003A5479" w:rsidP="003A547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170</w:t>
            </w:r>
          </w:p>
        </w:tc>
        <w:tc>
          <w:tcPr>
            <w:tcW w:w="931" w:type="pct"/>
          </w:tcPr>
          <w:p w14:paraId="3164D485" w14:textId="286F1048" w:rsidR="003A5479" w:rsidRPr="0070045E" w:rsidRDefault="003A5479" w:rsidP="003A547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0,8</w:t>
            </w:r>
            <w:r>
              <w:rPr>
                <w:rFonts w:ascii="Times New Roman" w:hAnsi="Times New Roman" w:cs="Times New Roman"/>
                <w:sz w:val="20"/>
                <w:szCs w:val="20"/>
                <w:lang w:val="en-GB"/>
              </w:rPr>
              <w:t>0</w:t>
            </w:r>
          </w:p>
        </w:tc>
        <w:tc>
          <w:tcPr>
            <w:tcW w:w="1045" w:type="pct"/>
          </w:tcPr>
          <w:p w14:paraId="0439C15F" w14:textId="2EC261B8" w:rsidR="003A5479" w:rsidRPr="0070045E" w:rsidRDefault="003A5479" w:rsidP="003A547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188</w:t>
            </w:r>
          </w:p>
        </w:tc>
        <w:tc>
          <w:tcPr>
            <w:tcW w:w="1207" w:type="pct"/>
          </w:tcPr>
          <w:p w14:paraId="36BBFED4" w14:textId="7A3AB90B" w:rsidR="003A5479" w:rsidRPr="0070045E" w:rsidRDefault="003A5479" w:rsidP="003A547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0,43</w:t>
            </w:r>
          </w:p>
        </w:tc>
      </w:tr>
      <w:tr w:rsidR="003A5479" w:rsidRPr="0070045E" w14:paraId="5440AB77" w14:textId="77777777" w:rsidTr="003A5479">
        <w:tc>
          <w:tcPr>
            <w:cnfStyle w:val="001000000000" w:firstRow="0" w:lastRow="0" w:firstColumn="1" w:lastColumn="0" w:oddVBand="0" w:evenVBand="0" w:oddHBand="0" w:evenHBand="0" w:firstRowFirstColumn="0" w:firstRowLastColumn="0" w:lastRowFirstColumn="0" w:lastRowLastColumn="0"/>
            <w:tcW w:w="886" w:type="pct"/>
            <w:tcBorders>
              <w:bottom w:val="single" w:sz="4" w:space="0" w:color="auto"/>
            </w:tcBorders>
          </w:tcPr>
          <w:p w14:paraId="10C29F4B" w14:textId="342241B6" w:rsidR="003A5479" w:rsidRPr="009D1C54" w:rsidRDefault="003A5479" w:rsidP="0070045E">
            <w:pPr>
              <w:jc w:val="center"/>
              <w:rPr>
                <w:rFonts w:ascii="Times New Roman" w:hAnsi="Times New Roman" w:cs="Times New Roman"/>
                <w:b w:val="0"/>
                <w:bCs w:val="0"/>
                <w:sz w:val="20"/>
                <w:szCs w:val="20"/>
                <w:lang w:val="en-GB"/>
              </w:rPr>
            </w:pPr>
            <w:r w:rsidRPr="009D1C54">
              <w:rPr>
                <w:rFonts w:ascii="Times New Roman" w:hAnsi="Times New Roman" w:cs="Times New Roman"/>
                <w:b w:val="0"/>
                <w:bCs w:val="0"/>
                <w:sz w:val="20"/>
                <w:szCs w:val="20"/>
                <w:lang w:val="en-GB"/>
              </w:rPr>
              <w:t>10</w:t>
            </w:r>
          </w:p>
        </w:tc>
        <w:tc>
          <w:tcPr>
            <w:tcW w:w="931" w:type="pct"/>
            <w:tcBorders>
              <w:bottom w:val="single" w:sz="4" w:space="0" w:color="auto"/>
            </w:tcBorders>
          </w:tcPr>
          <w:p w14:paraId="563F51B7" w14:textId="2B4005C3" w:rsidR="003A5479" w:rsidRPr="0070045E" w:rsidRDefault="003A5479" w:rsidP="0070045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190</w:t>
            </w:r>
          </w:p>
        </w:tc>
        <w:tc>
          <w:tcPr>
            <w:tcW w:w="931" w:type="pct"/>
            <w:tcBorders>
              <w:bottom w:val="single" w:sz="4" w:space="0" w:color="auto"/>
            </w:tcBorders>
          </w:tcPr>
          <w:p w14:paraId="1565AFC1" w14:textId="1F3BDAA3" w:rsidR="003A5479" w:rsidRPr="0070045E" w:rsidRDefault="003A5479" w:rsidP="0070045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1,0</w:t>
            </w:r>
            <w:r>
              <w:rPr>
                <w:rFonts w:ascii="Times New Roman" w:hAnsi="Times New Roman" w:cs="Times New Roman"/>
                <w:sz w:val="20"/>
                <w:szCs w:val="20"/>
                <w:lang w:val="en-GB"/>
              </w:rPr>
              <w:t>0</w:t>
            </w:r>
          </w:p>
        </w:tc>
        <w:tc>
          <w:tcPr>
            <w:tcW w:w="1045" w:type="pct"/>
            <w:tcBorders>
              <w:bottom w:val="single" w:sz="4" w:space="0" w:color="auto"/>
            </w:tcBorders>
          </w:tcPr>
          <w:p w14:paraId="791438BB" w14:textId="3A419487" w:rsidR="003A5479" w:rsidRPr="0070045E" w:rsidRDefault="003A5479" w:rsidP="0070045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186</w:t>
            </w:r>
          </w:p>
        </w:tc>
        <w:tc>
          <w:tcPr>
            <w:tcW w:w="1207" w:type="pct"/>
            <w:tcBorders>
              <w:bottom w:val="single" w:sz="4" w:space="0" w:color="auto"/>
            </w:tcBorders>
          </w:tcPr>
          <w:p w14:paraId="17D151ED" w14:textId="184BA532" w:rsidR="003A5479" w:rsidRPr="0070045E" w:rsidRDefault="003A5479" w:rsidP="004D22C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0,56</w:t>
            </w:r>
          </w:p>
        </w:tc>
      </w:tr>
      <w:tr w:rsidR="003A5479" w:rsidRPr="0070045E" w14:paraId="6BE12EEB" w14:textId="77777777" w:rsidTr="003A54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6" w:type="pct"/>
            <w:tcBorders>
              <w:top w:val="single" w:sz="4" w:space="0" w:color="auto"/>
            </w:tcBorders>
          </w:tcPr>
          <w:p w14:paraId="1A8AB29E" w14:textId="14307530" w:rsidR="003A5479" w:rsidRPr="009D1C54" w:rsidRDefault="003A5479" w:rsidP="0070045E">
            <w:pPr>
              <w:jc w:val="center"/>
              <w:rPr>
                <w:rFonts w:ascii="Times New Roman" w:hAnsi="Times New Roman" w:cs="Times New Roman"/>
                <w:b w:val="0"/>
                <w:bCs w:val="0"/>
                <w:sz w:val="20"/>
                <w:szCs w:val="20"/>
                <w:lang w:val="en-GB"/>
              </w:rPr>
            </w:pPr>
            <w:r w:rsidRPr="009D1C54">
              <w:rPr>
                <w:rFonts w:ascii="Times New Roman" w:hAnsi="Times New Roman" w:cs="Times New Roman"/>
                <w:b w:val="0"/>
                <w:bCs w:val="0"/>
                <w:sz w:val="20"/>
                <w:szCs w:val="20"/>
                <w:lang w:val="en-GB"/>
              </w:rPr>
              <w:t>30</w:t>
            </w:r>
          </w:p>
        </w:tc>
        <w:tc>
          <w:tcPr>
            <w:tcW w:w="931" w:type="pct"/>
            <w:tcBorders>
              <w:top w:val="single" w:sz="4" w:space="0" w:color="auto"/>
            </w:tcBorders>
          </w:tcPr>
          <w:p w14:paraId="55F3081A" w14:textId="237150A8" w:rsidR="003A5479" w:rsidRDefault="003A5479" w:rsidP="0070045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110</w:t>
            </w:r>
          </w:p>
        </w:tc>
        <w:tc>
          <w:tcPr>
            <w:tcW w:w="931" w:type="pct"/>
            <w:tcBorders>
              <w:top w:val="single" w:sz="4" w:space="0" w:color="auto"/>
            </w:tcBorders>
          </w:tcPr>
          <w:p w14:paraId="678AA9D4" w14:textId="637296EA" w:rsidR="003A5479" w:rsidRPr="0070045E" w:rsidRDefault="009D1C54" w:rsidP="0070045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0,50</w:t>
            </w:r>
          </w:p>
        </w:tc>
        <w:tc>
          <w:tcPr>
            <w:tcW w:w="1045" w:type="pct"/>
            <w:tcBorders>
              <w:top w:val="single" w:sz="4" w:space="0" w:color="auto"/>
            </w:tcBorders>
          </w:tcPr>
          <w:p w14:paraId="4DA228CB" w14:textId="289C4435" w:rsidR="003A5479" w:rsidRPr="0070045E" w:rsidRDefault="009D1C54" w:rsidP="0070045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188</w:t>
            </w:r>
          </w:p>
        </w:tc>
        <w:tc>
          <w:tcPr>
            <w:tcW w:w="1207" w:type="pct"/>
            <w:tcBorders>
              <w:top w:val="single" w:sz="4" w:space="0" w:color="auto"/>
            </w:tcBorders>
          </w:tcPr>
          <w:p w14:paraId="6103DA79" w14:textId="7A59D4A7" w:rsidR="003A5479" w:rsidRPr="0070045E" w:rsidRDefault="009D1C54" w:rsidP="004D22C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0,04</w:t>
            </w:r>
          </w:p>
        </w:tc>
      </w:tr>
      <w:tr w:rsidR="003A5479" w:rsidRPr="0070045E" w14:paraId="5D858FF5" w14:textId="77777777" w:rsidTr="003A5479">
        <w:tc>
          <w:tcPr>
            <w:cnfStyle w:val="001000000000" w:firstRow="0" w:lastRow="0" w:firstColumn="1" w:lastColumn="0" w:oddVBand="0" w:evenVBand="0" w:oddHBand="0" w:evenHBand="0" w:firstRowFirstColumn="0" w:firstRowLastColumn="0" w:lastRowFirstColumn="0" w:lastRowLastColumn="0"/>
            <w:tcW w:w="886" w:type="pct"/>
          </w:tcPr>
          <w:p w14:paraId="41DA5ADA" w14:textId="50E81118" w:rsidR="003A5479" w:rsidRPr="009D1C54" w:rsidRDefault="003A5479" w:rsidP="0070045E">
            <w:pPr>
              <w:jc w:val="center"/>
              <w:rPr>
                <w:rFonts w:ascii="Times New Roman" w:hAnsi="Times New Roman" w:cs="Times New Roman"/>
                <w:b w:val="0"/>
                <w:bCs w:val="0"/>
                <w:sz w:val="20"/>
                <w:szCs w:val="20"/>
                <w:lang w:val="en-GB"/>
              </w:rPr>
            </w:pPr>
            <w:r w:rsidRPr="009D1C54">
              <w:rPr>
                <w:rFonts w:ascii="Times New Roman" w:hAnsi="Times New Roman" w:cs="Times New Roman"/>
                <w:b w:val="0"/>
                <w:bCs w:val="0"/>
                <w:sz w:val="20"/>
                <w:szCs w:val="20"/>
                <w:lang w:val="en-GB"/>
              </w:rPr>
              <w:t>30</w:t>
            </w:r>
          </w:p>
        </w:tc>
        <w:tc>
          <w:tcPr>
            <w:tcW w:w="931" w:type="pct"/>
          </w:tcPr>
          <w:p w14:paraId="70DC47E4" w14:textId="5AF340E6" w:rsidR="003A5479" w:rsidRDefault="003A5479" w:rsidP="0070045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130</w:t>
            </w:r>
          </w:p>
        </w:tc>
        <w:tc>
          <w:tcPr>
            <w:tcW w:w="931" w:type="pct"/>
          </w:tcPr>
          <w:p w14:paraId="4DBEE8D8" w14:textId="665FFC6D" w:rsidR="003A5479" w:rsidRPr="0070045E" w:rsidRDefault="009D1C54" w:rsidP="0070045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0,50</w:t>
            </w:r>
          </w:p>
        </w:tc>
        <w:tc>
          <w:tcPr>
            <w:tcW w:w="1045" w:type="pct"/>
          </w:tcPr>
          <w:p w14:paraId="2FF7796A" w14:textId="40CCE603" w:rsidR="003A5479" w:rsidRPr="0070045E" w:rsidRDefault="009D1C54" w:rsidP="0070045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187</w:t>
            </w:r>
          </w:p>
        </w:tc>
        <w:tc>
          <w:tcPr>
            <w:tcW w:w="1207" w:type="pct"/>
          </w:tcPr>
          <w:p w14:paraId="43F9B445" w14:textId="3E85D9CA" w:rsidR="003A5479" w:rsidRPr="0070045E" w:rsidRDefault="009D1C54" w:rsidP="004D22C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0,04</w:t>
            </w:r>
          </w:p>
        </w:tc>
      </w:tr>
      <w:tr w:rsidR="003A5479" w:rsidRPr="0070045E" w14:paraId="2512AD76" w14:textId="77777777" w:rsidTr="003A54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6" w:type="pct"/>
          </w:tcPr>
          <w:p w14:paraId="580988B5" w14:textId="69DE4D39" w:rsidR="003A5479" w:rsidRPr="009D1C54" w:rsidRDefault="003A5479" w:rsidP="0070045E">
            <w:pPr>
              <w:jc w:val="center"/>
              <w:rPr>
                <w:rFonts w:ascii="Times New Roman" w:hAnsi="Times New Roman" w:cs="Times New Roman"/>
                <w:b w:val="0"/>
                <w:bCs w:val="0"/>
                <w:sz w:val="20"/>
                <w:szCs w:val="20"/>
                <w:lang w:val="en-GB"/>
              </w:rPr>
            </w:pPr>
            <w:r w:rsidRPr="009D1C54">
              <w:rPr>
                <w:rFonts w:ascii="Times New Roman" w:hAnsi="Times New Roman" w:cs="Times New Roman"/>
                <w:b w:val="0"/>
                <w:bCs w:val="0"/>
                <w:sz w:val="20"/>
                <w:szCs w:val="20"/>
                <w:lang w:val="en-GB"/>
              </w:rPr>
              <w:t>30</w:t>
            </w:r>
          </w:p>
        </w:tc>
        <w:tc>
          <w:tcPr>
            <w:tcW w:w="931" w:type="pct"/>
          </w:tcPr>
          <w:p w14:paraId="00CE6797" w14:textId="1FDD7CD3" w:rsidR="003A5479" w:rsidRDefault="003A5479" w:rsidP="0070045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150</w:t>
            </w:r>
          </w:p>
        </w:tc>
        <w:tc>
          <w:tcPr>
            <w:tcW w:w="931" w:type="pct"/>
          </w:tcPr>
          <w:p w14:paraId="0968CB8C" w14:textId="4319FC5D" w:rsidR="003A5479" w:rsidRPr="0070045E" w:rsidRDefault="009D1C54" w:rsidP="0070045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0,90</w:t>
            </w:r>
          </w:p>
        </w:tc>
        <w:tc>
          <w:tcPr>
            <w:tcW w:w="1045" w:type="pct"/>
          </w:tcPr>
          <w:p w14:paraId="14557C7A" w14:textId="0FA0072E" w:rsidR="003A5479" w:rsidRPr="0070045E" w:rsidRDefault="009D1C54" w:rsidP="0070045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185</w:t>
            </w:r>
          </w:p>
        </w:tc>
        <w:tc>
          <w:tcPr>
            <w:tcW w:w="1207" w:type="pct"/>
          </w:tcPr>
          <w:p w14:paraId="2E94FF4B" w14:textId="70A8EFA0" w:rsidR="003A5479" w:rsidRPr="0070045E" w:rsidRDefault="009D1C54" w:rsidP="004D22C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0,15</w:t>
            </w:r>
          </w:p>
        </w:tc>
      </w:tr>
      <w:tr w:rsidR="003A5479" w:rsidRPr="0070045E" w14:paraId="0DEE2722" w14:textId="77777777" w:rsidTr="003A5479">
        <w:tc>
          <w:tcPr>
            <w:cnfStyle w:val="001000000000" w:firstRow="0" w:lastRow="0" w:firstColumn="1" w:lastColumn="0" w:oddVBand="0" w:evenVBand="0" w:oddHBand="0" w:evenHBand="0" w:firstRowFirstColumn="0" w:firstRowLastColumn="0" w:lastRowFirstColumn="0" w:lastRowLastColumn="0"/>
            <w:tcW w:w="886" w:type="pct"/>
          </w:tcPr>
          <w:p w14:paraId="52519666" w14:textId="44A14210" w:rsidR="003A5479" w:rsidRPr="009D1C54" w:rsidRDefault="003A5479" w:rsidP="0070045E">
            <w:pPr>
              <w:jc w:val="center"/>
              <w:rPr>
                <w:rFonts w:ascii="Times New Roman" w:hAnsi="Times New Roman" w:cs="Times New Roman"/>
                <w:b w:val="0"/>
                <w:bCs w:val="0"/>
                <w:sz w:val="20"/>
                <w:szCs w:val="20"/>
                <w:lang w:val="en-GB"/>
              </w:rPr>
            </w:pPr>
            <w:r w:rsidRPr="009D1C54">
              <w:rPr>
                <w:rFonts w:ascii="Times New Roman" w:hAnsi="Times New Roman" w:cs="Times New Roman"/>
                <w:b w:val="0"/>
                <w:bCs w:val="0"/>
                <w:sz w:val="20"/>
                <w:szCs w:val="20"/>
                <w:lang w:val="en-GB"/>
              </w:rPr>
              <w:t>30</w:t>
            </w:r>
          </w:p>
        </w:tc>
        <w:tc>
          <w:tcPr>
            <w:tcW w:w="931" w:type="pct"/>
          </w:tcPr>
          <w:p w14:paraId="1F03B580" w14:textId="140BFDF4" w:rsidR="003A5479" w:rsidRDefault="003A5479" w:rsidP="0070045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170</w:t>
            </w:r>
          </w:p>
        </w:tc>
        <w:tc>
          <w:tcPr>
            <w:tcW w:w="931" w:type="pct"/>
          </w:tcPr>
          <w:p w14:paraId="6C56BF4C" w14:textId="6D62FA74" w:rsidR="003A5479" w:rsidRPr="0070045E" w:rsidRDefault="009D1C54" w:rsidP="0070045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1,30</w:t>
            </w:r>
          </w:p>
        </w:tc>
        <w:tc>
          <w:tcPr>
            <w:tcW w:w="1045" w:type="pct"/>
          </w:tcPr>
          <w:p w14:paraId="56F5B19B" w14:textId="76A7A5B3" w:rsidR="003A5479" w:rsidRPr="0070045E" w:rsidRDefault="009D1C54" w:rsidP="0070045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185</w:t>
            </w:r>
          </w:p>
        </w:tc>
        <w:tc>
          <w:tcPr>
            <w:tcW w:w="1207" w:type="pct"/>
          </w:tcPr>
          <w:p w14:paraId="2AAB6FD6" w14:textId="74CD218A" w:rsidR="003A5479" w:rsidRPr="0070045E" w:rsidRDefault="009D1C54" w:rsidP="004D22C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0,55</w:t>
            </w:r>
          </w:p>
        </w:tc>
      </w:tr>
      <w:tr w:rsidR="003A5479" w:rsidRPr="0070045E" w14:paraId="6F689E80" w14:textId="77777777" w:rsidTr="003A54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6" w:type="pct"/>
          </w:tcPr>
          <w:p w14:paraId="4C40AE57" w14:textId="62690171" w:rsidR="003A5479" w:rsidRPr="009D1C54" w:rsidRDefault="003A5479" w:rsidP="0070045E">
            <w:pPr>
              <w:jc w:val="center"/>
              <w:rPr>
                <w:rFonts w:ascii="Times New Roman" w:hAnsi="Times New Roman" w:cs="Times New Roman"/>
                <w:b w:val="0"/>
                <w:bCs w:val="0"/>
                <w:sz w:val="20"/>
                <w:szCs w:val="20"/>
                <w:lang w:val="en-GB"/>
              </w:rPr>
            </w:pPr>
            <w:r w:rsidRPr="009D1C54">
              <w:rPr>
                <w:rFonts w:ascii="Times New Roman" w:hAnsi="Times New Roman" w:cs="Times New Roman"/>
                <w:b w:val="0"/>
                <w:bCs w:val="0"/>
                <w:sz w:val="20"/>
                <w:szCs w:val="20"/>
                <w:lang w:val="en-GB"/>
              </w:rPr>
              <w:t>30</w:t>
            </w:r>
          </w:p>
        </w:tc>
        <w:tc>
          <w:tcPr>
            <w:tcW w:w="931" w:type="pct"/>
          </w:tcPr>
          <w:p w14:paraId="686D2DE6" w14:textId="69984F28" w:rsidR="003A5479" w:rsidRDefault="003A5479" w:rsidP="0070045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190</w:t>
            </w:r>
          </w:p>
        </w:tc>
        <w:tc>
          <w:tcPr>
            <w:tcW w:w="931" w:type="pct"/>
          </w:tcPr>
          <w:p w14:paraId="3F86B8C8" w14:textId="210CB957" w:rsidR="003A5479" w:rsidRPr="0070045E" w:rsidRDefault="009D1C54" w:rsidP="0070045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1,70</w:t>
            </w:r>
          </w:p>
        </w:tc>
        <w:tc>
          <w:tcPr>
            <w:tcW w:w="1045" w:type="pct"/>
          </w:tcPr>
          <w:p w14:paraId="2E6B9D89" w14:textId="4D8DED81" w:rsidR="003A5479" w:rsidRPr="0070045E" w:rsidRDefault="009D1C54" w:rsidP="0070045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182</w:t>
            </w:r>
          </w:p>
        </w:tc>
        <w:tc>
          <w:tcPr>
            <w:tcW w:w="1207" w:type="pct"/>
          </w:tcPr>
          <w:p w14:paraId="7187522E" w14:textId="5FBB51D4" w:rsidR="003A5479" w:rsidRPr="0070045E" w:rsidRDefault="009D1C54" w:rsidP="004D22C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0,82</w:t>
            </w:r>
          </w:p>
        </w:tc>
      </w:tr>
      <w:tr w:rsidR="003A5479" w:rsidRPr="0070045E" w14:paraId="60AD552A" w14:textId="77777777" w:rsidTr="003A5479">
        <w:tc>
          <w:tcPr>
            <w:cnfStyle w:val="001000000000" w:firstRow="0" w:lastRow="0" w:firstColumn="1" w:lastColumn="0" w:oddVBand="0" w:evenVBand="0" w:oddHBand="0" w:evenHBand="0" w:firstRowFirstColumn="0" w:firstRowLastColumn="0" w:lastRowFirstColumn="0" w:lastRowLastColumn="0"/>
            <w:tcW w:w="886" w:type="pct"/>
          </w:tcPr>
          <w:p w14:paraId="2E9CB2A4" w14:textId="77777777" w:rsidR="003A5479" w:rsidRDefault="003A5479" w:rsidP="0070045E">
            <w:pPr>
              <w:jc w:val="center"/>
              <w:rPr>
                <w:rFonts w:ascii="Times New Roman" w:hAnsi="Times New Roman" w:cs="Times New Roman"/>
                <w:sz w:val="20"/>
                <w:szCs w:val="20"/>
                <w:lang w:val="en-GB"/>
              </w:rPr>
            </w:pPr>
          </w:p>
        </w:tc>
        <w:tc>
          <w:tcPr>
            <w:tcW w:w="931" w:type="pct"/>
          </w:tcPr>
          <w:p w14:paraId="4C7E1159" w14:textId="77777777" w:rsidR="003A5479" w:rsidRDefault="003A5479" w:rsidP="0070045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c>
          <w:tcPr>
            <w:tcW w:w="931" w:type="pct"/>
          </w:tcPr>
          <w:p w14:paraId="1B6C6005" w14:textId="77777777" w:rsidR="003A5479" w:rsidRPr="0070045E" w:rsidRDefault="003A5479" w:rsidP="0070045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c>
          <w:tcPr>
            <w:tcW w:w="1045" w:type="pct"/>
          </w:tcPr>
          <w:p w14:paraId="27AC6DBE" w14:textId="77777777" w:rsidR="003A5479" w:rsidRPr="0070045E" w:rsidRDefault="003A5479" w:rsidP="0070045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c>
          <w:tcPr>
            <w:tcW w:w="1207" w:type="pct"/>
          </w:tcPr>
          <w:p w14:paraId="1CFAE845" w14:textId="77777777" w:rsidR="003A5479" w:rsidRPr="0070045E" w:rsidRDefault="003A5479" w:rsidP="004D22C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r>
    </w:tbl>
    <w:p w14:paraId="266AD68C" w14:textId="77777777" w:rsidR="00F75147" w:rsidRDefault="00677F7A" w:rsidP="00F75147">
      <w:pPr>
        <w:jc w:val="both"/>
        <w:rPr>
          <w:rFonts w:ascii="Times New Roman" w:hAnsi="Times New Roman" w:cs="Times New Roman"/>
          <w:sz w:val="22"/>
          <w:szCs w:val="22"/>
          <w:lang w:val="en-GB"/>
        </w:rPr>
      </w:pPr>
      <w:r>
        <w:rPr>
          <w:rFonts w:ascii="Times New Roman" w:hAnsi="Times New Roman" w:cs="Times New Roman"/>
          <w:sz w:val="22"/>
          <w:szCs w:val="22"/>
          <w:lang w:val="en-GB"/>
        </w:rPr>
        <w:t xml:space="preserve">  </w:t>
      </w:r>
    </w:p>
    <w:p w14:paraId="21772FCE" w14:textId="7CC0DBE5" w:rsidR="009D1601" w:rsidRDefault="009D1601" w:rsidP="00DD6444">
      <w:pPr>
        <w:ind w:firstLine="708"/>
        <w:jc w:val="both"/>
        <w:rPr>
          <w:rFonts w:ascii="Times New Roman" w:hAnsi="Times New Roman" w:cs="Times New Roman"/>
          <w:sz w:val="22"/>
          <w:szCs w:val="22"/>
        </w:rPr>
      </w:pPr>
      <w:r w:rsidRPr="009D1601">
        <w:rPr>
          <w:rFonts w:ascii="Times New Roman" w:hAnsi="Times New Roman" w:cs="Times New Roman"/>
          <w:sz w:val="22"/>
          <w:szCs w:val="22"/>
        </w:rPr>
        <w:t>The acid value, which represents a measure of the free fatty acid content, has a low value at room temperature (25 °C) (0.30 mg KOH/g), indicating a stable oil without significant degradation. When heated up to 130 °C, the acid value remains almost unchanged, suggesting that no substantial hydrolysis of triglycerides occurs within this temperature range. However, already at 150 °C an increase in the acid value (0.60</w:t>
      </w:r>
      <w:r>
        <w:rPr>
          <w:rFonts w:ascii="Times New Roman" w:hAnsi="Times New Roman" w:cs="Times New Roman"/>
          <w:sz w:val="22"/>
          <w:szCs w:val="22"/>
        </w:rPr>
        <w:t xml:space="preserve"> and </w:t>
      </w:r>
      <w:r w:rsidRPr="009D1601">
        <w:rPr>
          <w:rFonts w:ascii="Times New Roman" w:hAnsi="Times New Roman" w:cs="Times New Roman"/>
          <w:sz w:val="22"/>
          <w:szCs w:val="22"/>
        </w:rPr>
        <w:t>0.90 mg KOH/g</w:t>
      </w:r>
      <w:r w:rsidR="000F01D7">
        <w:rPr>
          <w:rFonts w:ascii="Times New Roman" w:hAnsi="Times New Roman" w:cs="Times New Roman"/>
          <w:sz w:val="22"/>
          <w:szCs w:val="22"/>
        </w:rPr>
        <w:t xml:space="preserve">, </w:t>
      </w:r>
      <w:r>
        <w:rPr>
          <w:rFonts w:ascii="Times New Roman" w:hAnsi="Times New Roman" w:cs="Times New Roman"/>
          <w:sz w:val="22"/>
          <w:szCs w:val="22"/>
        </w:rPr>
        <w:t>at 10 and 30 minutes heating time, respectively</w:t>
      </w:r>
      <w:r w:rsidRPr="009D1601">
        <w:rPr>
          <w:rFonts w:ascii="Times New Roman" w:hAnsi="Times New Roman" w:cs="Times New Roman"/>
          <w:sz w:val="22"/>
          <w:szCs w:val="22"/>
        </w:rPr>
        <w:t>) can be observed, and further temperature rise leads to a sharp increase – at 190 °C after 30 minutes it reaches 1.70 mg KOH/g. This increase clearly confirms that temperatures above 150 °C are critical for accelerating hydrolysis and oxidative degradation of triglycerides, accompanied by the formation of free fatty acids [25,26]. It is also observed that extending the heating time from 10 to 30 minutes at the same temperature further increases the acid value, which means that the duration of exposure also contributes to degradation.</w:t>
      </w:r>
    </w:p>
    <w:p w14:paraId="0F821F0E" w14:textId="77777777" w:rsidR="000F01D7" w:rsidRDefault="000F01D7" w:rsidP="000F01D7">
      <w:pPr>
        <w:ind w:firstLine="708"/>
        <w:jc w:val="both"/>
        <w:rPr>
          <w:rFonts w:ascii="Times New Roman" w:hAnsi="Times New Roman" w:cs="Times New Roman"/>
          <w:sz w:val="22"/>
          <w:szCs w:val="22"/>
        </w:rPr>
      </w:pPr>
      <w:r w:rsidRPr="000F01D7">
        <w:rPr>
          <w:rFonts w:ascii="Times New Roman" w:hAnsi="Times New Roman" w:cs="Times New Roman"/>
          <w:sz w:val="22"/>
          <w:szCs w:val="22"/>
        </w:rPr>
        <w:t>The saponification value shows a slightly decreasing trend with increasing temperature. At lower temperatures (25–130 °C), the values remain stable (189 mg KOH/g), indicating that under these conditions there are no significant changes in the molecular structure of the oil. At higher temperatures, the values start to decrease: at 150 °C they reach 188 and 185 mg KOH/g (for heating times of 10 min and 30 min, respectively), while at 190 °C after 30 minutes the lowest value of 182 mg KOH/g is recorded. The decrease in the saponification value can be attributed to the thermolysis of ester bonds in triglycerides, resulting in the release of free fatty acids and the formation of oxidation products that no longer participate in saponification [27].</w:t>
      </w:r>
    </w:p>
    <w:p w14:paraId="7718C4AC" w14:textId="77777777" w:rsidR="000F01D7" w:rsidRDefault="000F01D7" w:rsidP="009D1C54">
      <w:pPr>
        <w:ind w:firstLine="708"/>
        <w:jc w:val="both"/>
        <w:rPr>
          <w:rFonts w:ascii="Times New Roman" w:hAnsi="Times New Roman" w:cs="Times New Roman"/>
          <w:sz w:val="22"/>
          <w:szCs w:val="22"/>
        </w:rPr>
      </w:pPr>
      <w:r w:rsidRPr="000F01D7">
        <w:rPr>
          <w:rFonts w:ascii="Times New Roman" w:hAnsi="Times New Roman" w:cs="Times New Roman"/>
          <w:sz w:val="22"/>
          <w:szCs w:val="22"/>
        </w:rPr>
        <w:t xml:space="preserve">The moisture and volatile matter content in the oil shows an increase with rising temperature and heating duration. At the initial temperature (25 °C), the value is very low (0.02 %), while at 110–130 °C it remains almost unchanged, regardless of the heating time. With the temperature increase to 150 °C, a rise to </w:t>
      </w:r>
      <w:r w:rsidRPr="000F01D7">
        <w:rPr>
          <w:rFonts w:ascii="Times New Roman" w:hAnsi="Times New Roman" w:cs="Times New Roman"/>
          <w:sz w:val="22"/>
          <w:szCs w:val="22"/>
        </w:rPr>
        <w:lastRenderedPageBreak/>
        <w:t>0.10 % and 0.15 % is observed (for heating times of 10 and 30 minutes, respectively), and at 170 °C the values reach 0.43 % and 0.55 %. The most pronounced increase is recorded at 190 °C, where the moisture and volatile matter content reaches 0.56 % after 10 minutes and 0.82 % after 30 minutes. This increase can be explained by the more intense release of low-molecular compounds, including aldehydes, ketones, and short-chain acids, as well as thermally induced release of water from glyceride degradation reactions [28].</w:t>
      </w:r>
    </w:p>
    <w:p w14:paraId="6A0C00C3" w14:textId="77777777" w:rsidR="00017FDF" w:rsidRDefault="00017FDF" w:rsidP="00275610">
      <w:pPr>
        <w:jc w:val="both"/>
        <w:rPr>
          <w:rFonts w:ascii="Times New Roman" w:hAnsi="Times New Roman" w:cs="Times New Roman"/>
          <w:sz w:val="22"/>
          <w:szCs w:val="22"/>
        </w:rPr>
      </w:pPr>
      <w:r w:rsidRPr="00017FDF">
        <w:rPr>
          <w:rFonts w:ascii="Times New Roman" w:hAnsi="Times New Roman" w:cs="Times New Roman"/>
          <w:sz w:val="22"/>
          <w:szCs w:val="22"/>
        </w:rPr>
        <w:t>The regeneration of the oil was carried out by adsorption, using synthetic zeolite, Zeolite 4A, as the adsorbent. The values of the acid value, saponification value, and the moisture and volatile matter content after regeneration with Zeolite 4A are presented in Table 2.</w:t>
      </w:r>
    </w:p>
    <w:p w14:paraId="05B07B38" w14:textId="2510D2DF" w:rsidR="00275610" w:rsidRPr="00275610" w:rsidRDefault="00017FDF" w:rsidP="00275610">
      <w:pPr>
        <w:jc w:val="both"/>
        <w:rPr>
          <w:rFonts w:ascii="Times New Roman" w:hAnsi="Times New Roman" w:cs="Times New Roman"/>
          <w:i/>
          <w:iCs/>
          <w:sz w:val="20"/>
          <w:szCs w:val="20"/>
          <w:lang w:val="en-GB"/>
        </w:rPr>
      </w:pPr>
      <w:r w:rsidRPr="00017FDF">
        <w:rPr>
          <w:rFonts w:ascii="Times New Roman" w:hAnsi="Times New Roman" w:cs="Times New Roman"/>
          <w:i/>
          <w:iCs/>
          <w:sz w:val="20"/>
          <w:szCs w:val="20"/>
        </w:rPr>
        <w:t xml:space="preserve">Table 2. </w:t>
      </w:r>
      <w:r>
        <w:rPr>
          <w:rFonts w:ascii="Times New Roman" w:hAnsi="Times New Roman" w:cs="Times New Roman"/>
          <w:i/>
          <w:iCs/>
          <w:sz w:val="20"/>
          <w:szCs w:val="20"/>
        </w:rPr>
        <w:t>A</w:t>
      </w:r>
      <w:r w:rsidRPr="00017FDF">
        <w:rPr>
          <w:rFonts w:ascii="Times New Roman" w:hAnsi="Times New Roman" w:cs="Times New Roman"/>
          <w:i/>
          <w:iCs/>
          <w:sz w:val="20"/>
          <w:szCs w:val="20"/>
        </w:rPr>
        <w:t>cid value, saponification value, and moisture and volatile matter content of heated oil after regeneration with Zeolite 4A.</w:t>
      </w:r>
    </w:p>
    <w:tbl>
      <w:tblPr>
        <w:tblStyle w:val="Svijetlatablicapopisa1-isticanje1"/>
        <w:tblW w:w="5000" w:type="pct"/>
        <w:tblLook w:val="04A0" w:firstRow="1" w:lastRow="0" w:firstColumn="1" w:lastColumn="0" w:noHBand="0" w:noVBand="1"/>
      </w:tblPr>
      <w:tblGrid>
        <w:gridCol w:w="1707"/>
        <w:gridCol w:w="1795"/>
        <w:gridCol w:w="1795"/>
        <w:gridCol w:w="2014"/>
        <w:gridCol w:w="2327"/>
      </w:tblGrid>
      <w:tr w:rsidR="009D1C54" w:rsidRPr="0070045E" w14:paraId="08009101" w14:textId="77777777" w:rsidTr="009D1C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6" w:type="pct"/>
          </w:tcPr>
          <w:p w14:paraId="1A5091D9" w14:textId="3AD40D44" w:rsidR="009D1C54" w:rsidRPr="0070045E" w:rsidRDefault="003F134D" w:rsidP="009D1C54">
            <w:pPr>
              <w:jc w:val="center"/>
              <w:rPr>
                <w:rFonts w:ascii="Times New Roman" w:hAnsi="Times New Roman" w:cs="Times New Roman"/>
                <w:sz w:val="20"/>
                <w:szCs w:val="20"/>
                <w:lang w:val="en-GB"/>
              </w:rPr>
            </w:pPr>
            <w:r>
              <w:rPr>
                <w:rFonts w:ascii="Times New Roman" w:hAnsi="Times New Roman" w:cs="Times New Roman"/>
                <w:sz w:val="20"/>
                <w:szCs w:val="20"/>
                <w:lang w:val="en-GB"/>
              </w:rPr>
              <w:t>Time</w:t>
            </w:r>
            <w:r w:rsidR="009D1C54">
              <w:rPr>
                <w:rFonts w:ascii="Times New Roman" w:hAnsi="Times New Roman" w:cs="Times New Roman"/>
                <w:sz w:val="20"/>
                <w:szCs w:val="20"/>
                <w:lang w:val="en-GB"/>
              </w:rPr>
              <w:t xml:space="preserve"> (min)</w:t>
            </w:r>
          </w:p>
        </w:tc>
        <w:tc>
          <w:tcPr>
            <w:tcW w:w="931" w:type="pct"/>
          </w:tcPr>
          <w:p w14:paraId="394FF348" w14:textId="170B448E" w:rsidR="009D1C54" w:rsidRPr="0070045E" w:rsidRDefault="003F134D" w:rsidP="009D1C5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Temperature</w:t>
            </w:r>
            <w:r w:rsidR="009D1C54" w:rsidRPr="0070045E">
              <w:rPr>
                <w:rFonts w:ascii="Times New Roman" w:hAnsi="Times New Roman" w:cs="Times New Roman"/>
                <w:sz w:val="20"/>
                <w:szCs w:val="20"/>
                <w:lang w:val="en-GB"/>
              </w:rPr>
              <w:t xml:space="preserve"> (℃)</w:t>
            </w:r>
          </w:p>
        </w:tc>
        <w:tc>
          <w:tcPr>
            <w:tcW w:w="931" w:type="pct"/>
          </w:tcPr>
          <w:p w14:paraId="1FF7EC47" w14:textId="7D6F18BE" w:rsidR="009D1C54" w:rsidRPr="0070045E" w:rsidRDefault="003F134D" w:rsidP="009D1C5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Acid value</w:t>
            </w:r>
            <w:r w:rsidR="009D1C54" w:rsidRPr="0070045E">
              <w:rPr>
                <w:rFonts w:ascii="Times New Roman" w:hAnsi="Times New Roman" w:cs="Times New Roman"/>
                <w:sz w:val="20"/>
                <w:szCs w:val="20"/>
                <w:lang w:val="en-GB"/>
              </w:rPr>
              <w:t xml:space="preserve"> (mg KOH/g)</w:t>
            </w:r>
          </w:p>
        </w:tc>
        <w:tc>
          <w:tcPr>
            <w:tcW w:w="1045" w:type="pct"/>
          </w:tcPr>
          <w:p w14:paraId="05302D59" w14:textId="087943BF" w:rsidR="009D1C54" w:rsidRPr="0070045E" w:rsidRDefault="003F134D" w:rsidP="009D1C5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Saponification value</w:t>
            </w:r>
            <w:r w:rsidR="009D1C54" w:rsidRPr="0070045E">
              <w:rPr>
                <w:rFonts w:ascii="Times New Roman" w:hAnsi="Times New Roman" w:cs="Times New Roman"/>
                <w:sz w:val="20"/>
                <w:szCs w:val="20"/>
                <w:lang w:val="en-GB"/>
              </w:rPr>
              <w:t xml:space="preserve"> (mg KOH/g)</w:t>
            </w:r>
          </w:p>
        </w:tc>
        <w:tc>
          <w:tcPr>
            <w:tcW w:w="1207" w:type="pct"/>
          </w:tcPr>
          <w:p w14:paraId="244862BC" w14:textId="5282FD2A" w:rsidR="009D1C54" w:rsidRPr="0070045E" w:rsidRDefault="003F134D" w:rsidP="009D1C5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Moisture and volatile matter content</w:t>
            </w:r>
            <w:r w:rsidR="009D1C54" w:rsidRPr="0070045E">
              <w:rPr>
                <w:rFonts w:ascii="Times New Roman" w:hAnsi="Times New Roman" w:cs="Times New Roman"/>
                <w:sz w:val="20"/>
                <w:szCs w:val="20"/>
                <w:lang w:val="en-GB"/>
              </w:rPr>
              <w:t xml:space="preserve"> (%)</w:t>
            </w:r>
          </w:p>
        </w:tc>
      </w:tr>
      <w:tr w:rsidR="009D1C54" w:rsidRPr="0070045E" w14:paraId="55A31E4F" w14:textId="77777777" w:rsidTr="009D1C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6" w:type="pct"/>
          </w:tcPr>
          <w:p w14:paraId="18C78A83" w14:textId="03FE5259" w:rsidR="009D1C54" w:rsidRPr="009D1C54" w:rsidRDefault="009D1C54" w:rsidP="009D1C54">
            <w:pPr>
              <w:jc w:val="center"/>
              <w:rPr>
                <w:rFonts w:ascii="Times New Roman" w:hAnsi="Times New Roman" w:cs="Times New Roman"/>
                <w:b w:val="0"/>
                <w:bCs w:val="0"/>
                <w:sz w:val="20"/>
                <w:szCs w:val="20"/>
                <w:lang w:val="en-GB"/>
              </w:rPr>
            </w:pPr>
            <w:r w:rsidRPr="009D1C54">
              <w:rPr>
                <w:rFonts w:ascii="Times New Roman" w:hAnsi="Times New Roman" w:cs="Times New Roman"/>
                <w:b w:val="0"/>
                <w:bCs w:val="0"/>
                <w:sz w:val="20"/>
                <w:szCs w:val="20"/>
                <w:lang w:val="en-GB"/>
              </w:rPr>
              <w:t>-</w:t>
            </w:r>
          </w:p>
        </w:tc>
        <w:tc>
          <w:tcPr>
            <w:tcW w:w="931" w:type="pct"/>
          </w:tcPr>
          <w:p w14:paraId="468FDCAC" w14:textId="61DE7F04" w:rsidR="009D1C54" w:rsidRPr="0070045E" w:rsidRDefault="009D1C54" w:rsidP="009D1C5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25</w:t>
            </w:r>
          </w:p>
        </w:tc>
        <w:tc>
          <w:tcPr>
            <w:tcW w:w="931" w:type="pct"/>
          </w:tcPr>
          <w:p w14:paraId="3A199171" w14:textId="4B34E05B" w:rsidR="009D1C54" w:rsidRPr="0070045E" w:rsidRDefault="009D1C54" w:rsidP="009D1C5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0,3</w:t>
            </w:r>
            <w:r>
              <w:rPr>
                <w:rFonts w:ascii="Times New Roman" w:hAnsi="Times New Roman" w:cs="Times New Roman"/>
                <w:sz w:val="20"/>
                <w:szCs w:val="20"/>
                <w:lang w:val="en-GB"/>
              </w:rPr>
              <w:t>0</w:t>
            </w:r>
          </w:p>
        </w:tc>
        <w:tc>
          <w:tcPr>
            <w:tcW w:w="1045" w:type="pct"/>
          </w:tcPr>
          <w:p w14:paraId="01ED6B54" w14:textId="77777777" w:rsidR="009D1C54" w:rsidRPr="0070045E" w:rsidRDefault="009D1C54" w:rsidP="009D1C5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189</w:t>
            </w:r>
          </w:p>
        </w:tc>
        <w:tc>
          <w:tcPr>
            <w:tcW w:w="1207" w:type="pct"/>
          </w:tcPr>
          <w:p w14:paraId="0C3B2FBD" w14:textId="77777777" w:rsidR="009D1C54" w:rsidRPr="0070045E" w:rsidRDefault="009D1C54" w:rsidP="009D1C5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0,02</w:t>
            </w:r>
          </w:p>
        </w:tc>
      </w:tr>
      <w:tr w:rsidR="009D1C54" w:rsidRPr="0070045E" w14:paraId="7741EE20" w14:textId="77777777" w:rsidTr="009D1C54">
        <w:tc>
          <w:tcPr>
            <w:cnfStyle w:val="001000000000" w:firstRow="0" w:lastRow="0" w:firstColumn="1" w:lastColumn="0" w:oddVBand="0" w:evenVBand="0" w:oddHBand="0" w:evenHBand="0" w:firstRowFirstColumn="0" w:firstRowLastColumn="0" w:lastRowFirstColumn="0" w:lastRowLastColumn="0"/>
            <w:tcW w:w="886" w:type="pct"/>
          </w:tcPr>
          <w:p w14:paraId="6DCE9374" w14:textId="4EA9CF3D" w:rsidR="009D1C54" w:rsidRPr="009D1C54" w:rsidRDefault="009D1C54" w:rsidP="009D1C54">
            <w:pPr>
              <w:jc w:val="center"/>
              <w:rPr>
                <w:rFonts w:ascii="Times New Roman" w:hAnsi="Times New Roman" w:cs="Times New Roman"/>
                <w:b w:val="0"/>
                <w:bCs w:val="0"/>
                <w:sz w:val="20"/>
                <w:szCs w:val="20"/>
                <w:lang w:val="en-GB"/>
              </w:rPr>
            </w:pPr>
            <w:r w:rsidRPr="009D1C54">
              <w:rPr>
                <w:rFonts w:ascii="Times New Roman" w:hAnsi="Times New Roman" w:cs="Times New Roman"/>
                <w:b w:val="0"/>
                <w:bCs w:val="0"/>
                <w:sz w:val="20"/>
                <w:szCs w:val="20"/>
                <w:lang w:val="en-GB"/>
              </w:rPr>
              <w:t>10</w:t>
            </w:r>
          </w:p>
        </w:tc>
        <w:tc>
          <w:tcPr>
            <w:tcW w:w="931" w:type="pct"/>
          </w:tcPr>
          <w:p w14:paraId="75A58DC9" w14:textId="2FBB9B17" w:rsidR="009D1C54" w:rsidRPr="0070045E" w:rsidRDefault="009D1C54" w:rsidP="009D1C5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110</w:t>
            </w:r>
          </w:p>
        </w:tc>
        <w:tc>
          <w:tcPr>
            <w:tcW w:w="931" w:type="pct"/>
          </w:tcPr>
          <w:p w14:paraId="28FBC719" w14:textId="1811959E" w:rsidR="009D1C54" w:rsidRPr="0070045E" w:rsidRDefault="009D1C54" w:rsidP="009D1C5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0,</w:t>
            </w:r>
            <w:r>
              <w:rPr>
                <w:rFonts w:ascii="Times New Roman" w:hAnsi="Times New Roman" w:cs="Times New Roman"/>
                <w:sz w:val="20"/>
                <w:szCs w:val="20"/>
                <w:lang w:val="en-GB"/>
              </w:rPr>
              <w:t>20</w:t>
            </w:r>
          </w:p>
        </w:tc>
        <w:tc>
          <w:tcPr>
            <w:tcW w:w="1045" w:type="pct"/>
          </w:tcPr>
          <w:p w14:paraId="5E11CA98" w14:textId="77777777" w:rsidR="009D1C54" w:rsidRPr="0070045E" w:rsidRDefault="009D1C54" w:rsidP="009D1C5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189</w:t>
            </w:r>
          </w:p>
        </w:tc>
        <w:tc>
          <w:tcPr>
            <w:tcW w:w="1207" w:type="pct"/>
          </w:tcPr>
          <w:p w14:paraId="6B96121E" w14:textId="77777777" w:rsidR="009D1C54" w:rsidRPr="0070045E" w:rsidRDefault="009D1C54" w:rsidP="009D1C5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0,02</w:t>
            </w:r>
          </w:p>
        </w:tc>
      </w:tr>
      <w:tr w:rsidR="009D1C54" w:rsidRPr="0070045E" w14:paraId="47FE4B12" w14:textId="77777777" w:rsidTr="009D1C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6" w:type="pct"/>
          </w:tcPr>
          <w:p w14:paraId="37592AC0" w14:textId="638025C2" w:rsidR="009D1C54" w:rsidRPr="009D1C54" w:rsidRDefault="009D1C54" w:rsidP="009D1C54">
            <w:pPr>
              <w:jc w:val="center"/>
              <w:rPr>
                <w:rFonts w:ascii="Times New Roman" w:hAnsi="Times New Roman" w:cs="Times New Roman"/>
                <w:b w:val="0"/>
                <w:bCs w:val="0"/>
                <w:sz w:val="20"/>
                <w:szCs w:val="20"/>
                <w:lang w:val="en-GB"/>
              </w:rPr>
            </w:pPr>
            <w:r w:rsidRPr="009D1C54">
              <w:rPr>
                <w:rFonts w:ascii="Times New Roman" w:hAnsi="Times New Roman" w:cs="Times New Roman"/>
                <w:b w:val="0"/>
                <w:bCs w:val="0"/>
                <w:sz w:val="20"/>
                <w:szCs w:val="20"/>
                <w:lang w:val="en-GB"/>
              </w:rPr>
              <w:t>10</w:t>
            </w:r>
          </w:p>
        </w:tc>
        <w:tc>
          <w:tcPr>
            <w:tcW w:w="931" w:type="pct"/>
          </w:tcPr>
          <w:p w14:paraId="2985AA71" w14:textId="4B3984A4" w:rsidR="009D1C54" w:rsidRPr="0070045E" w:rsidRDefault="009D1C54" w:rsidP="009D1C5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130</w:t>
            </w:r>
          </w:p>
        </w:tc>
        <w:tc>
          <w:tcPr>
            <w:tcW w:w="931" w:type="pct"/>
          </w:tcPr>
          <w:p w14:paraId="72C9DB98" w14:textId="6B3D4B7B" w:rsidR="009D1C54" w:rsidRPr="0070045E" w:rsidRDefault="009D1C54" w:rsidP="009D1C5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0,</w:t>
            </w:r>
            <w:r>
              <w:rPr>
                <w:rFonts w:ascii="Times New Roman" w:hAnsi="Times New Roman" w:cs="Times New Roman"/>
                <w:sz w:val="20"/>
                <w:szCs w:val="20"/>
                <w:lang w:val="en-GB"/>
              </w:rPr>
              <w:t>20</w:t>
            </w:r>
          </w:p>
        </w:tc>
        <w:tc>
          <w:tcPr>
            <w:tcW w:w="1045" w:type="pct"/>
          </w:tcPr>
          <w:p w14:paraId="44FA39E0" w14:textId="77777777" w:rsidR="009D1C54" w:rsidRPr="0070045E" w:rsidRDefault="009D1C54" w:rsidP="009D1C5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189</w:t>
            </w:r>
          </w:p>
        </w:tc>
        <w:tc>
          <w:tcPr>
            <w:tcW w:w="1207" w:type="pct"/>
          </w:tcPr>
          <w:p w14:paraId="4E8B1054" w14:textId="77777777" w:rsidR="009D1C54" w:rsidRPr="0070045E" w:rsidRDefault="009D1C54" w:rsidP="009D1C5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0,02</w:t>
            </w:r>
          </w:p>
        </w:tc>
      </w:tr>
      <w:tr w:rsidR="009D1C54" w:rsidRPr="0070045E" w14:paraId="06B748D4" w14:textId="77777777" w:rsidTr="009D1C54">
        <w:tc>
          <w:tcPr>
            <w:cnfStyle w:val="001000000000" w:firstRow="0" w:lastRow="0" w:firstColumn="1" w:lastColumn="0" w:oddVBand="0" w:evenVBand="0" w:oddHBand="0" w:evenHBand="0" w:firstRowFirstColumn="0" w:firstRowLastColumn="0" w:lastRowFirstColumn="0" w:lastRowLastColumn="0"/>
            <w:tcW w:w="886" w:type="pct"/>
          </w:tcPr>
          <w:p w14:paraId="0192C23E" w14:textId="46357212" w:rsidR="009D1C54" w:rsidRPr="009D1C54" w:rsidRDefault="009D1C54" w:rsidP="009D1C54">
            <w:pPr>
              <w:jc w:val="center"/>
              <w:rPr>
                <w:rFonts w:ascii="Times New Roman" w:hAnsi="Times New Roman" w:cs="Times New Roman"/>
                <w:b w:val="0"/>
                <w:bCs w:val="0"/>
                <w:sz w:val="20"/>
                <w:szCs w:val="20"/>
                <w:lang w:val="en-GB"/>
              </w:rPr>
            </w:pPr>
            <w:r w:rsidRPr="009D1C54">
              <w:rPr>
                <w:rFonts w:ascii="Times New Roman" w:hAnsi="Times New Roman" w:cs="Times New Roman"/>
                <w:b w:val="0"/>
                <w:bCs w:val="0"/>
                <w:sz w:val="20"/>
                <w:szCs w:val="20"/>
                <w:lang w:val="en-GB"/>
              </w:rPr>
              <w:t>10</w:t>
            </w:r>
          </w:p>
        </w:tc>
        <w:tc>
          <w:tcPr>
            <w:tcW w:w="931" w:type="pct"/>
          </w:tcPr>
          <w:p w14:paraId="7BE38400" w14:textId="78A265C3" w:rsidR="009D1C54" w:rsidRPr="0070045E" w:rsidRDefault="009D1C54" w:rsidP="009D1C5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150</w:t>
            </w:r>
          </w:p>
        </w:tc>
        <w:tc>
          <w:tcPr>
            <w:tcW w:w="931" w:type="pct"/>
          </w:tcPr>
          <w:p w14:paraId="763269AF" w14:textId="07E8752A" w:rsidR="009D1C54" w:rsidRPr="0070045E" w:rsidRDefault="009D1C54" w:rsidP="009D1C5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0,</w:t>
            </w:r>
            <w:r>
              <w:rPr>
                <w:rFonts w:ascii="Times New Roman" w:hAnsi="Times New Roman" w:cs="Times New Roman"/>
                <w:sz w:val="20"/>
                <w:szCs w:val="20"/>
                <w:lang w:val="en-GB"/>
              </w:rPr>
              <w:t>20</w:t>
            </w:r>
          </w:p>
        </w:tc>
        <w:tc>
          <w:tcPr>
            <w:tcW w:w="1045" w:type="pct"/>
          </w:tcPr>
          <w:p w14:paraId="070D6261" w14:textId="77777777" w:rsidR="009D1C54" w:rsidRPr="0070045E" w:rsidRDefault="009D1C54" w:rsidP="009D1C5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188</w:t>
            </w:r>
          </w:p>
        </w:tc>
        <w:tc>
          <w:tcPr>
            <w:tcW w:w="1207" w:type="pct"/>
          </w:tcPr>
          <w:p w14:paraId="2783CF5F" w14:textId="524DCCB5" w:rsidR="009D1C54" w:rsidRPr="0070045E" w:rsidRDefault="009D1C54" w:rsidP="009D1C5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0,</w:t>
            </w:r>
            <w:r>
              <w:rPr>
                <w:rFonts w:ascii="Times New Roman" w:hAnsi="Times New Roman" w:cs="Times New Roman"/>
                <w:sz w:val="20"/>
                <w:szCs w:val="20"/>
                <w:lang w:val="en-GB"/>
              </w:rPr>
              <w:t>02</w:t>
            </w:r>
          </w:p>
        </w:tc>
      </w:tr>
      <w:tr w:rsidR="009D1C54" w:rsidRPr="0070045E" w14:paraId="694920FA" w14:textId="77777777" w:rsidTr="009D1C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6" w:type="pct"/>
          </w:tcPr>
          <w:p w14:paraId="4071B446" w14:textId="0B65FA47" w:rsidR="009D1C54" w:rsidRPr="009D1C54" w:rsidRDefault="009D1C54" w:rsidP="009D1C54">
            <w:pPr>
              <w:jc w:val="center"/>
              <w:rPr>
                <w:rFonts w:ascii="Times New Roman" w:hAnsi="Times New Roman" w:cs="Times New Roman"/>
                <w:b w:val="0"/>
                <w:bCs w:val="0"/>
                <w:sz w:val="20"/>
                <w:szCs w:val="20"/>
                <w:lang w:val="en-GB"/>
              </w:rPr>
            </w:pPr>
            <w:r w:rsidRPr="009D1C54">
              <w:rPr>
                <w:rFonts w:ascii="Times New Roman" w:hAnsi="Times New Roman" w:cs="Times New Roman"/>
                <w:b w:val="0"/>
                <w:bCs w:val="0"/>
                <w:sz w:val="20"/>
                <w:szCs w:val="20"/>
                <w:lang w:val="en-GB"/>
              </w:rPr>
              <w:t>10</w:t>
            </w:r>
          </w:p>
        </w:tc>
        <w:tc>
          <w:tcPr>
            <w:tcW w:w="931" w:type="pct"/>
          </w:tcPr>
          <w:p w14:paraId="17B33754" w14:textId="0926D00C" w:rsidR="009D1C54" w:rsidRPr="0070045E" w:rsidRDefault="009D1C54" w:rsidP="009D1C5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170</w:t>
            </w:r>
          </w:p>
        </w:tc>
        <w:tc>
          <w:tcPr>
            <w:tcW w:w="931" w:type="pct"/>
          </w:tcPr>
          <w:p w14:paraId="651DB14D" w14:textId="624BF998" w:rsidR="009D1C54" w:rsidRPr="0070045E" w:rsidRDefault="009D1C54" w:rsidP="009D1C5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0,</w:t>
            </w:r>
            <w:r>
              <w:rPr>
                <w:rFonts w:ascii="Times New Roman" w:hAnsi="Times New Roman" w:cs="Times New Roman"/>
                <w:sz w:val="20"/>
                <w:szCs w:val="20"/>
                <w:lang w:val="en-GB"/>
              </w:rPr>
              <w:t>20</w:t>
            </w:r>
          </w:p>
        </w:tc>
        <w:tc>
          <w:tcPr>
            <w:tcW w:w="1045" w:type="pct"/>
          </w:tcPr>
          <w:p w14:paraId="3F27C8F0" w14:textId="77777777" w:rsidR="009D1C54" w:rsidRPr="0070045E" w:rsidRDefault="009D1C54" w:rsidP="009D1C5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188</w:t>
            </w:r>
          </w:p>
        </w:tc>
        <w:tc>
          <w:tcPr>
            <w:tcW w:w="1207" w:type="pct"/>
          </w:tcPr>
          <w:p w14:paraId="74548397" w14:textId="6F07F6FF" w:rsidR="009D1C54" w:rsidRPr="0070045E" w:rsidRDefault="009D1C54" w:rsidP="009D1C5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0,</w:t>
            </w:r>
            <w:r>
              <w:rPr>
                <w:rFonts w:ascii="Times New Roman" w:hAnsi="Times New Roman" w:cs="Times New Roman"/>
                <w:sz w:val="20"/>
                <w:szCs w:val="20"/>
                <w:lang w:val="en-GB"/>
              </w:rPr>
              <w:t>05</w:t>
            </w:r>
          </w:p>
        </w:tc>
      </w:tr>
      <w:tr w:rsidR="009D1C54" w:rsidRPr="0070045E" w14:paraId="701A4576" w14:textId="77777777" w:rsidTr="009D1C54">
        <w:tc>
          <w:tcPr>
            <w:cnfStyle w:val="001000000000" w:firstRow="0" w:lastRow="0" w:firstColumn="1" w:lastColumn="0" w:oddVBand="0" w:evenVBand="0" w:oddHBand="0" w:evenHBand="0" w:firstRowFirstColumn="0" w:firstRowLastColumn="0" w:lastRowFirstColumn="0" w:lastRowLastColumn="0"/>
            <w:tcW w:w="886" w:type="pct"/>
            <w:tcBorders>
              <w:bottom w:val="single" w:sz="4" w:space="0" w:color="auto"/>
            </w:tcBorders>
          </w:tcPr>
          <w:p w14:paraId="35831108" w14:textId="623F322F" w:rsidR="009D1C54" w:rsidRPr="009D1C54" w:rsidRDefault="009D1C54" w:rsidP="009D1C54">
            <w:pPr>
              <w:jc w:val="center"/>
              <w:rPr>
                <w:rFonts w:ascii="Times New Roman" w:hAnsi="Times New Roman" w:cs="Times New Roman"/>
                <w:b w:val="0"/>
                <w:bCs w:val="0"/>
                <w:sz w:val="20"/>
                <w:szCs w:val="20"/>
                <w:lang w:val="en-GB"/>
              </w:rPr>
            </w:pPr>
            <w:r w:rsidRPr="009D1C54">
              <w:rPr>
                <w:rFonts w:ascii="Times New Roman" w:hAnsi="Times New Roman" w:cs="Times New Roman"/>
                <w:b w:val="0"/>
                <w:bCs w:val="0"/>
                <w:sz w:val="20"/>
                <w:szCs w:val="20"/>
                <w:lang w:val="en-GB"/>
              </w:rPr>
              <w:t>10</w:t>
            </w:r>
          </w:p>
        </w:tc>
        <w:tc>
          <w:tcPr>
            <w:tcW w:w="931" w:type="pct"/>
            <w:tcBorders>
              <w:bottom w:val="single" w:sz="4" w:space="0" w:color="auto"/>
            </w:tcBorders>
          </w:tcPr>
          <w:p w14:paraId="2B0A991B" w14:textId="3108068C" w:rsidR="009D1C54" w:rsidRDefault="009D1C54" w:rsidP="009D1C5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190</w:t>
            </w:r>
          </w:p>
        </w:tc>
        <w:tc>
          <w:tcPr>
            <w:tcW w:w="931" w:type="pct"/>
            <w:tcBorders>
              <w:bottom w:val="single" w:sz="4" w:space="0" w:color="auto"/>
            </w:tcBorders>
          </w:tcPr>
          <w:p w14:paraId="00311D34" w14:textId="515E55B3" w:rsidR="009D1C54" w:rsidRPr="0070045E" w:rsidRDefault="009D1C54" w:rsidP="009D1C5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0,30</w:t>
            </w:r>
          </w:p>
        </w:tc>
        <w:tc>
          <w:tcPr>
            <w:tcW w:w="1045" w:type="pct"/>
            <w:tcBorders>
              <w:bottom w:val="single" w:sz="4" w:space="0" w:color="auto"/>
            </w:tcBorders>
          </w:tcPr>
          <w:p w14:paraId="7739F754" w14:textId="6E409C52" w:rsidR="009D1C54" w:rsidRPr="0070045E" w:rsidRDefault="009D1C54" w:rsidP="009D1C5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18</w:t>
            </w:r>
            <w:r>
              <w:rPr>
                <w:rFonts w:ascii="Times New Roman" w:hAnsi="Times New Roman" w:cs="Times New Roman"/>
                <w:sz w:val="20"/>
                <w:szCs w:val="20"/>
                <w:lang w:val="en-GB"/>
              </w:rPr>
              <w:t>8</w:t>
            </w:r>
          </w:p>
        </w:tc>
        <w:tc>
          <w:tcPr>
            <w:tcW w:w="1207" w:type="pct"/>
            <w:tcBorders>
              <w:bottom w:val="single" w:sz="4" w:space="0" w:color="auto"/>
            </w:tcBorders>
          </w:tcPr>
          <w:p w14:paraId="05D24E80" w14:textId="305561BD" w:rsidR="009D1C54" w:rsidRPr="0070045E" w:rsidRDefault="009D1C54" w:rsidP="009D1C5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70045E">
              <w:rPr>
                <w:rFonts w:ascii="Times New Roman" w:hAnsi="Times New Roman" w:cs="Times New Roman"/>
                <w:sz w:val="20"/>
                <w:szCs w:val="20"/>
                <w:lang w:val="en-GB"/>
              </w:rPr>
              <w:t>0,</w:t>
            </w:r>
            <w:r>
              <w:rPr>
                <w:rFonts w:ascii="Times New Roman" w:hAnsi="Times New Roman" w:cs="Times New Roman"/>
                <w:sz w:val="20"/>
                <w:szCs w:val="20"/>
                <w:lang w:val="en-GB"/>
              </w:rPr>
              <w:t>10</w:t>
            </w:r>
          </w:p>
        </w:tc>
      </w:tr>
      <w:tr w:rsidR="009D1C54" w:rsidRPr="0070045E" w14:paraId="7BBCB471" w14:textId="77777777" w:rsidTr="009D1C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6" w:type="pct"/>
            <w:tcBorders>
              <w:top w:val="single" w:sz="4" w:space="0" w:color="auto"/>
            </w:tcBorders>
          </w:tcPr>
          <w:p w14:paraId="23428AD0" w14:textId="011A1E0B" w:rsidR="009D1C54" w:rsidRPr="009D1C54" w:rsidRDefault="009D1C54" w:rsidP="009D1C54">
            <w:pPr>
              <w:jc w:val="center"/>
              <w:rPr>
                <w:rFonts w:ascii="Times New Roman" w:hAnsi="Times New Roman" w:cs="Times New Roman"/>
                <w:b w:val="0"/>
                <w:bCs w:val="0"/>
                <w:sz w:val="20"/>
                <w:szCs w:val="20"/>
                <w:lang w:val="en-GB"/>
              </w:rPr>
            </w:pPr>
            <w:r w:rsidRPr="009D1C54">
              <w:rPr>
                <w:rFonts w:ascii="Times New Roman" w:hAnsi="Times New Roman" w:cs="Times New Roman"/>
                <w:b w:val="0"/>
                <w:bCs w:val="0"/>
                <w:sz w:val="20"/>
                <w:szCs w:val="20"/>
                <w:lang w:val="en-GB"/>
              </w:rPr>
              <w:t>30</w:t>
            </w:r>
          </w:p>
        </w:tc>
        <w:tc>
          <w:tcPr>
            <w:tcW w:w="931" w:type="pct"/>
            <w:tcBorders>
              <w:top w:val="single" w:sz="4" w:space="0" w:color="auto"/>
            </w:tcBorders>
          </w:tcPr>
          <w:p w14:paraId="37BEE1C7" w14:textId="490639AE" w:rsidR="009D1C54" w:rsidRDefault="009D1C54" w:rsidP="009D1C5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110</w:t>
            </w:r>
          </w:p>
        </w:tc>
        <w:tc>
          <w:tcPr>
            <w:tcW w:w="931" w:type="pct"/>
            <w:tcBorders>
              <w:top w:val="single" w:sz="4" w:space="0" w:color="auto"/>
            </w:tcBorders>
          </w:tcPr>
          <w:p w14:paraId="4AD40263" w14:textId="030304E0" w:rsidR="009D1C54" w:rsidRDefault="009D1C54" w:rsidP="009D1C5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0,20</w:t>
            </w:r>
          </w:p>
        </w:tc>
        <w:tc>
          <w:tcPr>
            <w:tcW w:w="1045" w:type="pct"/>
            <w:tcBorders>
              <w:top w:val="single" w:sz="4" w:space="0" w:color="auto"/>
            </w:tcBorders>
          </w:tcPr>
          <w:p w14:paraId="426C6BFA" w14:textId="1E5A055C" w:rsidR="009D1C54" w:rsidRPr="0070045E" w:rsidRDefault="009D1C54" w:rsidP="009D1C5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188</w:t>
            </w:r>
          </w:p>
        </w:tc>
        <w:tc>
          <w:tcPr>
            <w:tcW w:w="1207" w:type="pct"/>
            <w:tcBorders>
              <w:top w:val="single" w:sz="4" w:space="0" w:color="auto"/>
            </w:tcBorders>
          </w:tcPr>
          <w:p w14:paraId="547731C2" w14:textId="1F9F6304" w:rsidR="009D1C54" w:rsidRPr="0070045E" w:rsidRDefault="009D1C54" w:rsidP="009D1C5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0,02</w:t>
            </w:r>
          </w:p>
        </w:tc>
      </w:tr>
      <w:tr w:rsidR="009D1C54" w:rsidRPr="0070045E" w14:paraId="53C8AB3F" w14:textId="77777777" w:rsidTr="009D1C54">
        <w:tc>
          <w:tcPr>
            <w:cnfStyle w:val="001000000000" w:firstRow="0" w:lastRow="0" w:firstColumn="1" w:lastColumn="0" w:oddVBand="0" w:evenVBand="0" w:oddHBand="0" w:evenHBand="0" w:firstRowFirstColumn="0" w:firstRowLastColumn="0" w:lastRowFirstColumn="0" w:lastRowLastColumn="0"/>
            <w:tcW w:w="886" w:type="pct"/>
          </w:tcPr>
          <w:p w14:paraId="2A8E5447" w14:textId="7BBDF5D4" w:rsidR="009D1C54" w:rsidRPr="009D1C54" w:rsidRDefault="009D1C54" w:rsidP="009D1C54">
            <w:pPr>
              <w:jc w:val="center"/>
              <w:rPr>
                <w:rFonts w:ascii="Times New Roman" w:hAnsi="Times New Roman" w:cs="Times New Roman"/>
                <w:b w:val="0"/>
                <w:bCs w:val="0"/>
                <w:sz w:val="20"/>
                <w:szCs w:val="20"/>
                <w:lang w:val="en-GB"/>
              </w:rPr>
            </w:pPr>
            <w:r w:rsidRPr="009D1C54">
              <w:rPr>
                <w:rFonts w:ascii="Times New Roman" w:hAnsi="Times New Roman" w:cs="Times New Roman"/>
                <w:b w:val="0"/>
                <w:bCs w:val="0"/>
                <w:sz w:val="20"/>
                <w:szCs w:val="20"/>
                <w:lang w:val="en-GB"/>
              </w:rPr>
              <w:t>30</w:t>
            </w:r>
          </w:p>
        </w:tc>
        <w:tc>
          <w:tcPr>
            <w:tcW w:w="931" w:type="pct"/>
          </w:tcPr>
          <w:p w14:paraId="6004A44A" w14:textId="50C04AD4" w:rsidR="009D1C54" w:rsidRDefault="009D1C54" w:rsidP="009D1C5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130</w:t>
            </w:r>
          </w:p>
        </w:tc>
        <w:tc>
          <w:tcPr>
            <w:tcW w:w="931" w:type="pct"/>
          </w:tcPr>
          <w:p w14:paraId="3143FE7C" w14:textId="2E892906" w:rsidR="009D1C54" w:rsidRDefault="009D1C54" w:rsidP="009D1C5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0,20</w:t>
            </w:r>
          </w:p>
        </w:tc>
        <w:tc>
          <w:tcPr>
            <w:tcW w:w="1045" w:type="pct"/>
          </w:tcPr>
          <w:p w14:paraId="1886BAF5" w14:textId="54099846" w:rsidR="009D1C54" w:rsidRPr="0070045E" w:rsidRDefault="009D1C54" w:rsidP="009D1C5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188</w:t>
            </w:r>
          </w:p>
        </w:tc>
        <w:tc>
          <w:tcPr>
            <w:tcW w:w="1207" w:type="pct"/>
          </w:tcPr>
          <w:p w14:paraId="03BF0FAA" w14:textId="684ADB99" w:rsidR="009D1C54" w:rsidRPr="0070045E" w:rsidRDefault="009D1C54" w:rsidP="009D1C5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0,02</w:t>
            </w:r>
          </w:p>
        </w:tc>
      </w:tr>
      <w:tr w:rsidR="009D1C54" w:rsidRPr="0070045E" w14:paraId="22D11E61" w14:textId="77777777" w:rsidTr="009D1C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6" w:type="pct"/>
          </w:tcPr>
          <w:p w14:paraId="7B44C7F2" w14:textId="3ABC3E94" w:rsidR="009D1C54" w:rsidRPr="009D1C54" w:rsidRDefault="009D1C54" w:rsidP="009D1C54">
            <w:pPr>
              <w:jc w:val="center"/>
              <w:rPr>
                <w:rFonts w:ascii="Times New Roman" w:hAnsi="Times New Roman" w:cs="Times New Roman"/>
                <w:b w:val="0"/>
                <w:bCs w:val="0"/>
                <w:sz w:val="20"/>
                <w:szCs w:val="20"/>
                <w:lang w:val="en-GB"/>
              </w:rPr>
            </w:pPr>
            <w:r w:rsidRPr="009D1C54">
              <w:rPr>
                <w:rFonts w:ascii="Times New Roman" w:hAnsi="Times New Roman" w:cs="Times New Roman"/>
                <w:b w:val="0"/>
                <w:bCs w:val="0"/>
                <w:sz w:val="20"/>
                <w:szCs w:val="20"/>
                <w:lang w:val="en-GB"/>
              </w:rPr>
              <w:t>30</w:t>
            </w:r>
          </w:p>
        </w:tc>
        <w:tc>
          <w:tcPr>
            <w:tcW w:w="931" w:type="pct"/>
          </w:tcPr>
          <w:p w14:paraId="2D9DDA18" w14:textId="2F479E9A" w:rsidR="009D1C54" w:rsidRDefault="009D1C54" w:rsidP="009D1C5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150</w:t>
            </w:r>
          </w:p>
        </w:tc>
        <w:tc>
          <w:tcPr>
            <w:tcW w:w="931" w:type="pct"/>
          </w:tcPr>
          <w:p w14:paraId="18B7848E" w14:textId="43117B68" w:rsidR="009D1C54" w:rsidRDefault="009D1C54" w:rsidP="009D1C5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0,20</w:t>
            </w:r>
          </w:p>
        </w:tc>
        <w:tc>
          <w:tcPr>
            <w:tcW w:w="1045" w:type="pct"/>
          </w:tcPr>
          <w:p w14:paraId="5364F5F4" w14:textId="24CAF084" w:rsidR="009D1C54" w:rsidRPr="0070045E" w:rsidRDefault="009D1C54" w:rsidP="009D1C5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188</w:t>
            </w:r>
          </w:p>
        </w:tc>
        <w:tc>
          <w:tcPr>
            <w:tcW w:w="1207" w:type="pct"/>
          </w:tcPr>
          <w:p w14:paraId="633C7E96" w14:textId="5EB4F524" w:rsidR="009D1C54" w:rsidRPr="0070045E" w:rsidRDefault="009D1C54" w:rsidP="009D1C5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0,03</w:t>
            </w:r>
          </w:p>
        </w:tc>
      </w:tr>
      <w:tr w:rsidR="009D1C54" w:rsidRPr="0070045E" w14:paraId="730FC648" w14:textId="77777777" w:rsidTr="009D1C54">
        <w:tc>
          <w:tcPr>
            <w:cnfStyle w:val="001000000000" w:firstRow="0" w:lastRow="0" w:firstColumn="1" w:lastColumn="0" w:oddVBand="0" w:evenVBand="0" w:oddHBand="0" w:evenHBand="0" w:firstRowFirstColumn="0" w:firstRowLastColumn="0" w:lastRowFirstColumn="0" w:lastRowLastColumn="0"/>
            <w:tcW w:w="886" w:type="pct"/>
          </w:tcPr>
          <w:p w14:paraId="689FDEA4" w14:textId="026091A9" w:rsidR="009D1C54" w:rsidRPr="009D1C54" w:rsidRDefault="009D1C54" w:rsidP="009D1C54">
            <w:pPr>
              <w:jc w:val="center"/>
              <w:rPr>
                <w:rFonts w:ascii="Times New Roman" w:hAnsi="Times New Roman" w:cs="Times New Roman"/>
                <w:b w:val="0"/>
                <w:bCs w:val="0"/>
                <w:sz w:val="20"/>
                <w:szCs w:val="20"/>
                <w:lang w:val="en-GB"/>
              </w:rPr>
            </w:pPr>
            <w:r w:rsidRPr="009D1C54">
              <w:rPr>
                <w:rFonts w:ascii="Times New Roman" w:hAnsi="Times New Roman" w:cs="Times New Roman"/>
                <w:b w:val="0"/>
                <w:bCs w:val="0"/>
                <w:sz w:val="20"/>
                <w:szCs w:val="20"/>
                <w:lang w:val="en-GB"/>
              </w:rPr>
              <w:t>30</w:t>
            </w:r>
          </w:p>
        </w:tc>
        <w:tc>
          <w:tcPr>
            <w:tcW w:w="931" w:type="pct"/>
          </w:tcPr>
          <w:p w14:paraId="61FDF2B7" w14:textId="493426FA" w:rsidR="009D1C54" w:rsidRDefault="009D1C54" w:rsidP="009D1C5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170</w:t>
            </w:r>
          </w:p>
        </w:tc>
        <w:tc>
          <w:tcPr>
            <w:tcW w:w="931" w:type="pct"/>
          </w:tcPr>
          <w:p w14:paraId="582D32E3" w14:textId="75F5C093" w:rsidR="009D1C54" w:rsidRDefault="009D1C54" w:rsidP="009D1C5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0,30</w:t>
            </w:r>
          </w:p>
        </w:tc>
        <w:tc>
          <w:tcPr>
            <w:tcW w:w="1045" w:type="pct"/>
          </w:tcPr>
          <w:p w14:paraId="5906223A" w14:textId="34A67A77" w:rsidR="009D1C54" w:rsidRPr="0070045E" w:rsidRDefault="009D1C54" w:rsidP="009D1C5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187</w:t>
            </w:r>
          </w:p>
        </w:tc>
        <w:tc>
          <w:tcPr>
            <w:tcW w:w="1207" w:type="pct"/>
          </w:tcPr>
          <w:p w14:paraId="5B5BFD42" w14:textId="7349DDC5" w:rsidR="009D1C54" w:rsidRPr="0070045E" w:rsidRDefault="009D1C54" w:rsidP="009D1C5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0,05</w:t>
            </w:r>
          </w:p>
        </w:tc>
      </w:tr>
      <w:tr w:rsidR="009D1C54" w:rsidRPr="0070045E" w14:paraId="5B1530B2" w14:textId="77777777" w:rsidTr="009D1C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6" w:type="pct"/>
          </w:tcPr>
          <w:p w14:paraId="22C7459C" w14:textId="71F863C2" w:rsidR="009D1C54" w:rsidRPr="009D1C54" w:rsidRDefault="009D1C54" w:rsidP="009D1C54">
            <w:pPr>
              <w:jc w:val="center"/>
              <w:rPr>
                <w:rFonts w:ascii="Times New Roman" w:hAnsi="Times New Roman" w:cs="Times New Roman"/>
                <w:b w:val="0"/>
                <w:bCs w:val="0"/>
                <w:sz w:val="20"/>
                <w:szCs w:val="20"/>
                <w:lang w:val="en-GB"/>
              </w:rPr>
            </w:pPr>
            <w:r w:rsidRPr="009D1C54">
              <w:rPr>
                <w:rFonts w:ascii="Times New Roman" w:hAnsi="Times New Roman" w:cs="Times New Roman"/>
                <w:b w:val="0"/>
                <w:bCs w:val="0"/>
                <w:sz w:val="20"/>
                <w:szCs w:val="20"/>
                <w:lang w:val="en-GB"/>
              </w:rPr>
              <w:t>30</w:t>
            </w:r>
          </w:p>
        </w:tc>
        <w:tc>
          <w:tcPr>
            <w:tcW w:w="931" w:type="pct"/>
          </w:tcPr>
          <w:p w14:paraId="6E875BCF" w14:textId="1594BD28" w:rsidR="009D1C54" w:rsidRDefault="009D1C54" w:rsidP="009D1C5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190</w:t>
            </w:r>
          </w:p>
        </w:tc>
        <w:tc>
          <w:tcPr>
            <w:tcW w:w="931" w:type="pct"/>
          </w:tcPr>
          <w:p w14:paraId="51C62958" w14:textId="7B473DBF" w:rsidR="009D1C54" w:rsidRDefault="009D1C54" w:rsidP="009D1C5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0,40</w:t>
            </w:r>
          </w:p>
        </w:tc>
        <w:tc>
          <w:tcPr>
            <w:tcW w:w="1045" w:type="pct"/>
          </w:tcPr>
          <w:p w14:paraId="3A2CED3C" w14:textId="74FD6020" w:rsidR="009D1C54" w:rsidRPr="0070045E" w:rsidRDefault="009D1C54" w:rsidP="009D1C5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186</w:t>
            </w:r>
          </w:p>
        </w:tc>
        <w:tc>
          <w:tcPr>
            <w:tcW w:w="1207" w:type="pct"/>
          </w:tcPr>
          <w:p w14:paraId="6895EF96" w14:textId="3905144C" w:rsidR="009D1C54" w:rsidRPr="0070045E" w:rsidRDefault="009D1C54" w:rsidP="009D1C5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Pr>
                <w:rFonts w:ascii="Times New Roman" w:hAnsi="Times New Roman" w:cs="Times New Roman"/>
                <w:sz w:val="20"/>
                <w:szCs w:val="20"/>
                <w:lang w:val="en-GB"/>
              </w:rPr>
              <w:t>0,11</w:t>
            </w:r>
          </w:p>
        </w:tc>
      </w:tr>
      <w:tr w:rsidR="009D1C54" w:rsidRPr="0070045E" w14:paraId="5686D89B" w14:textId="77777777" w:rsidTr="009D1C54">
        <w:tc>
          <w:tcPr>
            <w:cnfStyle w:val="001000000000" w:firstRow="0" w:lastRow="0" w:firstColumn="1" w:lastColumn="0" w:oddVBand="0" w:evenVBand="0" w:oddHBand="0" w:evenHBand="0" w:firstRowFirstColumn="0" w:firstRowLastColumn="0" w:lastRowFirstColumn="0" w:lastRowLastColumn="0"/>
            <w:tcW w:w="886" w:type="pct"/>
          </w:tcPr>
          <w:p w14:paraId="63887600" w14:textId="77777777" w:rsidR="009D1C54" w:rsidRPr="0070045E" w:rsidRDefault="009D1C54" w:rsidP="009D1C54">
            <w:pPr>
              <w:jc w:val="center"/>
              <w:rPr>
                <w:rFonts w:ascii="Times New Roman" w:hAnsi="Times New Roman" w:cs="Times New Roman"/>
                <w:sz w:val="20"/>
                <w:szCs w:val="20"/>
                <w:lang w:val="en-GB"/>
              </w:rPr>
            </w:pPr>
          </w:p>
        </w:tc>
        <w:tc>
          <w:tcPr>
            <w:tcW w:w="931" w:type="pct"/>
          </w:tcPr>
          <w:p w14:paraId="1E3F25E4" w14:textId="77777777" w:rsidR="009D1C54" w:rsidRDefault="009D1C54" w:rsidP="009D1C5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c>
          <w:tcPr>
            <w:tcW w:w="931" w:type="pct"/>
          </w:tcPr>
          <w:p w14:paraId="0523C2DB" w14:textId="59DA1407" w:rsidR="009D1C54" w:rsidRDefault="009D1C54" w:rsidP="009D1C5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c>
          <w:tcPr>
            <w:tcW w:w="1045" w:type="pct"/>
          </w:tcPr>
          <w:p w14:paraId="47F711C4" w14:textId="77777777" w:rsidR="009D1C54" w:rsidRPr="0070045E" w:rsidRDefault="009D1C54" w:rsidP="009D1C5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c>
          <w:tcPr>
            <w:tcW w:w="1207" w:type="pct"/>
          </w:tcPr>
          <w:p w14:paraId="6C716D9C" w14:textId="77777777" w:rsidR="009D1C54" w:rsidRPr="0070045E" w:rsidRDefault="009D1C54" w:rsidP="009D1C5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p>
        </w:tc>
      </w:tr>
    </w:tbl>
    <w:p w14:paraId="56C1DBC0" w14:textId="77777777" w:rsidR="00275610" w:rsidRDefault="00275610" w:rsidP="00275610">
      <w:pPr>
        <w:jc w:val="both"/>
        <w:rPr>
          <w:rFonts w:ascii="Times New Roman" w:hAnsi="Times New Roman" w:cs="Times New Roman"/>
          <w:sz w:val="22"/>
          <w:szCs w:val="22"/>
          <w:lang w:val="en-GB"/>
        </w:rPr>
      </w:pPr>
    </w:p>
    <w:p w14:paraId="290DF271" w14:textId="77777777" w:rsidR="000F01D7" w:rsidRDefault="000F01D7" w:rsidP="00D87CB4">
      <w:pPr>
        <w:ind w:firstLine="708"/>
        <w:jc w:val="both"/>
        <w:rPr>
          <w:rFonts w:ascii="Times New Roman" w:hAnsi="Times New Roman" w:cs="Times New Roman"/>
          <w:sz w:val="22"/>
          <w:szCs w:val="22"/>
        </w:rPr>
      </w:pPr>
      <w:r w:rsidRPr="000F01D7">
        <w:rPr>
          <w:rFonts w:ascii="Times New Roman" w:hAnsi="Times New Roman" w:cs="Times New Roman"/>
          <w:sz w:val="22"/>
          <w:szCs w:val="22"/>
        </w:rPr>
        <w:t>The acid value before regeneration shows a clear increase with rising temperature. At 190 °C after 30 minutes, the acid value reached 1.70 mg KOH/g, which clearly indicates intensive triglyceride degradation and the formation of free fatty acids. After regeneration of the oil with Zeolite 4A, the acid value was significantly lower. In the temperature range of 110 °C–150 °C, the acid value remained constant at 0.20 mg KOH/g, while at 190 °C and 30 minutes of heating it reached 0.40 mg KOH/g, which is considerably lower compared to the value before regeneration at the same temperature and heating time. This result clearly confirms the effectiveness of zeolite in adsorbing free fatty acids and degradation products, thereby ensuring oil stability even at higher temperatures.</w:t>
      </w:r>
    </w:p>
    <w:p w14:paraId="226CBBE3" w14:textId="77777777" w:rsidR="0030384C" w:rsidRDefault="0030384C" w:rsidP="00D87CB4">
      <w:pPr>
        <w:ind w:firstLine="708"/>
        <w:jc w:val="both"/>
        <w:rPr>
          <w:rFonts w:ascii="Times New Roman" w:hAnsi="Times New Roman" w:cs="Times New Roman"/>
          <w:sz w:val="22"/>
          <w:szCs w:val="22"/>
        </w:rPr>
      </w:pPr>
      <w:r w:rsidRPr="0030384C">
        <w:rPr>
          <w:rFonts w:ascii="Times New Roman" w:hAnsi="Times New Roman" w:cs="Times New Roman"/>
          <w:sz w:val="22"/>
          <w:szCs w:val="22"/>
        </w:rPr>
        <w:t>The saponification value before regeneration showed a decreasing trend with increasing temperature and heating time, with the value dropping from the initial 189 mg KOH/g to 182 mg KOH/g at 190 °C after 30 minutes. This can be associated with triglyceride degradation and the formation of lower fatty acids. After zeolite treatment, the saponification values showed greater stability, without a significant decrease even at the highest temperature of 190 °C. The lowest recorded value was 186 mg KOH/g at 190 °C after 30 minutes, which is notably higher compared to the values before regeneration. This stability indicates the ability of zeolite to slow down the degradation of the glyceride structure and preserve the chemical composition of the oil [27].</w:t>
      </w:r>
    </w:p>
    <w:p w14:paraId="0014F7A6" w14:textId="1D52764E" w:rsidR="0030384C" w:rsidRPr="00D87CB4" w:rsidRDefault="0030384C" w:rsidP="00AC317E">
      <w:pPr>
        <w:ind w:firstLine="708"/>
        <w:jc w:val="both"/>
        <w:rPr>
          <w:rFonts w:ascii="Times New Roman" w:hAnsi="Times New Roman" w:cs="Times New Roman"/>
          <w:sz w:val="22"/>
          <w:szCs w:val="22"/>
        </w:rPr>
      </w:pPr>
      <w:r w:rsidRPr="0030384C">
        <w:rPr>
          <w:rFonts w:ascii="Times New Roman" w:hAnsi="Times New Roman" w:cs="Times New Roman"/>
          <w:sz w:val="22"/>
          <w:szCs w:val="22"/>
        </w:rPr>
        <w:t xml:space="preserve">The most pronounced difference is observed in the moisture and volatile matter content. Before regeneration, this parameter showed a sharp increase already at 150 °C (0.10%), reaching 0.56% at 190 °C after 10 minutes and 0.82% after 30 minutes of heating. After regeneration, the values remained </w:t>
      </w:r>
      <w:r>
        <w:rPr>
          <w:rFonts w:ascii="Times New Roman" w:hAnsi="Times New Roman" w:cs="Times New Roman"/>
          <w:sz w:val="22"/>
          <w:szCs w:val="22"/>
        </w:rPr>
        <w:t xml:space="preserve">in the range of 0,02% to 0,05% for both 10 and 30 minutes of heating time. At the temperature of </w:t>
      </w:r>
      <w:r w:rsidRPr="0030384C">
        <w:rPr>
          <w:rFonts w:ascii="Times New Roman" w:hAnsi="Times New Roman" w:cs="Times New Roman"/>
          <w:sz w:val="22"/>
          <w:szCs w:val="22"/>
        </w:rPr>
        <w:t xml:space="preserve">190 °C </w:t>
      </w:r>
      <w:r w:rsidR="00AC317E">
        <w:rPr>
          <w:rFonts w:ascii="Times New Roman" w:hAnsi="Times New Roman" w:cs="Times New Roman"/>
          <w:sz w:val="22"/>
          <w:szCs w:val="22"/>
        </w:rPr>
        <w:t>a</w:t>
      </w:r>
      <w:r w:rsidRPr="0030384C">
        <w:rPr>
          <w:rFonts w:ascii="Times New Roman" w:hAnsi="Times New Roman" w:cs="Times New Roman"/>
          <w:sz w:val="22"/>
          <w:szCs w:val="22"/>
        </w:rPr>
        <w:t xml:space="preserve"> slight</w:t>
      </w:r>
      <w:r>
        <w:rPr>
          <w:rFonts w:ascii="Times New Roman" w:hAnsi="Times New Roman" w:cs="Times New Roman"/>
          <w:sz w:val="22"/>
          <w:szCs w:val="22"/>
        </w:rPr>
        <w:t xml:space="preserve"> increase in the moisture and volatile matter content is observed</w:t>
      </w:r>
      <w:r w:rsidRPr="0030384C">
        <w:rPr>
          <w:rFonts w:ascii="Times New Roman" w:hAnsi="Times New Roman" w:cs="Times New Roman"/>
          <w:sz w:val="22"/>
          <w:szCs w:val="22"/>
        </w:rPr>
        <w:t>,</w:t>
      </w:r>
      <w:r>
        <w:rPr>
          <w:rFonts w:ascii="Times New Roman" w:hAnsi="Times New Roman" w:cs="Times New Roman"/>
          <w:sz w:val="22"/>
          <w:szCs w:val="22"/>
        </w:rPr>
        <w:t xml:space="preserve"> up to 0,11%, but still significantly lower than before regeneration with Zeolite 4A.</w:t>
      </w:r>
      <w:r w:rsidRPr="0030384C">
        <w:rPr>
          <w:rFonts w:ascii="Times New Roman" w:hAnsi="Times New Roman" w:cs="Times New Roman"/>
          <w:sz w:val="22"/>
          <w:szCs w:val="22"/>
        </w:rPr>
        <w:t xml:space="preserve"> It is evident that Zeolite 4A has a significant adsorptive effect, since the amount of moisture and volatile components was several times lower in the regenerated oil compared to the non-regenerated one. The mechanism of action of the adsorbent is based on the selective adsorption of polar and smaller molecules through interactions such as electrostatic forces and Van der Waals forces [28].</w:t>
      </w:r>
    </w:p>
    <w:p w14:paraId="56678DA9" w14:textId="100AD9F9" w:rsidR="00D87CB4" w:rsidRDefault="00C324FE" w:rsidP="00524F8C">
      <w:pPr>
        <w:pStyle w:val="Odlomakpopisa"/>
        <w:numPr>
          <w:ilvl w:val="0"/>
          <w:numId w:val="1"/>
        </w:numPr>
        <w:jc w:val="both"/>
        <w:rPr>
          <w:rFonts w:ascii="Times New Roman" w:hAnsi="Times New Roman" w:cs="Times New Roman"/>
          <w:sz w:val="22"/>
          <w:szCs w:val="22"/>
          <w:lang w:val="en-GB"/>
        </w:rPr>
      </w:pPr>
      <w:r>
        <w:rPr>
          <w:rFonts w:ascii="Times New Roman" w:hAnsi="Times New Roman" w:cs="Times New Roman"/>
          <w:sz w:val="22"/>
          <w:szCs w:val="22"/>
          <w:lang w:val="en-GB"/>
        </w:rPr>
        <w:lastRenderedPageBreak/>
        <w:t>CONCLUSION</w:t>
      </w:r>
    </w:p>
    <w:p w14:paraId="49EDFAF3" w14:textId="21529952" w:rsidR="00275610" w:rsidRDefault="003968F6" w:rsidP="003968F6">
      <w:pPr>
        <w:ind w:firstLine="708"/>
        <w:jc w:val="both"/>
        <w:rPr>
          <w:rFonts w:ascii="Times New Roman" w:hAnsi="Times New Roman" w:cs="Times New Roman"/>
          <w:sz w:val="22"/>
          <w:szCs w:val="22"/>
          <w:lang w:val="en-GB"/>
        </w:rPr>
      </w:pPr>
      <w:r w:rsidRPr="003968F6">
        <w:rPr>
          <w:rFonts w:ascii="Times New Roman" w:hAnsi="Times New Roman" w:cs="Times New Roman"/>
          <w:sz w:val="22"/>
          <w:szCs w:val="22"/>
        </w:rPr>
        <w:t xml:space="preserve">The research results clearly show that the process of thermal heating of edible sunflower oil leads to significant changes in its physicochemical parameters. With increasing temperature, there is a rise in the acid value, a decrease in the saponification value, and a significant increase in the moisture and volatile matter content, confirming intensive hydrolytic and oxidative degradation of triglycerides at higher temperatures. However, the application of Zeolite 4A in the oil regeneration process proved to be an extremely effective method for stabilizing these parameters. After treatment, the acid value remains almost unchanged even at higher temperatures, the saponification value maintains stable levels without significant decline, while the moisture and volatile matter content is reduced </w:t>
      </w:r>
      <w:r w:rsidR="00A65F17">
        <w:rPr>
          <w:rFonts w:ascii="Times New Roman" w:hAnsi="Times New Roman" w:cs="Times New Roman"/>
          <w:sz w:val="22"/>
          <w:szCs w:val="22"/>
        </w:rPr>
        <w:t>manifold</w:t>
      </w:r>
      <w:r w:rsidRPr="003968F6">
        <w:rPr>
          <w:rFonts w:ascii="Times New Roman" w:hAnsi="Times New Roman" w:cs="Times New Roman"/>
          <w:sz w:val="22"/>
          <w:szCs w:val="22"/>
        </w:rPr>
        <w:t xml:space="preserve"> compared to the non-regenerated oil. The obtained results confirm that adsorption on Zeolite 4A can significantly extend the stability and quality of edible oil during thermal treatment, making this method an effective and economically feasible solution for the regeneration of used oils.</w:t>
      </w:r>
    </w:p>
    <w:p w14:paraId="2F9FCAB4" w14:textId="6D06F344" w:rsidR="00DD6444" w:rsidRPr="00BA14BE" w:rsidRDefault="00BA14BE" w:rsidP="00BA14BE">
      <w:pPr>
        <w:pStyle w:val="Odlomakpopisa"/>
        <w:numPr>
          <w:ilvl w:val="0"/>
          <w:numId w:val="1"/>
        </w:numPr>
        <w:jc w:val="both"/>
        <w:rPr>
          <w:rFonts w:ascii="Times New Roman" w:hAnsi="Times New Roman" w:cs="Times New Roman"/>
          <w:sz w:val="22"/>
          <w:szCs w:val="22"/>
          <w:lang w:val="en-GB"/>
        </w:rPr>
      </w:pPr>
      <w:r>
        <w:rPr>
          <w:rFonts w:ascii="Times New Roman" w:hAnsi="Times New Roman" w:cs="Times New Roman"/>
          <w:sz w:val="22"/>
          <w:szCs w:val="22"/>
          <w:lang w:val="en-GB"/>
        </w:rPr>
        <w:t>LITERATUR</w:t>
      </w:r>
      <w:r w:rsidR="00A92A24">
        <w:rPr>
          <w:rFonts w:ascii="Times New Roman" w:hAnsi="Times New Roman" w:cs="Times New Roman"/>
          <w:sz w:val="22"/>
          <w:szCs w:val="22"/>
          <w:lang w:val="en-GB"/>
        </w:rPr>
        <w:t>E</w:t>
      </w:r>
    </w:p>
    <w:p w14:paraId="01EFB597" w14:textId="50801154" w:rsidR="00C04436" w:rsidRPr="002B254A" w:rsidRDefault="009F0D5E" w:rsidP="00DD6444">
      <w:pPr>
        <w:jc w:val="both"/>
        <w:rPr>
          <w:rFonts w:ascii="Times New Roman" w:hAnsi="Times New Roman" w:cs="Times New Roman"/>
          <w:sz w:val="22"/>
          <w:szCs w:val="22"/>
        </w:rPr>
      </w:pPr>
      <w:r w:rsidRPr="002B254A">
        <w:rPr>
          <w:rFonts w:ascii="Times New Roman" w:hAnsi="Times New Roman" w:cs="Times New Roman"/>
          <w:sz w:val="22"/>
          <w:szCs w:val="22"/>
        </w:rPr>
        <w:t xml:space="preserve">[1] </w:t>
      </w:r>
      <w:r w:rsidR="00BC76F8" w:rsidRPr="002B254A">
        <w:rPr>
          <w:rFonts w:ascii="Times New Roman" w:hAnsi="Times New Roman" w:cs="Times New Roman"/>
          <w:sz w:val="22"/>
          <w:szCs w:val="22"/>
        </w:rPr>
        <w:t xml:space="preserve">Zhou, Y., Zhao, W., Lai, Y., Zhang, B., &amp; Zhang, D. (2020). Edible plant oil: Global status, health issues, and perspectives. </w:t>
      </w:r>
      <w:r w:rsidR="00BC76F8" w:rsidRPr="002B254A">
        <w:rPr>
          <w:rFonts w:ascii="Times New Roman" w:hAnsi="Times New Roman" w:cs="Times New Roman"/>
          <w:i/>
          <w:iCs/>
          <w:sz w:val="22"/>
          <w:szCs w:val="22"/>
        </w:rPr>
        <w:t>Frontiers in Plant Science, 11</w:t>
      </w:r>
      <w:r w:rsidR="00BC76F8" w:rsidRPr="002B254A">
        <w:rPr>
          <w:rFonts w:ascii="Times New Roman" w:hAnsi="Times New Roman" w:cs="Times New Roman"/>
          <w:sz w:val="22"/>
          <w:szCs w:val="22"/>
        </w:rPr>
        <w:t>, 1315. https://doi.org/10.3389/fpls.2020.01315</w:t>
      </w:r>
    </w:p>
    <w:p w14:paraId="6FA095DA" w14:textId="54CFB35F" w:rsidR="00CD22D7" w:rsidRPr="002B254A" w:rsidRDefault="00CD22D7" w:rsidP="00CD22D7">
      <w:pPr>
        <w:jc w:val="both"/>
        <w:rPr>
          <w:rFonts w:ascii="Times New Roman" w:hAnsi="Times New Roman" w:cs="Times New Roman"/>
          <w:sz w:val="22"/>
          <w:szCs w:val="22"/>
        </w:rPr>
      </w:pPr>
      <w:r w:rsidRPr="002B254A">
        <w:rPr>
          <w:rFonts w:ascii="Times New Roman" w:hAnsi="Times New Roman" w:cs="Times New Roman"/>
          <w:sz w:val="22"/>
          <w:szCs w:val="22"/>
        </w:rPr>
        <w:t xml:space="preserve">[2] </w:t>
      </w:r>
      <w:r w:rsidR="00BC76F8" w:rsidRPr="002B254A">
        <w:rPr>
          <w:rFonts w:ascii="Times New Roman" w:hAnsi="Times New Roman" w:cs="Times New Roman"/>
          <w:sz w:val="22"/>
          <w:szCs w:val="22"/>
        </w:rPr>
        <w:t xml:space="preserve">Zeb, A. (2019). Chemistry of the frying medium. In </w:t>
      </w:r>
      <w:r w:rsidR="00BC76F8" w:rsidRPr="002B254A">
        <w:rPr>
          <w:rFonts w:ascii="Times New Roman" w:hAnsi="Times New Roman" w:cs="Times New Roman"/>
          <w:i/>
          <w:iCs/>
          <w:sz w:val="22"/>
          <w:szCs w:val="22"/>
        </w:rPr>
        <w:t>Food Frying: Chemistry, Biochemistry and Safety</w:t>
      </w:r>
      <w:r w:rsidR="00BC76F8" w:rsidRPr="002B254A">
        <w:rPr>
          <w:rFonts w:ascii="Times New Roman" w:hAnsi="Times New Roman" w:cs="Times New Roman"/>
          <w:sz w:val="22"/>
          <w:szCs w:val="22"/>
        </w:rPr>
        <w:t xml:space="preserve"> (1st ed., pp. 71–113). John Wiley &amp; Sons.</w:t>
      </w:r>
    </w:p>
    <w:p w14:paraId="1C87E0B5" w14:textId="04EB7ACA" w:rsidR="00CD22D7" w:rsidRPr="002B254A" w:rsidRDefault="00CD22D7" w:rsidP="00CD22D7">
      <w:pPr>
        <w:jc w:val="both"/>
        <w:rPr>
          <w:rFonts w:ascii="Times New Roman" w:hAnsi="Times New Roman" w:cs="Times New Roman"/>
          <w:sz w:val="22"/>
          <w:szCs w:val="22"/>
        </w:rPr>
      </w:pPr>
      <w:r w:rsidRPr="002B254A">
        <w:rPr>
          <w:rFonts w:ascii="Times New Roman" w:hAnsi="Times New Roman" w:cs="Times New Roman"/>
          <w:sz w:val="22"/>
          <w:szCs w:val="22"/>
        </w:rPr>
        <w:t xml:space="preserve">[3] </w:t>
      </w:r>
      <w:r w:rsidR="00BC76F8" w:rsidRPr="002B254A">
        <w:rPr>
          <w:rFonts w:ascii="Times New Roman" w:hAnsi="Times New Roman" w:cs="Times New Roman"/>
          <w:sz w:val="22"/>
          <w:szCs w:val="22"/>
        </w:rPr>
        <w:t xml:space="preserve">Zeb, A., &amp; Murkovic, M. (2011). Carotenoids and triacylglycerols interactions during thermal oxidation of refined olive oil. </w:t>
      </w:r>
      <w:r w:rsidR="00BC76F8" w:rsidRPr="002B254A">
        <w:rPr>
          <w:rFonts w:ascii="Times New Roman" w:hAnsi="Times New Roman" w:cs="Times New Roman"/>
          <w:i/>
          <w:iCs/>
          <w:sz w:val="22"/>
          <w:szCs w:val="22"/>
        </w:rPr>
        <w:t>Food Chemistry, 127</w:t>
      </w:r>
      <w:r w:rsidR="00BC76F8" w:rsidRPr="002B254A">
        <w:rPr>
          <w:rFonts w:ascii="Times New Roman" w:hAnsi="Times New Roman" w:cs="Times New Roman"/>
          <w:sz w:val="22"/>
          <w:szCs w:val="22"/>
        </w:rPr>
        <w:t>(4), 1584–1593.</w:t>
      </w:r>
    </w:p>
    <w:p w14:paraId="27159152" w14:textId="09BB6CBF" w:rsidR="00CD22D7" w:rsidRPr="002B254A" w:rsidRDefault="00CD22D7" w:rsidP="00CD22D7">
      <w:pPr>
        <w:jc w:val="both"/>
        <w:rPr>
          <w:rFonts w:ascii="Times New Roman" w:hAnsi="Times New Roman" w:cs="Times New Roman"/>
          <w:sz w:val="22"/>
          <w:szCs w:val="22"/>
        </w:rPr>
      </w:pPr>
      <w:r w:rsidRPr="002B254A">
        <w:rPr>
          <w:rFonts w:ascii="Times New Roman" w:hAnsi="Times New Roman" w:cs="Times New Roman"/>
          <w:sz w:val="22"/>
          <w:szCs w:val="22"/>
        </w:rPr>
        <w:t xml:space="preserve">[4] </w:t>
      </w:r>
      <w:r w:rsidR="00BC76F8" w:rsidRPr="002B254A">
        <w:rPr>
          <w:rFonts w:ascii="Times New Roman" w:hAnsi="Times New Roman" w:cs="Times New Roman"/>
          <w:sz w:val="22"/>
          <w:szCs w:val="22"/>
        </w:rPr>
        <w:t xml:space="preserve">Zeb, A., &amp; Murkovic, M. (2013). Pro-oxidant effects of β-carotene during thermal oxidation of edible oils. </w:t>
      </w:r>
      <w:r w:rsidR="00BC76F8" w:rsidRPr="002B254A">
        <w:rPr>
          <w:rFonts w:ascii="Times New Roman" w:hAnsi="Times New Roman" w:cs="Times New Roman"/>
          <w:i/>
          <w:iCs/>
          <w:sz w:val="22"/>
          <w:szCs w:val="22"/>
        </w:rPr>
        <w:t>Journal of the American Oil Chemists' Society, 90</w:t>
      </w:r>
      <w:r w:rsidR="00BC76F8" w:rsidRPr="002B254A">
        <w:rPr>
          <w:rFonts w:ascii="Times New Roman" w:hAnsi="Times New Roman" w:cs="Times New Roman"/>
          <w:sz w:val="22"/>
          <w:szCs w:val="22"/>
        </w:rPr>
        <w:t>(6), 881–889.</w:t>
      </w:r>
    </w:p>
    <w:p w14:paraId="609B86C8" w14:textId="49BEC9B6" w:rsidR="00CD22D7" w:rsidRPr="002B254A" w:rsidRDefault="00CD22D7" w:rsidP="00CD22D7">
      <w:pPr>
        <w:jc w:val="both"/>
        <w:rPr>
          <w:rFonts w:ascii="Times New Roman" w:hAnsi="Times New Roman" w:cs="Times New Roman"/>
          <w:sz w:val="22"/>
          <w:szCs w:val="22"/>
        </w:rPr>
      </w:pPr>
      <w:r w:rsidRPr="002B254A">
        <w:rPr>
          <w:rFonts w:ascii="Times New Roman" w:hAnsi="Times New Roman" w:cs="Times New Roman"/>
          <w:sz w:val="22"/>
          <w:szCs w:val="22"/>
        </w:rPr>
        <w:t xml:space="preserve">[5] </w:t>
      </w:r>
      <w:r w:rsidR="00BC76F8" w:rsidRPr="002B254A">
        <w:rPr>
          <w:rFonts w:ascii="Times New Roman" w:hAnsi="Times New Roman" w:cs="Times New Roman"/>
          <w:sz w:val="22"/>
          <w:szCs w:val="22"/>
        </w:rPr>
        <w:t xml:space="preserve">Zeb, A. (2021). A comprehensive review on different classes of polyphenolic compounds present in edible oils. </w:t>
      </w:r>
      <w:r w:rsidR="00BC76F8" w:rsidRPr="002B254A">
        <w:rPr>
          <w:rFonts w:ascii="Times New Roman" w:hAnsi="Times New Roman" w:cs="Times New Roman"/>
          <w:i/>
          <w:iCs/>
          <w:sz w:val="22"/>
          <w:szCs w:val="22"/>
        </w:rPr>
        <w:t>Food Research International, 143</w:t>
      </w:r>
      <w:r w:rsidR="00BC76F8" w:rsidRPr="002B254A">
        <w:rPr>
          <w:rFonts w:ascii="Times New Roman" w:hAnsi="Times New Roman" w:cs="Times New Roman"/>
          <w:sz w:val="22"/>
          <w:szCs w:val="22"/>
        </w:rPr>
        <w:t>, 110312. https://doi.org/10.1016/j.foodres.2021.110312</w:t>
      </w:r>
      <w:r w:rsidRPr="002B254A">
        <w:rPr>
          <w:rFonts w:ascii="Times New Roman" w:hAnsi="Times New Roman" w:cs="Times New Roman"/>
          <w:sz w:val="22"/>
          <w:szCs w:val="22"/>
        </w:rPr>
        <w:t>.</w:t>
      </w:r>
    </w:p>
    <w:p w14:paraId="0947A1A2" w14:textId="6C87088A" w:rsidR="00CD22D7" w:rsidRPr="002B254A" w:rsidRDefault="00CD22D7" w:rsidP="00CD22D7">
      <w:pPr>
        <w:jc w:val="both"/>
        <w:rPr>
          <w:rFonts w:ascii="Times New Roman" w:hAnsi="Times New Roman" w:cs="Times New Roman"/>
          <w:sz w:val="22"/>
          <w:szCs w:val="22"/>
        </w:rPr>
      </w:pPr>
      <w:r w:rsidRPr="002B254A">
        <w:rPr>
          <w:rFonts w:ascii="Times New Roman" w:hAnsi="Times New Roman" w:cs="Times New Roman"/>
          <w:sz w:val="22"/>
          <w:szCs w:val="22"/>
        </w:rPr>
        <w:t xml:space="preserve">[6] </w:t>
      </w:r>
      <w:r w:rsidR="00BC76F8" w:rsidRPr="002B254A">
        <w:rPr>
          <w:rFonts w:ascii="Times New Roman" w:hAnsi="Times New Roman" w:cs="Times New Roman"/>
          <w:sz w:val="22"/>
          <w:szCs w:val="22"/>
        </w:rPr>
        <w:t xml:space="preserve">Bunaciu, A. A., Aboul-Enein, H. Y., &amp; Hoang, V. D. (2020). Edible oil analysis. In </w:t>
      </w:r>
      <w:r w:rsidR="00BC76F8" w:rsidRPr="002B254A">
        <w:rPr>
          <w:rFonts w:ascii="Times New Roman" w:hAnsi="Times New Roman" w:cs="Times New Roman"/>
          <w:i/>
          <w:iCs/>
          <w:sz w:val="22"/>
          <w:szCs w:val="22"/>
        </w:rPr>
        <w:t>Vibrational spectroscopy applications in biomedical, pharmaceutical and food sciences</w:t>
      </w:r>
      <w:r w:rsidR="00BC76F8" w:rsidRPr="002B254A">
        <w:rPr>
          <w:rFonts w:ascii="Times New Roman" w:hAnsi="Times New Roman" w:cs="Times New Roman"/>
          <w:sz w:val="22"/>
          <w:szCs w:val="22"/>
        </w:rPr>
        <w:t xml:space="preserve"> (pp. 167–187). Elsevier.</w:t>
      </w:r>
    </w:p>
    <w:p w14:paraId="17515152" w14:textId="721B9EAB" w:rsidR="00784E74" w:rsidRPr="002B254A" w:rsidRDefault="00784E74" w:rsidP="00CD22D7">
      <w:pPr>
        <w:jc w:val="both"/>
        <w:rPr>
          <w:rFonts w:ascii="Times New Roman" w:hAnsi="Times New Roman" w:cs="Times New Roman"/>
          <w:sz w:val="22"/>
          <w:szCs w:val="22"/>
        </w:rPr>
      </w:pPr>
      <w:r w:rsidRPr="002B254A">
        <w:rPr>
          <w:rFonts w:ascii="Times New Roman" w:hAnsi="Times New Roman" w:cs="Times New Roman"/>
          <w:sz w:val="22"/>
          <w:szCs w:val="22"/>
        </w:rPr>
        <w:t xml:space="preserve">[7] </w:t>
      </w:r>
      <w:r w:rsidR="00BC76F8" w:rsidRPr="002B254A">
        <w:rPr>
          <w:rFonts w:ascii="Times New Roman" w:hAnsi="Times New Roman" w:cs="Times New Roman"/>
          <w:sz w:val="22"/>
          <w:szCs w:val="22"/>
        </w:rPr>
        <w:t xml:space="preserve">Segura, N., Lázaro, J., &amp; Irigaray, B. (2019). Effect of vacuum thermoxidation on sunflower oil. </w:t>
      </w:r>
      <w:r w:rsidR="00BC76F8" w:rsidRPr="002B254A">
        <w:rPr>
          <w:rFonts w:ascii="Times New Roman" w:hAnsi="Times New Roman" w:cs="Times New Roman"/>
          <w:i/>
          <w:iCs/>
          <w:sz w:val="22"/>
          <w:szCs w:val="22"/>
        </w:rPr>
        <w:t>Heliyon, 5</w:t>
      </w:r>
      <w:r w:rsidR="00BC76F8" w:rsidRPr="002B254A">
        <w:rPr>
          <w:rFonts w:ascii="Times New Roman" w:hAnsi="Times New Roman" w:cs="Times New Roman"/>
          <w:sz w:val="22"/>
          <w:szCs w:val="22"/>
        </w:rPr>
        <w:t xml:space="preserve">(3), e01358. </w:t>
      </w:r>
      <w:hyperlink r:id="rId6" w:tgtFrame="_new" w:history="1">
        <w:r w:rsidR="00BC76F8" w:rsidRPr="002B254A">
          <w:rPr>
            <w:rStyle w:val="Hiperveza"/>
            <w:rFonts w:ascii="Times New Roman" w:hAnsi="Times New Roman" w:cs="Times New Roman"/>
            <w:sz w:val="22"/>
            <w:szCs w:val="22"/>
          </w:rPr>
          <w:t>https://doi.org/10.1016/j.heliyon.2019.e01358</w:t>
        </w:r>
      </w:hyperlink>
    </w:p>
    <w:p w14:paraId="566938AE" w14:textId="6C127226" w:rsidR="00784E74" w:rsidRPr="002B254A" w:rsidRDefault="00784E74" w:rsidP="00CD22D7">
      <w:pPr>
        <w:jc w:val="both"/>
        <w:rPr>
          <w:rFonts w:ascii="Times New Roman" w:hAnsi="Times New Roman" w:cs="Times New Roman"/>
          <w:sz w:val="22"/>
          <w:szCs w:val="22"/>
        </w:rPr>
      </w:pPr>
      <w:r w:rsidRPr="002B254A">
        <w:rPr>
          <w:rFonts w:ascii="Times New Roman" w:hAnsi="Times New Roman" w:cs="Times New Roman"/>
          <w:sz w:val="22"/>
          <w:szCs w:val="22"/>
        </w:rPr>
        <w:t xml:space="preserve">[8] Al Amin, M., Ali, M. A., Alam, M. S., Nahar, A., &amp; Chew, S. C. (2023). Oxidative degradation of sunflower oil blended with roasted sesame oil during heating at frying temperature. Grain and Oil Science and Technology, 6(1), 34–42. </w:t>
      </w:r>
      <w:hyperlink r:id="rId7" w:history="1">
        <w:r w:rsidRPr="002B254A">
          <w:rPr>
            <w:rStyle w:val="Hiperveza"/>
            <w:rFonts w:ascii="Times New Roman" w:hAnsi="Times New Roman" w:cs="Times New Roman"/>
            <w:sz w:val="22"/>
            <w:szCs w:val="22"/>
          </w:rPr>
          <w:t>https://doi.org/10.1016/j.gaost.2022.11.004</w:t>
        </w:r>
      </w:hyperlink>
    </w:p>
    <w:p w14:paraId="3E397D9E" w14:textId="7613E134" w:rsidR="00784E74" w:rsidRPr="002B254A" w:rsidRDefault="00784E74" w:rsidP="00CD22D7">
      <w:pPr>
        <w:jc w:val="both"/>
        <w:rPr>
          <w:rFonts w:ascii="Times New Roman" w:hAnsi="Times New Roman" w:cs="Times New Roman"/>
          <w:sz w:val="22"/>
          <w:szCs w:val="22"/>
        </w:rPr>
      </w:pPr>
      <w:r w:rsidRPr="002B254A">
        <w:rPr>
          <w:rFonts w:ascii="Times New Roman" w:hAnsi="Times New Roman" w:cs="Times New Roman"/>
          <w:sz w:val="22"/>
          <w:szCs w:val="22"/>
        </w:rPr>
        <w:t xml:space="preserve">[9] Romanić, R., Lužaić, T., &amp; Grgić, K. (2020). Examining the possibility of improving the properties of sunflower oil in order to obtain a better medium for the process of frying food. In Proceedings (Vol. 70, No. 1, p. 104). MDPI. </w:t>
      </w:r>
      <w:hyperlink r:id="rId8" w:history="1">
        <w:r w:rsidRPr="002B254A">
          <w:rPr>
            <w:rStyle w:val="Hiperveza"/>
            <w:rFonts w:ascii="Times New Roman" w:hAnsi="Times New Roman" w:cs="Times New Roman"/>
            <w:sz w:val="22"/>
            <w:szCs w:val="22"/>
          </w:rPr>
          <w:t>https://doi.org/10.3390/foods_2020 07748</w:t>
        </w:r>
      </w:hyperlink>
    </w:p>
    <w:p w14:paraId="044F2DAA" w14:textId="77777777" w:rsidR="00784E74" w:rsidRPr="002B254A" w:rsidRDefault="00784E74" w:rsidP="00CD22D7">
      <w:pPr>
        <w:jc w:val="both"/>
        <w:rPr>
          <w:rFonts w:ascii="Times New Roman" w:hAnsi="Times New Roman" w:cs="Times New Roman"/>
          <w:sz w:val="22"/>
          <w:szCs w:val="22"/>
        </w:rPr>
      </w:pPr>
      <w:r w:rsidRPr="002B254A">
        <w:rPr>
          <w:rFonts w:ascii="Times New Roman" w:hAnsi="Times New Roman" w:cs="Times New Roman"/>
          <w:sz w:val="22"/>
          <w:szCs w:val="22"/>
        </w:rPr>
        <w:t xml:space="preserve">[10] Wang, F., Cui, Y., Liu, D., Brennan, C., Benjakul, S., Cheng, W., ... &amp; Ma, L. (2024). Simultaneous determination of typical toxic aldehydes formed during food frying and digestion using isotope dilution UHPLC-QqQ-MS/MS. Grain &amp; Oil Science and Technology, 7(1), 42–49. https://doi.org/10.1016/j.gaost.2024.02.007 </w:t>
      </w:r>
    </w:p>
    <w:p w14:paraId="5A0B945D" w14:textId="3AAF642B" w:rsidR="00CD22D7" w:rsidRPr="002B254A" w:rsidRDefault="00784E74" w:rsidP="00CD22D7">
      <w:pPr>
        <w:jc w:val="both"/>
        <w:rPr>
          <w:rFonts w:ascii="Times New Roman" w:hAnsi="Times New Roman" w:cs="Times New Roman"/>
          <w:sz w:val="22"/>
          <w:szCs w:val="22"/>
        </w:rPr>
      </w:pPr>
      <w:r w:rsidRPr="002B254A">
        <w:rPr>
          <w:rFonts w:ascii="Times New Roman" w:hAnsi="Times New Roman" w:cs="Times New Roman"/>
          <w:sz w:val="22"/>
          <w:szCs w:val="22"/>
        </w:rPr>
        <w:t xml:space="preserve">[11] </w:t>
      </w:r>
      <w:r w:rsidR="00BC76F8" w:rsidRPr="002B254A">
        <w:rPr>
          <w:rFonts w:ascii="Times New Roman" w:hAnsi="Times New Roman" w:cs="Times New Roman"/>
          <w:sz w:val="22"/>
          <w:szCs w:val="22"/>
        </w:rPr>
        <w:t xml:space="preserve">Cherif, A., &amp; Slama, A. (2022). Stability and change in fatty acids composition of soybean, corn, and sunflower oils during the heating process. </w:t>
      </w:r>
      <w:r w:rsidR="00BC76F8" w:rsidRPr="002B254A">
        <w:rPr>
          <w:rFonts w:ascii="Times New Roman" w:hAnsi="Times New Roman" w:cs="Times New Roman"/>
          <w:i/>
          <w:iCs/>
          <w:sz w:val="22"/>
          <w:szCs w:val="22"/>
        </w:rPr>
        <w:t>Journal of Food Quality, 2022</w:t>
      </w:r>
      <w:r w:rsidR="00BC76F8" w:rsidRPr="002B254A">
        <w:rPr>
          <w:rFonts w:ascii="Times New Roman" w:hAnsi="Times New Roman" w:cs="Times New Roman"/>
          <w:sz w:val="22"/>
          <w:szCs w:val="22"/>
        </w:rPr>
        <w:t>, Article 6761029.</w:t>
      </w:r>
    </w:p>
    <w:p w14:paraId="27264488" w14:textId="464588AD" w:rsidR="00784E74" w:rsidRPr="002B254A" w:rsidRDefault="00784E74" w:rsidP="00CD22D7">
      <w:pPr>
        <w:jc w:val="both"/>
        <w:rPr>
          <w:rFonts w:ascii="Times New Roman" w:hAnsi="Times New Roman" w:cs="Times New Roman"/>
          <w:sz w:val="22"/>
          <w:szCs w:val="22"/>
        </w:rPr>
      </w:pPr>
      <w:r w:rsidRPr="002B254A">
        <w:rPr>
          <w:rFonts w:ascii="Times New Roman" w:hAnsi="Times New Roman" w:cs="Times New Roman"/>
          <w:sz w:val="22"/>
          <w:szCs w:val="22"/>
        </w:rPr>
        <w:t xml:space="preserve">[12] </w:t>
      </w:r>
      <w:r w:rsidR="002B254A" w:rsidRPr="002B254A">
        <w:rPr>
          <w:rFonts w:ascii="Times New Roman" w:hAnsi="Times New Roman" w:cs="Times New Roman"/>
          <w:sz w:val="22"/>
          <w:szCs w:val="22"/>
        </w:rPr>
        <w:t xml:space="preserve">Fadda, A., Sanna, D., Sakar, E. H., Gharby, S., Mulas, M., Medda, S., et al. (2022). Innovative and sustainable technologies to enhance the oxidative stability of vegetable oils. </w:t>
      </w:r>
      <w:r w:rsidR="002B254A" w:rsidRPr="002B254A">
        <w:rPr>
          <w:rFonts w:ascii="Times New Roman" w:hAnsi="Times New Roman" w:cs="Times New Roman"/>
          <w:i/>
          <w:iCs/>
          <w:sz w:val="22"/>
          <w:szCs w:val="22"/>
        </w:rPr>
        <w:t>Sustainability, 14</w:t>
      </w:r>
      <w:r w:rsidR="002B254A" w:rsidRPr="002B254A">
        <w:rPr>
          <w:rFonts w:ascii="Times New Roman" w:hAnsi="Times New Roman" w:cs="Times New Roman"/>
          <w:sz w:val="22"/>
          <w:szCs w:val="22"/>
        </w:rPr>
        <w:t xml:space="preserve">(2), 849. </w:t>
      </w:r>
      <w:hyperlink r:id="rId9" w:tgtFrame="_new" w:history="1">
        <w:r w:rsidR="002B254A" w:rsidRPr="002B254A">
          <w:rPr>
            <w:rStyle w:val="Hiperveza"/>
            <w:rFonts w:ascii="Times New Roman" w:hAnsi="Times New Roman" w:cs="Times New Roman"/>
            <w:sz w:val="22"/>
            <w:szCs w:val="22"/>
          </w:rPr>
          <w:t>https://doi.org/10.3390/su14020849</w:t>
        </w:r>
      </w:hyperlink>
    </w:p>
    <w:p w14:paraId="28CDB67D" w14:textId="5B755E3E" w:rsidR="00784E74" w:rsidRPr="002B254A" w:rsidRDefault="00784E74" w:rsidP="00CD22D7">
      <w:pPr>
        <w:jc w:val="both"/>
        <w:rPr>
          <w:rFonts w:ascii="Times New Roman" w:hAnsi="Times New Roman" w:cs="Times New Roman"/>
          <w:sz w:val="22"/>
          <w:szCs w:val="22"/>
        </w:rPr>
      </w:pPr>
      <w:r w:rsidRPr="002B254A">
        <w:rPr>
          <w:rFonts w:ascii="Times New Roman" w:hAnsi="Times New Roman" w:cs="Times New Roman"/>
          <w:sz w:val="22"/>
          <w:szCs w:val="22"/>
        </w:rPr>
        <w:lastRenderedPageBreak/>
        <w:t xml:space="preserve">[13] </w:t>
      </w:r>
      <w:r w:rsidR="002B254A" w:rsidRPr="002B254A">
        <w:rPr>
          <w:rFonts w:ascii="Times New Roman" w:hAnsi="Times New Roman" w:cs="Times New Roman"/>
          <w:sz w:val="22"/>
          <w:szCs w:val="22"/>
        </w:rPr>
        <w:t xml:space="preserve">Choe, E., &amp; Min, D. B. (2007). Chemistry of deep-fat frying oils. </w:t>
      </w:r>
      <w:r w:rsidR="002B254A" w:rsidRPr="002B254A">
        <w:rPr>
          <w:rFonts w:ascii="Times New Roman" w:hAnsi="Times New Roman" w:cs="Times New Roman"/>
          <w:i/>
          <w:iCs/>
          <w:sz w:val="22"/>
          <w:szCs w:val="22"/>
        </w:rPr>
        <w:t>Journal of Food Science, 72</w:t>
      </w:r>
      <w:r w:rsidR="002B254A" w:rsidRPr="002B254A">
        <w:rPr>
          <w:rFonts w:ascii="Times New Roman" w:hAnsi="Times New Roman" w:cs="Times New Roman"/>
          <w:sz w:val="22"/>
          <w:szCs w:val="22"/>
        </w:rPr>
        <w:t xml:space="preserve">, R77–R86. </w:t>
      </w:r>
      <w:hyperlink r:id="rId10" w:tgtFrame="_new" w:history="1">
        <w:r w:rsidR="002B254A" w:rsidRPr="002B254A">
          <w:rPr>
            <w:rStyle w:val="Hiperveza"/>
            <w:rFonts w:ascii="Times New Roman" w:hAnsi="Times New Roman" w:cs="Times New Roman"/>
            <w:sz w:val="22"/>
            <w:szCs w:val="22"/>
          </w:rPr>
          <w:t>https://doi.org/10.1111/j.1750-3841.2007.00352.x</w:t>
        </w:r>
      </w:hyperlink>
      <w:r w:rsidRPr="002B254A">
        <w:rPr>
          <w:rFonts w:ascii="Times New Roman" w:hAnsi="Times New Roman" w:cs="Times New Roman"/>
          <w:sz w:val="22"/>
          <w:szCs w:val="22"/>
        </w:rPr>
        <w:t>.</w:t>
      </w:r>
    </w:p>
    <w:p w14:paraId="7885F4C1" w14:textId="77777777" w:rsidR="002B254A" w:rsidRPr="002B254A" w:rsidRDefault="00784E74" w:rsidP="00CD22D7">
      <w:pPr>
        <w:jc w:val="both"/>
        <w:rPr>
          <w:rFonts w:ascii="Times New Roman" w:hAnsi="Times New Roman" w:cs="Times New Roman"/>
          <w:sz w:val="22"/>
          <w:szCs w:val="22"/>
        </w:rPr>
      </w:pPr>
      <w:r w:rsidRPr="002B254A">
        <w:rPr>
          <w:rFonts w:ascii="Times New Roman" w:hAnsi="Times New Roman" w:cs="Times New Roman"/>
          <w:sz w:val="22"/>
          <w:szCs w:val="22"/>
        </w:rPr>
        <w:t xml:space="preserve">[14] </w:t>
      </w:r>
      <w:r w:rsidR="002B254A" w:rsidRPr="002B254A">
        <w:rPr>
          <w:rFonts w:ascii="Times New Roman" w:hAnsi="Times New Roman" w:cs="Times New Roman"/>
          <w:sz w:val="22"/>
          <w:szCs w:val="22"/>
        </w:rPr>
        <w:t xml:space="preserve">Vasiljević, L., Dobrnjac, S., Blagojević, S., &amp; Aćimović, M. (2025). Assessment of the oxidative state of thermally treated sunflower oil after regeneration with molecular sieves. </w:t>
      </w:r>
      <w:r w:rsidR="002B254A" w:rsidRPr="002B254A">
        <w:rPr>
          <w:rFonts w:ascii="Times New Roman" w:hAnsi="Times New Roman" w:cs="Times New Roman"/>
          <w:i/>
          <w:iCs/>
          <w:sz w:val="22"/>
          <w:szCs w:val="22"/>
        </w:rPr>
        <w:t>Engineering Proceedings, 99</w:t>
      </w:r>
      <w:r w:rsidR="002B254A" w:rsidRPr="002B254A">
        <w:rPr>
          <w:rFonts w:ascii="Times New Roman" w:hAnsi="Times New Roman" w:cs="Times New Roman"/>
          <w:sz w:val="22"/>
          <w:szCs w:val="22"/>
        </w:rPr>
        <w:t xml:space="preserve">(1), 20. </w:t>
      </w:r>
      <w:hyperlink r:id="rId11" w:tgtFrame="_new" w:history="1">
        <w:r w:rsidR="002B254A" w:rsidRPr="002B254A">
          <w:rPr>
            <w:rStyle w:val="Hiperveza"/>
            <w:rFonts w:ascii="Times New Roman" w:hAnsi="Times New Roman" w:cs="Times New Roman"/>
            <w:sz w:val="22"/>
            <w:szCs w:val="22"/>
          </w:rPr>
          <w:t>https://doi.org/10.3390/engproc2025099020</w:t>
        </w:r>
      </w:hyperlink>
      <w:r w:rsidR="002B254A" w:rsidRPr="002B254A">
        <w:rPr>
          <w:rFonts w:ascii="Times New Roman" w:hAnsi="Times New Roman" w:cs="Times New Roman"/>
          <w:sz w:val="22"/>
          <w:szCs w:val="22"/>
        </w:rPr>
        <w:t xml:space="preserve"> </w:t>
      </w:r>
    </w:p>
    <w:p w14:paraId="0DB51AE6" w14:textId="77777777" w:rsidR="002B254A" w:rsidRPr="002B254A" w:rsidRDefault="00175E7C" w:rsidP="00CD22D7">
      <w:pPr>
        <w:jc w:val="both"/>
        <w:rPr>
          <w:rFonts w:ascii="Times New Roman" w:hAnsi="Times New Roman" w:cs="Times New Roman"/>
          <w:sz w:val="22"/>
          <w:szCs w:val="22"/>
        </w:rPr>
      </w:pPr>
      <w:r w:rsidRPr="002B254A">
        <w:rPr>
          <w:rFonts w:ascii="Times New Roman" w:hAnsi="Times New Roman" w:cs="Times New Roman"/>
          <w:sz w:val="22"/>
          <w:szCs w:val="22"/>
        </w:rPr>
        <w:t xml:space="preserve">[15] </w:t>
      </w:r>
      <w:r w:rsidR="002B254A" w:rsidRPr="002B254A">
        <w:rPr>
          <w:rFonts w:ascii="Times New Roman" w:hAnsi="Times New Roman" w:cs="Times New Roman"/>
          <w:sz w:val="22"/>
          <w:szCs w:val="22"/>
        </w:rPr>
        <w:t xml:space="preserve">Dobrnjac, S., Vasiljević, L., Blagojević, S., Gligorić, M., Obrenović, Z., Cvijetinović, V., &amp; Tošković, D. (2019). Removing products of thermal degradation from edible oils by zeolite and by clinoptilolite – comparison of results. In </w:t>
      </w:r>
      <w:r w:rsidR="002B254A" w:rsidRPr="002B254A">
        <w:rPr>
          <w:rFonts w:ascii="Times New Roman" w:hAnsi="Times New Roman" w:cs="Times New Roman"/>
          <w:i/>
          <w:iCs/>
          <w:sz w:val="22"/>
          <w:szCs w:val="22"/>
        </w:rPr>
        <w:t>Proceedings of the VI International Congress Engineering, Environment and Materials in Processing Industry</w:t>
      </w:r>
      <w:r w:rsidR="002B254A" w:rsidRPr="002B254A">
        <w:rPr>
          <w:rFonts w:ascii="Times New Roman" w:hAnsi="Times New Roman" w:cs="Times New Roman"/>
          <w:sz w:val="22"/>
          <w:szCs w:val="22"/>
        </w:rPr>
        <w:t xml:space="preserve"> (pp. 384–392). </w:t>
      </w:r>
      <w:hyperlink r:id="rId12" w:tgtFrame="_new" w:history="1">
        <w:r w:rsidR="002B254A" w:rsidRPr="002B254A">
          <w:rPr>
            <w:rStyle w:val="Hiperveza"/>
            <w:rFonts w:ascii="Times New Roman" w:hAnsi="Times New Roman" w:cs="Times New Roman"/>
            <w:sz w:val="22"/>
            <w:szCs w:val="22"/>
          </w:rPr>
          <w:t>https://doi.org/10.7251/jepm1901024d</w:t>
        </w:r>
      </w:hyperlink>
      <w:r w:rsidR="002B254A" w:rsidRPr="002B254A">
        <w:rPr>
          <w:rFonts w:ascii="Times New Roman" w:hAnsi="Times New Roman" w:cs="Times New Roman"/>
          <w:sz w:val="22"/>
          <w:szCs w:val="22"/>
        </w:rPr>
        <w:t xml:space="preserve"> </w:t>
      </w:r>
    </w:p>
    <w:p w14:paraId="6C445B4A" w14:textId="7B2976C8" w:rsidR="00175E7C" w:rsidRPr="002B254A" w:rsidRDefault="00175E7C" w:rsidP="00CD22D7">
      <w:pPr>
        <w:jc w:val="both"/>
        <w:rPr>
          <w:rFonts w:ascii="Times New Roman" w:hAnsi="Times New Roman" w:cs="Times New Roman"/>
          <w:sz w:val="22"/>
          <w:szCs w:val="22"/>
        </w:rPr>
      </w:pPr>
      <w:r w:rsidRPr="002B254A">
        <w:rPr>
          <w:rFonts w:ascii="Times New Roman" w:hAnsi="Times New Roman" w:cs="Times New Roman"/>
          <w:sz w:val="22"/>
          <w:szCs w:val="22"/>
        </w:rPr>
        <w:t xml:space="preserve">[16] </w:t>
      </w:r>
      <w:r w:rsidR="002B254A" w:rsidRPr="002B254A">
        <w:rPr>
          <w:rFonts w:ascii="Times New Roman" w:hAnsi="Times New Roman" w:cs="Times New Roman"/>
          <w:sz w:val="22"/>
          <w:szCs w:val="22"/>
        </w:rPr>
        <w:t xml:space="preserve">Colella, C., &amp; Wise, W. S. (2014). The IZA handbook of natural zeolites: A tool of knowledge on the most important family of porous minerals. </w:t>
      </w:r>
      <w:r w:rsidR="002B254A" w:rsidRPr="002B254A">
        <w:rPr>
          <w:rFonts w:ascii="Times New Roman" w:hAnsi="Times New Roman" w:cs="Times New Roman"/>
          <w:i/>
          <w:iCs/>
          <w:sz w:val="22"/>
          <w:szCs w:val="22"/>
        </w:rPr>
        <w:t>Microporous and Mesoporous Materials, 189</w:t>
      </w:r>
      <w:r w:rsidR="002B254A" w:rsidRPr="002B254A">
        <w:rPr>
          <w:rFonts w:ascii="Times New Roman" w:hAnsi="Times New Roman" w:cs="Times New Roman"/>
          <w:sz w:val="22"/>
          <w:szCs w:val="22"/>
        </w:rPr>
        <w:t>, 4–10.</w:t>
      </w:r>
    </w:p>
    <w:p w14:paraId="7814114F" w14:textId="68285D7D" w:rsidR="00175E7C" w:rsidRPr="002B254A" w:rsidRDefault="00175E7C" w:rsidP="00CD22D7">
      <w:pPr>
        <w:jc w:val="both"/>
        <w:rPr>
          <w:rFonts w:ascii="Times New Roman" w:hAnsi="Times New Roman" w:cs="Times New Roman"/>
          <w:sz w:val="22"/>
          <w:szCs w:val="22"/>
        </w:rPr>
      </w:pPr>
      <w:r w:rsidRPr="002B254A">
        <w:rPr>
          <w:rFonts w:ascii="Times New Roman" w:hAnsi="Times New Roman" w:cs="Times New Roman"/>
          <w:sz w:val="22"/>
          <w:szCs w:val="22"/>
        </w:rPr>
        <w:t xml:space="preserve">[17] </w:t>
      </w:r>
      <w:r w:rsidR="002B254A" w:rsidRPr="002B254A">
        <w:rPr>
          <w:rFonts w:ascii="Times New Roman" w:hAnsi="Times New Roman" w:cs="Times New Roman"/>
          <w:sz w:val="22"/>
          <w:szCs w:val="22"/>
        </w:rPr>
        <w:t xml:space="preserve">Vasiljević, Lj., Škundrić, B., Lazić, D., Penavin-Škundrić, J., Gligorić, M., Sladojević, S., &amp; Mićić, V. (2014). Zavisnost adsorpcije ulja i morfoloških osobina od vremena kristalizacije zeolita. In </w:t>
      </w:r>
      <w:r w:rsidR="002B254A" w:rsidRPr="002B254A">
        <w:rPr>
          <w:rFonts w:ascii="Times New Roman" w:hAnsi="Times New Roman" w:cs="Times New Roman"/>
          <w:i/>
          <w:iCs/>
          <w:sz w:val="22"/>
          <w:szCs w:val="22"/>
        </w:rPr>
        <w:t>VII Međunarodni naučni skup - Savremeni materijali</w:t>
      </w:r>
      <w:r w:rsidR="002B254A" w:rsidRPr="002B254A">
        <w:rPr>
          <w:rFonts w:ascii="Times New Roman" w:hAnsi="Times New Roman" w:cs="Times New Roman"/>
          <w:sz w:val="22"/>
          <w:szCs w:val="22"/>
        </w:rPr>
        <w:t>. ANURS Banjaluka.</w:t>
      </w:r>
      <w:r w:rsidRPr="002B254A">
        <w:rPr>
          <w:rFonts w:ascii="Times New Roman" w:hAnsi="Times New Roman" w:cs="Times New Roman"/>
          <w:sz w:val="22"/>
          <w:szCs w:val="22"/>
        </w:rPr>
        <w:t>.</w:t>
      </w:r>
    </w:p>
    <w:p w14:paraId="2E418833" w14:textId="2A430CA0" w:rsidR="00175E7C" w:rsidRPr="002B254A" w:rsidRDefault="00175E7C" w:rsidP="00CD22D7">
      <w:pPr>
        <w:jc w:val="both"/>
        <w:rPr>
          <w:rFonts w:ascii="Times New Roman" w:hAnsi="Times New Roman" w:cs="Times New Roman"/>
          <w:sz w:val="22"/>
          <w:szCs w:val="22"/>
        </w:rPr>
      </w:pPr>
      <w:r w:rsidRPr="002B254A">
        <w:rPr>
          <w:rFonts w:ascii="Times New Roman" w:hAnsi="Times New Roman" w:cs="Times New Roman"/>
          <w:sz w:val="22"/>
          <w:szCs w:val="22"/>
        </w:rPr>
        <w:t xml:space="preserve">[18] </w:t>
      </w:r>
      <w:r w:rsidR="002B254A" w:rsidRPr="002B254A">
        <w:rPr>
          <w:rFonts w:ascii="Times New Roman" w:hAnsi="Times New Roman" w:cs="Times New Roman"/>
          <w:sz w:val="22"/>
          <w:szCs w:val="22"/>
        </w:rPr>
        <w:t xml:space="preserve">Pérez-Botella, E., Valencia, S., &amp; Rey, F. (2022). Zeolites in adsorption processes: State of the art and future prospects. </w:t>
      </w:r>
      <w:r w:rsidR="002B254A" w:rsidRPr="002B254A">
        <w:rPr>
          <w:rFonts w:ascii="Times New Roman" w:hAnsi="Times New Roman" w:cs="Times New Roman"/>
          <w:i/>
          <w:iCs/>
          <w:sz w:val="22"/>
          <w:szCs w:val="22"/>
        </w:rPr>
        <w:t>Chemical Reviews, 122</w:t>
      </w:r>
      <w:r w:rsidR="002B254A" w:rsidRPr="002B254A">
        <w:rPr>
          <w:rFonts w:ascii="Times New Roman" w:hAnsi="Times New Roman" w:cs="Times New Roman"/>
          <w:sz w:val="22"/>
          <w:szCs w:val="22"/>
        </w:rPr>
        <w:t>(24), 17647–17695. https://doi.org/10.1021/acs.chemrev.2c0014</w:t>
      </w:r>
      <w:r w:rsidRPr="002B254A">
        <w:rPr>
          <w:rFonts w:ascii="Times New Roman" w:hAnsi="Times New Roman" w:cs="Times New Roman"/>
          <w:sz w:val="22"/>
          <w:szCs w:val="22"/>
        </w:rPr>
        <w:t xml:space="preserve">0 </w:t>
      </w:r>
    </w:p>
    <w:p w14:paraId="61C21C9C" w14:textId="33B96C08" w:rsidR="00175E7C" w:rsidRPr="002B254A" w:rsidRDefault="00175E7C" w:rsidP="00CD22D7">
      <w:pPr>
        <w:jc w:val="both"/>
        <w:rPr>
          <w:rFonts w:ascii="Times New Roman" w:hAnsi="Times New Roman" w:cs="Times New Roman"/>
          <w:sz w:val="22"/>
          <w:szCs w:val="22"/>
        </w:rPr>
      </w:pPr>
      <w:r w:rsidRPr="002B254A">
        <w:rPr>
          <w:rFonts w:ascii="Times New Roman" w:hAnsi="Times New Roman" w:cs="Times New Roman"/>
          <w:sz w:val="22"/>
          <w:szCs w:val="22"/>
        </w:rPr>
        <w:t xml:space="preserve">[19] </w:t>
      </w:r>
      <w:r w:rsidR="002B254A" w:rsidRPr="002B254A">
        <w:rPr>
          <w:rFonts w:ascii="Times New Roman" w:hAnsi="Times New Roman" w:cs="Times New Roman"/>
          <w:sz w:val="22"/>
          <w:szCs w:val="22"/>
        </w:rPr>
        <w:t xml:space="preserve">Sladojević, S., Penavin-Škundrić, J., Škundrić, B., Lazić, D., Krnetić, S., Vujasinović, S., &amp; Zeljković, S. (2008). Uticaj sastava i strukture zeolita na njegove adsorpcione osobine. In </w:t>
      </w:r>
      <w:r w:rsidR="002B254A" w:rsidRPr="002B254A">
        <w:rPr>
          <w:rFonts w:ascii="Times New Roman" w:hAnsi="Times New Roman" w:cs="Times New Roman"/>
          <w:i/>
          <w:iCs/>
          <w:sz w:val="22"/>
          <w:szCs w:val="22"/>
        </w:rPr>
        <w:t>Proceedings of the VII Naučno/stručni simpozijum sa međunarodnim učešćem Metalni i nemetalni materijali</w:t>
      </w:r>
      <w:r w:rsidR="002B254A" w:rsidRPr="002B254A">
        <w:rPr>
          <w:rFonts w:ascii="Times New Roman" w:hAnsi="Times New Roman" w:cs="Times New Roman"/>
          <w:sz w:val="22"/>
          <w:szCs w:val="22"/>
        </w:rPr>
        <w:t xml:space="preserve"> (pp. 423–428)</w:t>
      </w:r>
      <w:r w:rsidRPr="002B254A">
        <w:rPr>
          <w:rFonts w:ascii="Times New Roman" w:hAnsi="Times New Roman" w:cs="Times New Roman"/>
          <w:sz w:val="22"/>
          <w:szCs w:val="22"/>
        </w:rPr>
        <w:t>.</w:t>
      </w:r>
    </w:p>
    <w:p w14:paraId="6997BBAC" w14:textId="77777777" w:rsidR="002B254A" w:rsidRPr="002B254A" w:rsidRDefault="00BA14BE" w:rsidP="00BA14BE">
      <w:pPr>
        <w:jc w:val="both"/>
        <w:rPr>
          <w:rFonts w:ascii="Times New Roman" w:hAnsi="Times New Roman" w:cs="Times New Roman"/>
          <w:sz w:val="22"/>
          <w:szCs w:val="22"/>
        </w:rPr>
      </w:pPr>
      <w:r w:rsidRPr="002B254A">
        <w:rPr>
          <w:rFonts w:ascii="Times New Roman" w:hAnsi="Times New Roman" w:cs="Times New Roman"/>
          <w:sz w:val="22"/>
          <w:szCs w:val="22"/>
        </w:rPr>
        <w:t xml:space="preserve">[20] </w:t>
      </w:r>
      <w:r w:rsidR="002B254A" w:rsidRPr="002B254A">
        <w:rPr>
          <w:rFonts w:ascii="Times New Roman" w:hAnsi="Times New Roman" w:cs="Times New Roman"/>
          <w:sz w:val="22"/>
          <w:szCs w:val="22"/>
        </w:rPr>
        <w:t xml:space="preserve">Chen, W., Zhao, H., Xue, Y., &amp; Chang, X. (2022). Adsorption effect and adsorption mechanism of high-content zeolite ceramsite on asphalt VOCs. </w:t>
      </w:r>
      <w:r w:rsidR="002B254A" w:rsidRPr="002B254A">
        <w:rPr>
          <w:rFonts w:ascii="Times New Roman" w:hAnsi="Times New Roman" w:cs="Times New Roman"/>
          <w:i/>
          <w:iCs/>
          <w:sz w:val="22"/>
          <w:szCs w:val="22"/>
        </w:rPr>
        <w:t>Materials, 15</w:t>
      </w:r>
      <w:r w:rsidR="002B254A" w:rsidRPr="002B254A">
        <w:rPr>
          <w:rFonts w:ascii="Times New Roman" w:hAnsi="Times New Roman" w:cs="Times New Roman"/>
          <w:sz w:val="22"/>
          <w:szCs w:val="22"/>
        </w:rPr>
        <w:t xml:space="preserve">(17), 6100. </w:t>
      </w:r>
      <w:hyperlink r:id="rId13" w:tgtFrame="_new" w:history="1">
        <w:r w:rsidR="002B254A" w:rsidRPr="002B254A">
          <w:rPr>
            <w:rStyle w:val="Hiperveza"/>
            <w:rFonts w:ascii="Times New Roman" w:hAnsi="Times New Roman" w:cs="Times New Roman"/>
            <w:sz w:val="22"/>
            <w:szCs w:val="22"/>
          </w:rPr>
          <w:t>https://doi.org/10.3390/ma15176100</w:t>
        </w:r>
      </w:hyperlink>
      <w:r w:rsidR="002B254A" w:rsidRPr="002B254A">
        <w:rPr>
          <w:rFonts w:ascii="Times New Roman" w:hAnsi="Times New Roman" w:cs="Times New Roman"/>
          <w:sz w:val="22"/>
          <w:szCs w:val="22"/>
        </w:rPr>
        <w:t xml:space="preserve"> </w:t>
      </w:r>
    </w:p>
    <w:p w14:paraId="1BBE89B9" w14:textId="60C4665C" w:rsidR="00BA14BE" w:rsidRPr="002B254A" w:rsidRDefault="00BA14BE" w:rsidP="00BA14BE">
      <w:pPr>
        <w:jc w:val="both"/>
        <w:rPr>
          <w:rFonts w:ascii="Times New Roman" w:hAnsi="Times New Roman" w:cs="Times New Roman"/>
          <w:sz w:val="22"/>
          <w:szCs w:val="22"/>
        </w:rPr>
      </w:pPr>
      <w:r w:rsidRPr="002B254A">
        <w:rPr>
          <w:rFonts w:ascii="Times New Roman" w:hAnsi="Times New Roman" w:cs="Times New Roman"/>
          <w:sz w:val="22"/>
          <w:szCs w:val="22"/>
        </w:rPr>
        <w:t xml:space="preserve">[21] Diboune, M., Nouali, H., Soulard, M., Patarin, J., Rioland, G., Faye, D., &amp; Daou, T. J. (2020). Efficient removal of volatile organic compounds by FAU-type zeolite coatings. </w:t>
      </w:r>
      <w:r w:rsidRPr="002B254A">
        <w:rPr>
          <w:rFonts w:ascii="Times New Roman" w:hAnsi="Times New Roman" w:cs="Times New Roman"/>
          <w:i/>
          <w:iCs/>
          <w:sz w:val="22"/>
          <w:szCs w:val="22"/>
        </w:rPr>
        <w:t>Molecules, 25</w:t>
      </w:r>
      <w:r w:rsidRPr="002B254A">
        <w:rPr>
          <w:rFonts w:ascii="Times New Roman" w:hAnsi="Times New Roman" w:cs="Times New Roman"/>
          <w:sz w:val="22"/>
          <w:szCs w:val="22"/>
        </w:rPr>
        <w:t xml:space="preserve">(15), 3336. https://doi.org/10.3390/molecules25153336 </w:t>
      </w:r>
    </w:p>
    <w:p w14:paraId="4859604B" w14:textId="3EF8A317" w:rsidR="00BA14BE" w:rsidRPr="002B254A" w:rsidRDefault="00BA14BE" w:rsidP="00BA14BE">
      <w:pPr>
        <w:jc w:val="both"/>
        <w:rPr>
          <w:rFonts w:ascii="Times New Roman" w:hAnsi="Times New Roman" w:cs="Times New Roman"/>
          <w:sz w:val="22"/>
          <w:szCs w:val="22"/>
        </w:rPr>
      </w:pPr>
      <w:r w:rsidRPr="002B254A">
        <w:rPr>
          <w:rFonts w:ascii="Times New Roman" w:hAnsi="Times New Roman" w:cs="Times New Roman"/>
          <w:sz w:val="22"/>
          <w:szCs w:val="22"/>
        </w:rPr>
        <w:t xml:space="preserve">[22] Yang, H., Xu, R., Li, Y., &amp; Yuan, P. (2009). Synthesis of mesoporous materials from natural attapulgite clay. </w:t>
      </w:r>
      <w:r w:rsidRPr="002B254A">
        <w:rPr>
          <w:rFonts w:ascii="Times New Roman" w:hAnsi="Times New Roman" w:cs="Times New Roman"/>
          <w:i/>
          <w:iCs/>
          <w:sz w:val="22"/>
          <w:szCs w:val="22"/>
        </w:rPr>
        <w:t>Microporous and Mesoporous Materials, 117</w:t>
      </w:r>
      <w:r w:rsidRPr="002B254A">
        <w:rPr>
          <w:rFonts w:ascii="Times New Roman" w:hAnsi="Times New Roman" w:cs="Times New Roman"/>
          <w:sz w:val="22"/>
          <w:szCs w:val="22"/>
        </w:rPr>
        <w:t xml:space="preserve">, 33–40. </w:t>
      </w:r>
      <w:hyperlink r:id="rId14" w:history="1">
        <w:r w:rsidRPr="002B254A">
          <w:rPr>
            <w:rStyle w:val="Hiperveza"/>
            <w:rFonts w:ascii="Times New Roman" w:hAnsi="Times New Roman" w:cs="Times New Roman"/>
            <w:sz w:val="22"/>
            <w:szCs w:val="22"/>
          </w:rPr>
          <w:t>https://doi.org/10.1016/j.micromeso.2008.06.034</w:t>
        </w:r>
      </w:hyperlink>
    </w:p>
    <w:p w14:paraId="06234EBA" w14:textId="1AD03919" w:rsidR="00BA14BE" w:rsidRPr="002B254A" w:rsidRDefault="00BA14BE" w:rsidP="00BA14BE">
      <w:pPr>
        <w:jc w:val="both"/>
        <w:rPr>
          <w:rFonts w:ascii="Times New Roman" w:hAnsi="Times New Roman" w:cs="Times New Roman"/>
          <w:sz w:val="22"/>
          <w:szCs w:val="22"/>
        </w:rPr>
      </w:pPr>
      <w:r w:rsidRPr="002B254A">
        <w:rPr>
          <w:rFonts w:ascii="Times New Roman" w:hAnsi="Times New Roman" w:cs="Times New Roman"/>
          <w:sz w:val="22"/>
          <w:szCs w:val="22"/>
        </w:rPr>
        <w:t xml:space="preserve">[23] </w:t>
      </w:r>
      <w:r w:rsidR="002B254A" w:rsidRPr="002B254A">
        <w:rPr>
          <w:rFonts w:ascii="Times New Roman" w:hAnsi="Times New Roman" w:cs="Times New Roman"/>
          <w:sz w:val="22"/>
          <w:szCs w:val="22"/>
        </w:rPr>
        <w:t xml:space="preserve">Baerlocher, C., McCusker, L. B., &amp; Olson, D. H. (2022). </w:t>
      </w:r>
      <w:r w:rsidR="002B254A" w:rsidRPr="002B254A">
        <w:rPr>
          <w:rFonts w:ascii="Times New Roman" w:hAnsi="Times New Roman" w:cs="Times New Roman"/>
          <w:i/>
          <w:iCs/>
          <w:sz w:val="22"/>
          <w:szCs w:val="22"/>
        </w:rPr>
        <w:t>Atlas of zeolite framework types</w:t>
      </w:r>
      <w:r w:rsidR="002B254A" w:rsidRPr="002B254A">
        <w:rPr>
          <w:rFonts w:ascii="Times New Roman" w:hAnsi="Times New Roman" w:cs="Times New Roman"/>
          <w:sz w:val="22"/>
          <w:szCs w:val="22"/>
        </w:rPr>
        <w:t>. Elsevier.</w:t>
      </w:r>
    </w:p>
    <w:p w14:paraId="7DFD0B1F" w14:textId="377B78C6" w:rsidR="00CD22D7" w:rsidRPr="002B254A" w:rsidRDefault="00BA14BE" w:rsidP="00DD6444">
      <w:pPr>
        <w:jc w:val="both"/>
        <w:rPr>
          <w:rFonts w:ascii="Times New Roman" w:hAnsi="Times New Roman" w:cs="Times New Roman"/>
          <w:sz w:val="22"/>
          <w:szCs w:val="22"/>
        </w:rPr>
      </w:pPr>
      <w:r w:rsidRPr="002B254A">
        <w:rPr>
          <w:rFonts w:ascii="Times New Roman" w:hAnsi="Times New Roman" w:cs="Times New Roman"/>
          <w:sz w:val="22"/>
          <w:szCs w:val="22"/>
        </w:rPr>
        <w:t xml:space="preserve">[24] </w:t>
      </w:r>
      <w:r w:rsidR="002B254A" w:rsidRPr="002B254A">
        <w:rPr>
          <w:rFonts w:ascii="Times New Roman" w:hAnsi="Times New Roman" w:cs="Times New Roman"/>
          <w:sz w:val="22"/>
          <w:szCs w:val="22"/>
        </w:rPr>
        <w:t xml:space="preserve">Kordala, N., &amp; Wyszkowski, M. (2024). Zeolite properties, methods of synthesis, and selected applications. </w:t>
      </w:r>
      <w:r w:rsidR="002B254A" w:rsidRPr="002B254A">
        <w:rPr>
          <w:rFonts w:ascii="Times New Roman" w:hAnsi="Times New Roman" w:cs="Times New Roman"/>
          <w:i/>
          <w:iCs/>
          <w:sz w:val="22"/>
          <w:szCs w:val="22"/>
        </w:rPr>
        <w:t>Molecules, 29</w:t>
      </w:r>
      <w:r w:rsidR="002B254A" w:rsidRPr="002B254A">
        <w:rPr>
          <w:rFonts w:ascii="Times New Roman" w:hAnsi="Times New Roman" w:cs="Times New Roman"/>
          <w:sz w:val="22"/>
          <w:szCs w:val="22"/>
        </w:rPr>
        <w:t>(5), 1069</w:t>
      </w:r>
      <w:r w:rsidRPr="002B254A">
        <w:rPr>
          <w:rFonts w:ascii="Times New Roman" w:hAnsi="Times New Roman" w:cs="Times New Roman"/>
          <w:sz w:val="22"/>
          <w:szCs w:val="22"/>
        </w:rPr>
        <w:t>.</w:t>
      </w:r>
    </w:p>
    <w:p w14:paraId="27A9CCAD" w14:textId="439FBB63" w:rsidR="00DD6444" w:rsidRPr="002B254A" w:rsidRDefault="00E84D27" w:rsidP="00DD6444">
      <w:pPr>
        <w:jc w:val="both"/>
        <w:rPr>
          <w:rFonts w:ascii="Times New Roman" w:hAnsi="Times New Roman" w:cs="Times New Roman"/>
          <w:sz w:val="22"/>
          <w:szCs w:val="22"/>
        </w:rPr>
      </w:pPr>
      <w:r w:rsidRPr="002B254A">
        <w:rPr>
          <w:rFonts w:ascii="Times New Roman" w:hAnsi="Times New Roman" w:cs="Times New Roman"/>
          <w:sz w:val="22"/>
          <w:szCs w:val="22"/>
        </w:rPr>
        <w:t xml:space="preserve">[25] </w:t>
      </w:r>
      <w:r w:rsidR="002B254A" w:rsidRPr="002B254A">
        <w:rPr>
          <w:rFonts w:ascii="Times New Roman" w:hAnsi="Times New Roman" w:cs="Times New Roman"/>
          <w:sz w:val="22"/>
          <w:szCs w:val="22"/>
        </w:rPr>
        <w:t xml:space="preserve">Choe, E., &amp; Min, D. B. (2006). Chemistry of deep-fat frying oils. </w:t>
      </w:r>
      <w:r w:rsidR="002B254A" w:rsidRPr="002B254A">
        <w:rPr>
          <w:rFonts w:ascii="Times New Roman" w:hAnsi="Times New Roman" w:cs="Times New Roman"/>
          <w:i/>
          <w:iCs/>
          <w:sz w:val="22"/>
          <w:szCs w:val="22"/>
        </w:rPr>
        <w:t>Journal of Food Science, 72</w:t>
      </w:r>
      <w:r w:rsidR="002B254A" w:rsidRPr="002B254A">
        <w:rPr>
          <w:rFonts w:ascii="Times New Roman" w:hAnsi="Times New Roman" w:cs="Times New Roman"/>
          <w:sz w:val="22"/>
          <w:szCs w:val="22"/>
        </w:rPr>
        <w:t xml:space="preserve">(5), R77–R86. </w:t>
      </w:r>
      <w:hyperlink r:id="rId15" w:tgtFrame="_new" w:history="1">
        <w:r w:rsidR="002B254A" w:rsidRPr="002B254A">
          <w:rPr>
            <w:rStyle w:val="Hiperveza"/>
            <w:rFonts w:ascii="Times New Roman" w:hAnsi="Times New Roman" w:cs="Times New Roman"/>
            <w:sz w:val="22"/>
            <w:szCs w:val="22"/>
          </w:rPr>
          <w:t>https://doi.org/10.1111/j.1750-3841.2007.00352.x</w:t>
        </w:r>
      </w:hyperlink>
    </w:p>
    <w:p w14:paraId="69865A09" w14:textId="41FDF4D1" w:rsidR="00DD6444" w:rsidRPr="002B254A" w:rsidRDefault="00E84D27" w:rsidP="00DD6444">
      <w:pPr>
        <w:jc w:val="both"/>
        <w:rPr>
          <w:rFonts w:ascii="Times New Roman" w:hAnsi="Times New Roman" w:cs="Times New Roman"/>
          <w:sz w:val="22"/>
          <w:szCs w:val="22"/>
        </w:rPr>
      </w:pPr>
      <w:r w:rsidRPr="002B254A">
        <w:rPr>
          <w:rFonts w:ascii="Times New Roman" w:hAnsi="Times New Roman" w:cs="Times New Roman"/>
          <w:sz w:val="22"/>
          <w:szCs w:val="22"/>
        </w:rPr>
        <w:t xml:space="preserve">[26] </w:t>
      </w:r>
      <w:r w:rsidR="00DD6444" w:rsidRPr="002B254A">
        <w:rPr>
          <w:rFonts w:ascii="Times New Roman" w:hAnsi="Times New Roman" w:cs="Times New Roman"/>
          <w:sz w:val="22"/>
          <w:szCs w:val="22"/>
        </w:rPr>
        <w:t xml:space="preserve">Gharby, S., Harhar, H., Guillaume, D., Haddad, A., Matthäus, B., &amp; Charrouf, Z. (2017). Oxidative stability of edible argan oil: A two-year study. </w:t>
      </w:r>
      <w:r w:rsidR="00DD6444" w:rsidRPr="002B254A">
        <w:rPr>
          <w:rFonts w:ascii="Times New Roman" w:hAnsi="Times New Roman" w:cs="Times New Roman"/>
          <w:i/>
          <w:iCs/>
          <w:sz w:val="22"/>
          <w:szCs w:val="22"/>
        </w:rPr>
        <w:t>LWT - Food Science and Technology, 75</w:t>
      </w:r>
      <w:r w:rsidR="00DD6444" w:rsidRPr="002B254A">
        <w:rPr>
          <w:rFonts w:ascii="Times New Roman" w:hAnsi="Times New Roman" w:cs="Times New Roman"/>
          <w:sz w:val="22"/>
          <w:szCs w:val="22"/>
        </w:rPr>
        <w:t xml:space="preserve">, 749–752. </w:t>
      </w:r>
      <w:hyperlink r:id="rId16" w:history="1">
        <w:r w:rsidRPr="002B254A">
          <w:rPr>
            <w:rStyle w:val="Hiperveza"/>
            <w:rFonts w:ascii="Times New Roman" w:hAnsi="Times New Roman" w:cs="Times New Roman"/>
            <w:sz w:val="22"/>
            <w:szCs w:val="22"/>
          </w:rPr>
          <w:t>https://doi.org/10.1016/j.lwt.2016.10.030</w:t>
        </w:r>
      </w:hyperlink>
    </w:p>
    <w:p w14:paraId="5D1664FE" w14:textId="77777777" w:rsidR="00E84D27" w:rsidRPr="002B254A" w:rsidRDefault="00E84D27" w:rsidP="00E84D27">
      <w:pPr>
        <w:jc w:val="both"/>
        <w:rPr>
          <w:rFonts w:ascii="Times New Roman" w:hAnsi="Times New Roman" w:cs="Times New Roman"/>
          <w:sz w:val="22"/>
          <w:szCs w:val="22"/>
        </w:rPr>
      </w:pPr>
      <w:r w:rsidRPr="002B254A">
        <w:rPr>
          <w:rFonts w:ascii="Times New Roman" w:hAnsi="Times New Roman" w:cs="Times New Roman"/>
          <w:sz w:val="22"/>
          <w:szCs w:val="22"/>
        </w:rPr>
        <w:t xml:space="preserve">[27] Dobarganes, M. C., &amp; Márquez-Ruiz, G. (2015). Formation and analysis of oxidized monomeric, dimeric and higher oligomeric triglycerides. In C. C. Akoh (Ed.), </w:t>
      </w:r>
      <w:r w:rsidRPr="002B254A">
        <w:rPr>
          <w:rFonts w:ascii="Times New Roman" w:hAnsi="Times New Roman" w:cs="Times New Roman"/>
          <w:i/>
          <w:iCs/>
          <w:sz w:val="22"/>
          <w:szCs w:val="22"/>
        </w:rPr>
        <w:t>Food Lipids: Chemistry, Nutrition, and Biotechnology</w:t>
      </w:r>
      <w:r w:rsidRPr="002B254A">
        <w:rPr>
          <w:rFonts w:ascii="Times New Roman" w:hAnsi="Times New Roman" w:cs="Times New Roman"/>
          <w:sz w:val="22"/>
          <w:szCs w:val="22"/>
        </w:rPr>
        <w:t xml:space="preserve"> (pp. 487–508). CRC Press.</w:t>
      </w:r>
    </w:p>
    <w:p w14:paraId="6238FA50" w14:textId="7214D8FD" w:rsidR="00DD6444" w:rsidRPr="002B254A" w:rsidRDefault="00E84D27" w:rsidP="00DD6444">
      <w:pPr>
        <w:jc w:val="both"/>
        <w:rPr>
          <w:rFonts w:ascii="Times New Roman" w:hAnsi="Times New Roman" w:cs="Times New Roman"/>
          <w:sz w:val="22"/>
          <w:szCs w:val="22"/>
        </w:rPr>
      </w:pPr>
      <w:r w:rsidRPr="002B254A">
        <w:rPr>
          <w:rFonts w:ascii="Times New Roman" w:hAnsi="Times New Roman" w:cs="Times New Roman"/>
          <w:sz w:val="22"/>
          <w:szCs w:val="22"/>
        </w:rPr>
        <w:t xml:space="preserve">[28] </w:t>
      </w:r>
      <w:r w:rsidR="00DD6444" w:rsidRPr="002B254A">
        <w:rPr>
          <w:rFonts w:ascii="Times New Roman" w:hAnsi="Times New Roman" w:cs="Times New Roman"/>
          <w:sz w:val="22"/>
          <w:szCs w:val="22"/>
        </w:rPr>
        <w:t xml:space="preserve">Marmesat, S., Morales, A., &amp; Velasco, J. (2012). The fingerprinting of frying vegetable oils by triacylglycerol profiling with HPLC–ELSD. </w:t>
      </w:r>
      <w:r w:rsidR="00DD6444" w:rsidRPr="002B254A">
        <w:rPr>
          <w:rFonts w:ascii="Times New Roman" w:hAnsi="Times New Roman" w:cs="Times New Roman"/>
          <w:i/>
          <w:iCs/>
          <w:sz w:val="22"/>
          <w:szCs w:val="22"/>
        </w:rPr>
        <w:t>Food Chemistry, 135</w:t>
      </w:r>
      <w:r w:rsidR="00DD6444" w:rsidRPr="002B254A">
        <w:rPr>
          <w:rFonts w:ascii="Times New Roman" w:hAnsi="Times New Roman" w:cs="Times New Roman"/>
          <w:sz w:val="22"/>
          <w:szCs w:val="22"/>
        </w:rPr>
        <w:t xml:space="preserve">(4), 2145–2153. </w:t>
      </w:r>
      <w:hyperlink r:id="rId17" w:history="1">
        <w:r w:rsidR="00C04436" w:rsidRPr="002B254A">
          <w:rPr>
            <w:rStyle w:val="Hiperveza"/>
            <w:rFonts w:ascii="Times New Roman" w:hAnsi="Times New Roman" w:cs="Times New Roman"/>
            <w:sz w:val="22"/>
            <w:szCs w:val="22"/>
          </w:rPr>
          <w:t>https://doi.org/10.1016/j.foodchem.2012.06.079</w:t>
        </w:r>
      </w:hyperlink>
    </w:p>
    <w:p w14:paraId="1FA98C16" w14:textId="77777777" w:rsidR="00DD6444" w:rsidRDefault="00DD6444" w:rsidP="00275610">
      <w:pPr>
        <w:jc w:val="both"/>
        <w:rPr>
          <w:rFonts w:ascii="Times New Roman" w:hAnsi="Times New Roman" w:cs="Times New Roman"/>
          <w:sz w:val="22"/>
          <w:szCs w:val="22"/>
          <w:lang w:val="en-GB"/>
        </w:rPr>
      </w:pPr>
    </w:p>
    <w:p w14:paraId="55425128" w14:textId="77777777" w:rsidR="00925799" w:rsidRDefault="00925799" w:rsidP="00925799">
      <w:pPr>
        <w:spacing w:after="0" w:line="240" w:lineRule="auto"/>
        <w:ind w:left="1134" w:right="1134" w:firstLine="567"/>
        <w:jc w:val="center"/>
        <w:rPr>
          <w:rFonts w:ascii="Times New Roman" w:hAnsi="Times New Roman" w:cs="Times New Roman"/>
          <w:b/>
          <w:bCs/>
          <w:sz w:val="28"/>
        </w:rPr>
      </w:pPr>
      <w:r w:rsidRPr="00925799">
        <w:rPr>
          <w:rFonts w:ascii="Times New Roman" w:hAnsi="Times New Roman" w:cs="Times New Roman"/>
          <w:b/>
          <w:bCs/>
          <w:sz w:val="28"/>
        </w:rPr>
        <w:lastRenderedPageBreak/>
        <w:t>ПРИМЈЕНА ЗЕОЛИТА 4А У РЕГЕНЕРАЦИЈИ СУНЦОКРЕТОВОГ УЉА НАКОН ТЕРМИЧКЕ ДЕГРАДАЦИЈЕ</w:t>
      </w:r>
    </w:p>
    <w:p w14:paraId="6F0C4D2C" w14:textId="77777777" w:rsidR="00925799" w:rsidRPr="00925799" w:rsidRDefault="00925799" w:rsidP="00925799">
      <w:pPr>
        <w:spacing w:after="0" w:line="240" w:lineRule="auto"/>
        <w:ind w:left="1134" w:right="1134" w:firstLine="567"/>
        <w:jc w:val="center"/>
        <w:rPr>
          <w:rFonts w:ascii="Times New Roman" w:hAnsi="Times New Roman" w:cs="Times New Roman"/>
          <w:b/>
          <w:bCs/>
          <w:sz w:val="28"/>
        </w:rPr>
      </w:pPr>
    </w:p>
    <w:p w14:paraId="13E713E2" w14:textId="77777777" w:rsidR="00925799" w:rsidRPr="00925799" w:rsidRDefault="00925799" w:rsidP="00925799">
      <w:pPr>
        <w:spacing w:after="0" w:line="240" w:lineRule="auto"/>
        <w:ind w:left="1134" w:right="1134" w:firstLine="567"/>
        <w:jc w:val="both"/>
        <w:rPr>
          <w:rFonts w:ascii="Times New Roman" w:hAnsi="Times New Roman" w:cs="Times New Roman"/>
          <w:sz w:val="20"/>
        </w:rPr>
      </w:pPr>
      <w:r>
        <w:rPr>
          <w:rFonts w:ascii="Times New Roman" w:hAnsi="Times New Roman"/>
          <w:b/>
          <w:sz w:val="20"/>
          <w:szCs w:val="20"/>
        </w:rPr>
        <w:t>Сажетак</w:t>
      </w:r>
      <w:r>
        <w:rPr>
          <w:rFonts w:ascii="Times New Roman" w:hAnsi="Times New Roman"/>
          <w:b/>
          <w:sz w:val="20"/>
          <w:szCs w:val="20"/>
          <w:lang w:val="sr-Latn-CS"/>
        </w:rPr>
        <w:t xml:space="preserve">: </w:t>
      </w:r>
      <w:r w:rsidRPr="00925799">
        <w:rPr>
          <w:rFonts w:ascii="Times New Roman" w:hAnsi="Times New Roman" w:cs="Times New Roman"/>
          <w:sz w:val="20"/>
        </w:rPr>
        <w:t>Јестива уља, а нарочито сунцокретово уље, имају значајну улогу у људској исхрани захваљујући високом садржају есенцијалних масних киселина и витамина растворљивих у мастима. Међутим, њихова подложност оксидацији и термичкој деградацији током термичке обраде и вишекратног загријавања доводи до смањења нутритивне вредности и формирања нежељених продуката деградације. У циљу очувања квалитета коришћеног уља, испитана је могућност регенерације сунцокретовог уља помоћу зеолита 4А, познатог по израженим адсорпционим својствима. Резултати су показали да загријавање уља доводи до повећања киселинског броја, раста садржаја влаге и испарљивих материја, као и пада сапонификационог броја, што указује на прогресивну деградацију уља. Примјена зеолита 4А, као адсорбенса, за регенерацију уља резултовала је значајним побољшањем квалитета уља, што се огледало у смањењу киселинског броја и садржаја влаге, док је вриједност сапонификационог броја остала стабилнија у поређењу са уљем прије третмана. Ови резултати потврђују високу ефикасност зеолита 4А у уклањању продуката деградације и указују на његов потенцијал за примјену у регенерацији јестивих уља. Закључује се да зеолит 4А представља ефикасан и лако доступан адсорбенс који може доприњети продужењу употребног вијека уља, очувању његових сензорских и нутритивних својстава, као и унапређењу безбедности хране. Добијени резултати пружају основу за даља истраживања у области регенерације јестивих уља примјеном зеолита и других адсорбенаса.</w:t>
      </w:r>
    </w:p>
    <w:p w14:paraId="515B2BF1" w14:textId="22F286BE" w:rsidR="00925799" w:rsidRPr="00CB4CED" w:rsidRDefault="00925799" w:rsidP="00925799">
      <w:pPr>
        <w:spacing w:after="0" w:line="240" w:lineRule="auto"/>
        <w:ind w:left="1134" w:right="1134" w:firstLine="567"/>
        <w:jc w:val="both"/>
        <w:rPr>
          <w:rFonts w:ascii="Times New Roman" w:hAnsi="Times New Roman" w:cs="Times New Roman"/>
          <w:sz w:val="22"/>
          <w:szCs w:val="22"/>
          <w:lang w:val="en-GB"/>
        </w:rPr>
      </w:pPr>
      <w:r w:rsidRPr="00925799">
        <w:rPr>
          <w:rFonts w:ascii="Times New Roman" w:hAnsi="Times New Roman" w:cs="Times New Roman"/>
          <w:b/>
          <w:bCs/>
          <w:sz w:val="20"/>
        </w:rPr>
        <w:t>Кључне речи</w:t>
      </w:r>
      <w:r w:rsidRPr="00925799">
        <w:rPr>
          <w:rFonts w:ascii="Times New Roman" w:hAnsi="Times New Roman" w:cs="Times New Roman"/>
          <w:sz w:val="20"/>
        </w:rPr>
        <w:t>: сунцокретово уље, термичка деградација, зеолит 4А, адсорпција, регенерација.</w:t>
      </w:r>
    </w:p>
    <w:sectPr w:rsidR="00925799" w:rsidRPr="00CB4CED" w:rsidSect="00C461B6">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EE"/>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77725"/>
    <w:multiLevelType w:val="hybridMultilevel"/>
    <w:tmpl w:val="350A2366"/>
    <w:lvl w:ilvl="0" w:tplc="041A0001">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 w15:restartNumberingAfterBreak="0">
    <w:nsid w:val="0F196C3B"/>
    <w:multiLevelType w:val="hybridMultilevel"/>
    <w:tmpl w:val="9A149DA6"/>
    <w:lvl w:ilvl="0" w:tplc="7BC6BB0E">
      <w:start w:val="3"/>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D8B1742"/>
    <w:multiLevelType w:val="hybridMultilevel"/>
    <w:tmpl w:val="FBCA3A74"/>
    <w:lvl w:ilvl="0" w:tplc="041A000B">
      <w:start w:val="1"/>
      <w:numFmt w:val="bullet"/>
      <w:lvlText w:val=""/>
      <w:lvlJc w:val="left"/>
      <w:pPr>
        <w:ind w:left="1428" w:hanging="360"/>
      </w:pPr>
      <w:rPr>
        <w:rFonts w:ascii="Wingdings" w:hAnsi="Wingdings"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3" w15:restartNumberingAfterBreak="0">
    <w:nsid w:val="439D0EF3"/>
    <w:multiLevelType w:val="hybridMultilevel"/>
    <w:tmpl w:val="BE30CFF0"/>
    <w:lvl w:ilvl="0" w:tplc="1A720C10">
      <w:start w:val="1"/>
      <w:numFmt w:val="decimal"/>
      <w:lvlText w:val="%1."/>
      <w:lvlJc w:val="left"/>
      <w:pPr>
        <w:ind w:left="720" w:hanging="360"/>
      </w:pPr>
      <w:rPr>
        <w:rFonts w:hint="default"/>
        <w:b w:val="0"/>
        <w:bCs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360928709">
    <w:abstractNumId w:val="3"/>
  </w:num>
  <w:num w:numId="2" w16cid:durableId="1861158092">
    <w:abstractNumId w:val="1"/>
  </w:num>
  <w:num w:numId="3" w16cid:durableId="932931697">
    <w:abstractNumId w:val="0"/>
  </w:num>
  <w:num w:numId="4" w16cid:durableId="17112992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D99"/>
    <w:rsid w:val="00017FDF"/>
    <w:rsid w:val="000300A0"/>
    <w:rsid w:val="000724D6"/>
    <w:rsid w:val="00086FE5"/>
    <w:rsid w:val="000A503C"/>
    <w:rsid w:val="000F01D7"/>
    <w:rsid w:val="000F227E"/>
    <w:rsid w:val="00175E7C"/>
    <w:rsid w:val="001B6270"/>
    <w:rsid w:val="001C4C60"/>
    <w:rsid w:val="00275610"/>
    <w:rsid w:val="002B254A"/>
    <w:rsid w:val="0030384C"/>
    <w:rsid w:val="00307DA4"/>
    <w:rsid w:val="00313C84"/>
    <w:rsid w:val="003968F6"/>
    <w:rsid w:val="003A175C"/>
    <w:rsid w:val="003A5479"/>
    <w:rsid w:val="003F134D"/>
    <w:rsid w:val="004445E4"/>
    <w:rsid w:val="004D22CD"/>
    <w:rsid w:val="004D2B85"/>
    <w:rsid w:val="004D3950"/>
    <w:rsid w:val="004F6739"/>
    <w:rsid w:val="00511BB3"/>
    <w:rsid w:val="0052028E"/>
    <w:rsid w:val="00524F8C"/>
    <w:rsid w:val="0053413D"/>
    <w:rsid w:val="00662EBC"/>
    <w:rsid w:val="00677F7A"/>
    <w:rsid w:val="0068693A"/>
    <w:rsid w:val="0070045E"/>
    <w:rsid w:val="00784E74"/>
    <w:rsid w:val="007F722D"/>
    <w:rsid w:val="00836528"/>
    <w:rsid w:val="00884A05"/>
    <w:rsid w:val="008E1FD5"/>
    <w:rsid w:val="00925799"/>
    <w:rsid w:val="009534BC"/>
    <w:rsid w:val="009D1601"/>
    <w:rsid w:val="009D1C54"/>
    <w:rsid w:val="009F0D5E"/>
    <w:rsid w:val="00A11616"/>
    <w:rsid w:val="00A40E9A"/>
    <w:rsid w:val="00A65F17"/>
    <w:rsid w:val="00A7749C"/>
    <w:rsid w:val="00A82B8D"/>
    <w:rsid w:val="00A92A24"/>
    <w:rsid w:val="00AC317E"/>
    <w:rsid w:val="00B60438"/>
    <w:rsid w:val="00BA14BE"/>
    <w:rsid w:val="00BC76F8"/>
    <w:rsid w:val="00BD0D8E"/>
    <w:rsid w:val="00BF2D99"/>
    <w:rsid w:val="00C04436"/>
    <w:rsid w:val="00C10366"/>
    <w:rsid w:val="00C227D5"/>
    <w:rsid w:val="00C324FE"/>
    <w:rsid w:val="00C42BA5"/>
    <w:rsid w:val="00C461B6"/>
    <w:rsid w:val="00CA5029"/>
    <w:rsid w:val="00CB311F"/>
    <w:rsid w:val="00CB4CED"/>
    <w:rsid w:val="00CC4C01"/>
    <w:rsid w:val="00CD22D7"/>
    <w:rsid w:val="00CF074F"/>
    <w:rsid w:val="00D34784"/>
    <w:rsid w:val="00D62EFF"/>
    <w:rsid w:val="00D87CB4"/>
    <w:rsid w:val="00D9570C"/>
    <w:rsid w:val="00DD6444"/>
    <w:rsid w:val="00E84D27"/>
    <w:rsid w:val="00E87BC0"/>
    <w:rsid w:val="00E96C48"/>
    <w:rsid w:val="00E972FD"/>
    <w:rsid w:val="00EF50DF"/>
    <w:rsid w:val="00F02437"/>
    <w:rsid w:val="00F22209"/>
    <w:rsid w:val="00F36CBD"/>
    <w:rsid w:val="00F40569"/>
    <w:rsid w:val="00F75147"/>
    <w:rsid w:val="00FE6B0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42015"/>
  <w15:chartTrackingRefBased/>
  <w15:docId w15:val="{B41C0006-D7FB-4C71-8AEE-EE2070F33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hr-H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BF2D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BF2D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BF2D99"/>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BF2D99"/>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BF2D99"/>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BF2D99"/>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BF2D99"/>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BF2D99"/>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BF2D99"/>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BF2D99"/>
    <w:rPr>
      <w:rFonts w:asciiTheme="majorHAnsi" w:eastAsiaTheme="majorEastAsia" w:hAnsiTheme="majorHAnsi" w:cstheme="majorBidi"/>
      <w:color w:val="0F4761" w:themeColor="accent1" w:themeShade="BF"/>
      <w:sz w:val="40"/>
      <w:szCs w:val="40"/>
    </w:rPr>
  </w:style>
  <w:style w:type="character" w:customStyle="1" w:styleId="Naslov2Char">
    <w:name w:val="Naslov 2 Char"/>
    <w:basedOn w:val="Zadanifontodlomka"/>
    <w:link w:val="Naslov2"/>
    <w:uiPriority w:val="9"/>
    <w:semiHidden/>
    <w:rsid w:val="00BF2D99"/>
    <w:rPr>
      <w:rFonts w:asciiTheme="majorHAnsi" w:eastAsiaTheme="majorEastAsia" w:hAnsiTheme="majorHAnsi" w:cstheme="majorBidi"/>
      <w:color w:val="0F4761" w:themeColor="accent1" w:themeShade="BF"/>
      <w:sz w:val="32"/>
      <w:szCs w:val="32"/>
    </w:rPr>
  </w:style>
  <w:style w:type="character" w:customStyle="1" w:styleId="Naslov3Char">
    <w:name w:val="Naslov 3 Char"/>
    <w:basedOn w:val="Zadanifontodlomka"/>
    <w:link w:val="Naslov3"/>
    <w:uiPriority w:val="9"/>
    <w:semiHidden/>
    <w:rsid w:val="00BF2D99"/>
    <w:rPr>
      <w:rFonts w:eastAsiaTheme="majorEastAsia" w:cstheme="majorBidi"/>
      <w:color w:val="0F4761" w:themeColor="accent1" w:themeShade="BF"/>
      <w:sz w:val="28"/>
      <w:szCs w:val="28"/>
    </w:rPr>
  </w:style>
  <w:style w:type="character" w:customStyle="1" w:styleId="Naslov4Char">
    <w:name w:val="Naslov 4 Char"/>
    <w:basedOn w:val="Zadanifontodlomka"/>
    <w:link w:val="Naslov4"/>
    <w:uiPriority w:val="9"/>
    <w:semiHidden/>
    <w:rsid w:val="00BF2D99"/>
    <w:rPr>
      <w:rFonts w:eastAsiaTheme="majorEastAsia" w:cstheme="majorBidi"/>
      <w:i/>
      <w:iCs/>
      <w:color w:val="0F4761" w:themeColor="accent1" w:themeShade="BF"/>
    </w:rPr>
  </w:style>
  <w:style w:type="character" w:customStyle="1" w:styleId="Naslov5Char">
    <w:name w:val="Naslov 5 Char"/>
    <w:basedOn w:val="Zadanifontodlomka"/>
    <w:link w:val="Naslov5"/>
    <w:uiPriority w:val="9"/>
    <w:semiHidden/>
    <w:rsid w:val="00BF2D99"/>
    <w:rPr>
      <w:rFonts w:eastAsiaTheme="majorEastAsia" w:cstheme="majorBidi"/>
      <w:color w:val="0F4761" w:themeColor="accent1" w:themeShade="BF"/>
    </w:rPr>
  </w:style>
  <w:style w:type="character" w:customStyle="1" w:styleId="Naslov6Char">
    <w:name w:val="Naslov 6 Char"/>
    <w:basedOn w:val="Zadanifontodlomka"/>
    <w:link w:val="Naslov6"/>
    <w:uiPriority w:val="9"/>
    <w:semiHidden/>
    <w:rsid w:val="00BF2D99"/>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BF2D99"/>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BF2D99"/>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BF2D99"/>
    <w:rPr>
      <w:rFonts w:eastAsiaTheme="majorEastAsia" w:cstheme="majorBidi"/>
      <w:color w:val="272727" w:themeColor="text1" w:themeTint="D8"/>
    </w:rPr>
  </w:style>
  <w:style w:type="paragraph" w:styleId="Naslov">
    <w:name w:val="Title"/>
    <w:basedOn w:val="Normal"/>
    <w:next w:val="Normal"/>
    <w:link w:val="NaslovChar"/>
    <w:uiPriority w:val="10"/>
    <w:qFormat/>
    <w:rsid w:val="00BF2D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BF2D99"/>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BF2D99"/>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BF2D99"/>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BF2D99"/>
    <w:pPr>
      <w:spacing w:before="160"/>
      <w:jc w:val="center"/>
    </w:pPr>
    <w:rPr>
      <w:i/>
      <w:iCs/>
      <w:color w:val="404040" w:themeColor="text1" w:themeTint="BF"/>
    </w:rPr>
  </w:style>
  <w:style w:type="character" w:customStyle="1" w:styleId="CitatChar">
    <w:name w:val="Citat Char"/>
    <w:basedOn w:val="Zadanifontodlomka"/>
    <w:link w:val="Citat"/>
    <w:uiPriority w:val="29"/>
    <w:rsid w:val="00BF2D99"/>
    <w:rPr>
      <w:i/>
      <w:iCs/>
      <w:color w:val="404040" w:themeColor="text1" w:themeTint="BF"/>
    </w:rPr>
  </w:style>
  <w:style w:type="paragraph" w:styleId="Odlomakpopisa">
    <w:name w:val="List Paragraph"/>
    <w:basedOn w:val="Normal"/>
    <w:uiPriority w:val="34"/>
    <w:qFormat/>
    <w:rsid w:val="00BF2D99"/>
    <w:pPr>
      <w:ind w:left="720"/>
      <w:contextualSpacing/>
    </w:pPr>
  </w:style>
  <w:style w:type="character" w:styleId="Jakoisticanje">
    <w:name w:val="Intense Emphasis"/>
    <w:basedOn w:val="Zadanifontodlomka"/>
    <w:uiPriority w:val="21"/>
    <w:qFormat/>
    <w:rsid w:val="00BF2D99"/>
    <w:rPr>
      <w:i/>
      <w:iCs/>
      <w:color w:val="0F4761" w:themeColor="accent1" w:themeShade="BF"/>
    </w:rPr>
  </w:style>
  <w:style w:type="paragraph" w:styleId="Naglaencitat">
    <w:name w:val="Intense Quote"/>
    <w:basedOn w:val="Normal"/>
    <w:next w:val="Normal"/>
    <w:link w:val="NaglaencitatChar"/>
    <w:uiPriority w:val="30"/>
    <w:qFormat/>
    <w:rsid w:val="00BF2D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BF2D99"/>
    <w:rPr>
      <w:i/>
      <w:iCs/>
      <w:color w:val="0F4761" w:themeColor="accent1" w:themeShade="BF"/>
    </w:rPr>
  </w:style>
  <w:style w:type="character" w:styleId="Istaknutareferenca">
    <w:name w:val="Intense Reference"/>
    <w:basedOn w:val="Zadanifontodlomka"/>
    <w:uiPriority w:val="32"/>
    <w:qFormat/>
    <w:rsid w:val="00BF2D99"/>
    <w:rPr>
      <w:b/>
      <w:bCs/>
      <w:smallCaps/>
      <w:color w:val="0F4761" w:themeColor="accent1" w:themeShade="BF"/>
      <w:spacing w:val="5"/>
    </w:rPr>
  </w:style>
  <w:style w:type="table" w:styleId="Reetkatablice">
    <w:name w:val="Table Grid"/>
    <w:basedOn w:val="Obinatablica"/>
    <w:uiPriority w:val="39"/>
    <w:rsid w:val="00677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eza">
    <w:name w:val="Hyperlink"/>
    <w:basedOn w:val="Zadanifontodlomka"/>
    <w:uiPriority w:val="99"/>
    <w:unhideWhenUsed/>
    <w:rsid w:val="00C04436"/>
    <w:rPr>
      <w:color w:val="467886" w:themeColor="hyperlink"/>
      <w:u w:val="single"/>
    </w:rPr>
  </w:style>
  <w:style w:type="character" w:styleId="Nerijeenospominjanje">
    <w:name w:val="Unresolved Mention"/>
    <w:basedOn w:val="Zadanifontodlomka"/>
    <w:uiPriority w:val="99"/>
    <w:semiHidden/>
    <w:unhideWhenUsed/>
    <w:rsid w:val="00C04436"/>
    <w:rPr>
      <w:color w:val="605E5C"/>
      <w:shd w:val="clear" w:color="auto" w:fill="E1DFDD"/>
    </w:rPr>
  </w:style>
  <w:style w:type="table" w:styleId="Tablicareetke3-isticanje4">
    <w:name w:val="Grid Table 3 Accent 4"/>
    <w:basedOn w:val="Obinatablica"/>
    <w:uiPriority w:val="48"/>
    <w:rsid w:val="00D34784"/>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Svijetlatablicapopisa1-isticanje1">
    <w:name w:val="List Table 1 Light Accent 1"/>
    <w:basedOn w:val="Obinatablica"/>
    <w:uiPriority w:val="46"/>
    <w:rsid w:val="00D34784"/>
    <w:pPr>
      <w:spacing w:after="0" w:line="240" w:lineRule="auto"/>
    </w:pPr>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StandardWeb">
    <w:name w:val="Normal (Web)"/>
    <w:basedOn w:val="Normal"/>
    <w:uiPriority w:val="99"/>
    <w:semiHidden/>
    <w:unhideWhenUsed/>
    <w:rsid w:val="009F0D5E"/>
    <w:rPr>
      <w:rFonts w:ascii="Times New Roman" w:hAnsi="Times New Roman" w:cs="Times New Roman"/>
    </w:rPr>
  </w:style>
  <w:style w:type="character" w:styleId="SlijeenaHiperveza">
    <w:name w:val="FollowedHyperlink"/>
    <w:basedOn w:val="Zadanifontodlomka"/>
    <w:uiPriority w:val="99"/>
    <w:semiHidden/>
    <w:unhideWhenUsed/>
    <w:rsid w:val="002B254A"/>
    <w:rPr>
      <w:color w:val="96607D" w:themeColor="followedHyperlink"/>
      <w:u w:val="single"/>
    </w:rPr>
  </w:style>
  <w:style w:type="paragraph" w:styleId="HTMLunaprijedoblikovano">
    <w:name w:val="HTML Preformatted"/>
    <w:basedOn w:val="Normal"/>
    <w:link w:val="HTMLunaprijedoblikovanoChar"/>
    <w:uiPriority w:val="99"/>
    <w:semiHidden/>
    <w:unhideWhenUsed/>
    <w:rsid w:val="0068693A"/>
    <w:pPr>
      <w:spacing w:after="0" w:line="240" w:lineRule="auto"/>
    </w:pPr>
    <w:rPr>
      <w:rFonts w:ascii="Consolas" w:hAnsi="Consolas"/>
      <w:sz w:val="20"/>
      <w:szCs w:val="20"/>
    </w:rPr>
  </w:style>
  <w:style w:type="character" w:customStyle="1" w:styleId="HTMLunaprijedoblikovanoChar">
    <w:name w:val="HTML unaprijed oblikovano Char"/>
    <w:basedOn w:val="Zadanifontodlomka"/>
    <w:link w:val="HTMLunaprijedoblikovano"/>
    <w:uiPriority w:val="99"/>
    <w:semiHidden/>
    <w:rsid w:val="0068693A"/>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480346">
      <w:bodyDiv w:val="1"/>
      <w:marLeft w:val="0"/>
      <w:marRight w:val="0"/>
      <w:marTop w:val="0"/>
      <w:marBottom w:val="0"/>
      <w:divBdr>
        <w:top w:val="none" w:sz="0" w:space="0" w:color="auto"/>
        <w:left w:val="none" w:sz="0" w:space="0" w:color="auto"/>
        <w:bottom w:val="none" w:sz="0" w:space="0" w:color="auto"/>
        <w:right w:val="none" w:sz="0" w:space="0" w:color="auto"/>
      </w:divBdr>
    </w:div>
    <w:div w:id="79644679">
      <w:bodyDiv w:val="1"/>
      <w:marLeft w:val="0"/>
      <w:marRight w:val="0"/>
      <w:marTop w:val="0"/>
      <w:marBottom w:val="0"/>
      <w:divBdr>
        <w:top w:val="none" w:sz="0" w:space="0" w:color="auto"/>
        <w:left w:val="none" w:sz="0" w:space="0" w:color="auto"/>
        <w:bottom w:val="none" w:sz="0" w:space="0" w:color="auto"/>
        <w:right w:val="none" w:sz="0" w:space="0" w:color="auto"/>
      </w:divBdr>
    </w:div>
    <w:div w:id="110051308">
      <w:bodyDiv w:val="1"/>
      <w:marLeft w:val="0"/>
      <w:marRight w:val="0"/>
      <w:marTop w:val="0"/>
      <w:marBottom w:val="0"/>
      <w:divBdr>
        <w:top w:val="none" w:sz="0" w:space="0" w:color="auto"/>
        <w:left w:val="none" w:sz="0" w:space="0" w:color="auto"/>
        <w:bottom w:val="none" w:sz="0" w:space="0" w:color="auto"/>
        <w:right w:val="none" w:sz="0" w:space="0" w:color="auto"/>
      </w:divBdr>
    </w:div>
    <w:div w:id="135683521">
      <w:bodyDiv w:val="1"/>
      <w:marLeft w:val="0"/>
      <w:marRight w:val="0"/>
      <w:marTop w:val="0"/>
      <w:marBottom w:val="0"/>
      <w:divBdr>
        <w:top w:val="none" w:sz="0" w:space="0" w:color="auto"/>
        <w:left w:val="none" w:sz="0" w:space="0" w:color="auto"/>
        <w:bottom w:val="none" w:sz="0" w:space="0" w:color="auto"/>
        <w:right w:val="none" w:sz="0" w:space="0" w:color="auto"/>
      </w:divBdr>
    </w:div>
    <w:div w:id="203955558">
      <w:bodyDiv w:val="1"/>
      <w:marLeft w:val="0"/>
      <w:marRight w:val="0"/>
      <w:marTop w:val="0"/>
      <w:marBottom w:val="0"/>
      <w:divBdr>
        <w:top w:val="none" w:sz="0" w:space="0" w:color="auto"/>
        <w:left w:val="none" w:sz="0" w:space="0" w:color="auto"/>
        <w:bottom w:val="none" w:sz="0" w:space="0" w:color="auto"/>
        <w:right w:val="none" w:sz="0" w:space="0" w:color="auto"/>
      </w:divBdr>
    </w:div>
    <w:div w:id="332687655">
      <w:bodyDiv w:val="1"/>
      <w:marLeft w:val="0"/>
      <w:marRight w:val="0"/>
      <w:marTop w:val="0"/>
      <w:marBottom w:val="0"/>
      <w:divBdr>
        <w:top w:val="none" w:sz="0" w:space="0" w:color="auto"/>
        <w:left w:val="none" w:sz="0" w:space="0" w:color="auto"/>
        <w:bottom w:val="none" w:sz="0" w:space="0" w:color="auto"/>
        <w:right w:val="none" w:sz="0" w:space="0" w:color="auto"/>
      </w:divBdr>
    </w:div>
    <w:div w:id="343089701">
      <w:bodyDiv w:val="1"/>
      <w:marLeft w:val="0"/>
      <w:marRight w:val="0"/>
      <w:marTop w:val="0"/>
      <w:marBottom w:val="0"/>
      <w:divBdr>
        <w:top w:val="none" w:sz="0" w:space="0" w:color="auto"/>
        <w:left w:val="none" w:sz="0" w:space="0" w:color="auto"/>
        <w:bottom w:val="none" w:sz="0" w:space="0" w:color="auto"/>
        <w:right w:val="none" w:sz="0" w:space="0" w:color="auto"/>
      </w:divBdr>
    </w:div>
    <w:div w:id="351422049">
      <w:bodyDiv w:val="1"/>
      <w:marLeft w:val="0"/>
      <w:marRight w:val="0"/>
      <w:marTop w:val="0"/>
      <w:marBottom w:val="0"/>
      <w:divBdr>
        <w:top w:val="none" w:sz="0" w:space="0" w:color="auto"/>
        <w:left w:val="none" w:sz="0" w:space="0" w:color="auto"/>
        <w:bottom w:val="none" w:sz="0" w:space="0" w:color="auto"/>
        <w:right w:val="none" w:sz="0" w:space="0" w:color="auto"/>
      </w:divBdr>
    </w:div>
    <w:div w:id="379670345">
      <w:bodyDiv w:val="1"/>
      <w:marLeft w:val="0"/>
      <w:marRight w:val="0"/>
      <w:marTop w:val="0"/>
      <w:marBottom w:val="0"/>
      <w:divBdr>
        <w:top w:val="none" w:sz="0" w:space="0" w:color="auto"/>
        <w:left w:val="none" w:sz="0" w:space="0" w:color="auto"/>
        <w:bottom w:val="none" w:sz="0" w:space="0" w:color="auto"/>
        <w:right w:val="none" w:sz="0" w:space="0" w:color="auto"/>
      </w:divBdr>
    </w:div>
    <w:div w:id="451288960">
      <w:bodyDiv w:val="1"/>
      <w:marLeft w:val="0"/>
      <w:marRight w:val="0"/>
      <w:marTop w:val="0"/>
      <w:marBottom w:val="0"/>
      <w:divBdr>
        <w:top w:val="none" w:sz="0" w:space="0" w:color="auto"/>
        <w:left w:val="none" w:sz="0" w:space="0" w:color="auto"/>
        <w:bottom w:val="none" w:sz="0" w:space="0" w:color="auto"/>
        <w:right w:val="none" w:sz="0" w:space="0" w:color="auto"/>
      </w:divBdr>
    </w:div>
    <w:div w:id="595407109">
      <w:bodyDiv w:val="1"/>
      <w:marLeft w:val="0"/>
      <w:marRight w:val="0"/>
      <w:marTop w:val="0"/>
      <w:marBottom w:val="0"/>
      <w:divBdr>
        <w:top w:val="none" w:sz="0" w:space="0" w:color="auto"/>
        <w:left w:val="none" w:sz="0" w:space="0" w:color="auto"/>
        <w:bottom w:val="none" w:sz="0" w:space="0" w:color="auto"/>
        <w:right w:val="none" w:sz="0" w:space="0" w:color="auto"/>
      </w:divBdr>
    </w:div>
    <w:div w:id="673191745">
      <w:bodyDiv w:val="1"/>
      <w:marLeft w:val="0"/>
      <w:marRight w:val="0"/>
      <w:marTop w:val="0"/>
      <w:marBottom w:val="0"/>
      <w:divBdr>
        <w:top w:val="none" w:sz="0" w:space="0" w:color="auto"/>
        <w:left w:val="none" w:sz="0" w:space="0" w:color="auto"/>
        <w:bottom w:val="none" w:sz="0" w:space="0" w:color="auto"/>
        <w:right w:val="none" w:sz="0" w:space="0" w:color="auto"/>
      </w:divBdr>
    </w:div>
    <w:div w:id="709646606">
      <w:bodyDiv w:val="1"/>
      <w:marLeft w:val="0"/>
      <w:marRight w:val="0"/>
      <w:marTop w:val="0"/>
      <w:marBottom w:val="0"/>
      <w:divBdr>
        <w:top w:val="none" w:sz="0" w:space="0" w:color="auto"/>
        <w:left w:val="none" w:sz="0" w:space="0" w:color="auto"/>
        <w:bottom w:val="none" w:sz="0" w:space="0" w:color="auto"/>
        <w:right w:val="none" w:sz="0" w:space="0" w:color="auto"/>
      </w:divBdr>
    </w:div>
    <w:div w:id="812018905">
      <w:bodyDiv w:val="1"/>
      <w:marLeft w:val="0"/>
      <w:marRight w:val="0"/>
      <w:marTop w:val="0"/>
      <w:marBottom w:val="0"/>
      <w:divBdr>
        <w:top w:val="none" w:sz="0" w:space="0" w:color="auto"/>
        <w:left w:val="none" w:sz="0" w:space="0" w:color="auto"/>
        <w:bottom w:val="none" w:sz="0" w:space="0" w:color="auto"/>
        <w:right w:val="none" w:sz="0" w:space="0" w:color="auto"/>
      </w:divBdr>
    </w:div>
    <w:div w:id="938484588">
      <w:bodyDiv w:val="1"/>
      <w:marLeft w:val="0"/>
      <w:marRight w:val="0"/>
      <w:marTop w:val="0"/>
      <w:marBottom w:val="0"/>
      <w:divBdr>
        <w:top w:val="none" w:sz="0" w:space="0" w:color="auto"/>
        <w:left w:val="none" w:sz="0" w:space="0" w:color="auto"/>
        <w:bottom w:val="none" w:sz="0" w:space="0" w:color="auto"/>
        <w:right w:val="none" w:sz="0" w:space="0" w:color="auto"/>
      </w:divBdr>
    </w:div>
    <w:div w:id="942539720">
      <w:bodyDiv w:val="1"/>
      <w:marLeft w:val="0"/>
      <w:marRight w:val="0"/>
      <w:marTop w:val="0"/>
      <w:marBottom w:val="0"/>
      <w:divBdr>
        <w:top w:val="none" w:sz="0" w:space="0" w:color="auto"/>
        <w:left w:val="none" w:sz="0" w:space="0" w:color="auto"/>
        <w:bottom w:val="none" w:sz="0" w:space="0" w:color="auto"/>
        <w:right w:val="none" w:sz="0" w:space="0" w:color="auto"/>
      </w:divBdr>
    </w:div>
    <w:div w:id="997808740">
      <w:bodyDiv w:val="1"/>
      <w:marLeft w:val="0"/>
      <w:marRight w:val="0"/>
      <w:marTop w:val="0"/>
      <w:marBottom w:val="0"/>
      <w:divBdr>
        <w:top w:val="none" w:sz="0" w:space="0" w:color="auto"/>
        <w:left w:val="none" w:sz="0" w:space="0" w:color="auto"/>
        <w:bottom w:val="none" w:sz="0" w:space="0" w:color="auto"/>
        <w:right w:val="none" w:sz="0" w:space="0" w:color="auto"/>
      </w:divBdr>
    </w:div>
    <w:div w:id="1011614040">
      <w:bodyDiv w:val="1"/>
      <w:marLeft w:val="0"/>
      <w:marRight w:val="0"/>
      <w:marTop w:val="0"/>
      <w:marBottom w:val="0"/>
      <w:divBdr>
        <w:top w:val="none" w:sz="0" w:space="0" w:color="auto"/>
        <w:left w:val="none" w:sz="0" w:space="0" w:color="auto"/>
        <w:bottom w:val="none" w:sz="0" w:space="0" w:color="auto"/>
        <w:right w:val="none" w:sz="0" w:space="0" w:color="auto"/>
      </w:divBdr>
    </w:div>
    <w:div w:id="1114328763">
      <w:bodyDiv w:val="1"/>
      <w:marLeft w:val="0"/>
      <w:marRight w:val="0"/>
      <w:marTop w:val="0"/>
      <w:marBottom w:val="0"/>
      <w:divBdr>
        <w:top w:val="none" w:sz="0" w:space="0" w:color="auto"/>
        <w:left w:val="none" w:sz="0" w:space="0" w:color="auto"/>
        <w:bottom w:val="none" w:sz="0" w:space="0" w:color="auto"/>
        <w:right w:val="none" w:sz="0" w:space="0" w:color="auto"/>
      </w:divBdr>
      <w:divsChild>
        <w:div w:id="1939558991">
          <w:marLeft w:val="0"/>
          <w:marRight w:val="0"/>
          <w:marTop w:val="0"/>
          <w:marBottom w:val="0"/>
          <w:divBdr>
            <w:top w:val="none" w:sz="0" w:space="0" w:color="auto"/>
            <w:left w:val="none" w:sz="0" w:space="0" w:color="auto"/>
            <w:bottom w:val="none" w:sz="0" w:space="0" w:color="auto"/>
            <w:right w:val="none" w:sz="0" w:space="0" w:color="auto"/>
          </w:divBdr>
          <w:divsChild>
            <w:div w:id="114878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817275">
      <w:bodyDiv w:val="1"/>
      <w:marLeft w:val="0"/>
      <w:marRight w:val="0"/>
      <w:marTop w:val="0"/>
      <w:marBottom w:val="0"/>
      <w:divBdr>
        <w:top w:val="none" w:sz="0" w:space="0" w:color="auto"/>
        <w:left w:val="none" w:sz="0" w:space="0" w:color="auto"/>
        <w:bottom w:val="none" w:sz="0" w:space="0" w:color="auto"/>
        <w:right w:val="none" w:sz="0" w:space="0" w:color="auto"/>
      </w:divBdr>
    </w:div>
    <w:div w:id="1241065305">
      <w:bodyDiv w:val="1"/>
      <w:marLeft w:val="0"/>
      <w:marRight w:val="0"/>
      <w:marTop w:val="0"/>
      <w:marBottom w:val="0"/>
      <w:divBdr>
        <w:top w:val="none" w:sz="0" w:space="0" w:color="auto"/>
        <w:left w:val="none" w:sz="0" w:space="0" w:color="auto"/>
        <w:bottom w:val="none" w:sz="0" w:space="0" w:color="auto"/>
        <w:right w:val="none" w:sz="0" w:space="0" w:color="auto"/>
      </w:divBdr>
    </w:div>
    <w:div w:id="1273325621">
      <w:bodyDiv w:val="1"/>
      <w:marLeft w:val="0"/>
      <w:marRight w:val="0"/>
      <w:marTop w:val="0"/>
      <w:marBottom w:val="0"/>
      <w:divBdr>
        <w:top w:val="none" w:sz="0" w:space="0" w:color="auto"/>
        <w:left w:val="none" w:sz="0" w:space="0" w:color="auto"/>
        <w:bottom w:val="none" w:sz="0" w:space="0" w:color="auto"/>
        <w:right w:val="none" w:sz="0" w:space="0" w:color="auto"/>
      </w:divBdr>
    </w:div>
    <w:div w:id="1288003424">
      <w:bodyDiv w:val="1"/>
      <w:marLeft w:val="0"/>
      <w:marRight w:val="0"/>
      <w:marTop w:val="0"/>
      <w:marBottom w:val="0"/>
      <w:divBdr>
        <w:top w:val="none" w:sz="0" w:space="0" w:color="auto"/>
        <w:left w:val="none" w:sz="0" w:space="0" w:color="auto"/>
        <w:bottom w:val="none" w:sz="0" w:space="0" w:color="auto"/>
        <w:right w:val="none" w:sz="0" w:space="0" w:color="auto"/>
      </w:divBdr>
    </w:div>
    <w:div w:id="1333293720">
      <w:bodyDiv w:val="1"/>
      <w:marLeft w:val="0"/>
      <w:marRight w:val="0"/>
      <w:marTop w:val="0"/>
      <w:marBottom w:val="0"/>
      <w:divBdr>
        <w:top w:val="none" w:sz="0" w:space="0" w:color="auto"/>
        <w:left w:val="none" w:sz="0" w:space="0" w:color="auto"/>
        <w:bottom w:val="none" w:sz="0" w:space="0" w:color="auto"/>
        <w:right w:val="none" w:sz="0" w:space="0" w:color="auto"/>
      </w:divBdr>
    </w:div>
    <w:div w:id="1401320515">
      <w:bodyDiv w:val="1"/>
      <w:marLeft w:val="0"/>
      <w:marRight w:val="0"/>
      <w:marTop w:val="0"/>
      <w:marBottom w:val="0"/>
      <w:divBdr>
        <w:top w:val="none" w:sz="0" w:space="0" w:color="auto"/>
        <w:left w:val="none" w:sz="0" w:space="0" w:color="auto"/>
        <w:bottom w:val="none" w:sz="0" w:space="0" w:color="auto"/>
        <w:right w:val="none" w:sz="0" w:space="0" w:color="auto"/>
      </w:divBdr>
    </w:div>
    <w:div w:id="1527525710">
      <w:bodyDiv w:val="1"/>
      <w:marLeft w:val="0"/>
      <w:marRight w:val="0"/>
      <w:marTop w:val="0"/>
      <w:marBottom w:val="0"/>
      <w:divBdr>
        <w:top w:val="none" w:sz="0" w:space="0" w:color="auto"/>
        <w:left w:val="none" w:sz="0" w:space="0" w:color="auto"/>
        <w:bottom w:val="none" w:sz="0" w:space="0" w:color="auto"/>
        <w:right w:val="none" w:sz="0" w:space="0" w:color="auto"/>
      </w:divBdr>
      <w:divsChild>
        <w:div w:id="2102409751">
          <w:marLeft w:val="0"/>
          <w:marRight w:val="0"/>
          <w:marTop w:val="0"/>
          <w:marBottom w:val="0"/>
          <w:divBdr>
            <w:top w:val="none" w:sz="0" w:space="0" w:color="auto"/>
            <w:left w:val="none" w:sz="0" w:space="0" w:color="auto"/>
            <w:bottom w:val="none" w:sz="0" w:space="0" w:color="auto"/>
            <w:right w:val="none" w:sz="0" w:space="0" w:color="auto"/>
          </w:divBdr>
          <w:divsChild>
            <w:div w:id="66513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581820">
      <w:bodyDiv w:val="1"/>
      <w:marLeft w:val="0"/>
      <w:marRight w:val="0"/>
      <w:marTop w:val="0"/>
      <w:marBottom w:val="0"/>
      <w:divBdr>
        <w:top w:val="none" w:sz="0" w:space="0" w:color="auto"/>
        <w:left w:val="none" w:sz="0" w:space="0" w:color="auto"/>
        <w:bottom w:val="none" w:sz="0" w:space="0" w:color="auto"/>
        <w:right w:val="none" w:sz="0" w:space="0" w:color="auto"/>
      </w:divBdr>
    </w:div>
    <w:div w:id="1580943301">
      <w:bodyDiv w:val="1"/>
      <w:marLeft w:val="0"/>
      <w:marRight w:val="0"/>
      <w:marTop w:val="0"/>
      <w:marBottom w:val="0"/>
      <w:divBdr>
        <w:top w:val="none" w:sz="0" w:space="0" w:color="auto"/>
        <w:left w:val="none" w:sz="0" w:space="0" w:color="auto"/>
        <w:bottom w:val="none" w:sz="0" w:space="0" w:color="auto"/>
        <w:right w:val="none" w:sz="0" w:space="0" w:color="auto"/>
      </w:divBdr>
    </w:div>
    <w:div w:id="1617055934">
      <w:bodyDiv w:val="1"/>
      <w:marLeft w:val="0"/>
      <w:marRight w:val="0"/>
      <w:marTop w:val="0"/>
      <w:marBottom w:val="0"/>
      <w:divBdr>
        <w:top w:val="none" w:sz="0" w:space="0" w:color="auto"/>
        <w:left w:val="none" w:sz="0" w:space="0" w:color="auto"/>
        <w:bottom w:val="none" w:sz="0" w:space="0" w:color="auto"/>
        <w:right w:val="none" w:sz="0" w:space="0" w:color="auto"/>
      </w:divBdr>
    </w:div>
    <w:div w:id="1678733389">
      <w:bodyDiv w:val="1"/>
      <w:marLeft w:val="0"/>
      <w:marRight w:val="0"/>
      <w:marTop w:val="0"/>
      <w:marBottom w:val="0"/>
      <w:divBdr>
        <w:top w:val="none" w:sz="0" w:space="0" w:color="auto"/>
        <w:left w:val="none" w:sz="0" w:space="0" w:color="auto"/>
        <w:bottom w:val="none" w:sz="0" w:space="0" w:color="auto"/>
        <w:right w:val="none" w:sz="0" w:space="0" w:color="auto"/>
      </w:divBdr>
    </w:div>
    <w:div w:id="1803304193">
      <w:bodyDiv w:val="1"/>
      <w:marLeft w:val="0"/>
      <w:marRight w:val="0"/>
      <w:marTop w:val="0"/>
      <w:marBottom w:val="0"/>
      <w:divBdr>
        <w:top w:val="none" w:sz="0" w:space="0" w:color="auto"/>
        <w:left w:val="none" w:sz="0" w:space="0" w:color="auto"/>
        <w:bottom w:val="none" w:sz="0" w:space="0" w:color="auto"/>
        <w:right w:val="none" w:sz="0" w:space="0" w:color="auto"/>
      </w:divBdr>
    </w:div>
    <w:div w:id="1826319324">
      <w:bodyDiv w:val="1"/>
      <w:marLeft w:val="0"/>
      <w:marRight w:val="0"/>
      <w:marTop w:val="0"/>
      <w:marBottom w:val="0"/>
      <w:divBdr>
        <w:top w:val="none" w:sz="0" w:space="0" w:color="auto"/>
        <w:left w:val="none" w:sz="0" w:space="0" w:color="auto"/>
        <w:bottom w:val="none" w:sz="0" w:space="0" w:color="auto"/>
        <w:right w:val="none" w:sz="0" w:space="0" w:color="auto"/>
      </w:divBdr>
    </w:div>
    <w:div w:id="1857814540">
      <w:bodyDiv w:val="1"/>
      <w:marLeft w:val="0"/>
      <w:marRight w:val="0"/>
      <w:marTop w:val="0"/>
      <w:marBottom w:val="0"/>
      <w:divBdr>
        <w:top w:val="none" w:sz="0" w:space="0" w:color="auto"/>
        <w:left w:val="none" w:sz="0" w:space="0" w:color="auto"/>
        <w:bottom w:val="none" w:sz="0" w:space="0" w:color="auto"/>
        <w:right w:val="none" w:sz="0" w:space="0" w:color="auto"/>
      </w:divBdr>
    </w:div>
    <w:div w:id="1927491571">
      <w:bodyDiv w:val="1"/>
      <w:marLeft w:val="0"/>
      <w:marRight w:val="0"/>
      <w:marTop w:val="0"/>
      <w:marBottom w:val="0"/>
      <w:divBdr>
        <w:top w:val="none" w:sz="0" w:space="0" w:color="auto"/>
        <w:left w:val="none" w:sz="0" w:space="0" w:color="auto"/>
        <w:bottom w:val="none" w:sz="0" w:space="0" w:color="auto"/>
        <w:right w:val="none" w:sz="0" w:space="0" w:color="auto"/>
      </w:divBdr>
    </w:div>
    <w:div w:id="1949894716">
      <w:bodyDiv w:val="1"/>
      <w:marLeft w:val="0"/>
      <w:marRight w:val="0"/>
      <w:marTop w:val="0"/>
      <w:marBottom w:val="0"/>
      <w:divBdr>
        <w:top w:val="none" w:sz="0" w:space="0" w:color="auto"/>
        <w:left w:val="none" w:sz="0" w:space="0" w:color="auto"/>
        <w:bottom w:val="none" w:sz="0" w:space="0" w:color="auto"/>
        <w:right w:val="none" w:sz="0" w:space="0" w:color="auto"/>
      </w:divBdr>
    </w:div>
    <w:div w:id="2036298171">
      <w:bodyDiv w:val="1"/>
      <w:marLeft w:val="0"/>
      <w:marRight w:val="0"/>
      <w:marTop w:val="0"/>
      <w:marBottom w:val="0"/>
      <w:divBdr>
        <w:top w:val="none" w:sz="0" w:space="0" w:color="auto"/>
        <w:left w:val="none" w:sz="0" w:space="0" w:color="auto"/>
        <w:bottom w:val="none" w:sz="0" w:space="0" w:color="auto"/>
        <w:right w:val="none" w:sz="0" w:space="0" w:color="auto"/>
      </w:divBdr>
    </w:div>
    <w:div w:id="2106073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foods_2020%2007748" TargetMode="External"/><Relationship Id="rId13" Type="http://schemas.openxmlformats.org/officeDocument/2006/relationships/hyperlink" Target="https://doi.org/10.3390/ma1517610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gaost.2022.11.004" TargetMode="External"/><Relationship Id="rId12" Type="http://schemas.openxmlformats.org/officeDocument/2006/relationships/hyperlink" Target="https://doi.org/10.7251/jepm1901024d" TargetMode="External"/><Relationship Id="rId17" Type="http://schemas.openxmlformats.org/officeDocument/2006/relationships/hyperlink" Target="https://doi.org/10.1016/j.foodchem.2012.06.079" TargetMode="External"/><Relationship Id="rId2" Type="http://schemas.openxmlformats.org/officeDocument/2006/relationships/styles" Target="styles.xml"/><Relationship Id="rId16" Type="http://schemas.openxmlformats.org/officeDocument/2006/relationships/hyperlink" Target="https://doi.org/10.1016/j.lwt.2016.10.030" TargetMode="External"/><Relationship Id="rId1" Type="http://schemas.openxmlformats.org/officeDocument/2006/relationships/numbering" Target="numbering.xml"/><Relationship Id="rId6" Type="http://schemas.openxmlformats.org/officeDocument/2006/relationships/hyperlink" Target="https://doi.org/10.1016/j.heliyon.2019.e01358" TargetMode="External"/><Relationship Id="rId11" Type="http://schemas.openxmlformats.org/officeDocument/2006/relationships/hyperlink" Target="https://doi.org/10.3390/engproc2025099020" TargetMode="External"/><Relationship Id="rId5" Type="http://schemas.openxmlformats.org/officeDocument/2006/relationships/image" Target="media/image1.png"/><Relationship Id="rId15" Type="http://schemas.openxmlformats.org/officeDocument/2006/relationships/hyperlink" Target="https://doi.org/10.1111/j.1750-3841.2007.00352.x" TargetMode="External"/><Relationship Id="rId10" Type="http://schemas.openxmlformats.org/officeDocument/2006/relationships/hyperlink" Target="https://doi.org/10.1111/j.1750-3841.2007.00352.x"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3390/su14020849" TargetMode="External"/><Relationship Id="rId14" Type="http://schemas.openxmlformats.org/officeDocument/2006/relationships/hyperlink" Target="https://doi.org/10.1016/j.micromeso.2008.06.034"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532</TotalTime>
  <Pages>7</Pages>
  <Words>3597</Words>
  <Characters>20504</Characters>
  <Application>Microsoft Office Word</Application>
  <DocSecurity>0</DocSecurity>
  <Lines>170</Lines>
  <Paragraphs>48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DT User</dc:creator>
  <cp:keywords/>
  <dc:description/>
  <cp:lastModifiedBy>DT User</cp:lastModifiedBy>
  <cp:revision>51</cp:revision>
  <dcterms:created xsi:type="dcterms:W3CDTF">2025-08-25T15:02:00Z</dcterms:created>
  <dcterms:modified xsi:type="dcterms:W3CDTF">2025-08-26T15:16:00Z</dcterms:modified>
</cp:coreProperties>
</file>