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3">
      <w:pPr>
        <w:ind w:firstLine="0"/>
        <w:jc w:val="center"/>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rtl w:val="0"/>
        </w:rPr>
        <w:t xml:space="preserve">Унапређење еколошких и енергетски штедљивих технологија на Техничком универзитету у Габрову</w:t>
      </w:r>
      <w:r w:rsidDel="00000000" w:rsidR="00000000" w:rsidRPr="00000000">
        <w:rPr>
          <w:rFonts w:ascii="Times New Roman" w:cs="Times New Roman" w:eastAsia="Times New Roman" w:hAnsi="Times New Roman"/>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ind w:firstLine="0"/>
        <w:jc w:val="cente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5">
      <w:pPr>
        <w:tabs>
          <w:tab w:val="left" w:leader="none" w:pos="1615"/>
          <w:tab w:val="center" w:leader="none" w:pos="3685"/>
        </w:tabs>
        <w:spacing w:after="60" w:lineRule="auto"/>
        <w:ind w:firstLine="0"/>
        <w:jc w:val="left"/>
        <w:rPr>
          <w:rFonts w:ascii="Times New Roman" w:cs="Times New Roman" w:eastAsia="Times New Roman" w:hAnsi="Times New Roman"/>
          <w:b w:val="0"/>
          <w:bCs w:val="0"/>
          <w:vertAlign w:val="baseline"/>
        </w:rPr>
      </w:pPr>
      <w:r w:rsidDel="00000000" w:rsidR="00000000" w:rsidRPr="00000000">
        <w:rPr>
          <w:rFonts w:ascii="Times New Roman" w:cs="Times New Roman" w:eastAsia="Times New Roman" w:hAnsi="Times New Roman"/>
          <w:i w:val="1"/>
          <w:iCs w:val="1"/>
          <w:vertAlign w:val="baseline"/>
          <w:rtl w:val="0"/>
        </w:rPr>
        <w:tab/>
        <w:tab/>
        <w:t xml:space="preserve">Ивана Радоњић</w:t>
      </w:r>
      <w:r w:rsidDel="00000000" w:rsidR="00000000" w:rsidRPr="00000000">
        <w:rPr>
          <w:rFonts w:ascii="Times New Roman" w:cs="Times New Roman" w:eastAsia="Times New Roman" w:hAnsi="Times New Roman"/>
          <w:i w:val="1"/>
          <w:iCs w:val="1"/>
          <w:vertAlign w:val="superscript"/>
          <w:rtl w:val="0"/>
        </w:rPr>
        <w:t xml:space="preserve">1,3</w:t>
      </w:r>
      <w:r w:rsidDel="00000000" w:rsidR="00000000" w:rsidRPr="00000000">
        <w:rPr>
          <w:rFonts w:ascii="Times New Roman" w:cs="Times New Roman" w:eastAsia="Times New Roman" w:hAnsi="Times New Roman"/>
          <w:i w:val="1"/>
          <w:iCs w:val="1"/>
          <w:vertAlign w:val="baseline"/>
          <w:rtl w:val="0"/>
        </w:rPr>
        <w:t xml:space="preserve"> , Илија Железаров</w:t>
      </w:r>
      <w:r w:rsidDel="00000000" w:rsidR="00000000" w:rsidRPr="00000000">
        <w:rPr>
          <w:rFonts w:ascii="Times New Roman" w:cs="Times New Roman" w:eastAsia="Times New Roman" w:hAnsi="Times New Roman"/>
          <w:i w:val="1"/>
          <w:iCs w:val="1"/>
          <w:vertAlign w:val="superscript"/>
          <w:rtl w:val="0"/>
        </w:rPr>
        <w:t xml:space="preserve">2,3</w:t>
      </w:r>
      <w:r w:rsidDel="00000000" w:rsidR="00000000" w:rsidRPr="00000000">
        <w:rPr>
          <w:rFonts w:ascii="Times New Roman" w:cs="Times New Roman" w:eastAsia="Times New Roman" w:hAnsi="Times New Roman"/>
          <w:i w:val="1"/>
          <w:iCs w:val="1"/>
          <w:vertAlign w:val="baseline"/>
          <w:rtl w:val="0"/>
        </w:rPr>
        <w:t xml:space="preserve">, Пламен Цанков</w:t>
      </w:r>
      <w:r w:rsidDel="00000000" w:rsidR="00000000" w:rsidRPr="00000000">
        <w:rPr>
          <w:rFonts w:ascii="Times New Roman" w:cs="Times New Roman" w:eastAsia="Times New Roman" w:hAnsi="Times New Roman"/>
          <w:i w:val="1"/>
          <w:iCs w:val="1"/>
          <w:vertAlign w:val="superscript"/>
          <w:rtl w:val="0"/>
        </w:rPr>
        <w:t xml:space="preserve">2,3</w:t>
      </w:r>
      <w:r w:rsidDel="00000000" w:rsidR="00000000" w:rsidRPr="00000000">
        <w:rPr>
          <w:rtl w:val="0"/>
        </w:rPr>
      </w:r>
    </w:p>
    <w:p w:rsidR="00000000" w:rsidDel="00000000" w:rsidP="00000000" w:rsidRDefault="00000000" w:rsidRPr="00000000" w14:paraId="00000006">
      <w:pPr>
        <w:ind w:firstLine="0"/>
        <w:jc w:val="center"/>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sz w:val="20"/>
          <w:szCs w:val="20"/>
          <w:vertAlign w:val="superscript"/>
          <w:rtl w:val="0"/>
        </w:rPr>
        <w:t xml:space="preserve">1</w:t>
      </w:r>
      <w:r w:rsidDel="00000000" w:rsidR="00000000" w:rsidRPr="00000000">
        <w:rPr>
          <w:rFonts w:ascii="Times New Roman" w:cs="Times New Roman" w:eastAsia="Times New Roman" w:hAnsi="Times New Roman"/>
          <w:sz w:val="20"/>
          <w:szCs w:val="20"/>
          <w:rtl w:val="0"/>
        </w:rPr>
        <w:t xml:space="preserve">Природно-математички факултет Универзитета у Нишу, Вишеградска 33, 18000 Ниш, Србија</w:t>
      </w: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rFonts w:ascii="Times New Roman" w:cs="Times New Roman" w:eastAsia="Times New Roman" w:hAnsi="Times New Roman"/>
          <w:sz w:val="20"/>
          <w:szCs w:val="20"/>
          <w:rtl w:val="0"/>
        </w:rPr>
        <w:t xml:space="preserve">ivana.radonjic-mitic@pmf.edu.rs</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260985</wp:posOffset>
            </wp:positionH>
            <wp:positionV relativeFrom="paragraph">
              <wp:posOffset>93345</wp:posOffset>
            </wp:positionV>
            <wp:extent cx="4563745" cy="5859780"/>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63745" cy="5859780"/>
                    </a:xfrm>
                    <a:prstGeom prst="rect"/>
                    <a:ln/>
                  </pic:spPr>
                </pic:pic>
              </a:graphicData>
            </a:graphic>
          </wp:anchor>
        </w:drawing>
      </w:r>
    </w:p>
    <w:p w:rsidR="00000000" w:rsidDel="00000000" w:rsidP="00000000" w:rsidRDefault="00000000" w:rsidRPr="00000000" w14:paraId="00000007">
      <w:pPr>
        <w:ind w:firstLine="0"/>
        <w:jc w:val="center"/>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sz w:val="20"/>
          <w:szCs w:val="20"/>
          <w:vertAlign w:val="superscript"/>
          <w:rtl w:val="0"/>
        </w:rPr>
        <w:t xml:space="preserve">2</w:t>
      </w:r>
      <w:r w:rsidDel="00000000" w:rsidR="00000000" w:rsidRPr="00000000">
        <w:rPr>
          <w:rFonts w:ascii="Times New Roman" w:cs="Times New Roman" w:eastAsia="Times New Roman" w:hAnsi="Times New Roman"/>
          <w:sz w:val="20"/>
          <w:szCs w:val="20"/>
          <w:vertAlign w:val="baseline"/>
          <w:rtl w:val="0"/>
        </w:rPr>
        <w:t xml:space="preserve">Технички Универзитет у Габрову, Ха</w:t>
      </w:r>
      <w:r w:rsidDel="00000000" w:rsidR="00000000" w:rsidRPr="00000000">
        <w:rPr>
          <w:rFonts w:ascii="Times New Roman" w:cs="Times New Roman" w:eastAsia="Times New Roman" w:hAnsi="Times New Roman"/>
          <w:sz w:val="20"/>
          <w:szCs w:val="20"/>
          <w:rtl w:val="0"/>
        </w:rPr>
        <w:t xml:space="preserve">џи Димитар 4, 5300 Габрово, Бугарска</w:t>
      </w: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rFonts w:ascii="Times New Roman" w:cs="Times New Roman" w:eastAsia="Times New Roman" w:hAnsi="Times New Roman"/>
          <w:sz w:val="20"/>
          <w:szCs w:val="20"/>
          <w:rtl w:val="0"/>
        </w:rPr>
        <w:t xml:space="preserve">izhel@tugab.bg</w:t>
      </w:r>
      <w:r w:rsidDel="00000000" w:rsidR="00000000" w:rsidRPr="00000000">
        <w:rPr>
          <w:rFonts w:ascii="Times New Roman" w:cs="Times New Roman" w:eastAsia="Times New Roman" w:hAnsi="Times New Roman"/>
          <w:sz w:val="20"/>
          <w:szCs w:val="20"/>
          <w:vertAlign w:val="baseline"/>
          <w:rtl w:val="0"/>
        </w:rPr>
        <w:t xml:space="preserve"> </w:t>
      </w:r>
    </w:p>
    <w:p w:rsidR="00000000" w:rsidDel="00000000" w:rsidP="00000000" w:rsidRDefault="00000000" w:rsidRPr="00000000" w14:paraId="00000008">
      <w:pPr>
        <w:ind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vertAlign w:val="superscript"/>
          <w:rtl w:val="0"/>
        </w:rPr>
        <w:t xml:space="preserve">3</w:t>
      </w:r>
      <w:r w:rsidDel="00000000" w:rsidR="00000000" w:rsidRPr="00000000">
        <w:rPr>
          <w:rFonts w:ascii="Times New Roman" w:cs="Times New Roman" w:eastAsia="Times New Roman" w:hAnsi="Times New Roman"/>
          <w:sz w:val="20"/>
          <w:szCs w:val="20"/>
          <w:rtl w:val="0"/>
        </w:rPr>
        <w:t xml:space="preserve">Center of Competence “Smart Mechatronic, Eco- and Energy-Saving Systems and Technologies”, Габрово, Бугарска</w:t>
      </w:r>
    </w:p>
    <w:p w:rsidR="00000000" w:rsidDel="00000000" w:rsidP="00000000" w:rsidRDefault="00000000" w:rsidRPr="00000000" w14:paraId="00000009">
      <w:pPr>
        <w:ind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bCs w:val="1"/>
          <w:sz w:val="18"/>
          <w:szCs w:val="18"/>
          <w:vertAlign w:val="baseline"/>
          <w:rtl w:val="0"/>
        </w:rPr>
        <w:t xml:space="preserve">Сажетак:</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sz w:val="18"/>
          <w:szCs w:val="18"/>
          <w:rtl w:val="0"/>
        </w:rPr>
        <w:t xml:space="preserve">Са јаком индустријском базом у својој мешовитој економији, продуктивност Бугарске је у просеку и даље два до три пута нижа него у ЕУ. Истраживање и развој у мехатроници и паметним технологијама, посебно промовисање аутоматизације, дигитализације и иновативних производних процеса, могу побољшати индустријску конкурентност Бугарске и ефикаснију производњу висококвалитетних производа. Да би се ускладило са оквирима политике ЕУ за енергетску ефикасност и одрживост, истраживање технологија за уштеду енергије је од великог значаја, што доводи до смањења трошкова енергије за предузећа и домаћинства, побољшане конкурентности и нижих емисија угљеника. Пројекат Центра компетенције „Паметни мехатронски, еколошки и енергетски штедљиви системи и технологије“ (CoC SMEEST) са Техничким универзитетом у Габрову (ТУ-Габрово) као водећом институцијом и главним координатором представља логичан резултат изградње истраживачке инфраструктуре, стручности и резултата. У периоду развоја Центра компетенције, ТУ-Габрово је водио транзицију SMEEST-а ка одрживој, међународно повезаној и индустријски оријентисаној организацији за истраживање и иновације. Центар компетенције промовише сарадњу између истраживачких тимова, индустријских партнера и шире заједнице, истовремено осигуравајући успех центра у области паметне мехатронике, еколошких и енергетски штедљивих система и технологија. Поред националних партнерстава, Центар компетенције је успоставио многа међународна партнерства, укључујући и партнерства са Универзитетом у Нишу у Србији и техничким универзитетима у Чешкој Републици и Турској. Центар компетенције SMEEST чини темељ истраживачке инфраструктуре у Технолошком парку Техничког универзитета у Габрову, који је партнер Научно-технолошког парка Ниш. Заједно су суоснивачи Алијансе научно-технолошких паркова и иновативних екосистема у Југоисточној Европи. У овом раду су представљени главни циљеви пројекта са циљем убрзања еколошких и енергетски штедљивих технологија за побољшање индустријске конкурентности и ефикасне производње високог квалитета, док иновације које развија Центар компетенције доприносе транзицији ЕУ ка зеленијој економији и побољшавају глобални одговор на климатске промене.</w:t>
      </w: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00B">
      <w:pPr>
        <w:rPr>
          <w:rFonts w:ascii="Times New Roman" w:cs="Times New Roman" w:eastAsia="Times New Roman" w:hAnsi="Times New Roman"/>
          <w:b w:val="1"/>
          <w:bCs w:val="1"/>
          <w:sz w:val="24"/>
          <w:szCs w:val="24"/>
          <w:vertAlign w:val="baseline"/>
        </w:rPr>
      </w:pPr>
      <w:r w:rsidDel="00000000" w:rsidR="00000000" w:rsidRPr="00000000">
        <w:rPr>
          <w:rFonts w:ascii="Times New Roman" w:cs="Times New Roman" w:eastAsia="Times New Roman" w:hAnsi="Times New Roman"/>
          <w:b w:val="1"/>
          <w:bCs w:val="1"/>
          <w:sz w:val="18"/>
          <w:szCs w:val="18"/>
          <w:vertAlign w:val="baseline"/>
          <w:rtl w:val="0"/>
        </w:rPr>
        <w:t xml:space="preserve">Кључне ријечи:</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sz w:val="18"/>
          <w:szCs w:val="18"/>
          <w:rtl w:val="0"/>
        </w:rPr>
        <w:t xml:space="preserve">еко-технологије; технологије за уштеду енергије; Технички универзитет у Габрову; Центар компетенција; SMEEST.</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spacing w:line="276" w:lineRule="auto"/>
        <w:ind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Enhancement of Eco- and Energy-Saving Technologies at the Technical University of Gabrovo</w:t>
      </w:r>
    </w:p>
    <w:p w:rsidR="00000000" w:rsidDel="00000000" w:rsidP="00000000" w:rsidRDefault="00000000" w:rsidRPr="00000000" w14:paraId="0000000E">
      <w:pPr>
        <w:ind w:left="0" w:firstLine="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F">
      <w:pPr>
        <w:ind w:left="0" w:firstLine="0"/>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Ivana Radonjić</w:t>
      </w:r>
      <w:r w:rsidDel="00000000" w:rsidR="00000000" w:rsidRPr="00000000">
        <w:rPr>
          <w:rFonts w:ascii="Times New Roman" w:cs="Times New Roman" w:eastAsia="Times New Roman" w:hAnsi="Times New Roman"/>
          <w:i w:val="1"/>
          <w:iCs w:val="1"/>
          <w:vertAlign w:val="superscript"/>
          <w:rtl w:val="0"/>
        </w:rPr>
        <w:t xml:space="preserve">1,3</w:t>
      </w:r>
      <w:r w:rsidDel="00000000" w:rsidR="00000000" w:rsidRPr="00000000">
        <w:rPr>
          <w:rFonts w:ascii="Times New Roman" w:cs="Times New Roman" w:eastAsia="Times New Roman" w:hAnsi="Times New Roman"/>
          <w:i w:val="1"/>
          <w:iCs w:val="1"/>
          <w:rtl w:val="0"/>
        </w:rPr>
        <w:t xml:space="preserve">, Iliya Zhelezarov</w:t>
      </w:r>
      <w:r w:rsidDel="00000000" w:rsidR="00000000" w:rsidRPr="00000000">
        <w:rPr>
          <w:rFonts w:ascii="Times New Roman" w:cs="Times New Roman" w:eastAsia="Times New Roman" w:hAnsi="Times New Roman"/>
          <w:i w:val="1"/>
          <w:iCs w:val="1"/>
          <w:vertAlign w:val="superscript"/>
          <w:rtl w:val="0"/>
        </w:rPr>
        <w:t xml:space="preserve">2,3</w:t>
      </w:r>
      <w:r w:rsidDel="00000000" w:rsidR="00000000" w:rsidRPr="00000000">
        <w:rPr>
          <w:rFonts w:ascii="Times New Roman" w:cs="Times New Roman" w:eastAsia="Times New Roman" w:hAnsi="Times New Roman"/>
          <w:i w:val="1"/>
          <w:iCs w:val="1"/>
          <w:rtl w:val="0"/>
        </w:rPr>
        <w:t xml:space="preserve">, Plamen Tsankov</w:t>
      </w:r>
      <w:r w:rsidDel="00000000" w:rsidR="00000000" w:rsidRPr="00000000">
        <w:rPr>
          <w:rFonts w:ascii="Times New Roman" w:cs="Times New Roman" w:eastAsia="Times New Roman" w:hAnsi="Times New Roman"/>
          <w:i w:val="1"/>
          <w:iCs w:val="1"/>
          <w:vertAlign w:val="superscript"/>
          <w:rtl w:val="0"/>
        </w:rPr>
        <w:t xml:space="preserve">2,3</w:t>
      </w:r>
      <w:r w:rsidDel="00000000" w:rsidR="00000000" w:rsidRPr="00000000">
        <w:rPr>
          <w:rtl w:val="0"/>
        </w:rPr>
      </w:r>
    </w:p>
    <w:p w:rsidR="00000000" w:rsidDel="00000000" w:rsidP="00000000" w:rsidRDefault="00000000" w:rsidRPr="00000000" w14:paraId="00000010">
      <w:pPr>
        <w:ind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vertAlign w:val="superscript"/>
          <w:rtl w:val="0"/>
        </w:rPr>
        <w:t xml:space="preserve">1</w:t>
      </w:r>
      <w:r w:rsidDel="00000000" w:rsidR="00000000" w:rsidRPr="00000000">
        <w:rPr>
          <w:rFonts w:ascii="Times New Roman" w:cs="Times New Roman" w:eastAsia="Times New Roman" w:hAnsi="Times New Roman"/>
          <w:sz w:val="20"/>
          <w:szCs w:val="20"/>
          <w:rtl w:val="0"/>
        </w:rPr>
        <w:t xml:space="preserve">Faculty of Sciences and Mathematics, University of Niš, Višegradska 33, 18000 Niš, Serbia, ivana.radonjic-mitic@pmf.edu.rs</w:t>
      </w:r>
      <w:r w:rsidDel="00000000" w:rsidR="00000000" w:rsidRPr="00000000">
        <w:drawing>
          <wp:anchor allowOverlap="1" behindDoc="1" distB="0" distT="0" distL="0" distR="0" hidden="0" layoutInCell="1" locked="0" relativeHeight="0" simplePos="0">
            <wp:simplePos x="0" y="0"/>
            <wp:positionH relativeFrom="column">
              <wp:posOffset>260985</wp:posOffset>
            </wp:positionH>
            <wp:positionV relativeFrom="paragraph">
              <wp:posOffset>93345</wp:posOffset>
            </wp:positionV>
            <wp:extent cx="4563745" cy="585978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63745" cy="5859780"/>
                    </a:xfrm>
                    <a:prstGeom prst="rect"/>
                    <a:ln/>
                  </pic:spPr>
                </pic:pic>
              </a:graphicData>
            </a:graphic>
          </wp:anchor>
        </w:drawing>
      </w:r>
    </w:p>
    <w:p w:rsidR="00000000" w:rsidDel="00000000" w:rsidP="00000000" w:rsidRDefault="00000000" w:rsidRPr="00000000" w14:paraId="00000011">
      <w:pPr>
        <w:ind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vertAlign w:val="superscript"/>
          <w:rtl w:val="0"/>
        </w:rPr>
        <w:t xml:space="preserve">2</w:t>
      </w:r>
      <w:r w:rsidDel="00000000" w:rsidR="00000000" w:rsidRPr="00000000">
        <w:rPr>
          <w:rFonts w:ascii="Times New Roman" w:cs="Times New Roman" w:eastAsia="Times New Roman" w:hAnsi="Times New Roman"/>
          <w:sz w:val="20"/>
          <w:szCs w:val="20"/>
          <w:rtl w:val="0"/>
        </w:rPr>
        <w:t xml:space="preserve">Technical Univerity of Gabrovo, Hadji Dimitar Str. 4, 5300 Gabrovo, Bulgaria, izhel@tugab.bg</w:t>
      </w:r>
      <w:r w:rsidDel="00000000" w:rsidR="00000000" w:rsidRPr="00000000">
        <w:rPr>
          <w:rtl w:val="0"/>
        </w:rPr>
      </w:r>
    </w:p>
    <w:p w:rsidR="00000000" w:rsidDel="00000000" w:rsidP="00000000" w:rsidRDefault="00000000" w:rsidRPr="00000000" w14:paraId="00000012">
      <w:pPr>
        <w:ind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vertAlign w:val="superscript"/>
          <w:rtl w:val="0"/>
        </w:rPr>
        <w:t xml:space="preserve">3</w:t>
      </w:r>
      <w:r w:rsidDel="00000000" w:rsidR="00000000" w:rsidRPr="00000000">
        <w:rPr>
          <w:rFonts w:ascii="Times New Roman" w:cs="Times New Roman" w:eastAsia="Times New Roman" w:hAnsi="Times New Roman"/>
          <w:sz w:val="20"/>
          <w:szCs w:val="20"/>
          <w:rtl w:val="0"/>
        </w:rPr>
        <w:t xml:space="preserve">Center of Competence “Smart Mechatronic, Eco- and Energy-Saving Systems and Technologies”, Gabrovo, Bulgaria</w:t>
      </w:r>
      <w:r w:rsidDel="00000000" w:rsidR="00000000" w:rsidRPr="00000000">
        <w:rPr>
          <w:rtl w:val="0"/>
        </w:rPr>
      </w:r>
    </w:p>
    <w:p w:rsidR="00000000" w:rsidDel="00000000" w:rsidP="00000000" w:rsidRDefault="00000000" w:rsidRPr="00000000" w14:paraId="00000013">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ind w:left="567" w:right="1134"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bCs w:val="1"/>
          <w:sz w:val="18"/>
          <w:szCs w:val="18"/>
          <w:vertAlign w:val="baseline"/>
          <w:rtl w:val="0"/>
        </w:rPr>
        <w:t xml:space="preserve">Abstract</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sz w:val="18"/>
          <w:szCs w:val="18"/>
          <w:rtl w:val="0"/>
        </w:rPr>
        <w:t xml:space="preserve">With a strong industrial base in its mixed economy, Bulgaria’s productivity on average is still two to three times lower than the EU. Research and development in mechatronics and smart technologies, especially promoting automation, digitalization, and innovative manufacturing processes can enhance Bulgaria's industrial competitiveness and more efficient production of high-quality products. In order to be aligned with EU’s policy frameworks of energy efficiency and sustainability, research in energy-saving technologies is of high importance, leading to reduced energy costs for businesses and households, improved competitiveness, and lower carbon emissions. Center of Competence </w:t>
      </w:r>
      <w:r w:rsidDel="00000000" w:rsidR="00000000" w:rsidRPr="00000000">
        <w:rPr>
          <w:rFonts w:ascii="Times New Roman" w:cs="Times New Roman" w:eastAsia="Times New Roman" w:hAnsi="Times New Roman"/>
          <w:sz w:val="18"/>
          <w:szCs w:val="18"/>
          <w:highlight w:val="white"/>
          <w:rtl w:val="0"/>
        </w:rPr>
        <w:t xml:space="preserve">“Smart Mechatronic, Eco- and Energy-Saving Systems and Technologies” (CoC SMEEST) project with the Technical University of Gabrovo (TU-Gabrovo) acting as the leading institution and principal coordinator represents the logical result for building on the research infrastructure, expertise and results. In the Center of Competence development period, TU-Gabrovo guided the transition of SMEEST towards a sustainable, internationally connected and industry-oriented research and innovation organisation. </w:t>
      </w:r>
      <w:r w:rsidDel="00000000" w:rsidR="00000000" w:rsidRPr="00000000">
        <w:rPr>
          <w:rFonts w:ascii="Times New Roman" w:cs="Times New Roman" w:eastAsia="Times New Roman" w:hAnsi="Times New Roman"/>
          <w:sz w:val="18"/>
          <w:szCs w:val="18"/>
          <w:rtl w:val="0"/>
        </w:rPr>
        <w:t xml:space="preserve">The Center of Competence promotes collaboration among research teams, industry partners, and the broader community while ensuring the center's success in the field of smart mechatronics, eco- and energy-saving systems, and technologies. In addition to national partnerships, the CoC has established many international partnerships, including with the University of Niš in Serbia and technical universities in the Czech Republic and Turkey. CoC SMEEST forms the foundation of the research infrastructure at the Tech Park of the Technical University of Gabrovo, which is a partner of the Science and Technology Park Niš. Together, they are co-founders of the Alliance of Science and Technology Parks and Innovative Ecosystems in South East Europe. In this paper the main objectives of the project are presented with the aim of accelerating eco- and energy saving technologies for improving industrial competitiveness and efficient high-quality production, while innovations developed by CoC contribute to the EU's transition to a greener economy and enhance the global response to climate change.</w:t>
      </w:r>
      <w:r w:rsidDel="00000000" w:rsidR="00000000" w:rsidRPr="00000000">
        <w:rPr>
          <w:rtl w:val="0"/>
        </w:rPr>
      </w:r>
    </w:p>
    <w:p w:rsidR="00000000" w:rsidDel="00000000" w:rsidP="00000000" w:rsidRDefault="00000000" w:rsidRPr="00000000" w14:paraId="00000015">
      <w:pPr>
        <w:ind w:left="567" w:right="1134" w:firstLine="0"/>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16">
      <w:pPr>
        <w:ind w:left="567" w:right="1134" w:firstLine="0"/>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bCs w:val="1"/>
          <w:sz w:val="18"/>
          <w:szCs w:val="18"/>
          <w:vertAlign w:val="baseline"/>
          <w:rtl w:val="0"/>
        </w:rPr>
        <w:t xml:space="preserve">Keywords</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sz w:val="18"/>
          <w:szCs w:val="18"/>
          <w:rtl w:val="0"/>
        </w:rPr>
        <w:t xml:space="preserve">eco-technologies; energy-saving technologies; Technical University of Gabrovo; Center of Competence; SMEEST</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Fonts w:ascii="Times New Roman" w:cs="Times New Roman" w:eastAsia="Times New Roman" w:hAnsi="Times New Roman"/>
          <w:sz w:val="20"/>
          <w:szCs w:val="20"/>
          <w:vertAlign w:val="baseline"/>
          <w:rtl w:val="0"/>
        </w:rPr>
        <w:t xml:space="preserve"> </w:t>
      </w:r>
    </w:p>
    <w:p w:rsidR="00000000" w:rsidDel="00000000" w:rsidP="00000000" w:rsidRDefault="00000000" w:rsidRPr="00000000" w14:paraId="00000017">
      <w:pPr>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18">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9">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A">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B">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C">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D">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E">
      <w:pPr>
        <w:ind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F">
      <w:pPr>
        <w:ind w:firstLine="0"/>
        <w:rPr>
          <w:rFonts w:ascii="Times New Roman" w:cs="Times New Roman" w:eastAsia="Times New Roman" w:hAnsi="Times New Roman"/>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3608" w:w="9639" w:orient="portrait"/>
      <w:pgMar w:bottom="1134" w:top="1134"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tabs>
        <w:tab w:val="center" w:leader="none" w:pos="0"/>
        <w:tab w:val="right" w:leader="none" w:pos="9072"/>
      </w:tabs>
      <w:ind w:firstLine="0"/>
      <w:jc w:val="center"/>
      <w:rPr>
        <w:rFonts w:ascii="Times New Roman" w:cs="Times New Roman" w:eastAsia="Times New Roman" w:hAnsi="Times New Roman"/>
        <w:sz w:val="17"/>
        <w:szCs w:val="17"/>
        <w:vertAlign w:val="baseline"/>
      </w:rPr>
    </w:pPr>
    <w:r w:rsidDel="00000000" w:rsidR="00000000" w:rsidRPr="00000000">
      <w:rPr>
        <w:rFonts w:ascii="Times New Roman" w:cs="Times New Roman" w:eastAsia="Times New Roman" w:hAnsi="Times New Roman"/>
        <w:sz w:val="17"/>
        <w:szCs w:val="17"/>
        <w:vertAlign w:val="baseline"/>
        <w:rtl w:val="0"/>
      </w:rPr>
      <w:t xml:space="preserve">Међународни научни скуп </w:t>
    </w:r>
    <w:r w:rsidDel="00000000" w:rsidR="00000000" w:rsidRPr="00000000">
      <w:rPr>
        <w:rFonts w:ascii="Times New Roman" w:cs="Times New Roman" w:eastAsia="Times New Roman" w:hAnsi="Times New Roman"/>
        <w:i w:val="1"/>
        <w:iCs w:val="1"/>
        <w:sz w:val="17"/>
        <w:szCs w:val="17"/>
        <w:vertAlign w:val="baseline"/>
        <w:rtl w:val="0"/>
      </w:rPr>
      <w:t xml:space="preserve">Савремени материјали – </w:t>
    </w:r>
    <w:r w:rsidDel="00000000" w:rsidR="00000000" w:rsidRPr="00000000">
      <w:rPr>
        <w:rFonts w:ascii="Times New Roman" w:cs="Times New Roman" w:eastAsia="Times New Roman" w:hAnsi="Times New Roman"/>
        <w:sz w:val="17"/>
        <w:szCs w:val="17"/>
        <w:vertAlign w:val="baseline"/>
        <w:rtl w:val="0"/>
      </w:rPr>
      <w:t xml:space="preserve"> Бања Лука.</w:t>
    </w:r>
  </w:p>
  <w:p w:rsidR="00000000" w:rsidDel="00000000" w:rsidP="00000000" w:rsidRDefault="00000000" w:rsidRPr="00000000" w14:paraId="00000021">
    <w:pPr>
      <w:pBdr>
        <w:bottom w:color="daeef3" w:space="1" w:sz="24" w:val="single"/>
      </w:pBdr>
      <w:tabs>
        <w:tab w:val="center" w:leader="none" w:pos="0"/>
        <w:tab w:val="right" w:leader="none" w:pos="9072"/>
      </w:tabs>
      <w:spacing w:after="120" w:line="360" w:lineRule="auto"/>
      <w:ind w:firstLine="0"/>
      <w:jc w:val="center"/>
      <w:rPr>
        <w:vertAlign w:val="baseline"/>
      </w:rPr>
    </w:pPr>
    <w:r w:rsidDel="00000000" w:rsidR="00000000" w:rsidRPr="00000000">
      <w:rPr>
        <w:rFonts w:ascii="Times New Roman" w:cs="Times New Roman" w:eastAsia="Times New Roman" w:hAnsi="Times New Roman"/>
        <w:sz w:val="17"/>
        <w:szCs w:val="17"/>
        <w:vertAlign w:val="baseline"/>
        <w:rtl w:val="0"/>
      </w:rPr>
      <w:t xml:space="preserve">International Scientific Conference </w:t>
    </w:r>
    <w:r w:rsidDel="00000000" w:rsidR="00000000" w:rsidRPr="00000000">
      <w:rPr>
        <w:rFonts w:ascii="Times New Roman" w:cs="Times New Roman" w:eastAsia="Times New Roman" w:hAnsi="Times New Roman"/>
        <w:i w:val="1"/>
        <w:iCs w:val="1"/>
        <w:sz w:val="17"/>
        <w:szCs w:val="17"/>
        <w:vertAlign w:val="baseline"/>
        <w:rtl w:val="0"/>
      </w:rPr>
      <w:t xml:space="preserve">Contemporary Materials </w:t>
    </w:r>
    <w:r w:rsidDel="00000000" w:rsidR="00000000" w:rsidRPr="00000000">
      <w:rPr>
        <w:rFonts w:ascii="Times New Roman" w:cs="Times New Roman" w:eastAsia="Times New Roman" w:hAnsi="Times New Roman"/>
        <w:sz w:val="17"/>
        <w:szCs w:val="17"/>
        <w:vertAlign w:val="baseline"/>
        <w:rtl w:val="0"/>
      </w:rPr>
      <w:t xml:space="preserve">– Banja Luka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ind w:firstLine="567"/>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bRjlTXokCD9Q14WdgUVd0wgWEg==">CgMxLjA4AHIhMUdUZHZ6MXh6OXM0SlVKNXlTbFlhcVk2TGRVRGcwanVS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