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315FD7">
      <w:pPr>
        <w:jc w:val="center"/>
      </w:pPr>
      <w:r>
        <w:rPr>
          <w:rFonts w:hint="default"/>
          <w:b/>
          <w:bCs/>
          <w:sz w:val="24"/>
          <w:szCs w:val="24"/>
          <w:lang w:val="sr-Cyrl-RS"/>
        </w:rPr>
        <w:t xml:space="preserve">ИН ВИТРО ЕВАЛУАЦИЈА СОРПЦИЈЕ И РАСТВОРЉИВОСТИ ТРИ ДЕНТАЛНА МАТРИЈАЛА </w:t>
      </w:r>
    </w:p>
    <w:p w14:paraId="2A368702">
      <w:pPr>
        <w:spacing w:before="120" w:after="60"/>
        <w:jc w:val="center"/>
      </w:pPr>
      <w:r>
        <w:rPr>
          <w:i/>
          <w:iCs/>
          <w:sz w:val="22"/>
          <w:szCs w:val="22"/>
        </w:rPr>
        <w:t>Рената Јосиповић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>, Ирена Кузмановић Радман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>, Тијана Адамовић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>, Адриана Арбутина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>, Марија Обрадовић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>, Маријана Араповић Савић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>, Мирјана Умићевић Давидовић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 xml:space="preserve">, </w:t>
      </w:r>
      <w:r>
        <w:rPr>
          <w:rFonts w:hint="default"/>
          <w:i/>
          <w:iCs/>
          <w:sz w:val="22"/>
          <w:szCs w:val="22"/>
          <w:lang w:val="sr-Cyrl-RS"/>
        </w:rPr>
        <w:t>Огњенка Јанковић</w:t>
      </w:r>
      <w:r>
        <w:rPr>
          <w:rFonts w:hint="default"/>
          <w:i/>
          <w:iCs/>
          <w:sz w:val="22"/>
          <w:szCs w:val="22"/>
          <w:vertAlign w:val="superscript"/>
          <w:lang w:val="sr-Cyrl-RS"/>
        </w:rPr>
        <w:t>1</w:t>
      </w:r>
      <w:r>
        <w:rPr>
          <w:rFonts w:hint="default"/>
          <w:i/>
          <w:iCs/>
          <w:sz w:val="22"/>
          <w:szCs w:val="22"/>
          <w:vertAlign w:val="baseline"/>
          <w:lang w:val="sr-Cyrl-RS"/>
        </w:rPr>
        <w:t xml:space="preserve">, </w:t>
      </w:r>
      <w:r>
        <w:rPr>
          <w:i/>
          <w:iCs/>
          <w:sz w:val="22"/>
          <w:szCs w:val="22"/>
        </w:rPr>
        <w:t>Маријана Поповић Бајић</w:t>
      </w:r>
      <w:r>
        <w:rPr>
          <w:i/>
          <w:iCs/>
          <w:sz w:val="22"/>
          <w:szCs w:val="22"/>
          <w:vertAlign w:val="superscript"/>
        </w:rPr>
        <w:t>2</w:t>
      </w:r>
      <w:r>
        <w:rPr>
          <w:i/>
          <w:iCs/>
          <w:sz w:val="22"/>
          <w:szCs w:val="22"/>
        </w:rPr>
        <w:t>, Владан Мирјанић</w:t>
      </w:r>
      <w:r>
        <w:rPr>
          <w:i/>
          <w:iCs/>
          <w:sz w:val="22"/>
          <w:szCs w:val="22"/>
          <w:vertAlign w:val="superscript"/>
        </w:rPr>
        <w:t>1</w:t>
      </w:r>
    </w:p>
    <w:p w14:paraId="08E631A5">
      <w:pPr>
        <w:jc w:val="center"/>
      </w:pPr>
      <w:r>
        <w:rPr>
          <w:vertAlign w:val="superscript"/>
        </w:rPr>
        <w:t>1</w:t>
      </w:r>
      <w:r>
        <w:t>Медицински факултет, Студијски програм Дентална медицина, Бања Лука, БиХ, Република Српска</w:t>
      </w:r>
    </w:p>
    <w:p w14:paraId="020B3939">
      <w:pPr>
        <w:spacing w:after="200"/>
        <w:jc w:val="center"/>
      </w:pPr>
      <w:r>
        <w:rPr>
          <w:vertAlign w:val="superscript"/>
        </w:rPr>
        <w:t>2</w:t>
      </w:r>
      <w:r>
        <w:t>Стоматолошки факултет, Клиника за болести зуба, Београд, Србија</w:t>
      </w:r>
    </w:p>
    <w:p w14:paraId="039EEE9E">
      <w:pPr>
        <w:jc w:val="both"/>
      </w:pPr>
      <w:r>
        <w:rPr>
          <w:b/>
          <w:bCs/>
          <w:sz w:val="18"/>
          <w:szCs w:val="18"/>
        </w:rPr>
        <w:t xml:space="preserve">Сажетак: </w:t>
      </w:r>
      <w:r>
        <w:rPr>
          <w:sz w:val="18"/>
          <w:szCs w:val="18"/>
        </w:rPr>
        <w:t>Увод: Растворљивост и сорпција су особине материјала које директно могу утицати на њихову стабилност, интегритет и трајност на мјесту апликације. Циљ: Циљ овог рада је да се испита растворљивост и сорпција новосинтетисаног наноматеријала на бази калцијум-алумината, калцијум-силиката и MTA. Материјал и методе рада: У истраживању је коришћен наноструктурни калцијум-алуминат синтетисан хидротермалном сол-гел методом од појединачних компонената калцијум-алумината (CaO·Al2O3), калцита (CaCO3) и баријум-сулфата (BaSO4) као рендгенског контрастног средства, и материјал на бази калцијум-силиката. Замијешани материјал је постављен у пластичне калупе пречника 5 ± 0,1 mm и висине 2 ± 0,1 mm. Након везивања, материјали су остављени у инкубатору на 37 °C током 24 h, а потом су извађени из калупа и анализирана је сорпција течности материјала. За сваки испитивани материјал направљено је по 8 узорака (n = 8). Као контролни материјал коришћен је MTA (Angelus, Londrina, Бразил). Резултати: Током 28 дана складиштења узорака у дестилованој и дејонизованој води, сорпција течности за MTA износила је 12,71%, сорпција за калцијум-силикате износила је 12,08%, док је за калцијум-алуминате забиљежена сорпција течности од 20,27%. Примјеном Студентовог т-теста уочена је разлика између калцијум-алумината и MTA (t = -7,094; p = 0,000005) и између калцијум-алумината и калцијум-силиката (t = -7,026; p = 0,000006), док између калцијум-силиката и MTA разлика није била статистички значајна. Растворљивост код MTA износила је 8,53%, растворљивост код калцијум-силиката 8,3%, док је код калцијум-алумината забиљежена растворљивост од 23,68%. Значајна разлика је забиљежена између калцијум-алумината и MTA (t = 4,828; p = 0,001308) и између калцијум-алумината и калцијум-силиката (t = 4,817; p = 0,000951), док између калцијум-силиката и MTA разлика није била статистички значајна. Закључак: Растворљивост материјала и апсорпција течности код наноструктурног материјала на бази калцијум-алумината била је значајно већа у поређењу са калцијум-силикатом и MTA.</w:t>
      </w:r>
    </w:p>
    <w:p w14:paraId="0334CBA4">
      <w:pPr>
        <w:spacing w:before="60"/>
        <w:jc w:val="both"/>
      </w:pPr>
      <w:r>
        <w:rPr>
          <w:b/>
          <w:bCs/>
          <w:sz w:val="18"/>
          <w:szCs w:val="18"/>
        </w:rPr>
        <w:t xml:space="preserve">Кључне ријечи: </w:t>
      </w:r>
      <w:r>
        <w:rPr>
          <w:sz w:val="18"/>
          <w:szCs w:val="18"/>
        </w:rPr>
        <w:t>растворљивост; сорпција; калцијум-алуминат; калцијум-силикат; MTA; наноматеријали.</w:t>
      </w:r>
    </w:p>
    <w:p w14:paraId="1B750B71">
      <w:pPr>
        <w:spacing w:before="300"/>
      </w:pPr>
    </w:p>
    <w:p w14:paraId="7444B376">
      <w:pPr>
        <w:jc w:val="center"/>
      </w:pPr>
      <w:r>
        <w:rPr>
          <w:rFonts w:hint="default"/>
          <w:b/>
          <w:bCs/>
          <w:sz w:val="24"/>
          <w:szCs w:val="24"/>
          <w:lang w:val="sr-Cyrl-RS"/>
        </w:rPr>
        <w:t xml:space="preserve"> </w:t>
      </w:r>
      <w:r>
        <w:rPr>
          <w:rFonts w:hint="default"/>
          <w:b/>
          <w:bCs/>
          <w:sz w:val="24"/>
          <w:szCs w:val="24"/>
          <w:lang w:val="en-US"/>
        </w:rPr>
        <w:t xml:space="preserve">IN VITRO EVALUATION OF WATER SORPTION AND SOLUBILITY OF THREE DENTAL MATERIALS </w:t>
      </w:r>
    </w:p>
    <w:p w14:paraId="0AA5B5C6">
      <w:pPr>
        <w:spacing w:before="120" w:after="60"/>
        <w:jc w:val="center"/>
      </w:pPr>
      <w:r>
        <w:rPr>
          <w:i/>
          <w:iCs/>
          <w:sz w:val="22"/>
          <w:szCs w:val="22"/>
        </w:rPr>
        <w:t>Renata Josipovic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>, Irena Kuzmanovic Radman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>, Tijana Adamovic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>, Adri</w:t>
      </w:r>
      <w:bookmarkStart w:id="0" w:name="_GoBack"/>
      <w:bookmarkEnd w:id="0"/>
      <w:r>
        <w:rPr>
          <w:i/>
          <w:iCs/>
          <w:sz w:val="22"/>
          <w:szCs w:val="22"/>
        </w:rPr>
        <w:t>ana Arbutina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>, Marija Obradovic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>, Marijana Arapovic Savic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>, Mirjana Umicevic Davidovic</w:t>
      </w:r>
      <w:r>
        <w:rPr>
          <w:i/>
          <w:iCs/>
          <w:sz w:val="22"/>
          <w:szCs w:val="22"/>
          <w:vertAlign w:val="superscript"/>
        </w:rPr>
        <w:t>1</w:t>
      </w:r>
      <w:r>
        <w:rPr>
          <w:i/>
          <w:iCs/>
          <w:sz w:val="22"/>
          <w:szCs w:val="22"/>
        </w:rPr>
        <w:t xml:space="preserve">, </w:t>
      </w:r>
      <w:r>
        <w:rPr>
          <w:rFonts w:hint="default"/>
          <w:i/>
          <w:iCs/>
          <w:sz w:val="22"/>
          <w:szCs w:val="22"/>
          <w:lang w:val="sr-Latn-RS"/>
        </w:rPr>
        <w:t>Ognjenka Janković</w:t>
      </w:r>
      <w:r>
        <w:rPr>
          <w:rFonts w:hint="default"/>
          <w:i/>
          <w:iCs/>
          <w:sz w:val="22"/>
          <w:szCs w:val="22"/>
          <w:vertAlign w:val="superscript"/>
          <w:lang w:val="sr-Latn-RS"/>
        </w:rPr>
        <w:t>1</w:t>
      </w:r>
      <w:r>
        <w:rPr>
          <w:rFonts w:hint="default"/>
          <w:i/>
          <w:iCs/>
          <w:sz w:val="22"/>
          <w:szCs w:val="22"/>
          <w:vertAlign w:val="baseline"/>
          <w:lang w:val="sr-Latn-RS"/>
        </w:rPr>
        <w:t xml:space="preserve">, </w:t>
      </w:r>
      <w:r>
        <w:rPr>
          <w:i/>
          <w:iCs/>
          <w:sz w:val="22"/>
          <w:szCs w:val="22"/>
        </w:rPr>
        <w:t>Marijana Popovic Bajic</w:t>
      </w:r>
      <w:r>
        <w:rPr>
          <w:i/>
          <w:iCs/>
          <w:sz w:val="22"/>
          <w:szCs w:val="22"/>
          <w:vertAlign w:val="superscript"/>
        </w:rPr>
        <w:t>2</w:t>
      </w:r>
      <w:r>
        <w:rPr>
          <w:i/>
          <w:iCs/>
          <w:sz w:val="22"/>
          <w:szCs w:val="22"/>
        </w:rPr>
        <w:t>, Vladan Mirjanic</w:t>
      </w:r>
      <w:r>
        <w:rPr>
          <w:i/>
          <w:iCs/>
          <w:sz w:val="22"/>
          <w:szCs w:val="22"/>
          <w:vertAlign w:val="superscript"/>
        </w:rPr>
        <w:t>1</w:t>
      </w:r>
    </w:p>
    <w:p w14:paraId="123B22CE">
      <w:pPr>
        <w:jc w:val="center"/>
      </w:pPr>
      <w:r>
        <w:rPr>
          <w:vertAlign w:val="superscript"/>
        </w:rPr>
        <w:t>1</w:t>
      </w:r>
      <w:r>
        <w:t>Faculty of Medicine, Study Programme of Dental Medicine, Banja Luka, Bosnia and Herzegovina, Republic of Srpska</w:t>
      </w:r>
    </w:p>
    <w:p w14:paraId="01B30352">
      <w:pPr>
        <w:spacing w:after="200"/>
        <w:jc w:val="center"/>
      </w:pPr>
      <w:r>
        <w:rPr>
          <w:vertAlign w:val="superscript"/>
        </w:rPr>
        <w:t>2</w:t>
      </w:r>
      <w:r>
        <w:t>Faculty of Dentistry, Clinic for Dental Diseases, Belgrade, Serbia</w:t>
      </w:r>
    </w:p>
    <w:p w14:paraId="4B930308">
      <w:pPr>
        <w:ind w:left="567" w:right="1134"/>
        <w:jc w:val="both"/>
      </w:pPr>
      <w:r>
        <w:rPr>
          <w:b/>
          <w:bCs/>
          <w:sz w:val="18"/>
          <w:szCs w:val="18"/>
        </w:rPr>
        <w:t xml:space="preserve">Abstract: </w:t>
      </w:r>
      <w:r>
        <w:rPr>
          <w:sz w:val="18"/>
          <w:szCs w:val="18"/>
        </w:rPr>
        <w:t>Introduction: Solubility and sorption are material properties that can directly affect their stability, integrity, and durability at the site of application. Aim: The aim of this study was to examine the solubility and sorption of a newly synthesised nanomaterial based on calcium aluminate, calcium silicate, and MTA. Materials and methods: The study used a nanostructured calcium aluminate synthesised by the hydrothermal sol-gel method from individual components of calcium aluminate (CaO·Al2O3), calcite (CaCO3), and barium sulphate (BaSO4) as a radiopacifier, and a calcium silicate-based material. The mixed material was placed into plastic moulds 5 ± 0.1 mm in diameter and 2 ± 0.1 mm in height. After setting, the materials were kept in an incubator at 37°C for 24 h, after which they were removed from the moulds and liquid sorption of the materials was analysed. Eight specimens were prepared for each tested material (n = 8). MTA (Angelus, Londrina, Brazil) was used as the control material. Results: During 28 days of specimen storage in distilled and deionised water, liquid sorption for MTA was 12.71%, sorption for calcium silicate was 12.08%, while calcium aluminate showed a liquid sorption of 20.27%. Using Student's t-test, a difference was observed between calcium aluminate and MTA (t = -7.094; p = 0.000005) and between calcium aluminate and calcium silicate (t = -7.026; p = 0.000006), while the difference between calcium silicate and MTA was not statistically significant. Solubility for MTA was 8.53%, solubility for calcium silicate was 8.3%, while calcium aluminate showed a solubility of 23.68%. A significant difference was observed between calcium aluminate and MTA (t = 4.828; p = 0.001308) and between calcium aluminate and calcium silicate (t = 4.817; p = 0.000951), while the difference between calcium silicate and MTA was not statistically significant. Conclusion: The solubility and liquid absorption of the nanostructured calcium aluminate-based material were significantly higher compared with calcium silicate and MTA.</w:t>
      </w:r>
    </w:p>
    <w:p w14:paraId="61E8241F">
      <w:pPr>
        <w:spacing w:before="60"/>
        <w:ind w:left="567" w:right="1134"/>
        <w:jc w:val="both"/>
      </w:pPr>
      <w:r>
        <w:rPr>
          <w:b/>
          <w:bCs/>
          <w:sz w:val="18"/>
          <w:szCs w:val="18"/>
        </w:rPr>
        <w:t xml:space="preserve">Keywords: </w:t>
      </w:r>
      <w:r>
        <w:rPr>
          <w:sz w:val="18"/>
          <w:szCs w:val="18"/>
        </w:rPr>
        <w:t>solubility; sorption; calcium aluminate; calcium silicate; MTA; nanomaterials.</w:t>
      </w:r>
    </w:p>
    <w:sectPr>
      <w:pgSz w:w="9639" w:h="13608"/>
      <w:pgMar w:top="1134" w:right="1134" w:bottom="1134" w:left="1134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568"/>
    <w:rsid w:val="00626703"/>
    <w:rsid w:val="00A74568"/>
    <w:rsid w:val="11163F6E"/>
    <w:rsid w:val="35592615"/>
    <w:rsid w:val="46E55ACD"/>
    <w:rsid w:val="4C8B2B22"/>
    <w:rsid w:val="77BE2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bs-Latn-BA" w:eastAsia="bs-Latn-BA" w:bidi="ar-SA"/>
    </w:rPr>
  </w:style>
  <w:style w:type="paragraph" w:styleId="2">
    <w:name w:val="heading 1"/>
    <w:qFormat/>
    <w:uiPriority w:val="9"/>
    <w:pPr>
      <w:outlineLvl w:val="0"/>
    </w:pPr>
    <w:rPr>
      <w:rFonts w:ascii="Times New Roman" w:hAnsi="Times New Roman" w:eastAsia="Times New Roman" w:cs="Times New Roman"/>
      <w:color w:val="2E74B5"/>
      <w:sz w:val="32"/>
      <w:szCs w:val="32"/>
      <w:lang w:val="bs-Latn-BA" w:eastAsia="bs-Latn-BA" w:bidi="ar-SA"/>
    </w:rPr>
  </w:style>
  <w:style w:type="paragraph" w:styleId="3">
    <w:name w:val="heading 2"/>
    <w:semiHidden/>
    <w:unhideWhenUsed/>
    <w:qFormat/>
    <w:uiPriority w:val="9"/>
    <w:pPr>
      <w:outlineLvl w:val="1"/>
    </w:pPr>
    <w:rPr>
      <w:rFonts w:ascii="Times New Roman" w:hAnsi="Times New Roman" w:eastAsia="Times New Roman" w:cs="Times New Roman"/>
      <w:color w:val="2E74B5"/>
      <w:sz w:val="26"/>
      <w:szCs w:val="26"/>
      <w:lang w:val="bs-Latn-BA" w:eastAsia="bs-Latn-BA" w:bidi="ar-SA"/>
    </w:rPr>
  </w:style>
  <w:style w:type="paragraph" w:styleId="4">
    <w:name w:val="heading 3"/>
    <w:semiHidden/>
    <w:unhideWhenUsed/>
    <w:qFormat/>
    <w:uiPriority w:val="9"/>
    <w:pPr>
      <w:outlineLvl w:val="2"/>
    </w:pPr>
    <w:rPr>
      <w:rFonts w:ascii="Times New Roman" w:hAnsi="Times New Roman" w:eastAsia="Times New Roman" w:cs="Times New Roman"/>
      <w:color w:val="1F4D78"/>
      <w:sz w:val="24"/>
      <w:szCs w:val="24"/>
      <w:lang w:val="bs-Latn-BA" w:eastAsia="bs-Latn-BA" w:bidi="ar-SA"/>
    </w:rPr>
  </w:style>
  <w:style w:type="paragraph" w:styleId="5">
    <w:name w:val="heading 4"/>
    <w:semiHidden/>
    <w:unhideWhenUsed/>
    <w:qFormat/>
    <w:uiPriority w:val="9"/>
    <w:pPr>
      <w:outlineLvl w:val="3"/>
    </w:pPr>
    <w:rPr>
      <w:rFonts w:ascii="Times New Roman" w:hAnsi="Times New Roman" w:eastAsia="Times New Roman" w:cs="Times New Roman"/>
      <w:i/>
      <w:iCs/>
      <w:color w:val="2E74B5"/>
      <w:lang w:val="bs-Latn-BA" w:eastAsia="bs-Latn-BA" w:bidi="ar-SA"/>
    </w:rPr>
  </w:style>
  <w:style w:type="paragraph" w:styleId="6">
    <w:name w:val="heading 5"/>
    <w:semiHidden/>
    <w:unhideWhenUsed/>
    <w:qFormat/>
    <w:uiPriority w:val="9"/>
    <w:pPr>
      <w:outlineLvl w:val="4"/>
    </w:pPr>
    <w:rPr>
      <w:rFonts w:ascii="Times New Roman" w:hAnsi="Times New Roman" w:eastAsia="Times New Roman" w:cs="Times New Roman"/>
      <w:color w:val="2E74B5"/>
      <w:lang w:val="bs-Latn-BA" w:eastAsia="bs-Latn-BA" w:bidi="ar-SA"/>
    </w:rPr>
  </w:style>
  <w:style w:type="paragraph" w:styleId="7">
    <w:name w:val="heading 6"/>
    <w:semiHidden/>
    <w:unhideWhenUsed/>
    <w:qFormat/>
    <w:uiPriority w:val="9"/>
    <w:pPr>
      <w:outlineLvl w:val="5"/>
    </w:pPr>
    <w:rPr>
      <w:rFonts w:ascii="Times New Roman" w:hAnsi="Times New Roman" w:eastAsia="Times New Roman" w:cs="Times New Roman"/>
      <w:color w:val="1F4D78"/>
      <w:lang w:val="bs-Latn-BA" w:eastAsia="bs-Latn-BA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endnote reference"/>
    <w:semiHidden/>
    <w:unhideWhenUsed/>
    <w:qFormat/>
    <w:uiPriority w:val="99"/>
    <w:rPr>
      <w:vertAlign w:val="superscript"/>
    </w:rPr>
  </w:style>
  <w:style w:type="paragraph" w:styleId="11">
    <w:name w:val="endnote text"/>
    <w:link w:val="19"/>
    <w:semiHidden/>
    <w:unhideWhenUsed/>
    <w:qFormat/>
    <w:uiPriority w:val="99"/>
    <w:rPr>
      <w:rFonts w:ascii="Times New Roman" w:hAnsi="Times New Roman" w:eastAsia="Times New Roman" w:cs="Times New Roman"/>
      <w:lang w:val="bs-Latn-BA" w:eastAsia="bs-Latn-BA" w:bidi="ar-SA"/>
    </w:rPr>
  </w:style>
  <w:style w:type="character" w:styleId="12">
    <w:name w:val="footnote reference"/>
    <w:semiHidden/>
    <w:unhideWhenUsed/>
    <w:qFormat/>
    <w:uiPriority w:val="99"/>
    <w:rPr>
      <w:vertAlign w:val="superscript"/>
    </w:rPr>
  </w:style>
  <w:style w:type="paragraph" w:styleId="13">
    <w:name w:val="footnote text"/>
    <w:link w:val="18"/>
    <w:semiHidden/>
    <w:unhideWhenUsed/>
    <w:qFormat/>
    <w:uiPriority w:val="99"/>
    <w:rPr>
      <w:rFonts w:ascii="Times New Roman" w:hAnsi="Times New Roman" w:eastAsia="Times New Roman" w:cs="Times New Roman"/>
      <w:lang w:val="bs-Latn-BA" w:eastAsia="bs-Latn-BA" w:bidi="ar-SA"/>
    </w:rPr>
  </w:style>
  <w:style w:type="character" w:styleId="14">
    <w:name w:val="Hyperlink"/>
    <w:unhideWhenUsed/>
    <w:qFormat/>
    <w:uiPriority w:val="99"/>
    <w:rPr>
      <w:color w:val="0563C1"/>
      <w:u w:val="single"/>
    </w:rPr>
  </w:style>
  <w:style w:type="paragraph" w:styleId="15">
    <w:name w:val="Title"/>
    <w:qFormat/>
    <w:uiPriority w:val="10"/>
    <w:rPr>
      <w:rFonts w:ascii="Times New Roman" w:hAnsi="Times New Roman" w:eastAsia="Times New Roman" w:cs="Times New Roman"/>
      <w:sz w:val="56"/>
      <w:szCs w:val="56"/>
      <w:lang w:val="bs-Latn-BA" w:eastAsia="bs-Latn-BA" w:bidi="ar-SA"/>
    </w:rPr>
  </w:style>
  <w:style w:type="paragraph" w:customStyle="1" w:styleId="16">
    <w:name w:val="Strong1"/>
    <w:qFormat/>
    <w:uiPriority w:val="0"/>
    <w:rPr>
      <w:rFonts w:ascii="Times New Roman" w:hAnsi="Times New Roman" w:eastAsia="Times New Roman" w:cs="Times New Roman"/>
      <w:b/>
      <w:bCs/>
      <w:lang w:val="bs-Latn-BA" w:eastAsia="bs-Latn-BA" w:bidi="ar-SA"/>
    </w:rPr>
  </w:style>
  <w:style w:type="paragraph" w:styleId="17">
    <w:name w:val="List Paragraph"/>
    <w:qFormat/>
    <w:uiPriority w:val="0"/>
    <w:rPr>
      <w:rFonts w:ascii="Times New Roman" w:hAnsi="Times New Roman" w:eastAsia="Times New Roman" w:cs="Times New Roman"/>
      <w:lang w:val="bs-Latn-BA" w:eastAsia="bs-Latn-BA" w:bidi="ar-SA"/>
    </w:rPr>
  </w:style>
  <w:style w:type="character" w:customStyle="1" w:styleId="18">
    <w:name w:val="Footnote Text Char"/>
    <w:link w:val="13"/>
    <w:semiHidden/>
    <w:unhideWhenUsed/>
    <w:qFormat/>
    <w:uiPriority w:val="99"/>
    <w:rPr>
      <w:sz w:val="20"/>
      <w:szCs w:val="20"/>
    </w:rPr>
  </w:style>
  <w:style w:type="character" w:customStyle="1" w:styleId="19">
    <w:name w:val="Endnote Text Char"/>
    <w:link w:val="11"/>
    <w:semiHidden/>
    <w:unhideWhenUsed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776</Words>
  <Characters>4429</Characters>
  <Lines>36</Lines>
  <Paragraphs>10</Paragraphs>
  <TotalTime>9</TotalTime>
  <ScaleCrop>false</ScaleCrop>
  <LinksUpToDate>false</LinksUpToDate>
  <CharactersWithSpaces>5195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2026-07-29T08:15:00Z</dcterms:created>
  <dc:creator>Un-named</dc:creator>
  <cp:lastModifiedBy>W10</cp:lastModifiedBy>
  <dcterms:modified xsi:type="dcterms:W3CDTF">2026-07-29T08:39:09Z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47C70789217741B5AB6036F3954E237D_13</vt:lpwstr>
  </property>
</Properties>
</file>