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15FFD" w14:textId="77777777" w:rsidR="0083499F" w:rsidRDefault="0083499F" w:rsidP="0083499F">
      <w:pPr>
        <w:spacing w:after="240"/>
        <w:jc w:val="center"/>
      </w:pPr>
      <w:r>
        <w:rPr>
          <w:b/>
          <w:bCs/>
          <w:sz w:val="28"/>
          <w:szCs w:val="28"/>
        </w:rPr>
        <w:t>FORENSIC MEMORY OF MATERIALS: HOW ENGINEERING MATERIALS RECORD, PRESERVE, AND REVEAL PAST MECHANICAL, THERMAL, AND CHEMICAL EVENTS</w:t>
      </w:r>
    </w:p>
    <w:p w14:paraId="3BCC634C" w14:textId="77777777" w:rsidR="0083499F" w:rsidRDefault="0083499F" w:rsidP="0083499F">
      <w:pPr>
        <w:spacing w:after="60" w:line="235" w:lineRule="auto"/>
        <w:jc w:val="center"/>
      </w:pPr>
      <w:r>
        <w:t>Aleksandra Mitrović¹, Jelena Lamovec</w:t>
      </w:r>
      <w:r w:rsidRPr="00987A0E">
        <w:rPr>
          <w:vertAlign w:val="superscript"/>
        </w:rPr>
        <w:t>1</w:t>
      </w:r>
      <w:r>
        <w:t>, Svetlana Pelemis²</w:t>
      </w:r>
    </w:p>
    <w:p w14:paraId="2B0A3426" w14:textId="65993A0F" w:rsidR="0083499F" w:rsidRDefault="0083499F" w:rsidP="0083499F">
      <w:pPr>
        <w:spacing w:after="20" w:line="235" w:lineRule="auto"/>
        <w:jc w:val="center"/>
      </w:pPr>
      <w:r>
        <w:rPr>
          <w:sz w:val="20"/>
          <w:szCs w:val="20"/>
        </w:rPr>
        <w:t>¹ Department of Forensic Engineering, Faculty of Forensic Sciences and Engineering, CBRN</w:t>
      </w:r>
      <w:r w:rsidR="00ED35CE">
        <w:rPr>
          <w:sz w:val="20"/>
          <w:szCs w:val="20"/>
        </w:rPr>
        <w:t>e</w:t>
      </w:r>
      <w:r>
        <w:rPr>
          <w:sz w:val="20"/>
          <w:szCs w:val="20"/>
        </w:rPr>
        <w:t xml:space="preserve"> Center of Excellence, University of Criminal Investigation and Police Studies, 11000 Belgrade, Serbia</w:t>
      </w:r>
    </w:p>
    <w:p w14:paraId="417F71F7" w14:textId="77777777" w:rsidR="0083499F" w:rsidRDefault="0083499F" w:rsidP="0083499F">
      <w:pPr>
        <w:spacing w:after="60" w:line="235" w:lineRule="auto"/>
        <w:jc w:val="center"/>
      </w:pPr>
      <w:r>
        <w:rPr>
          <w:sz w:val="20"/>
          <w:szCs w:val="20"/>
        </w:rPr>
        <w:t>² University of East Sarajevo, Faculty of Technology Zvornik, 75400 Zvornik, Bosnia and Herzegovina</w:t>
      </w:r>
    </w:p>
    <w:p w14:paraId="5143FA9A" w14:textId="77777777" w:rsidR="0083499F" w:rsidRDefault="0083499F" w:rsidP="0083499F">
      <w:pPr>
        <w:spacing w:after="220" w:line="235" w:lineRule="auto"/>
        <w:jc w:val="center"/>
      </w:pPr>
      <w:r>
        <w:rPr>
          <w:sz w:val="20"/>
          <w:szCs w:val="20"/>
        </w:rPr>
        <w:t>Corresponding author: aleksandra.mitrovic@kpu.edu.rs</w:t>
      </w:r>
    </w:p>
    <w:p w14:paraId="37F1D909" w14:textId="77777777" w:rsidR="0083499F" w:rsidRDefault="0083499F" w:rsidP="0083499F">
      <w:pPr>
        <w:spacing w:after="100"/>
      </w:pPr>
      <w:r>
        <w:rPr>
          <w:b/>
          <w:bCs/>
        </w:rPr>
        <w:t>Abstract</w:t>
      </w:r>
    </w:p>
    <w:p w14:paraId="5420081C" w14:textId="77777777" w:rsidR="0083499F" w:rsidRDefault="0083499F" w:rsidP="0083499F">
      <w:pPr>
        <w:spacing w:after="120" w:line="264" w:lineRule="auto"/>
        <w:jc w:val="both"/>
      </w:pPr>
      <w:r>
        <w:rPr>
          <w:i/>
          <w:iCs/>
          <w:sz w:val="20"/>
          <w:szCs w:val="20"/>
        </w:rPr>
        <w:t xml:space="preserve">In forensic investigations, materials are traditionally treated as passive carriers of damage, rather than as active sources of information about past events. However, modern material science reveals that engineering materials inherently record mechanical, thermal, and chemical histories through permanent or transient changes in their structure and properties. This paper introduces and formalizes the concept of forensic memory of materials, defining materials as silent witnesses capable of preserving evidence of loading conditions, environmental exposure, and failure mechanisms over time. A comprehensive review is presented, classifying forensic material memory according to the dominant physical mechanism: mechanical (plastic deformation, residual strain fields, fracture morphology), thermal (phase transformations, heat-affected zones, transient thermal signatures), chemical (oxidation, degradation, corrosion products), and microstructural (grain evolution, defects, texture changes). The temporal stability of each memory type is discussed, distinguishing between short-term, medium-term, and long-term forensic indicators, with emphasis on their relevance for event reconstruction. Special attention is given to advanced full-field measurement techniques, such as digital image correlation and infrared thermography, which enable non-contact detection and visualization of latent material memory that is often invisible to conventional forensic methods. The paper highlights critical challenges, including the absence of standardized forensic protocols for interpreting material memory, the risk of misattributing similar damage to identical causes, and the growing need for interdisciplinary frameworks combining engineering mechanics, materials science, and forensic analysis. </w:t>
      </w:r>
      <w:r w:rsidRPr="00B51966">
        <w:rPr>
          <w:i/>
          <w:iCs/>
          <w:sz w:val="20"/>
          <w:szCs w:val="20"/>
        </w:rPr>
        <w:t>By bringing together knowledge from different fields, this work presents material forensic memory as a common framework for understanding the history of material damage and failure</w:t>
      </w:r>
      <w:r>
        <w:rPr>
          <w:i/>
          <w:iCs/>
          <w:sz w:val="20"/>
          <w:szCs w:val="20"/>
        </w:rPr>
        <w:t xml:space="preserve">. The proposed approach provides a foundation for future experimental studies, standard development, and the integration of physics-based evidence into forensic decision-making. Ultimately, recognizing materials as active recorders of past events enhances the reliability, objectivity, and </w:t>
      </w:r>
      <w:r w:rsidRPr="00B51966">
        <w:rPr>
          <w:i/>
          <w:iCs/>
          <w:sz w:val="20"/>
          <w:szCs w:val="20"/>
        </w:rPr>
        <w:t>scientific validity</w:t>
      </w:r>
      <w:r>
        <w:rPr>
          <w:i/>
          <w:iCs/>
          <w:sz w:val="20"/>
          <w:szCs w:val="20"/>
        </w:rPr>
        <w:t xml:space="preserve"> of modern forensic investigations.</w:t>
      </w:r>
    </w:p>
    <w:p w14:paraId="6BE3EBD7" w14:textId="77777777" w:rsidR="0083499F" w:rsidRDefault="0083499F" w:rsidP="0083499F">
      <w:pPr>
        <w:spacing w:after="280"/>
      </w:pPr>
      <w:r>
        <w:rPr>
          <w:b/>
          <w:bCs/>
          <w:sz w:val="20"/>
          <w:szCs w:val="20"/>
        </w:rPr>
        <w:t xml:space="preserve">Keywords: </w:t>
      </w:r>
      <w:r>
        <w:rPr>
          <w:i/>
          <w:iCs/>
          <w:sz w:val="20"/>
          <w:szCs w:val="20"/>
        </w:rPr>
        <w:t>forensic materials science; material memory; digital image correlation; infrared thermography; failure analysis; non-destructive evaluation</w:t>
      </w:r>
    </w:p>
    <w:p w14:paraId="683D4E10" w14:textId="77777777" w:rsidR="002A28E6" w:rsidRDefault="002A28E6"/>
    <w:p w14:paraId="1B265081" w14:textId="77777777" w:rsidR="0083499F" w:rsidRDefault="0083499F" w:rsidP="0083499F">
      <w:pPr>
        <w:spacing w:after="60" w:line="235" w:lineRule="auto"/>
        <w:jc w:val="center"/>
        <w:rPr>
          <w:b/>
          <w:bCs/>
          <w:sz w:val="28"/>
          <w:szCs w:val="28"/>
        </w:rPr>
      </w:pPr>
      <w:r w:rsidRPr="0083499F">
        <w:rPr>
          <w:b/>
          <w:bCs/>
          <w:sz w:val="28"/>
          <w:szCs w:val="28"/>
        </w:rPr>
        <w:t>FORENZIČKO PAMĆENJE MATERIJALA: BELEŽENJE, OČUVANJE I OTKRIVANJE PRETHODNIH MEHANIČKIH, TERMIČKIH I HEMIJSKIH DOGAĐAJA U INŽENJERSKIM MATERIJALIMA</w:t>
      </w:r>
    </w:p>
    <w:p w14:paraId="3C07B76F" w14:textId="4DDC6548" w:rsidR="0083499F" w:rsidRDefault="0083499F" w:rsidP="0083499F">
      <w:pPr>
        <w:spacing w:after="60" w:line="235" w:lineRule="auto"/>
        <w:jc w:val="center"/>
      </w:pPr>
      <w:r>
        <w:t>Aleksandra Mitrović¹, Jelena Lamovec</w:t>
      </w:r>
      <w:r w:rsidRPr="00987A0E">
        <w:rPr>
          <w:vertAlign w:val="superscript"/>
        </w:rPr>
        <w:t>1</w:t>
      </w:r>
      <w:r>
        <w:t>, Svetlana Pelemis²</w:t>
      </w:r>
    </w:p>
    <w:p w14:paraId="43A5CC9B" w14:textId="5B58C5CD" w:rsidR="0083499F" w:rsidRPr="0083499F" w:rsidRDefault="0083499F" w:rsidP="0083499F">
      <w:pPr>
        <w:spacing w:after="20" w:line="235" w:lineRule="auto"/>
        <w:jc w:val="center"/>
        <w:rPr>
          <w:sz w:val="20"/>
          <w:szCs w:val="20"/>
        </w:rPr>
      </w:pPr>
      <w:r>
        <w:rPr>
          <w:sz w:val="20"/>
          <w:szCs w:val="20"/>
        </w:rPr>
        <w:t xml:space="preserve">¹ </w:t>
      </w:r>
      <w:r w:rsidRPr="0083499F">
        <w:rPr>
          <w:sz w:val="20"/>
          <w:szCs w:val="20"/>
        </w:rPr>
        <w:t>Departman forenzičko</w:t>
      </w:r>
      <w:r w:rsidR="00981145">
        <w:rPr>
          <w:sz w:val="20"/>
          <w:szCs w:val="20"/>
        </w:rPr>
        <w:t>g</w:t>
      </w:r>
      <w:r w:rsidRPr="0083499F">
        <w:rPr>
          <w:sz w:val="20"/>
          <w:szCs w:val="20"/>
        </w:rPr>
        <w:t xml:space="preserve"> inženjerstv</w:t>
      </w:r>
      <w:r w:rsidR="00981145">
        <w:rPr>
          <w:sz w:val="20"/>
          <w:szCs w:val="20"/>
        </w:rPr>
        <w:t>a</w:t>
      </w:r>
      <w:r w:rsidRPr="0083499F">
        <w:rPr>
          <w:sz w:val="20"/>
          <w:szCs w:val="20"/>
        </w:rPr>
        <w:t>, Centar izvrsnosti za CBRN</w:t>
      </w:r>
      <w:r w:rsidR="00ED35CE">
        <w:rPr>
          <w:sz w:val="20"/>
          <w:szCs w:val="20"/>
        </w:rPr>
        <w:t>e</w:t>
      </w:r>
      <w:r w:rsidRPr="0083499F">
        <w:rPr>
          <w:sz w:val="20"/>
          <w:szCs w:val="20"/>
        </w:rPr>
        <w:t xml:space="preserve">, </w:t>
      </w:r>
      <w:r>
        <w:rPr>
          <w:sz w:val="20"/>
          <w:szCs w:val="20"/>
        </w:rPr>
        <w:t>K</w:t>
      </w:r>
      <w:r w:rsidRPr="0083499F">
        <w:rPr>
          <w:sz w:val="20"/>
          <w:szCs w:val="20"/>
        </w:rPr>
        <w:t>riminalističk</w:t>
      </w:r>
      <w:r>
        <w:rPr>
          <w:sz w:val="20"/>
          <w:szCs w:val="20"/>
        </w:rPr>
        <w:t>o</w:t>
      </w:r>
      <w:r w:rsidR="00B050E4">
        <w:rPr>
          <w:sz w:val="20"/>
          <w:szCs w:val="20"/>
        </w:rPr>
        <w:t>-</w:t>
      </w:r>
      <w:r w:rsidRPr="0083499F">
        <w:rPr>
          <w:sz w:val="20"/>
          <w:szCs w:val="20"/>
        </w:rPr>
        <w:t>policijski</w:t>
      </w:r>
      <w:r>
        <w:rPr>
          <w:sz w:val="20"/>
          <w:szCs w:val="20"/>
        </w:rPr>
        <w:t xml:space="preserve"> </w:t>
      </w:r>
      <w:r w:rsidR="00B050E4">
        <w:rPr>
          <w:sz w:val="20"/>
          <w:szCs w:val="20"/>
        </w:rPr>
        <w:t>u</w:t>
      </w:r>
      <w:r w:rsidRPr="0083499F">
        <w:rPr>
          <w:sz w:val="20"/>
          <w:szCs w:val="20"/>
        </w:rPr>
        <w:t>niverzitet , 11000 Beograd, Srbija</w:t>
      </w:r>
    </w:p>
    <w:p w14:paraId="0CCEFDE2" w14:textId="51DE666B" w:rsidR="0083499F" w:rsidRPr="0083499F" w:rsidRDefault="0083499F" w:rsidP="0083499F">
      <w:pPr>
        <w:spacing w:after="20" w:line="235" w:lineRule="auto"/>
        <w:jc w:val="center"/>
        <w:rPr>
          <w:sz w:val="20"/>
          <w:szCs w:val="20"/>
        </w:rPr>
      </w:pPr>
      <w:r w:rsidRPr="0083499F">
        <w:rPr>
          <w:sz w:val="20"/>
          <w:szCs w:val="20"/>
        </w:rPr>
        <w:t>² Univerzitet u Istočnom Sarajevu, Tehnološki fakultet Zvornik, 75400 Zvornik, Bosna i Hercegovina</w:t>
      </w:r>
    </w:p>
    <w:p w14:paraId="38765203" w14:textId="7BEE7C72" w:rsidR="0083499F" w:rsidRDefault="0083499F" w:rsidP="0083499F">
      <w:pPr>
        <w:spacing w:after="20" w:line="235" w:lineRule="auto"/>
        <w:jc w:val="center"/>
      </w:pPr>
      <w:r w:rsidRPr="0083499F">
        <w:rPr>
          <w:sz w:val="20"/>
          <w:szCs w:val="20"/>
        </w:rPr>
        <w:t>Autor za korespondenciju:</w:t>
      </w:r>
      <w:r>
        <w:rPr>
          <w:sz w:val="20"/>
          <w:szCs w:val="20"/>
        </w:rPr>
        <w:t xml:space="preserve"> aleksandra.mitrovic@kpu.edu.rs</w:t>
      </w:r>
    </w:p>
    <w:p w14:paraId="2E351EA6" w14:textId="6CA9BFA1" w:rsidR="0083499F" w:rsidRDefault="0083499F" w:rsidP="0083499F">
      <w:pPr>
        <w:spacing w:after="100"/>
      </w:pPr>
      <w:r>
        <w:rPr>
          <w:b/>
          <w:bCs/>
        </w:rPr>
        <w:t>A</w:t>
      </w:r>
      <w:r w:rsidR="000623B4">
        <w:rPr>
          <w:b/>
          <w:bCs/>
        </w:rPr>
        <w:t>p</w:t>
      </w:r>
      <w:r>
        <w:rPr>
          <w:b/>
          <w:bCs/>
        </w:rPr>
        <w:t>stra</w:t>
      </w:r>
      <w:r w:rsidR="000623B4">
        <w:rPr>
          <w:b/>
          <w:bCs/>
        </w:rPr>
        <w:t>k</w:t>
      </w:r>
      <w:r>
        <w:rPr>
          <w:b/>
          <w:bCs/>
        </w:rPr>
        <w:t>t</w:t>
      </w:r>
    </w:p>
    <w:p w14:paraId="1728E7AF" w14:textId="241D2EBB" w:rsidR="00DA0E8D" w:rsidRDefault="00DA0E8D" w:rsidP="00DA0E8D">
      <w:pPr>
        <w:spacing w:after="280"/>
        <w:jc w:val="both"/>
        <w:rPr>
          <w:i/>
          <w:iCs/>
          <w:sz w:val="20"/>
          <w:szCs w:val="20"/>
        </w:rPr>
      </w:pPr>
      <w:r w:rsidRPr="00DA0E8D">
        <w:rPr>
          <w:i/>
          <w:iCs/>
          <w:sz w:val="20"/>
          <w:szCs w:val="20"/>
        </w:rPr>
        <w:t>U forenzičkim istragama materijali se tradicionalno posmatraju kao pasivni nosioci tragova oštećenja, a ne kao aktivni izvori informacija o prethodnim događajima. Međutim, savremena nauka o materijalima pokazuje da inženjerski materijali inherentno beleže svoju mehaničku, termičku i hemijsku istoriju kroz trajne ili prolazne</w:t>
      </w:r>
      <w:r>
        <w:rPr>
          <w:i/>
          <w:iCs/>
          <w:sz w:val="20"/>
          <w:szCs w:val="20"/>
        </w:rPr>
        <w:t xml:space="preserve"> </w:t>
      </w:r>
      <w:r w:rsidRPr="00DA0E8D">
        <w:rPr>
          <w:i/>
          <w:iCs/>
          <w:sz w:val="20"/>
          <w:szCs w:val="20"/>
        </w:rPr>
        <w:t xml:space="preserve">promene </w:t>
      </w:r>
      <w:r w:rsidRPr="00DA0E8D">
        <w:rPr>
          <w:i/>
          <w:iCs/>
          <w:sz w:val="20"/>
          <w:szCs w:val="20"/>
        </w:rPr>
        <w:lastRenderedPageBreak/>
        <w:t>u strukturi i svojstvima. U ovom radu uvodi se i formalizuje koncept forenzičkog pamćenja materijala, pri čemu se materijali posmatraju kao „tihi svedoci“</w:t>
      </w:r>
      <w:r w:rsidR="001F50D3">
        <w:rPr>
          <w:i/>
          <w:iCs/>
          <w:sz w:val="20"/>
          <w:szCs w:val="20"/>
        </w:rPr>
        <w:t xml:space="preserve"> </w:t>
      </w:r>
      <w:r w:rsidRPr="00DA0E8D">
        <w:rPr>
          <w:i/>
          <w:iCs/>
          <w:sz w:val="20"/>
          <w:szCs w:val="20"/>
        </w:rPr>
        <w:t>sposobni da tokom vremena očuvaju informacije o uslovima opterećenja, izloženosti sredini i mehanizmima otkaza.</w:t>
      </w:r>
      <w:r w:rsidR="006701A7">
        <w:rPr>
          <w:i/>
          <w:iCs/>
          <w:sz w:val="20"/>
          <w:szCs w:val="20"/>
        </w:rPr>
        <w:t xml:space="preserve"> </w:t>
      </w:r>
      <w:r w:rsidRPr="00DA0E8D">
        <w:rPr>
          <w:i/>
          <w:iCs/>
          <w:sz w:val="20"/>
          <w:szCs w:val="20"/>
        </w:rPr>
        <w:t xml:space="preserve">Predstavljen je sveobuhvatan pregled i klasifikacija forenzičkog pamćenja materijala prema dominantnom fizičkom mehanizmu: mehaničkom (plastična deformacija, polja zaostalih </w:t>
      </w:r>
      <w:r w:rsidR="00FE0AAB">
        <w:rPr>
          <w:i/>
          <w:iCs/>
          <w:sz w:val="20"/>
          <w:szCs w:val="20"/>
        </w:rPr>
        <w:t>napon</w:t>
      </w:r>
      <w:r w:rsidRPr="00DA0E8D">
        <w:rPr>
          <w:i/>
          <w:iCs/>
          <w:sz w:val="20"/>
          <w:szCs w:val="20"/>
        </w:rPr>
        <w:t xml:space="preserve">a, morfologija preloma), termičkom (fazne transformacije, zone uticaja toplote, prolazni termički odzivi), hemijskom (oksidacija, degradacija, produkti korozije) i mikrostrukturnom (evolucija zrna, defekti, </w:t>
      </w:r>
      <w:r w:rsidR="00CD37E5" w:rsidRPr="00CD37E5">
        <w:rPr>
          <w:i/>
          <w:iCs/>
          <w:sz w:val="20"/>
          <w:szCs w:val="20"/>
        </w:rPr>
        <w:t>promene kristalografske</w:t>
      </w:r>
      <w:r w:rsidRPr="00DA0E8D">
        <w:rPr>
          <w:i/>
          <w:iCs/>
          <w:sz w:val="20"/>
          <w:szCs w:val="20"/>
        </w:rPr>
        <w:t xml:space="preserve"> teksture). Razmatra se vremenska postojanost svakog tipa memorije, uz razlikovanje kratkoročnih, srednjoročnih i dugoročnih forenzičkih indikatora, sa posebnim osvrtom na njihov značaj za rekonstrukciju događaja.</w:t>
      </w:r>
      <w:r>
        <w:rPr>
          <w:i/>
          <w:iCs/>
          <w:sz w:val="20"/>
          <w:szCs w:val="20"/>
        </w:rPr>
        <w:t xml:space="preserve"> </w:t>
      </w:r>
      <w:r w:rsidRPr="00DA0E8D">
        <w:rPr>
          <w:i/>
          <w:iCs/>
          <w:sz w:val="20"/>
          <w:szCs w:val="20"/>
        </w:rPr>
        <w:t>Posebna pažnja posvećena je naprednim metodama merenja sa punim poljem</w:t>
      </w:r>
      <w:r w:rsidR="00527E72">
        <w:rPr>
          <w:i/>
          <w:iCs/>
          <w:sz w:val="20"/>
          <w:szCs w:val="20"/>
        </w:rPr>
        <w:t xml:space="preserve"> deformacije odnosno temp</w:t>
      </w:r>
      <w:r w:rsidR="00E755F1">
        <w:rPr>
          <w:i/>
          <w:iCs/>
          <w:sz w:val="20"/>
          <w:szCs w:val="20"/>
        </w:rPr>
        <w:t>erature</w:t>
      </w:r>
      <w:r w:rsidRPr="00DA0E8D">
        <w:rPr>
          <w:i/>
          <w:iCs/>
          <w:sz w:val="20"/>
          <w:szCs w:val="20"/>
        </w:rPr>
        <w:t>, kao što su korelacija digitaln</w:t>
      </w:r>
      <w:r>
        <w:rPr>
          <w:i/>
          <w:iCs/>
          <w:sz w:val="20"/>
          <w:szCs w:val="20"/>
        </w:rPr>
        <w:t xml:space="preserve">ih </w:t>
      </w:r>
      <w:r w:rsidRPr="00DA0E8D">
        <w:rPr>
          <w:i/>
          <w:iCs/>
          <w:sz w:val="20"/>
          <w:szCs w:val="20"/>
        </w:rPr>
        <w:t>slika i infracrvena termografija, koje omogućavaju beskontaktno otkrivanje i vizuelizaciju latentn</w:t>
      </w:r>
      <w:r w:rsidR="00330DC0">
        <w:rPr>
          <w:i/>
          <w:iCs/>
          <w:sz w:val="20"/>
          <w:szCs w:val="20"/>
        </w:rPr>
        <w:t>e memorije</w:t>
      </w:r>
      <w:r w:rsidRPr="00DA0E8D">
        <w:rPr>
          <w:i/>
          <w:iCs/>
          <w:sz w:val="20"/>
          <w:szCs w:val="20"/>
        </w:rPr>
        <w:t xml:space="preserve"> materija</w:t>
      </w:r>
      <w:r w:rsidR="00330DC0">
        <w:rPr>
          <w:i/>
          <w:iCs/>
          <w:sz w:val="20"/>
          <w:szCs w:val="20"/>
        </w:rPr>
        <w:t xml:space="preserve">la </w:t>
      </w:r>
      <w:r w:rsidRPr="00DA0E8D">
        <w:rPr>
          <w:i/>
          <w:iCs/>
          <w:sz w:val="20"/>
          <w:szCs w:val="20"/>
        </w:rPr>
        <w:t xml:space="preserve">koji su često nedostupni konvencionalnim forenzičkim metodama. U radu se ukazuje na </w:t>
      </w:r>
      <w:r w:rsidR="00873E92">
        <w:rPr>
          <w:i/>
          <w:iCs/>
          <w:sz w:val="20"/>
          <w:szCs w:val="20"/>
        </w:rPr>
        <w:t>glav</w:t>
      </w:r>
      <w:r w:rsidRPr="00DA0E8D">
        <w:rPr>
          <w:i/>
          <w:iCs/>
          <w:sz w:val="20"/>
          <w:szCs w:val="20"/>
        </w:rPr>
        <w:t xml:space="preserve">ne izazove, uključujući nedostatak standardizovanih forenzičkih procedura za tumačenje </w:t>
      </w:r>
      <w:r w:rsidR="00287092">
        <w:rPr>
          <w:i/>
          <w:iCs/>
          <w:sz w:val="20"/>
          <w:szCs w:val="20"/>
        </w:rPr>
        <w:t xml:space="preserve">memorije </w:t>
      </w:r>
      <w:r w:rsidRPr="00DA0E8D">
        <w:rPr>
          <w:i/>
          <w:iCs/>
          <w:sz w:val="20"/>
          <w:szCs w:val="20"/>
        </w:rPr>
        <w:t>materija</w:t>
      </w:r>
      <w:r w:rsidR="00287092">
        <w:rPr>
          <w:i/>
          <w:iCs/>
          <w:sz w:val="20"/>
          <w:szCs w:val="20"/>
        </w:rPr>
        <w:t>la</w:t>
      </w:r>
      <w:r w:rsidRPr="00DA0E8D">
        <w:rPr>
          <w:i/>
          <w:iCs/>
          <w:sz w:val="20"/>
          <w:szCs w:val="20"/>
        </w:rPr>
        <w:t>, rizik od pogrešnog pripisivanja sličnih oštećenja istim uzrocima, kao i potrebu za interdisciplinarnim okvirima koji objedinjuju mehaniku, nauku o materijalima i forenzičko inženjerstvo.</w:t>
      </w:r>
      <w:r>
        <w:rPr>
          <w:i/>
          <w:iCs/>
          <w:sz w:val="20"/>
          <w:szCs w:val="20"/>
        </w:rPr>
        <w:t xml:space="preserve"> </w:t>
      </w:r>
      <w:r w:rsidRPr="00DA0E8D">
        <w:rPr>
          <w:i/>
          <w:iCs/>
          <w:sz w:val="20"/>
          <w:szCs w:val="20"/>
        </w:rPr>
        <w:t>Objedinjavanjem saznanja iz različitih oblasti, ovaj rad predstavlja forenzičk</w:t>
      </w:r>
      <w:r w:rsidR="00F16C80">
        <w:rPr>
          <w:i/>
          <w:iCs/>
          <w:sz w:val="20"/>
          <w:szCs w:val="20"/>
        </w:rPr>
        <w:t>u memoriju</w:t>
      </w:r>
      <w:r w:rsidRPr="00DA0E8D">
        <w:rPr>
          <w:i/>
          <w:iCs/>
          <w:sz w:val="20"/>
          <w:szCs w:val="20"/>
        </w:rPr>
        <w:t xml:space="preserve"> materijala kao zajednički konceptualni okvir za razumevanje istorije oštećenja i otkaza materijala. Predloženi pristup predstavlja osnovu za buduća eksperimentalna istraživanja, razvoj standarda i uključivanje dokaza zasnovanih na fizičkim zakonitostima u proces donošenja forenzičkih zaključaka. Posmatranje materijala kao aktivnih nosilaca informacija o prethodnim događajima može doprineti povećanju pouzdanosti, objektivnosti i naučne utemeljenosti savremenih forenzičkih istraživanja</w:t>
      </w:r>
      <w:r>
        <w:rPr>
          <w:i/>
          <w:iCs/>
          <w:sz w:val="20"/>
          <w:szCs w:val="20"/>
        </w:rPr>
        <w:t>.</w:t>
      </w:r>
    </w:p>
    <w:p w14:paraId="651AB14D" w14:textId="646E904D" w:rsidR="0083499F" w:rsidRPr="00B442AE" w:rsidRDefault="00B442AE">
      <w:r w:rsidRPr="00B442AE">
        <w:rPr>
          <w:b/>
          <w:bCs/>
          <w:sz w:val="20"/>
          <w:szCs w:val="20"/>
        </w:rPr>
        <w:t xml:space="preserve">Ključne reči: </w:t>
      </w:r>
      <w:r w:rsidRPr="00B442AE">
        <w:rPr>
          <w:sz w:val="20"/>
          <w:szCs w:val="20"/>
        </w:rPr>
        <w:t xml:space="preserve"> nauka o materijalima</w:t>
      </w:r>
      <w:r>
        <w:rPr>
          <w:sz w:val="20"/>
          <w:szCs w:val="20"/>
        </w:rPr>
        <w:t xml:space="preserve"> u </w:t>
      </w:r>
      <w:r w:rsidRPr="00B442AE">
        <w:rPr>
          <w:sz w:val="20"/>
          <w:szCs w:val="20"/>
        </w:rPr>
        <w:t>forenz</w:t>
      </w:r>
      <w:r>
        <w:rPr>
          <w:sz w:val="20"/>
          <w:szCs w:val="20"/>
        </w:rPr>
        <w:t>ici</w:t>
      </w:r>
      <w:r w:rsidRPr="00B442AE">
        <w:rPr>
          <w:sz w:val="20"/>
          <w:szCs w:val="20"/>
        </w:rPr>
        <w:t xml:space="preserve">; </w:t>
      </w:r>
      <w:r>
        <w:rPr>
          <w:sz w:val="20"/>
          <w:szCs w:val="20"/>
        </w:rPr>
        <w:t xml:space="preserve">memorija </w:t>
      </w:r>
      <w:r w:rsidRPr="00B442AE">
        <w:rPr>
          <w:sz w:val="20"/>
          <w:szCs w:val="20"/>
        </w:rPr>
        <w:t>materijal</w:t>
      </w:r>
      <w:r>
        <w:rPr>
          <w:sz w:val="20"/>
          <w:szCs w:val="20"/>
        </w:rPr>
        <w:t>a</w:t>
      </w:r>
      <w:r w:rsidRPr="00B442AE">
        <w:rPr>
          <w:sz w:val="20"/>
          <w:szCs w:val="20"/>
        </w:rPr>
        <w:t>;  korelacija digitaln</w:t>
      </w:r>
      <w:r>
        <w:rPr>
          <w:sz w:val="20"/>
          <w:szCs w:val="20"/>
        </w:rPr>
        <w:t xml:space="preserve">ih </w:t>
      </w:r>
      <w:r w:rsidRPr="00B442AE">
        <w:rPr>
          <w:sz w:val="20"/>
          <w:szCs w:val="20"/>
        </w:rPr>
        <w:t>slika; infracrvena termografija; analiza otkaza; nedestruktivna ispitivanja</w:t>
      </w:r>
    </w:p>
    <w:sectPr w:rsidR="0083499F" w:rsidRPr="00B442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9F"/>
    <w:rsid w:val="000623B4"/>
    <w:rsid w:val="000A09A6"/>
    <w:rsid w:val="001F50D3"/>
    <w:rsid w:val="00287092"/>
    <w:rsid w:val="002A28E6"/>
    <w:rsid w:val="00330DC0"/>
    <w:rsid w:val="004653BC"/>
    <w:rsid w:val="00527E72"/>
    <w:rsid w:val="00555486"/>
    <w:rsid w:val="006701A7"/>
    <w:rsid w:val="007A79C3"/>
    <w:rsid w:val="007C51FD"/>
    <w:rsid w:val="0083499F"/>
    <w:rsid w:val="00873E92"/>
    <w:rsid w:val="008B4978"/>
    <w:rsid w:val="00981145"/>
    <w:rsid w:val="009917A3"/>
    <w:rsid w:val="00B050E4"/>
    <w:rsid w:val="00B442AE"/>
    <w:rsid w:val="00CD37E5"/>
    <w:rsid w:val="00DA0E8D"/>
    <w:rsid w:val="00E755F1"/>
    <w:rsid w:val="00ED35CE"/>
    <w:rsid w:val="00F16C80"/>
    <w:rsid w:val="00FE0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F775"/>
  <w15:chartTrackingRefBased/>
  <w15:docId w15:val="{CA35D90D-33BC-4128-ABAF-6AD8F6095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99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349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49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49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49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49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49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9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9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9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9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49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49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49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49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49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9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9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99F"/>
    <w:rPr>
      <w:rFonts w:eastAsiaTheme="majorEastAsia" w:cstheme="majorBidi"/>
      <w:color w:val="272727" w:themeColor="text1" w:themeTint="D8"/>
    </w:rPr>
  </w:style>
  <w:style w:type="paragraph" w:styleId="Title">
    <w:name w:val="Title"/>
    <w:basedOn w:val="Normal"/>
    <w:next w:val="Normal"/>
    <w:link w:val="TitleChar"/>
    <w:uiPriority w:val="10"/>
    <w:qFormat/>
    <w:rsid w:val="008349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9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9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9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99F"/>
    <w:pPr>
      <w:spacing w:before="160"/>
      <w:jc w:val="center"/>
    </w:pPr>
    <w:rPr>
      <w:i/>
      <w:iCs/>
      <w:color w:val="404040" w:themeColor="text1" w:themeTint="BF"/>
    </w:rPr>
  </w:style>
  <w:style w:type="character" w:customStyle="1" w:styleId="QuoteChar">
    <w:name w:val="Quote Char"/>
    <w:basedOn w:val="DefaultParagraphFont"/>
    <w:link w:val="Quote"/>
    <w:uiPriority w:val="29"/>
    <w:rsid w:val="0083499F"/>
    <w:rPr>
      <w:i/>
      <w:iCs/>
      <w:color w:val="404040" w:themeColor="text1" w:themeTint="BF"/>
    </w:rPr>
  </w:style>
  <w:style w:type="paragraph" w:styleId="ListParagraph">
    <w:name w:val="List Paragraph"/>
    <w:basedOn w:val="Normal"/>
    <w:uiPriority w:val="34"/>
    <w:qFormat/>
    <w:rsid w:val="0083499F"/>
    <w:pPr>
      <w:ind w:left="720"/>
      <w:contextualSpacing/>
    </w:pPr>
  </w:style>
  <w:style w:type="character" w:styleId="IntenseEmphasis">
    <w:name w:val="Intense Emphasis"/>
    <w:basedOn w:val="DefaultParagraphFont"/>
    <w:uiPriority w:val="21"/>
    <w:qFormat/>
    <w:rsid w:val="0083499F"/>
    <w:rPr>
      <w:i/>
      <w:iCs/>
      <w:color w:val="2F5496" w:themeColor="accent1" w:themeShade="BF"/>
    </w:rPr>
  </w:style>
  <w:style w:type="paragraph" w:styleId="IntenseQuote">
    <w:name w:val="Intense Quote"/>
    <w:basedOn w:val="Normal"/>
    <w:next w:val="Normal"/>
    <w:link w:val="IntenseQuoteChar"/>
    <w:uiPriority w:val="30"/>
    <w:qFormat/>
    <w:rsid w:val="008349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499F"/>
    <w:rPr>
      <w:i/>
      <w:iCs/>
      <w:color w:val="2F5496" w:themeColor="accent1" w:themeShade="BF"/>
    </w:rPr>
  </w:style>
  <w:style w:type="character" w:styleId="IntenseReference">
    <w:name w:val="Intense Reference"/>
    <w:basedOn w:val="DefaultParagraphFont"/>
    <w:uiPriority w:val="32"/>
    <w:qFormat/>
    <w:rsid w:val="0083499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914</Words>
  <Characters>5210</Characters>
  <Application>Microsoft Office Word</Application>
  <DocSecurity>0</DocSecurity>
  <Lines>43</Lines>
  <Paragraphs>12</Paragraphs>
  <ScaleCrop>false</ScaleCrop>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Mitrović</dc:creator>
  <cp:keywords/>
  <dc:description/>
  <cp:lastModifiedBy>Admin TFZV</cp:lastModifiedBy>
  <cp:revision>2</cp:revision>
  <dcterms:created xsi:type="dcterms:W3CDTF">2026-08-19T14:36:00Z</dcterms:created>
  <dcterms:modified xsi:type="dcterms:W3CDTF">2026-08-19T14:36:00Z</dcterms:modified>
</cp:coreProperties>
</file>