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6C2ED0" w14:textId="6F8B168B" w:rsidR="007335E6" w:rsidRDefault="007335E6" w:rsidP="007335E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r w:rsidRPr="007335E6">
        <w:rPr>
          <w:rFonts w:ascii="Times New Roman" w:hAnsi="Times New Roman" w:cs="Times New Roman"/>
          <w:b/>
          <w:bCs/>
          <w:sz w:val="28"/>
          <w:szCs w:val="28"/>
        </w:rPr>
        <w:t>Evaluating Hydrological Drought of the Trebišnjica River Based on the Streamflow Drought Index (SDI)</w:t>
      </w:r>
      <w:bookmarkEnd w:id="0"/>
    </w:p>
    <w:p w14:paraId="27BE0166" w14:textId="77777777" w:rsidR="007335E6" w:rsidRDefault="007335E6" w:rsidP="007335E6">
      <w:pPr>
        <w:spacing w:after="0" w:line="240" w:lineRule="auto"/>
        <w:rPr>
          <w:rFonts w:ascii="Times New Roman" w:hAnsi="Times New Roman" w:cs="Times New Roman"/>
        </w:rPr>
      </w:pPr>
    </w:p>
    <w:p w14:paraId="41F44F04" w14:textId="666364A6" w:rsidR="00A7000C" w:rsidRDefault="007335E6" w:rsidP="007335E6">
      <w:pPr>
        <w:spacing w:after="0" w:line="240" w:lineRule="auto"/>
        <w:rPr>
          <w:rFonts w:ascii="Times New Roman" w:hAnsi="Times New Roman" w:cs="Times New Roman"/>
          <w:vertAlign w:val="superscript"/>
        </w:rPr>
      </w:pPr>
      <w:r w:rsidRPr="007335E6">
        <w:rPr>
          <w:rFonts w:ascii="Times New Roman" w:hAnsi="Times New Roman" w:cs="Times New Roman"/>
        </w:rPr>
        <w:t>Slobodan Gnjato</w:t>
      </w:r>
      <w:r w:rsidRPr="007335E6">
        <w:rPr>
          <w:rFonts w:ascii="Times New Roman" w:hAnsi="Times New Roman" w:cs="Times New Roman"/>
          <w:vertAlign w:val="superscript"/>
        </w:rPr>
        <w:t>1</w:t>
      </w:r>
      <w:r w:rsidRPr="007335E6">
        <w:rPr>
          <w:rFonts w:ascii="Times New Roman" w:hAnsi="Times New Roman" w:cs="Times New Roman"/>
        </w:rPr>
        <w:t>, Tatjana Popov</w:t>
      </w:r>
      <w:r w:rsidRPr="007335E6">
        <w:rPr>
          <w:rFonts w:ascii="Times New Roman" w:hAnsi="Times New Roman" w:cs="Times New Roman"/>
          <w:vertAlign w:val="superscript"/>
        </w:rPr>
        <w:t>1</w:t>
      </w:r>
      <w:r w:rsidRPr="007335E6">
        <w:rPr>
          <w:rFonts w:ascii="Times New Roman" w:hAnsi="Times New Roman" w:cs="Times New Roman"/>
        </w:rPr>
        <w:t>, Goran Trbić</w:t>
      </w:r>
      <w:r w:rsidRPr="007335E6">
        <w:rPr>
          <w:rFonts w:ascii="Times New Roman" w:hAnsi="Times New Roman" w:cs="Times New Roman"/>
          <w:vertAlign w:val="superscript"/>
        </w:rPr>
        <w:t>1,2</w:t>
      </w:r>
    </w:p>
    <w:p w14:paraId="2763EC4F" w14:textId="77777777" w:rsidR="007335E6" w:rsidRPr="007335E6" w:rsidRDefault="007335E6" w:rsidP="007335E6">
      <w:pPr>
        <w:spacing w:after="0" w:line="240" w:lineRule="auto"/>
        <w:rPr>
          <w:rFonts w:ascii="Times New Roman" w:hAnsi="Times New Roman" w:cs="Times New Roman"/>
          <w:vertAlign w:val="superscript"/>
        </w:rPr>
      </w:pPr>
    </w:p>
    <w:p w14:paraId="14D64A3E" w14:textId="2599E3B4" w:rsidR="007335E6" w:rsidRDefault="007335E6" w:rsidP="007335E6">
      <w:pPr>
        <w:spacing w:after="0" w:line="240" w:lineRule="auto"/>
        <w:rPr>
          <w:rFonts w:ascii="Times New Roman" w:hAnsi="Times New Roman" w:cs="Times New Roman"/>
        </w:rPr>
      </w:pPr>
      <w:r w:rsidRPr="007335E6">
        <w:rPr>
          <w:rFonts w:ascii="Times New Roman" w:hAnsi="Times New Roman" w:cs="Times New Roman"/>
          <w:vertAlign w:val="superscript"/>
        </w:rPr>
        <w:t xml:space="preserve">1 </w:t>
      </w:r>
      <w:r w:rsidRPr="007335E6">
        <w:rPr>
          <w:rFonts w:ascii="Times New Roman" w:hAnsi="Times New Roman" w:cs="Times New Roman"/>
        </w:rPr>
        <w:t>University of Banja Luka, Faculty of Natural Sciences and Mathematics</w:t>
      </w:r>
      <w:r>
        <w:rPr>
          <w:rFonts w:ascii="Times New Roman" w:hAnsi="Times New Roman" w:cs="Times New Roman"/>
        </w:rPr>
        <w:t xml:space="preserve">, </w:t>
      </w:r>
      <w:r w:rsidRPr="007335E6">
        <w:rPr>
          <w:rFonts w:ascii="Times New Roman" w:hAnsi="Times New Roman" w:cs="Times New Roman"/>
        </w:rPr>
        <w:t>Mladena Stojanovi</w:t>
      </w:r>
      <w:r>
        <w:rPr>
          <w:rFonts w:ascii="Times New Roman" w:hAnsi="Times New Roman" w:cs="Times New Roman"/>
        </w:rPr>
        <w:t>ć</w:t>
      </w:r>
      <w:r w:rsidRPr="007335E6">
        <w:rPr>
          <w:rFonts w:ascii="Times New Roman" w:hAnsi="Times New Roman" w:cs="Times New Roman"/>
        </w:rPr>
        <w:t>a 2, 78000 Banja Luka, Bosnia and Herzegovin</w:t>
      </w:r>
      <w:r>
        <w:rPr>
          <w:rFonts w:ascii="Times New Roman" w:hAnsi="Times New Roman" w:cs="Times New Roman"/>
        </w:rPr>
        <w:t>a</w:t>
      </w:r>
      <w:r w:rsidR="006221EC">
        <w:rPr>
          <w:rFonts w:ascii="Times New Roman" w:hAnsi="Times New Roman" w:cs="Times New Roman"/>
        </w:rPr>
        <w:t xml:space="preserve"> </w:t>
      </w:r>
      <w:hyperlink r:id="rId4" w:history="1">
        <w:r w:rsidR="006221EC">
          <w:rPr>
            <w:rStyle w:val="Hyperlink"/>
            <w:rFonts w:ascii="Arial" w:hAnsi="Arial" w:cs="Arial"/>
            <w:color w:val="2A6496"/>
            <w:sz w:val="20"/>
            <w:szCs w:val="20"/>
            <w:shd w:val="clear" w:color="auto" w:fill="FFFFFF"/>
          </w:rPr>
          <w:t>slobodan.gnjato@pmf.unibl.org</w:t>
        </w:r>
      </w:hyperlink>
      <w:r w:rsidR="006221EC">
        <w:t>,</w:t>
      </w:r>
      <w:r w:rsidR="006221EC">
        <w:rPr>
          <w:rFonts w:ascii="Times New Roman" w:hAnsi="Times New Roman" w:cs="Times New Roman"/>
        </w:rPr>
        <w:t xml:space="preserve"> </w:t>
      </w:r>
      <w:r w:rsidR="006221EC"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>tatjana.popov@pmf.unibl.org</w:t>
      </w:r>
    </w:p>
    <w:p w14:paraId="66D42CCB" w14:textId="3637E09F" w:rsidR="007335E6" w:rsidRDefault="007335E6" w:rsidP="007335E6">
      <w:pPr>
        <w:spacing w:after="0" w:line="240" w:lineRule="auto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vertAlign w:val="superscript"/>
        </w:rPr>
        <w:t>2</w:t>
      </w:r>
      <w:proofErr w:type="gramEnd"/>
      <w:r>
        <w:rPr>
          <w:rFonts w:ascii="Times New Roman" w:hAnsi="Times New Roman" w:cs="Times New Roman"/>
        </w:rPr>
        <w:t xml:space="preserve"> </w:t>
      </w:r>
      <w:r w:rsidRPr="007335E6">
        <w:rPr>
          <w:rFonts w:ascii="Times New Roman" w:hAnsi="Times New Roman" w:cs="Times New Roman"/>
        </w:rPr>
        <w:t>Academy of Sciences and Arts of the Republic of Srpska, Banja</w:t>
      </w:r>
      <w:r>
        <w:rPr>
          <w:rFonts w:ascii="Times New Roman" w:hAnsi="Times New Roman" w:cs="Times New Roman"/>
        </w:rPr>
        <w:t xml:space="preserve"> </w:t>
      </w:r>
      <w:r w:rsidRPr="007335E6">
        <w:rPr>
          <w:rFonts w:ascii="Times New Roman" w:hAnsi="Times New Roman" w:cs="Times New Roman"/>
        </w:rPr>
        <w:t>Luka, Bosnia and Herzegovin</w:t>
      </w:r>
      <w:r>
        <w:rPr>
          <w:rFonts w:ascii="Times New Roman" w:hAnsi="Times New Roman" w:cs="Times New Roman"/>
        </w:rPr>
        <w:t>a</w:t>
      </w:r>
      <w:r w:rsidR="006221EC">
        <w:rPr>
          <w:rFonts w:ascii="Times New Roman" w:hAnsi="Times New Roman" w:cs="Times New Roman"/>
        </w:rPr>
        <w:t xml:space="preserve"> </w:t>
      </w:r>
      <w:hyperlink r:id="rId5" w:tgtFrame="_blank" w:history="1">
        <w:r w:rsidR="006221EC">
          <w:rPr>
            <w:rStyle w:val="Hyperlink"/>
            <w:rFonts w:ascii="Arial" w:hAnsi="Arial" w:cs="Arial"/>
            <w:b/>
            <w:bCs/>
            <w:color w:val="1155CC"/>
            <w:shd w:val="clear" w:color="auto" w:fill="FFFFFF"/>
          </w:rPr>
          <w:t>goran.trbic@pmf.unibl.org</w:t>
        </w:r>
      </w:hyperlink>
    </w:p>
    <w:p w14:paraId="6D5EDC00" w14:textId="77777777" w:rsidR="007335E6" w:rsidRDefault="007335E6" w:rsidP="007335E6">
      <w:pPr>
        <w:spacing w:after="0" w:line="240" w:lineRule="auto"/>
        <w:rPr>
          <w:rFonts w:ascii="Times New Roman" w:hAnsi="Times New Roman" w:cs="Times New Roman"/>
        </w:rPr>
      </w:pPr>
    </w:p>
    <w:p w14:paraId="6777D814" w14:textId="4DD81B9B" w:rsidR="007335E6" w:rsidRDefault="007335E6" w:rsidP="007335E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335E6">
        <w:rPr>
          <w:rFonts w:ascii="Times New Roman" w:hAnsi="Times New Roman" w:cs="Times New Roman"/>
          <w:b/>
          <w:bCs/>
        </w:rPr>
        <w:t>Abstract</w:t>
      </w:r>
      <w:r>
        <w:rPr>
          <w:rFonts w:ascii="Times New Roman" w:hAnsi="Times New Roman" w:cs="Times New Roman"/>
        </w:rPr>
        <w:t xml:space="preserve">: </w:t>
      </w:r>
      <w:r w:rsidRPr="007335E6">
        <w:rPr>
          <w:rFonts w:ascii="Times New Roman" w:hAnsi="Times New Roman" w:cs="Times New Roman"/>
        </w:rPr>
        <w:t xml:space="preserve">One of the key issues facing </w:t>
      </w:r>
      <w:r>
        <w:rPr>
          <w:rFonts w:ascii="Times New Roman" w:hAnsi="Times New Roman" w:cs="Times New Roman"/>
        </w:rPr>
        <w:t>modern</w:t>
      </w:r>
      <w:r w:rsidRPr="007335E6">
        <w:rPr>
          <w:rFonts w:ascii="Times New Roman" w:hAnsi="Times New Roman" w:cs="Times New Roman"/>
        </w:rPr>
        <w:t xml:space="preserve"> society is water scarcity.</w:t>
      </w:r>
      <w:r>
        <w:rPr>
          <w:rFonts w:ascii="Times New Roman" w:hAnsi="Times New Roman" w:cs="Times New Roman"/>
        </w:rPr>
        <w:t xml:space="preserve"> Hydrological d</w:t>
      </w:r>
      <w:r w:rsidRPr="007335E6">
        <w:rPr>
          <w:rFonts w:ascii="Times New Roman" w:hAnsi="Times New Roman" w:cs="Times New Roman"/>
        </w:rPr>
        <w:t>rought is a natural phenomenon characterized by a prolonged period of below-normal water availability, during which water resources may become insufficient to meet existing demands.</w:t>
      </w:r>
      <w:r>
        <w:rPr>
          <w:rFonts w:ascii="Times New Roman" w:hAnsi="Times New Roman" w:cs="Times New Roman"/>
        </w:rPr>
        <w:t xml:space="preserve"> </w:t>
      </w:r>
      <w:r w:rsidRPr="007335E6">
        <w:rPr>
          <w:rFonts w:ascii="Times New Roman" w:hAnsi="Times New Roman" w:cs="Times New Roman"/>
        </w:rPr>
        <w:t>Th</w:t>
      </w:r>
      <w:r>
        <w:rPr>
          <w:rFonts w:ascii="Times New Roman" w:hAnsi="Times New Roman" w:cs="Times New Roman"/>
        </w:rPr>
        <w:t>e main goal of this</w:t>
      </w:r>
      <w:r w:rsidRPr="007335E6">
        <w:rPr>
          <w:rFonts w:ascii="Times New Roman" w:hAnsi="Times New Roman" w:cs="Times New Roman"/>
        </w:rPr>
        <w:t xml:space="preserve"> study</w:t>
      </w:r>
      <w:r>
        <w:rPr>
          <w:rFonts w:ascii="Times New Roman" w:hAnsi="Times New Roman" w:cs="Times New Roman"/>
        </w:rPr>
        <w:t xml:space="preserve"> was</w:t>
      </w:r>
      <w:r w:rsidRPr="007335E6">
        <w:rPr>
          <w:rFonts w:ascii="Times New Roman" w:hAnsi="Times New Roman" w:cs="Times New Roman"/>
        </w:rPr>
        <w:t xml:space="preserve"> to assess hydrological drought </w:t>
      </w:r>
      <w:r>
        <w:rPr>
          <w:rFonts w:ascii="Times New Roman" w:hAnsi="Times New Roman" w:cs="Times New Roman"/>
        </w:rPr>
        <w:t>of</w:t>
      </w:r>
      <w:r w:rsidRPr="007335E6">
        <w:rPr>
          <w:rFonts w:ascii="Times New Roman" w:hAnsi="Times New Roman" w:cs="Times New Roman"/>
        </w:rPr>
        <w:t xml:space="preserve"> the Trebišnjica River.</w:t>
      </w:r>
      <w:r>
        <w:rPr>
          <w:rFonts w:ascii="Times New Roman" w:hAnsi="Times New Roman" w:cs="Times New Roman"/>
        </w:rPr>
        <w:t xml:space="preserve"> </w:t>
      </w:r>
      <w:r w:rsidRPr="007335E6">
        <w:rPr>
          <w:rFonts w:ascii="Times New Roman" w:hAnsi="Times New Roman" w:cs="Times New Roman"/>
        </w:rPr>
        <w:t xml:space="preserve">To </w:t>
      </w:r>
      <w:r>
        <w:rPr>
          <w:rFonts w:ascii="Times New Roman" w:hAnsi="Times New Roman" w:cs="Times New Roman"/>
        </w:rPr>
        <w:t>determine</w:t>
      </w:r>
      <w:r w:rsidRPr="007335E6">
        <w:rPr>
          <w:rFonts w:ascii="Times New Roman" w:hAnsi="Times New Roman" w:cs="Times New Roman"/>
        </w:rPr>
        <w:t xml:space="preserve"> hydrological drought </w:t>
      </w:r>
      <w:r>
        <w:rPr>
          <w:rFonts w:ascii="Times New Roman" w:hAnsi="Times New Roman" w:cs="Times New Roman"/>
        </w:rPr>
        <w:t>of</w:t>
      </w:r>
      <w:r w:rsidRPr="007335E6">
        <w:rPr>
          <w:rFonts w:ascii="Times New Roman" w:hAnsi="Times New Roman" w:cs="Times New Roman"/>
        </w:rPr>
        <w:t xml:space="preserve"> the studied river, we applied the Streamflow Drought Index (SDI)</w:t>
      </w:r>
      <w:r>
        <w:rPr>
          <w:rFonts w:ascii="Times New Roman" w:hAnsi="Times New Roman" w:cs="Times New Roman"/>
        </w:rPr>
        <w:t xml:space="preserve"> and calculated annual, summer (April-September) and winter (October-March) SDI values</w:t>
      </w:r>
      <w:r w:rsidRPr="007335E6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The index was computed using</w:t>
      </w:r>
      <w:r w:rsidRPr="007335E6">
        <w:rPr>
          <w:rFonts w:ascii="Times New Roman" w:hAnsi="Times New Roman" w:cs="Times New Roman"/>
        </w:rPr>
        <w:t xml:space="preserve"> mean monthly streamflow data from the Grančarevo gauging station for the period 1961–2025</w:t>
      </w:r>
      <w:r>
        <w:rPr>
          <w:rFonts w:ascii="Times New Roman" w:hAnsi="Times New Roman" w:cs="Times New Roman"/>
        </w:rPr>
        <w:t xml:space="preserve">. </w:t>
      </w:r>
      <w:r w:rsidRPr="007335E6">
        <w:rPr>
          <w:rFonts w:ascii="Times New Roman" w:hAnsi="Times New Roman" w:cs="Times New Roman"/>
        </w:rPr>
        <w:t>Subsequently, the Mann–Kendall trend test was applied to assess temporal changes in SDI values over the study period.</w:t>
      </w:r>
      <w:r>
        <w:rPr>
          <w:rFonts w:ascii="Times New Roman" w:hAnsi="Times New Roman" w:cs="Times New Roman"/>
        </w:rPr>
        <w:t xml:space="preserve"> Our analysis revealed two long-lasting</w:t>
      </w:r>
      <w:r w:rsidRPr="007335E6">
        <w:rPr>
          <w:rFonts w:ascii="Times New Roman" w:hAnsi="Times New Roman" w:cs="Times New Roman"/>
        </w:rPr>
        <w:t xml:space="preserve"> distinct drought episode</w:t>
      </w:r>
      <w:r>
        <w:rPr>
          <w:rFonts w:ascii="Times New Roman" w:hAnsi="Times New Roman" w:cs="Times New Roman"/>
        </w:rPr>
        <w:t>s</w:t>
      </w:r>
      <w:r w:rsidRPr="007335E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that </w:t>
      </w:r>
      <w:r w:rsidRPr="007335E6">
        <w:rPr>
          <w:rFonts w:ascii="Times New Roman" w:hAnsi="Times New Roman" w:cs="Times New Roman"/>
        </w:rPr>
        <w:t xml:space="preserve">can be identified between 1988/89 and </w:t>
      </w:r>
      <w:r>
        <w:rPr>
          <w:rFonts w:ascii="Times New Roman" w:hAnsi="Times New Roman" w:cs="Times New Roman"/>
        </w:rPr>
        <w:t>200</w:t>
      </w:r>
      <w:r w:rsidRPr="007335E6">
        <w:rPr>
          <w:rFonts w:ascii="Times New Roman" w:hAnsi="Times New Roman" w:cs="Times New Roman"/>
        </w:rPr>
        <w:t>2/</w:t>
      </w:r>
      <w:r>
        <w:rPr>
          <w:rFonts w:ascii="Times New Roman" w:hAnsi="Times New Roman" w:cs="Times New Roman"/>
        </w:rPr>
        <w:t>2003 and between 2014/2015 and 2024/2025.</w:t>
      </w:r>
      <w:r w:rsidRPr="007335E6">
        <w:rPr>
          <w:rFonts w:ascii="Times New Roman" w:hAnsi="Times New Roman" w:cs="Times New Roman"/>
        </w:rPr>
        <w:t xml:space="preserve"> SDI values remained </w:t>
      </w:r>
      <w:r>
        <w:rPr>
          <w:rFonts w:ascii="Times New Roman" w:hAnsi="Times New Roman" w:cs="Times New Roman"/>
        </w:rPr>
        <w:t xml:space="preserve">predominantly </w:t>
      </w:r>
      <w:r w:rsidRPr="007335E6">
        <w:rPr>
          <w:rFonts w:ascii="Times New Roman" w:hAnsi="Times New Roman" w:cs="Times New Roman"/>
        </w:rPr>
        <w:t>negative throughout th</w:t>
      </w:r>
      <w:r>
        <w:rPr>
          <w:rFonts w:ascii="Times New Roman" w:hAnsi="Times New Roman" w:cs="Times New Roman"/>
        </w:rPr>
        <w:t>ese</w:t>
      </w:r>
      <w:r w:rsidRPr="007335E6">
        <w:rPr>
          <w:rFonts w:ascii="Times New Roman" w:hAnsi="Times New Roman" w:cs="Times New Roman"/>
        </w:rPr>
        <w:t xml:space="preserve"> period</w:t>
      </w:r>
      <w:r>
        <w:rPr>
          <w:rFonts w:ascii="Times New Roman" w:hAnsi="Times New Roman" w:cs="Times New Roman"/>
        </w:rPr>
        <w:t>s</w:t>
      </w:r>
      <w:r w:rsidRPr="007335E6">
        <w:rPr>
          <w:rFonts w:ascii="Times New Roman" w:hAnsi="Times New Roman" w:cs="Times New Roman"/>
        </w:rPr>
        <w:t xml:space="preserve">, with </w:t>
      </w:r>
      <w:r>
        <w:rPr>
          <w:rFonts w:ascii="Times New Roman" w:hAnsi="Times New Roman" w:cs="Times New Roman"/>
        </w:rPr>
        <w:t>several</w:t>
      </w:r>
      <w:r w:rsidRPr="007335E6">
        <w:rPr>
          <w:rFonts w:ascii="Times New Roman" w:hAnsi="Times New Roman" w:cs="Times New Roman"/>
        </w:rPr>
        <w:t xml:space="preserve"> pronounced deficits </w:t>
      </w:r>
      <w:r>
        <w:rPr>
          <w:rFonts w:ascii="Times New Roman" w:hAnsi="Times New Roman" w:cs="Times New Roman"/>
        </w:rPr>
        <w:t xml:space="preserve">observed </w:t>
      </w:r>
      <w:r w:rsidRPr="007335E6">
        <w:rPr>
          <w:rFonts w:ascii="Times New Roman" w:hAnsi="Times New Roman" w:cs="Times New Roman"/>
        </w:rPr>
        <w:t>in 1988/89 (–1.71), 1989/90 (–1.85), 1992/93 (–2.15)</w:t>
      </w:r>
      <w:r>
        <w:rPr>
          <w:rFonts w:ascii="Times New Roman" w:hAnsi="Times New Roman" w:cs="Times New Roman"/>
        </w:rPr>
        <w:t>, 2001</w:t>
      </w:r>
      <w:r w:rsidRPr="007335E6"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</w:rPr>
        <w:t>2002</w:t>
      </w:r>
      <w:r w:rsidRPr="007335E6">
        <w:rPr>
          <w:rFonts w:ascii="Times New Roman" w:hAnsi="Times New Roman" w:cs="Times New Roman"/>
        </w:rPr>
        <w:t xml:space="preserve"> (–</w:t>
      </w:r>
      <w:r>
        <w:rPr>
          <w:rFonts w:ascii="Times New Roman" w:hAnsi="Times New Roman" w:cs="Times New Roman"/>
        </w:rPr>
        <w:t>1</w:t>
      </w:r>
      <w:r w:rsidRPr="007335E6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73</w:t>
      </w:r>
      <w:r w:rsidRPr="007335E6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 and 2016</w:t>
      </w:r>
      <w:r w:rsidRPr="007335E6"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</w:rPr>
        <w:t>2017</w:t>
      </w:r>
      <w:r w:rsidRPr="007335E6">
        <w:rPr>
          <w:rFonts w:ascii="Times New Roman" w:hAnsi="Times New Roman" w:cs="Times New Roman"/>
        </w:rPr>
        <w:t xml:space="preserve"> (–</w:t>
      </w:r>
      <w:r>
        <w:rPr>
          <w:rFonts w:ascii="Times New Roman" w:hAnsi="Times New Roman" w:cs="Times New Roman"/>
        </w:rPr>
        <w:t>1</w:t>
      </w:r>
      <w:r w:rsidRPr="007335E6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87). </w:t>
      </w:r>
      <w:r w:rsidRPr="007335E6">
        <w:rPr>
          <w:rFonts w:ascii="Times New Roman" w:hAnsi="Times New Roman" w:cs="Times New Roman"/>
        </w:rPr>
        <w:t xml:space="preserve">The Mann–Kendall test results show a decreasing trend of annual and seasonal SDI values, </w:t>
      </w:r>
      <w:r>
        <w:rPr>
          <w:rFonts w:ascii="Times New Roman" w:hAnsi="Times New Roman" w:cs="Times New Roman"/>
        </w:rPr>
        <w:t>whereas</w:t>
      </w:r>
      <w:r w:rsidRPr="007335E6">
        <w:rPr>
          <w:rFonts w:ascii="Times New Roman" w:hAnsi="Times New Roman" w:cs="Times New Roman"/>
        </w:rPr>
        <w:t xml:space="preserve"> significant decreasing </w:t>
      </w:r>
      <w:r>
        <w:rPr>
          <w:rFonts w:ascii="Times New Roman" w:hAnsi="Times New Roman" w:cs="Times New Roman"/>
        </w:rPr>
        <w:t>tendencies</w:t>
      </w:r>
      <w:r w:rsidRPr="007335E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were</w:t>
      </w:r>
      <w:r w:rsidRPr="007335E6">
        <w:rPr>
          <w:rFonts w:ascii="Times New Roman" w:hAnsi="Times New Roman" w:cs="Times New Roman"/>
        </w:rPr>
        <w:t xml:space="preserve"> found for the annual and summer values</w:t>
      </w:r>
      <w:r>
        <w:rPr>
          <w:rFonts w:ascii="Times New Roman" w:hAnsi="Times New Roman" w:cs="Times New Roman"/>
        </w:rPr>
        <w:t>.</w:t>
      </w:r>
      <w:r w:rsidRPr="007335E6">
        <w:rPr>
          <w:rFonts w:ascii="Times New Roman" w:hAnsi="Times New Roman" w:cs="Times New Roman"/>
        </w:rPr>
        <w:t xml:space="preserve"> Overall, our findings suggest a shift in hydrological conditions in the Trebišnjica River towards increasingly dry conditions.</w:t>
      </w:r>
    </w:p>
    <w:p w14:paraId="26F7401B" w14:textId="77777777" w:rsidR="007335E6" w:rsidRDefault="007335E6" w:rsidP="007335E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7AD5AA1" w14:textId="376DED60" w:rsidR="007335E6" w:rsidRPr="007335E6" w:rsidRDefault="007335E6" w:rsidP="007335E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335E6">
        <w:rPr>
          <w:rFonts w:ascii="Times New Roman" w:hAnsi="Times New Roman" w:cs="Times New Roman"/>
          <w:b/>
          <w:bCs/>
        </w:rPr>
        <w:t>Keywords</w:t>
      </w:r>
      <w:r>
        <w:rPr>
          <w:rFonts w:ascii="Times New Roman" w:hAnsi="Times New Roman" w:cs="Times New Roman"/>
        </w:rPr>
        <w:t xml:space="preserve">: </w:t>
      </w:r>
      <w:r w:rsidRPr="007335E6">
        <w:rPr>
          <w:rFonts w:ascii="Times New Roman" w:hAnsi="Times New Roman" w:cs="Times New Roman"/>
        </w:rPr>
        <w:t>drought</w:t>
      </w:r>
      <w:r>
        <w:rPr>
          <w:rFonts w:ascii="Times New Roman" w:hAnsi="Times New Roman" w:cs="Times New Roman"/>
        </w:rPr>
        <w:t>,</w:t>
      </w:r>
      <w:r w:rsidRPr="007335E6">
        <w:rPr>
          <w:rFonts w:ascii="Times New Roman" w:hAnsi="Times New Roman" w:cs="Times New Roman"/>
        </w:rPr>
        <w:t xml:space="preserve"> Streamflow Drought Index</w:t>
      </w:r>
      <w:r>
        <w:rPr>
          <w:rFonts w:ascii="Times New Roman" w:hAnsi="Times New Roman" w:cs="Times New Roman"/>
        </w:rPr>
        <w:t>,</w:t>
      </w:r>
      <w:r w:rsidRPr="007335E6">
        <w:rPr>
          <w:rFonts w:ascii="Times New Roman" w:hAnsi="Times New Roman" w:cs="Times New Roman"/>
        </w:rPr>
        <w:t xml:space="preserve"> T</w:t>
      </w:r>
      <w:r>
        <w:rPr>
          <w:rFonts w:ascii="Times New Roman" w:hAnsi="Times New Roman" w:cs="Times New Roman"/>
        </w:rPr>
        <w:t>rebišnjica</w:t>
      </w:r>
      <w:r w:rsidRPr="007335E6">
        <w:rPr>
          <w:rFonts w:ascii="Times New Roman" w:hAnsi="Times New Roman" w:cs="Times New Roman"/>
        </w:rPr>
        <w:t xml:space="preserve"> River</w:t>
      </w:r>
      <w:r>
        <w:rPr>
          <w:rFonts w:ascii="Times New Roman" w:hAnsi="Times New Roman" w:cs="Times New Roman"/>
        </w:rPr>
        <w:t>, Bosnia and Herzegovina</w:t>
      </w:r>
    </w:p>
    <w:p w14:paraId="65E898C3" w14:textId="46D42A0E" w:rsidR="007335E6" w:rsidRPr="007335E6" w:rsidRDefault="007335E6" w:rsidP="007335E6">
      <w:pPr>
        <w:spacing w:after="0" w:line="240" w:lineRule="auto"/>
        <w:rPr>
          <w:rFonts w:ascii="Times New Roman" w:hAnsi="Times New Roman" w:cs="Times New Roman"/>
        </w:rPr>
      </w:pPr>
    </w:p>
    <w:sectPr w:rsidR="007335E6" w:rsidRPr="007335E6" w:rsidSect="00A24B31">
      <w:pgSz w:w="12240" w:h="15840"/>
      <w:pgMar w:top="1814" w:right="1440" w:bottom="1915" w:left="1800" w:header="0" w:footer="1742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5E6"/>
    <w:rsid w:val="005816CB"/>
    <w:rsid w:val="006221EC"/>
    <w:rsid w:val="007335E6"/>
    <w:rsid w:val="007967E9"/>
    <w:rsid w:val="007F167D"/>
    <w:rsid w:val="00A24B31"/>
    <w:rsid w:val="00A7000C"/>
    <w:rsid w:val="00FC3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A953D6"/>
  <w15:chartTrackingRefBased/>
  <w15:docId w15:val="{8340D8B4-101F-D54C-B3C8-BFE4ED92C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35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35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35E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35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35E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35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35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35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35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35E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35E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35E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35E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35E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35E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35E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35E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35E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35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335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35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335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335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335E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35E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335E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35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35E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35E6"/>
    <w:rPr>
      <w:b/>
      <w:bCs/>
      <w:smallCaps/>
      <w:color w:val="0F4761" w:themeColor="accent1" w:themeShade="BF"/>
      <w:spacing w:val="5"/>
    </w:rPr>
  </w:style>
  <w:style w:type="character" w:styleId="Emphasis">
    <w:name w:val="Emphasis"/>
    <w:basedOn w:val="DefaultParagraphFont"/>
    <w:uiPriority w:val="20"/>
    <w:qFormat/>
    <w:rsid w:val="006221EC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6221EC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6221E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goran.trbic@pmf.unibl.org" TargetMode="External"/><Relationship Id="rId4" Type="http://schemas.openxmlformats.org/officeDocument/2006/relationships/hyperlink" Target="javascript:%20showProfile('slobodan.gnjato@pmf.unibl.org')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Slobodan Gnjato</dc:creator>
  <cp:keywords/>
  <dc:description/>
  <cp:lastModifiedBy>Suma Plan </cp:lastModifiedBy>
  <cp:revision>3</cp:revision>
  <dcterms:created xsi:type="dcterms:W3CDTF">2026-08-20T09:44:00Z</dcterms:created>
  <dcterms:modified xsi:type="dcterms:W3CDTF">2026-08-20T11:00:00Z</dcterms:modified>
</cp:coreProperties>
</file>