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DE9" w:rsidRPr="0002536E" w:rsidRDefault="00FE16B5" w:rsidP="002A30AF">
      <w:pPr>
        <w:pStyle w:val="Heading1"/>
        <w:jc w:val="center"/>
        <w:rPr>
          <w:rFonts w:ascii="Times New Roman" w:hAnsi="Times New Roman" w:cs="Times New Roman"/>
          <w:b/>
          <w:color w:val="auto"/>
          <w:sz w:val="28"/>
        </w:rPr>
      </w:pPr>
      <w:r w:rsidRPr="0002536E">
        <w:rPr>
          <w:rFonts w:ascii="Times New Roman" w:hAnsi="Times New Roman" w:cs="Times New Roman"/>
          <w:b/>
          <w:color w:val="auto"/>
          <w:sz w:val="28"/>
        </w:rPr>
        <w:t>PRIMJENA VJEŠTAČKE INTELIGENCIJE U PREDVIĐANJU ELEKTRIČNIH SVOJSTAVA ČVRSTIH MATERIJALA</w:t>
      </w:r>
    </w:p>
    <w:p w:rsidR="00FE16B5" w:rsidRDefault="00FE16B5" w:rsidP="00FE16B5">
      <w:pPr>
        <w:jc w:val="center"/>
        <w:rPr>
          <w:rFonts w:ascii="Times New Roman" w:hAnsi="Times New Roman" w:cs="Times New Roman"/>
          <w:b/>
          <w:sz w:val="28"/>
          <w:szCs w:val="24"/>
        </w:rPr>
      </w:pPr>
    </w:p>
    <w:p w:rsidR="00FE16B5" w:rsidRDefault="00FE16B5" w:rsidP="00FE16B5">
      <w:pPr>
        <w:jc w:val="center"/>
        <w:rPr>
          <w:rFonts w:ascii="Times New Roman" w:hAnsi="Times New Roman" w:cs="Times New Roman"/>
          <w:b/>
          <w:sz w:val="28"/>
          <w:szCs w:val="24"/>
        </w:rPr>
      </w:pPr>
    </w:p>
    <w:p w:rsidR="00FE16B5" w:rsidRDefault="00FE16B5" w:rsidP="00FE16B5">
      <w:pPr>
        <w:jc w:val="center"/>
        <w:rPr>
          <w:rFonts w:ascii="Times New Roman" w:hAnsi="Times New Roman" w:cs="Times New Roman"/>
          <w:szCs w:val="24"/>
          <w:lang w:val="en-US"/>
        </w:rPr>
      </w:pPr>
      <w:r w:rsidRPr="00FE16B5">
        <w:rPr>
          <w:rFonts w:ascii="Times New Roman" w:hAnsi="Times New Roman" w:cs="Times New Roman"/>
          <w:b/>
          <w:szCs w:val="24"/>
          <w:lang w:val="en-US"/>
        </w:rPr>
        <w:t>Sandi Božičković</w:t>
      </w:r>
      <w:proofErr w:type="gramStart"/>
      <w:r w:rsidRPr="00FE16B5">
        <w:rPr>
          <w:rFonts w:ascii="Times New Roman" w:hAnsi="Times New Roman" w:cs="Times New Roman"/>
          <w:b/>
          <w:szCs w:val="24"/>
          <w:vertAlign w:val="superscript"/>
          <w:lang w:val="en-US"/>
        </w:rPr>
        <w:t>1</w:t>
      </w:r>
      <w:r>
        <w:rPr>
          <w:rFonts w:ascii="Times New Roman" w:hAnsi="Times New Roman" w:cs="Times New Roman"/>
          <w:b/>
          <w:szCs w:val="24"/>
          <w:lang w:val="en-US"/>
        </w:rPr>
        <w:t xml:space="preserve">,  </w:t>
      </w:r>
      <w:r w:rsidRPr="00FE16B5">
        <w:rPr>
          <w:rFonts w:ascii="Times New Roman" w:hAnsi="Times New Roman" w:cs="Times New Roman"/>
          <w:b/>
          <w:szCs w:val="24"/>
          <w:lang w:val="en-US"/>
        </w:rPr>
        <w:t>Ratko</w:t>
      </w:r>
      <w:proofErr w:type="gramEnd"/>
      <w:r w:rsidRPr="00FE16B5">
        <w:rPr>
          <w:rFonts w:ascii="Times New Roman" w:hAnsi="Times New Roman" w:cs="Times New Roman"/>
          <w:b/>
          <w:szCs w:val="24"/>
          <w:lang w:val="en-US"/>
        </w:rPr>
        <w:t xml:space="preserve"> Garić</w:t>
      </w:r>
      <w:r w:rsidRPr="00FE16B5">
        <w:rPr>
          <w:rFonts w:ascii="Times New Roman" w:hAnsi="Times New Roman" w:cs="Times New Roman"/>
          <w:b/>
          <w:szCs w:val="24"/>
          <w:vertAlign w:val="superscript"/>
          <w:lang w:val="en-US"/>
        </w:rPr>
        <w:t>2</w:t>
      </w:r>
    </w:p>
    <w:p w:rsidR="00FE16B5" w:rsidRDefault="00FE16B5" w:rsidP="00FE16B5">
      <w:pPr>
        <w:jc w:val="center"/>
        <w:rPr>
          <w:rFonts w:ascii="Times New Roman" w:hAnsi="Times New Roman" w:cs="Times New Roman"/>
          <w:szCs w:val="24"/>
          <w:lang w:val="en-US"/>
        </w:rPr>
      </w:pPr>
    </w:p>
    <w:p w:rsidR="00FE16B5" w:rsidRDefault="00FE16B5" w:rsidP="00FE16B5">
      <w:pPr>
        <w:jc w:val="both"/>
        <w:rPr>
          <w:rFonts w:ascii="Times New Roman" w:hAnsi="Times New Roman" w:cs="Times New Roman"/>
          <w:sz w:val="18"/>
          <w:szCs w:val="24"/>
        </w:rPr>
      </w:pPr>
      <w:proofErr w:type="gramStart"/>
      <w:r w:rsidRPr="00FE16B5">
        <w:rPr>
          <w:rFonts w:ascii="Times New Roman" w:hAnsi="Times New Roman" w:cs="Times New Roman"/>
          <w:sz w:val="18"/>
          <w:szCs w:val="24"/>
          <w:vertAlign w:val="superscript"/>
        </w:rPr>
        <w:t xml:space="preserve">1 </w:t>
      </w:r>
      <w:r w:rsidR="00701CF2">
        <w:rPr>
          <w:rFonts w:ascii="Times New Roman" w:hAnsi="Times New Roman" w:cs="Times New Roman"/>
          <w:sz w:val="18"/>
          <w:szCs w:val="24"/>
          <w:vertAlign w:val="superscript"/>
        </w:rPr>
        <w:t xml:space="preserve"> </w:t>
      </w:r>
      <w:r w:rsidR="00701CF2">
        <w:rPr>
          <w:rFonts w:ascii="Times New Roman" w:hAnsi="Times New Roman" w:cs="Times New Roman"/>
          <w:sz w:val="18"/>
          <w:szCs w:val="24"/>
        </w:rPr>
        <w:t>JU</w:t>
      </w:r>
      <w:proofErr w:type="gramEnd"/>
      <w:r w:rsidR="00701CF2">
        <w:rPr>
          <w:rFonts w:ascii="Times New Roman" w:hAnsi="Times New Roman" w:cs="Times New Roman"/>
          <w:sz w:val="18"/>
          <w:szCs w:val="24"/>
        </w:rPr>
        <w:t xml:space="preserve"> </w:t>
      </w:r>
      <w:r>
        <w:rPr>
          <w:rFonts w:ascii="Times New Roman" w:hAnsi="Times New Roman" w:cs="Times New Roman"/>
          <w:sz w:val="18"/>
          <w:szCs w:val="24"/>
        </w:rPr>
        <w:t>Saobraćajna i elektro škola</w:t>
      </w:r>
      <w:r w:rsidRPr="00FE16B5">
        <w:rPr>
          <w:rFonts w:ascii="Times New Roman" w:hAnsi="Times New Roman" w:cs="Times New Roman"/>
          <w:sz w:val="18"/>
          <w:szCs w:val="24"/>
        </w:rPr>
        <w:t xml:space="preserve">, Doboj, </w:t>
      </w:r>
      <w:r>
        <w:rPr>
          <w:rFonts w:ascii="Times New Roman" w:hAnsi="Times New Roman" w:cs="Times New Roman"/>
          <w:sz w:val="18"/>
          <w:szCs w:val="24"/>
        </w:rPr>
        <w:t>Bosna i Hercegovina</w:t>
      </w:r>
      <w:r w:rsidRPr="00FE16B5">
        <w:rPr>
          <w:rFonts w:ascii="Times New Roman" w:hAnsi="Times New Roman" w:cs="Times New Roman"/>
          <w:sz w:val="18"/>
          <w:szCs w:val="24"/>
        </w:rPr>
        <w:t>, RS, sandi.bozickovic@gmail.com ,</w:t>
      </w:r>
    </w:p>
    <w:p w:rsidR="00FE16B5" w:rsidRDefault="00FE16B5" w:rsidP="00FE16B5">
      <w:pPr>
        <w:jc w:val="center"/>
        <w:rPr>
          <w:rFonts w:ascii="Times New Roman" w:hAnsi="Times New Roman" w:cs="Times New Roman"/>
          <w:sz w:val="18"/>
          <w:szCs w:val="24"/>
        </w:rPr>
      </w:pPr>
      <w:r w:rsidRPr="00FE16B5">
        <w:rPr>
          <w:rFonts w:ascii="Times New Roman" w:hAnsi="Times New Roman" w:cs="Times New Roman"/>
          <w:sz w:val="18"/>
          <w:szCs w:val="24"/>
        </w:rPr>
        <w:t>ORCID ID 0009-0004-4746-3288</w:t>
      </w:r>
    </w:p>
    <w:p w:rsidR="00FE16B5" w:rsidRDefault="00FE16B5" w:rsidP="00FE16B5">
      <w:pPr>
        <w:jc w:val="center"/>
        <w:rPr>
          <w:rFonts w:ascii="Times New Roman" w:hAnsi="Times New Roman" w:cs="Times New Roman"/>
          <w:sz w:val="18"/>
          <w:szCs w:val="24"/>
        </w:rPr>
      </w:pPr>
      <w:r w:rsidRPr="00FE16B5">
        <w:rPr>
          <w:rFonts w:ascii="Times New Roman" w:hAnsi="Times New Roman" w:cs="Times New Roman"/>
          <w:sz w:val="18"/>
          <w:szCs w:val="24"/>
          <w:vertAlign w:val="superscript"/>
        </w:rPr>
        <w:t>2</w:t>
      </w:r>
      <w:r>
        <w:rPr>
          <w:rFonts w:ascii="Times New Roman" w:hAnsi="Times New Roman" w:cs="Times New Roman"/>
          <w:sz w:val="18"/>
          <w:szCs w:val="24"/>
        </w:rPr>
        <w:t>Fakultet za profesionalne studije za menadžment i poslovne komunikacije, Beograd, Srbija</w:t>
      </w:r>
      <w:r w:rsidRPr="00FE16B5">
        <w:rPr>
          <w:rFonts w:ascii="Times New Roman" w:hAnsi="Times New Roman" w:cs="Times New Roman"/>
          <w:sz w:val="18"/>
          <w:szCs w:val="24"/>
        </w:rPr>
        <w:t xml:space="preserve">, </w:t>
      </w:r>
      <w:proofErr w:type="gramStart"/>
      <w:r w:rsidRPr="00FE16B5">
        <w:rPr>
          <w:rFonts w:ascii="Times New Roman" w:hAnsi="Times New Roman" w:cs="Times New Roman"/>
          <w:sz w:val="18"/>
          <w:szCs w:val="24"/>
        </w:rPr>
        <w:t>ratkog15@yahoo.com ,</w:t>
      </w:r>
      <w:proofErr w:type="gramEnd"/>
      <w:r w:rsidRPr="00FE16B5">
        <w:rPr>
          <w:rFonts w:ascii="Times New Roman" w:hAnsi="Times New Roman" w:cs="Times New Roman"/>
          <w:sz w:val="18"/>
          <w:szCs w:val="24"/>
        </w:rPr>
        <w:t xml:space="preserve"> </w:t>
      </w:r>
    </w:p>
    <w:p w:rsidR="00FE16B5" w:rsidRPr="00FE16B5" w:rsidRDefault="00FE16B5" w:rsidP="00FE16B5">
      <w:pPr>
        <w:jc w:val="center"/>
        <w:rPr>
          <w:rFonts w:ascii="Times New Roman" w:hAnsi="Times New Roman" w:cs="Times New Roman"/>
          <w:sz w:val="18"/>
          <w:szCs w:val="24"/>
        </w:rPr>
      </w:pPr>
      <w:r w:rsidRPr="00FE16B5">
        <w:rPr>
          <w:rFonts w:ascii="Times New Roman" w:hAnsi="Times New Roman" w:cs="Times New Roman"/>
          <w:sz w:val="18"/>
          <w:szCs w:val="24"/>
        </w:rPr>
        <w:t>ORCID ID 0009-0007-7315-0981</w:t>
      </w:r>
    </w:p>
    <w:p w:rsidR="00FE16B5" w:rsidRPr="00FE16B5" w:rsidRDefault="00FE16B5" w:rsidP="00FE16B5">
      <w:pPr>
        <w:jc w:val="center"/>
        <w:rPr>
          <w:rFonts w:ascii="Times New Roman" w:hAnsi="Times New Roman" w:cs="Times New Roman"/>
          <w:b/>
          <w:sz w:val="24"/>
          <w:szCs w:val="24"/>
        </w:rPr>
      </w:pPr>
    </w:p>
    <w:p w:rsidR="00FE16B5" w:rsidRPr="00FE16B5" w:rsidRDefault="00FE16B5" w:rsidP="00FE16B5">
      <w:pPr>
        <w:jc w:val="both"/>
        <w:rPr>
          <w:rFonts w:ascii="Times New Roman" w:hAnsi="Times New Roman" w:cs="Times New Roman"/>
          <w:sz w:val="18"/>
          <w:szCs w:val="24"/>
        </w:rPr>
      </w:pPr>
      <w:r w:rsidRPr="00FE16B5">
        <w:rPr>
          <w:rFonts w:ascii="Times New Roman" w:hAnsi="Times New Roman" w:cs="Times New Roman"/>
          <w:b/>
          <w:sz w:val="18"/>
          <w:szCs w:val="24"/>
        </w:rPr>
        <w:t xml:space="preserve">Sažetak: </w:t>
      </w:r>
      <w:r w:rsidRPr="00FE16B5">
        <w:rPr>
          <w:rFonts w:ascii="Times New Roman" w:hAnsi="Times New Roman" w:cs="Times New Roman"/>
          <w:sz w:val="18"/>
          <w:szCs w:val="24"/>
        </w:rPr>
        <w:t>U radu se istražuje primjena vještačke inteligencije u predviđanju električne provodljivosti, specifične električne otpornosti, širine zabranjene zone i dielektrične konstante čvrstih materijala. Modeli mašinskog učenja razvijaju se na osnovu hemijskog sastava, kristalne strukture, temperature i drugih fizičkih karakteristika materijala. Performanse linearne regresije, slučajnih šuma i neuronskih mreža procjenjuju se primjenom pokazatelja R², MAE i RMSE. Predloženi pristup omogućava prepoznavanje složenih odnosa između strukture i električnih svojstava, ubrzava karakterizaciju materijala i olakšava izbor funkcionalnih materijala za senzore, energetsku elektroniku i IoT uređaje.</w:t>
      </w:r>
    </w:p>
    <w:p w:rsidR="00FE16B5" w:rsidRPr="00FE16B5" w:rsidRDefault="00FE16B5" w:rsidP="00FE16B5">
      <w:pPr>
        <w:jc w:val="both"/>
        <w:rPr>
          <w:rFonts w:ascii="Times New Roman" w:hAnsi="Times New Roman" w:cs="Times New Roman"/>
          <w:b/>
          <w:sz w:val="18"/>
          <w:szCs w:val="24"/>
        </w:rPr>
      </w:pPr>
    </w:p>
    <w:p w:rsidR="00FE16B5" w:rsidRPr="00FE16B5" w:rsidRDefault="00FE16B5" w:rsidP="00FE16B5">
      <w:pPr>
        <w:jc w:val="both"/>
        <w:rPr>
          <w:rFonts w:ascii="Times New Roman" w:hAnsi="Times New Roman" w:cs="Times New Roman"/>
          <w:i/>
          <w:sz w:val="18"/>
          <w:szCs w:val="24"/>
        </w:rPr>
      </w:pPr>
      <w:r w:rsidRPr="00FE16B5">
        <w:rPr>
          <w:rFonts w:ascii="Times New Roman" w:hAnsi="Times New Roman" w:cs="Times New Roman"/>
          <w:b/>
          <w:sz w:val="18"/>
          <w:szCs w:val="24"/>
        </w:rPr>
        <w:t xml:space="preserve">Ključne riječi: </w:t>
      </w:r>
      <w:r w:rsidRPr="00FE16B5">
        <w:rPr>
          <w:rFonts w:ascii="Times New Roman" w:hAnsi="Times New Roman" w:cs="Times New Roman"/>
          <w:i/>
          <w:sz w:val="18"/>
          <w:szCs w:val="24"/>
        </w:rPr>
        <w:t>vještačka inteligencija, fizika čvrstog stanja, električna provodljivost, mašinsko učenje, funkcionalni materijali.</w:t>
      </w:r>
    </w:p>
    <w:p w:rsidR="00FE16B5" w:rsidRDefault="00FE16B5" w:rsidP="00FE16B5">
      <w:pPr>
        <w:jc w:val="both"/>
        <w:rPr>
          <w:rFonts w:ascii="Times New Roman" w:hAnsi="Times New Roman" w:cs="Times New Roman"/>
          <w:sz w:val="18"/>
          <w:szCs w:val="24"/>
        </w:rPr>
      </w:pPr>
    </w:p>
    <w:p w:rsidR="00FE16B5" w:rsidRDefault="00FE16B5" w:rsidP="00FE16B5">
      <w:pPr>
        <w:jc w:val="both"/>
        <w:rPr>
          <w:rFonts w:ascii="Times New Roman" w:hAnsi="Times New Roman" w:cs="Times New Roman"/>
          <w:sz w:val="18"/>
          <w:szCs w:val="24"/>
        </w:rPr>
      </w:pPr>
    </w:p>
    <w:p w:rsidR="00FE16B5" w:rsidRPr="00FE16B5" w:rsidRDefault="00FE16B5" w:rsidP="00FE16B5">
      <w:pPr>
        <w:jc w:val="center"/>
        <w:rPr>
          <w:rFonts w:ascii="Times New Roman" w:hAnsi="Times New Roman" w:cs="Times New Roman"/>
          <w:szCs w:val="24"/>
        </w:rPr>
      </w:pPr>
      <w:r w:rsidRPr="00FE16B5">
        <w:rPr>
          <w:rFonts w:ascii="Times New Roman" w:hAnsi="Times New Roman" w:cs="Times New Roman"/>
          <w:b/>
          <w:bCs/>
          <w:szCs w:val="24"/>
        </w:rPr>
        <w:t>APPLICATION OF ARTIFICIAL INTELLIGENCE IN PREDICTING THE ELECTRICAL PROPERTIES OF SOLID MATERIALS</w:t>
      </w:r>
    </w:p>
    <w:p w:rsidR="00FE16B5" w:rsidRDefault="00FE16B5" w:rsidP="00FE16B5">
      <w:pPr>
        <w:jc w:val="both"/>
        <w:rPr>
          <w:rFonts w:ascii="Times New Roman" w:hAnsi="Times New Roman" w:cs="Times New Roman"/>
          <w:b/>
          <w:bCs/>
          <w:szCs w:val="24"/>
        </w:rPr>
      </w:pPr>
    </w:p>
    <w:p w:rsidR="00FE16B5" w:rsidRDefault="00FE16B5" w:rsidP="00FE16B5">
      <w:pPr>
        <w:jc w:val="center"/>
        <w:rPr>
          <w:rFonts w:ascii="Times New Roman" w:hAnsi="Times New Roman" w:cs="Times New Roman"/>
          <w:szCs w:val="24"/>
          <w:lang w:val="en-US"/>
        </w:rPr>
      </w:pPr>
      <w:r w:rsidRPr="00FE16B5">
        <w:rPr>
          <w:rFonts w:ascii="Times New Roman" w:hAnsi="Times New Roman" w:cs="Times New Roman"/>
          <w:b/>
          <w:szCs w:val="24"/>
          <w:lang w:val="en-US"/>
        </w:rPr>
        <w:t>Sandi Božičković</w:t>
      </w:r>
      <w:proofErr w:type="gramStart"/>
      <w:r w:rsidRPr="00FE16B5">
        <w:rPr>
          <w:rFonts w:ascii="Times New Roman" w:hAnsi="Times New Roman" w:cs="Times New Roman"/>
          <w:b/>
          <w:szCs w:val="24"/>
          <w:vertAlign w:val="superscript"/>
          <w:lang w:val="en-US"/>
        </w:rPr>
        <w:t>1</w:t>
      </w:r>
      <w:r>
        <w:rPr>
          <w:rFonts w:ascii="Times New Roman" w:hAnsi="Times New Roman" w:cs="Times New Roman"/>
          <w:b/>
          <w:szCs w:val="24"/>
          <w:lang w:val="en-US"/>
        </w:rPr>
        <w:t xml:space="preserve">,  </w:t>
      </w:r>
      <w:r w:rsidRPr="00FE16B5">
        <w:rPr>
          <w:rFonts w:ascii="Times New Roman" w:hAnsi="Times New Roman" w:cs="Times New Roman"/>
          <w:b/>
          <w:szCs w:val="24"/>
          <w:lang w:val="en-US"/>
        </w:rPr>
        <w:t>Ratko</w:t>
      </w:r>
      <w:proofErr w:type="gramEnd"/>
      <w:r w:rsidRPr="00FE16B5">
        <w:rPr>
          <w:rFonts w:ascii="Times New Roman" w:hAnsi="Times New Roman" w:cs="Times New Roman"/>
          <w:b/>
          <w:szCs w:val="24"/>
          <w:lang w:val="en-US"/>
        </w:rPr>
        <w:t xml:space="preserve"> Garić</w:t>
      </w:r>
      <w:r w:rsidRPr="00FE16B5">
        <w:rPr>
          <w:rFonts w:ascii="Times New Roman" w:hAnsi="Times New Roman" w:cs="Times New Roman"/>
          <w:b/>
          <w:szCs w:val="24"/>
          <w:vertAlign w:val="superscript"/>
          <w:lang w:val="en-US"/>
        </w:rPr>
        <w:t>2</w:t>
      </w:r>
    </w:p>
    <w:p w:rsidR="00FE16B5" w:rsidRDefault="00FE16B5" w:rsidP="00FE16B5">
      <w:pPr>
        <w:jc w:val="center"/>
        <w:rPr>
          <w:rFonts w:ascii="Times New Roman" w:hAnsi="Times New Roman" w:cs="Times New Roman"/>
          <w:szCs w:val="24"/>
          <w:lang w:val="en-US"/>
        </w:rPr>
      </w:pPr>
    </w:p>
    <w:p w:rsidR="00FE16B5" w:rsidRDefault="00FE16B5" w:rsidP="00FE16B5">
      <w:pPr>
        <w:jc w:val="both"/>
        <w:rPr>
          <w:rFonts w:ascii="Times New Roman" w:hAnsi="Times New Roman" w:cs="Times New Roman"/>
          <w:sz w:val="18"/>
          <w:szCs w:val="24"/>
        </w:rPr>
      </w:pPr>
      <w:r w:rsidRPr="00FE16B5">
        <w:rPr>
          <w:rFonts w:ascii="Times New Roman" w:hAnsi="Times New Roman" w:cs="Times New Roman"/>
          <w:sz w:val="18"/>
          <w:szCs w:val="24"/>
          <w:vertAlign w:val="superscript"/>
        </w:rPr>
        <w:t xml:space="preserve">1 </w:t>
      </w:r>
      <w:r w:rsidRPr="00FE16B5">
        <w:rPr>
          <w:rFonts w:ascii="Times New Roman" w:hAnsi="Times New Roman" w:cs="Times New Roman"/>
          <w:sz w:val="18"/>
          <w:szCs w:val="24"/>
        </w:rPr>
        <w:t xml:space="preserve">Comunication and Electroengineering School, Doboj, Bosnia and Hercegovina, RS, </w:t>
      </w:r>
      <w:proofErr w:type="gramStart"/>
      <w:r w:rsidRPr="00FE16B5">
        <w:rPr>
          <w:rFonts w:ascii="Times New Roman" w:hAnsi="Times New Roman" w:cs="Times New Roman"/>
          <w:sz w:val="18"/>
          <w:szCs w:val="24"/>
        </w:rPr>
        <w:t>sandi.bozickovic@gmail.com ,</w:t>
      </w:r>
      <w:proofErr w:type="gramEnd"/>
    </w:p>
    <w:p w:rsidR="00FE16B5" w:rsidRDefault="00FE16B5" w:rsidP="00FE16B5">
      <w:pPr>
        <w:jc w:val="center"/>
        <w:rPr>
          <w:rFonts w:ascii="Times New Roman" w:hAnsi="Times New Roman" w:cs="Times New Roman"/>
          <w:sz w:val="18"/>
          <w:szCs w:val="24"/>
        </w:rPr>
      </w:pPr>
      <w:r w:rsidRPr="00FE16B5">
        <w:rPr>
          <w:rFonts w:ascii="Times New Roman" w:hAnsi="Times New Roman" w:cs="Times New Roman"/>
          <w:sz w:val="18"/>
          <w:szCs w:val="24"/>
        </w:rPr>
        <w:t>ORCID ID 0009-0004-4746-3288</w:t>
      </w:r>
    </w:p>
    <w:p w:rsidR="00FE16B5" w:rsidRPr="00FE16B5" w:rsidRDefault="00FE16B5" w:rsidP="00FE16B5">
      <w:pPr>
        <w:jc w:val="center"/>
        <w:rPr>
          <w:rFonts w:ascii="Times New Roman" w:hAnsi="Times New Roman" w:cs="Times New Roman"/>
          <w:sz w:val="18"/>
          <w:szCs w:val="24"/>
        </w:rPr>
      </w:pPr>
      <w:r w:rsidRPr="00FE16B5">
        <w:rPr>
          <w:rFonts w:ascii="Times New Roman" w:hAnsi="Times New Roman" w:cs="Times New Roman"/>
          <w:sz w:val="18"/>
          <w:szCs w:val="24"/>
          <w:vertAlign w:val="superscript"/>
        </w:rPr>
        <w:t>2</w:t>
      </w:r>
      <w:r w:rsidRPr="00FE16B5">
        <w:rPr>
          <w:rFonts w:ascii="Times New Roman" w:hAnsi="Times New Roman" w:cs="Times New Roman"/>
          <w:sz w:val="18"/>
          <w:szCs w:val="24"/>
        </w:rPr>
        <w:t xml:space="preserve">College of Professional Studies for Management and Business Communications, Belgrade, Serbia, </w:t>
      </w:r>
      <w:proofErr w:type="gramStart"/>
      <w:r w:rsidRPr="00FE16B5">
        <w:rPr>
          <w:rFonts w:ascii="Times New Roman" w:hAnsi="Times New Roman" w:cs="Times New Roman"/>
          <w:sz w:val="18"/>
          <w:szCs w:val="24"/>
        </w:rPr>
        <w:t>ratkog15@yahoo.com ,</w:t>
      </w:r>
      <w:proofErr w:type="gramEnd"/>
      <w:r w:rsidRPr="00FE16B5">
        <w:rPr>
          <w:rFonts w:ascii="Times New Roman" w:hAnsi="Times New Roman" w:cs="Times New Roman"/>
          <w:sz w:val="18"/>
          <w:szCs w:val="24"/>
        </w:rPr>
        <w:t xml:space="preserve"> ORCID ID 0009-0007-7315-0981</w:t>
      </w:r>
    </w:p>
    <w:p w:rsidR="00FE16B5" w:rsidRDefault="00FE16B5" w:rsidP="00FE16B5">
      <w:pPr>
        <w:jc w:val="both"/>
        <w:rPr>
          <w:rFonts w:ascii="Times New Roman" w:hAnsi="Times New Roman" w:cs="Times New Roman"/>
          <w:b/>
          <w:bCs/>
          <w:sz w:val="18"/>
          <w:szCs w:val="24"/>
        </w:rPr>
      </w:pPr>
    </w:p>
    <w:p w:rsidR="00FE16B5" w:rsidRDefault="00FE16B5" w:rsidP="00FE16B5">
      <w:pPr>
        <w:jc w:val="both"/>
        <w:rPr>
          <w:rFonts w:ascii="Times New Roman" w:hAnsi="Times New Roman" w:cs="Times New Roman"/>
          <w:b/>
          <w:bCs/>
          <w:sz w:val="18"/>
          <w:szCs w:val="24"/>
        </w:rPr>
      </w:pPr>
    </w:p>
    <w:p w:rsidR="00FE16B5" w:rsidRDefault="00FE16B5" w:rsidP="00FE16B5">
      <w:pPr>
        <w:jc w:val="both"/>
        <w:rPr>
          <w:rFonts w:ascii="Times New Roman" w:hAnsi="Times New Roman" w:cs="Times New Roman"/>
          <w:b/>
          <w:bCs/>
          <w:sz w:val="18"/>
          <w:szCs w:val="24"/>
        </w:rPr>
      </w:pPr>
    </w:p>
    <w:p w:rsidR="00FE16B5" w:rsidRPr="00FE16B5" w:rsidRDefault="00FE16B5" w:rsidP="00FE16B5">
      <w:pPr>
        <w:jc w:val="both"/>
        <w:rPr>
          <w:rFonts w:ascii="Times New Roman" w:hAnsi="Times New Roman" w:cs="Times New Roman"/>
          <w:sz w:val="18"/>
          <w:szCs w:val="24"/>
        </w:rPr>
      </w:pPr>
      <w:r w:rsidRPr="00FE16B5">
        <w:rPr>
          <w:rFonts w:ascii="Times New Roman" w:hAnsi="Times New Roman" w:cs="Times New Roman"/>
          <w:b/>
          <w:bCs/>
          <w:sz w:val="18"/>
          <w:szCs w:val="24"/>
        </w:rPr>
        <w:t>Abstract:</w:t>
      </w:r>
      <w:r w:rsidRPr="00FE16B5">
        <w:rPr>
          <w:rFonts w:ascii="Times New Roman" w:hAnsi="Times New Roman" w:cs="Times New Roman"/>
          <w:sz w:val="18"/>
          <w:szCs w:val="24"/>
        </w:rPr>
        <w:t xml:space="preserve"> This paper investigates the application of artificial intelligence to predict the electrical conductivity, electrical resistivity, band gap, and dielectric constant of solid materials. Machine learning models are developed using data on the chemical composition, crystal structure, temperature, and other physical characteristics of the materials. The performance of linear regression, random forest, and artificial neural network models is evaluated using the R², MAE, and RMSE metrics. The proposed approach enables the identification of complex relationships between material structure and electrical properties, accelerates material characterization, and facilitates the selection of functional materials for applications in sensors, power electronics, and Internet of Things devices.</w:t>
      </w:r>
    </w:p>
    <w:p w:rsidR="00FE16B5" w:rsidRPr="00FE16B5" w:rsidRDefault="00FE16B5" w:rsidP="00FE16B5">
      <w:pPr>
        <w:jc w:val="both"/>
        <w:rPr>
          <w:rFonts w:ascii="Times New Roman" w:hAnsi="Times New Roman" w:cs="Times New Roman"/>
          <w:b/>
          <w:bCs/>
          <w:sz w:val="18"/>
          <w:szCs w:val="24"/>
        </w:rPr>
      </w:pPr>
    </w:p>
    <w:p w:rsidR="00FE16B5" w:rsidRPr="00FE16B5" w:rsidRDefault="00FE16B5" w:rsidP="00FE16B5">
      <w:pPr>
        <w:jc w:val="both"/>
        <w:rPr>
          <w:rFonts w:ascii="Times New Roman" w:hAnsi="Times New Roman" w:cs="Times New Roman"/>
          <w:sz w:val="18"/>
          <w:szCs w:val="24"/>
        </w:rPr>
      </w:pPr>
      <w:r w:rsidRPr="00FE16B5">
        <w:rPr>
          <w:rFonts w:ascii="Times New Roman" w:hAnsi="Times New Roman" w:cs="Times New Roman"/>
          <w:b/>
          <w:bCs/>
          <w:sz w:val="18"/>
          <w:szCs w:val="24"/>
        </w:rPr>
        <w:t>Keywords:</w:t>
      </w:r>
      <w:r w:rsidRPr="00FE16B5">
        <w:rPr>
          <w:rFonts w:ascii="Times New Roman" w:hAnsi="Times New Roman" w:cs="Times New Roman"/>
          <w:sz w:val="18"/>
          <w:szCs w:val="24"/>
        </w:rPr>
        <w:t xml:space="preserve"> </w:t>
      </w:r>
      <w:r w:rsidRPr="00FE16B5">
        <w:rPr>
          <w:rFonts w:ascii="Times New Roman" w:hAnsi="Times New Roman" w:cs="Times New Roman"/>
          <w:i/>
          <w:sz w:val="18"/>
          <w:szCs w:val="24"/>
        </w:rPr>
        <w:t>artificial intelligence, solid-state physics, electrical conductivity, machine learning, functional materials.</w:t>
      </w:r>
    </w:p>
    <w:p w:rsidR="00FE16B5" w:rsidRDefault="00FE16B5"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FE16B5">
      <w:pPr>
        <w:jc w:val="both"/>
        <w:rPr>
          <w:rFonts w:ascii="Times New Roman" w:hAnsi="Times New Roman" w:cs="Times New Roman"/>
          <w:sz w:val="18"/>
          <w:szCs w:val="24"/>
        </w:rPr>
      </w:pPr>
    </w:p>
    <w:p w:rsidR="00E159CF" w:rsidRDefault="00E159CF" w:rsidP="00AB0C53">
      <w:pPr>
        <w:spacing w:line="276" w:lineRule="auto"/>
        <w:jc w:val="both"/>
        <w:rPr>
          <w:rFonts w:ascii="Times New Roman" w:hAnsi="Times New Roman" w:cs="Times New Roman"/>
          <w:sz w:val="18"/>
          <w:szCs w:val="24"/>
        </w:rPr>
      </w:pPr>
    </w:p>
    <w:p w:rsidR="002A30AF" w:rsidRDefault="002A30AF" w:rsidP="00AB0C53">
      <w:pPr>
        <w:pStyle w:val="Heading2"/>
        <w:numPr>
          <w:ilvl w:val="0"/>
          <w:numId w:val="1"/>
        </w:numPr>
        <w:spacing w:line="276" w:lineRule="auto"/>
        <w:rPr>
          <w:rFonts w:ascii="Times New Roman" w:eastAsia="MS Gothic" w:hAnsi="Times New Roman" w:cs="Times New Roman"/>
          <w:b/>
          <w:color w:val="auto"/>
          <w:sz w:val="24"/>
          <w:lang w:val="en-US"/>
        </w:rPr>
      </w:pPr>
      <w:r w:rsidRPr="002A30AF">
        <w:rPr>
          <w:rFonts w:ascii="Times New Roman" w:eastAsia="MS Gothic" w:hAnsi="Times New Roman" w:cs="Times New Roman"/>
          <w:b/>
          <w:color w:val="auto"/>
          <w:sz w:val="24"/>
          <w:lang w:val="en-US"/>
        </w:rPr>
        <w:t>UVOD</w:t>
      </w:r>
    </w:p>
    <w:p w:rsidR="002A30AF" w:rsidRPr="002A30AF" w:rsidRDefault="002A30AF" w:rsidP="00AB0C53">
      <w:pPr>
        <w:spacing w:line="276" w:lineRule="auto"/>
        <w:rPr>
          <w:lang w:val="en-US"/>
        </w:rPr>
      </w:pPr>
    </w:p>
    <w:p w:rsidR="00CA2900" w:rsidRDefault="00CA2900" w:rsidP="00AB0C53">
      <w:pPr>
        <w:pStyle w:val="pdq2pgselectionanchorcontainer"/>
        <w:spacing w:line="276" w:lineRule="auto"/>
        <w:ind w:firstLine="720"/>
        <w:jc w:val="both"/>
        <w:rPr>
          <w:sz w:val="20"/>
        </w:rPr>
      </w:pPr>
      <w:r w:rsidRPr="00CA2900">
        <w:rPr>
          <w:sz w:val="20"/>
        </w:rPr>
        <w:t>Električna svojstva čvrstih materijala imaju ključnu ulogu u razvoju savremene elektronike, energetike, telekomunikacija i senzorskih sistema. Električna provodljivost, specifična električna otpornost, širina zabranjene energetske zone i dielektrična konstanta predstavljaju značajne parametre pri izboru materijala za poluprovodničke komponente, fotonaponske ćelije, baterije, senzore i uređaje energetske elektronike. Navedena svojstva zavise od hemijskog sastava, kristalne strukture, vrste hemijskih veza, prisustva defekata, temperature i raspodjele elektronskih energetskih stanja</w:t>
      </w:r>
      <w:r w:rsidR="009506CB">
        <w:rPr>
          <w:sz w:val="20"/>
        </w:rPr>
        <w:t xml:space="preserve"> </w:t>
      </w:r>
      <w:r w:rsidR="009506CB" w:rsidRPr="009506CB">
        <w:rPr>
          <w:sz w:val="20"/>
        </w:rPr>
        <w:t>(Butler et al., 2018; Ramprasad et al., 2017)</w:t>
      </w:r>
      <w:r w:rsidR="009506CB">
        <w:rPr>
          <w:sz w:val="20"/>
        </w:rPr>
        <w:t>.</w:t>
      </w:r>
    </w:p>
    <w:p w:rsidR="0036423B" w:rsidRDefault="00CA2900" w:rsidP="00AB0C53">
      <w:pPr>
        <w:pStyle w:val="pdq2pgselectionanchorcontainer"/>
        <w:spacing w:line="276" w:lineRule="auto"/>
        <w:ind w:firstLine="720"/>
        <w:jc w:val="both"/>
        <w:rPr>
          <w:sz w:val="20"/>
        </w:rPr>
      </w:pPr>
      <w:r w:rsidRPr="00CA2900">
        <w:rPr>
          <w:sz w:val="20"/>
        </w:rPr>
        <w:t xml:space="preserve">Tradicionalno određivanje električnih svojstava zasniva se na eksperimentalnim mjerenjima i računarskim metodama, posebno na teoriji funkcionala gustine (engl. </w:t>
      </w:r>
      <w:r w:rsidRPr="00CA2900">
        <w:rPr>
          <w:rStyle w:val="Emphasis"/>
          <w:sz w:val="20"/>
        </w:rPr>
        <w:t>Density Functional Theory</w:t>
      </w:r>
      <w:r w:rsidRPr="00CA2900">
        <w:rPr>
          <w:sz w:val="20"/>
        </w:rPr>
        <w:t xml:space="preserve"> – DFT). Iako ove metode pružaju pouzdane informacije o ponašanju materijala, njihova primjena često zahtijeva skupu laboratorijsku opremu, dugotrajnu pripremu uzoraka i značajne računarske resurse. Takva ograničenja otežavaju brzo ispitivanje velikog broja mogućih materijala i pronalaženje novih jedinjenja sa unaprijed definisanim električnim svojstvima.</w:t>
      </w:r>
      <w:r>
        <w:rPr>
          <w:sz w:val="20"/>
        </w:rPr>
        <w:t xml:space="preserve"> </w:t>
      </w:r>
      <w:r w:rsidRPr="00CA2900">
        <w:rPr>
          <w:sz w:val="20"/>
        </w:rPr>
        <w:t>Razvoj baza podataka o materijalima, automatizovanih proračuna visokog protoka i vještačke inteligencije otvorio je nove mogućnosti u fizici čvrstog stanja. Baze kao što su Materials Project, AFLOW i JARVIS-DFT sadrže podatke o hemijskom sastavu, kristalnoj strukturi, elektronskim stanjima i fizičkim svojstvima velikog broja materijala. Ovi podaci mogu se koristiti za obučavanje modela mašinskog učenja koji prepoznaju složene i nelinearne veze između strukture materijala i njegovih električnih svojstava.</w:t>
      </w:r>
      <w:r w:rsidR="0036423B">
        <w:rPr>
          <w:sz w:val="20"/>
        </w:rPr>
        <w:t xml:space="preserve"> </w:t>
      </w:r>
      <w:proofErr w:type="gramStart"/>
      <w:r w:rsidRPr="00CA2900">
        <w:rPr>
          <w:sz w:val="20"/>
        </w:rPr>
        <w:t>Algoritmi</w:t>
      </w:r>
      <w:proofErr w:type="gramEnd"/>
      <w:r w:rsidRPr="00CA2900">
        <w:rPr>
          <w:sz w:val="20"/>
        </w:rPr>
        <w:t xml:space="preserve"> poput slučajnih šuma (Random Forest), mašina potpornih vektora, XGBoost modela i vještačkih neuronskih mreža omogućavaju brzo predviđanje svojstava novih materijala. Poseban značaj imaju grafovske neuronske mreže, koje kristalnu strukturu predstavljaju kao sistem atoma i njihovih međusobnih veza. Međutim, tačnost predviđanja zavisi od kvaliteta, obima i reprezentativnosti podataka, kao i od pravilnog izbora des</w:t>
      </w:r>
      <w:r w:rsidR="009506CB">
        <w:rPr>
          <w:sz w:val="20"/>
        </w:rPr>
        <w:t xml:space="preserve">kriptora i postupka validacije </w:t>
      </w:r>
      <w:r w:rsidR="009506CB" w:rsidRPr="009506CB">
        <w:rPr>
          <w:sz w:val="20"/>
        </w:rPr>
        <w:t>(Schmidt et al., 2019).</w:t>
      </w:r>
    </w:p>
    <w:p w:rsidR="00CA2900" w:rsidRPr="00CA2900" w:rsidRDefault="00CA2900" w:rsidP="00AB0C53">
      <w:pPr>
        <w:pStyle w:val="pdq2pgselectionanchorcontainer"/>
        <w:spacing w:line="276" w:lineRule="auto"/>
        <w:ind w:firstLine="720"/>
        <w:jc w:val="both"/>
        <w:rPr>
          <w:sz w:val="20"/>
        </w:rPr>
      </w:pPr>
      <w:r w:rsidRPr="00CA2900">
        <w:rPr>
          <w:sz w:val="20"/>
        </w:rPr>
        <w:t>Predmet ovog rada jeste primjena vještačke inteligencije u predviđanju električnih svojstava čvrstih materijala na osnovu hemijskog sastava i kristalne strukture. Cilj rada je razvoj i poređenje odabranih modela mašinskog učenja, procjena njihove tačnosti i određivanje najznačajnijih karakteristika materijala. Polazi se od pretpostavke da modeli vještačke inteligencije mogu ubrzati izbor perspektivnih materijala i smanjiti potrebu za velikim brojem skupih eksperimenata i složenih proračuna</w:t>
      </w:r>
      <w:r w:rsidR="009506CB">
        <w:rPr>
          <w:sz w:val="20"/>
        </w:rPr>
        <w:t xml:space="preserve"> </w:t>
      </w:r>
      <w:r w:rsidR="009506CB" w:rsidRPr="009506CB">
        <w:rPr>
          <w:sz w:val="20"/>
        </w:rPr>
        <w:t>(Curtarolo et al., 2012; Jain et al., 2013).</w:t>
      </w:r>
    </w:p>
    <w:p w:rsidR="002A30AF" w:rsidRDefault="002A30AF" w:rsidP="00AB0C53">
      <w:pPr>
        <w:pStyle w:val="Heading2"/>
        <w:numPr>
          <w:ilvl w:val="0"/>
          <w:numId w:val="1"/>
        </w:numPr>
        <w:spacing w:line="276" w:lineRule="auto"/>
        <w:rPr>
          <w:rFonts w:ascii="Times New Roman" w:eastAsia="MS Gothic" w:hAnsi="Times New Roman" w:cs="Times New Roman"/>
          <w:b/>
          <w:color w:val="auto"/>
          <w:sz w:val="24"/>
          <w:lang w:val="en-US"/>
        </w:rPr>
      </w:pPr>
      <w:r w:rsidRPr="002A30AF">
        <w:rPr>
          <w:rFonts w:ascii="Times New Roman" w:eastAsia="MS Gothic" w:hAnsi="Times New Roman" w:cs="Times New Roman"/>
          <w:b/>
          <w:color w:val="auto"/>
          <w:sz w:val="24"/>
          <w:lang w:val="en-US"/>
        </w:rPr>
        <w:t>PREGLED LITERATURE</w:t>
      </w:r>
    </w:p>
    <w:p w:rsidR="002A30AF" w:rsidRPr="002A30AF" w:rsidRDefault="002A30AF" w:rsidP="00AB0C53">
      <w:pPr>
        <w:spacing w:line="276" w:lineRule="auto"/>
        <w:rPr>
          <w:lang w:val="en-US"/>
        </w:rPr>
      </w:pPr>
    </w:p>
    <w:p w:rsidR="009506CB" w:rsidRPr="009506CB" w:rsidRDefault="009506CB" w:rsidP="009506CB">
      <w:pPr>
        <w:spacing w:line="276" w:lineRule="auto"/>
        <w:jc w:val="both"/>
        <w:rPr>
          <w:rFonts w:ascii="Times New Roman" w:eastAsia="MS Mincho" w:hAnsi="Times New Roman" w:cs="Times New Roman"/>
          <w:color w:val="000000"/>
          <w:sz w:val="20"/>
          <w:lang w:val="en-US"/>
        </w:rPr>
      </w:pPr>
      <w:r w:rsidRPr="009506CB">
        <w:rPr>
          <w:rFonts w:ascii="Times New Roman" w:eastAsia="MS Mincho" w:hAnsi="Times New Roman" w:cs="Times New Roman"/>
          <w:color w:val="000000"/>
          <w:sz w:val="20"/>
          <w:lang w:val="en-US"/>
        </w:rPr>
        <w:t>Prema Butler et al. (2018), vještačka inteligencija može ubrzati projektovanje, sintezu i karakterizaciju materijala. Ramprasad et al. (2017) ističu da se mašinsko učenje u informatici materijala primjenjuje za pronalaženje veza između strukture, sastava, procesa proizvodnje i konačnih svojstava.</w:t>
      </w:r>
    </w:p>
    <w:p w:rsidR="009506CB" w:rsidRPr="009506CB" w:rsidRDefault="009506CB" w:rsidP="009506CB">
      <w:pPr>
        <w:spacing w:line="276" w:lineRule="auto"/>
        <w:jc w:val="both"/>
        <w:rPr>
          <w:rFonts w:ascii="Times New Roman" w:eastAsia="MS Mincho" w:hAnsi="Times New Roman" w:cs="Times New Roman"/>
          <w:color w:val="000000"/>
          <w:sz w:val="20"/>
          <w:lang w:val="en-US"/>
        </w:rPr>
      </w:pPr>
    </w:p>
    <w:p w:rsidR="009506CB" w:rsidRPr="009506CB" w:rsidRDefault="009506CB" w:rsidP="009506CB">
      <w:pPr>
        <w:spacing w:line="276" w:lineRule="auto"/>
        <w:jc w:val="both"/>
        <w:rPr>
          <w:rFonts w:ascii="Times New Roman" w:eastAsia="MS Mincho" w:hAnsi="Times New Roman" w:cs="Times New Roman"/>
          <w:color w:val="000000"/>
          <w:sz w:val="20"/>
          <w:lang w:val="en-US"/>
        </w:rPr>
      </w:pPr>
      <w:r w:rsidRPr="009506CB">
        <w:rPr>
          <w:rFonts w:ascii="Times New Roman" w:eastAsia="MS Mincho" w:hAnsi="Times New Roman" w:cs="Times New Roman"/>
          <w:color w:val="000000"/>
          <w:sz w:val="20"/>
          <w:lang w:val="en-US"/>
        </w:rPr>
        <w:t>Pilania et al. (2013) pokazali su da modeli mašinskog učenja mogu znatno ubrzati predviđanje svojstava materijala u odnosu na klasične računarske postupke. Ward et al. (2016) razvili su opšti okvir zasnovan na kompozicionim deskriptorima za predviđanje svojstava neorganskih materijala. Njihovo istraživanje potvrdilo je značaj pravilnog izbora numeričkih karakteristika materijala.</w:t>
      </w:r>
    </w:p>
    <w:p w:rsidR="009506CB" w:rsidRPr="009506CB" w:rsidRDefault="009506CB" w:rsidP="009506CB">
      <w:pPr>
        <w:spacing w:line="276" w:lineRule="auto"/>
        <w:jc w:val="both"/>
        <w:rPr>
          <w:rFonts w:ascii="Times New Roman" w:eastAsia="MS Mincho" w:hAnsi="Times New Roman" w:cs="Times New Roman"/>
          <w:color w:val="000000"/>
          <w:sz w:val="20"/>
          <w:lang w:val="en-US"/>
        </w:rPr>
      </w:pPr>
    </w:p>
    <w:p w:rsidR="009506CB" w:rsidRPr="009506CB" w:rsidRDefault="009506CB" w:rsidP="009506CB">
      <w:pPr>
        <w:spacing w:line="276" w:lineRule="auto"/>
        <w:jc w:val="both"/>
        <w:rPr>
          <w:rFonts w:ascii="Times New Roman" w:eastAsia="MS Mincho" w:hAnsi="Times New Roman" w:cs="Times New Roman"/>
          <w:color w:val="000000"/>
          <w:sz w:val="20"/>
          <w:lang w:val="en-US"/>
        </w:rPr>
      </w:pPr>
      <w:r w:rsidRPr="009506CB">
        <w:rPr>
          <w:rFonts w:ascii="Times New Roman" w:eastAsia="MS Mincho" w:hAnsi="Times New Roman" w:cs="Times New Roman"/>
          <w:color w:val="000000"/>
          <w:sz w:val="20"/>
          <w:lang w:val="en-US"/>
        </w:rPr>
        <w:t>Materials Project pruža rezultate standardizovanih proračuna za veliki broj neorganskih kristalnih materijala (Jain et al., 2013). AFLOW omogućava automatizovano izvođenje visokoprotočnih proračuna i sistematsko čuvanje dobijenih rezultata (Curtarolo et al., 2012).</w:t>
      </w:r>
    </w:p>
    <w:p w:rsidR="009506CB" w:rsidRPr="009506CB" w:rsidRDefault="009506CB" w:rsidP="009506CB">
      <w:pPr>
        <w:spacing w:line="276" w:lineRule="auto"/>
        <w:jc w:val="both"/>
        <w:rPr>
          <w:rFonts w:ascii="Times New Roman" w:eastAsia="MS Mincho" w:hAnsi="Times New Roman" w:cs="Times New Roman"/>
          <w:color w:val="000000"/>
          <w:sz w:val="20"/>
          <w:lang w:val="en-US"/>
        </w:rPr>
      </w:pPr>
    </w:p>
    <w:p w:rsidR="009506CB" w:rsidRPr="009506CB" w:rsidRDefault="009506CB" w:rsidP="009506CB">
      <w:pPr>
        <w:spacing w:line="276" w:lineRule="auto"/>
        <w:jc w:val="both"/>
        <w:rPr>
          <w:rFonts w:ascii="Times New Roman" w:eastAsia="MS Mincho" w:hAnsi="Times New Roman" w:cs="Times New Roman"/>
          <w:color w:val="000000"/>
          <w:sz w:val="20"/>
          <w:lang w:val="en-US"/>
        </w:rPr>
      </w:pPr>
      <w:r w:rsidRPr="009506CB">
        <w:rPr>
          <w:rFonts w:ascii="Times New Roman" w:eastAsia="MS Mincho" w:hAnsi="Times New Roman" w:cs="Times New Roman"/>
          <w:color w:val="000000"/>
          <w:sz w:val="20"/>
          <w:lang w:val="en-US"/>
        </w:rPr>
        <w:t>Posebna pažnja u dosadašnjim istraživanjima posvećena je predviđanju širine zabranjene zone. Na et al. (2020) pokazali su da odgovarajuća numerička reprezentacija sastava i strukture može povećati tačnost predviđanja ovog svojstva.</w:t>
      </w:r>
    </w:p>
    <w:p w:rsidR="009506CB" w:rsidRPr="009506CB" w:rsidRDefault="009506CB" w:rsidP="009506CB">
      <w:pPr>
        <w:spacing w:line="276" w:lineRule="auto"/>
        <w:jc w:val="both"/>
        <w:rPr>
          <w:rFonts w:ascii="Times New Roman" w:eastAsia="MS Mincho" w:hAnsi="Times New Roman" w:cs="Times New Roman"/>
          <w:color w:val="000000"/>
          <w:sz w:val="20"/>
          <w:lang w:val="en-US"/>
        </w:rPr>
      </w:pPr>
    </w:p>
    <w:p w:rsidR="009506CB" w:rsidRPr="009506CB" w:rsidRDefault="009506CB" w:rsidP="009506CB">
      <w:pPr>
        <w:spacing w:line="276" w:lineRule="auto"/>
        <w:jc w:val="both"/>
        <w:rPr>
          <w:rFonts w:ascii="Times New Roman" w:eastAsia="MS Mincho" w:hAnsi="Times New Roman" w:cs="Times New Roman"/>
          <w:color w:val="000000"/>
          <w:sz w:val="20"/>
          <w:lang w:val="en-US"/>
        </w:rPr>
      </w:pPr>
      <w:r w:rsidRPr="009506CB">
        <w:rPr>
          <w:rFonts w:ascii="Times New Roman" w:eastAsia="MS Mincho" w:hAnsi="Times New Roman" w:cs="Times New Roman"/>
          <w:color w:val="000000"/>
          <w:sz w:val="20"/>
          <w:lang w:val="en-US"/>
        </w:rPr>
        <w:t>Xie i Grossman (2018) razvili su CGCNN model, u kojem se kristal predstavlja grafom sastavljenim od atoma i njihovih međusobnih veza. Ovaj pristup omogućava automatsko učenje relevantnih strukturnih karakteristika bez potrebe za njihovim potpunim ručnim definisanj</w:t>
      </w:r>
      <w:r>
        <w:rPr>
          <w:rFonts w:ascii="Times New Roman" w:eastAsia="MS Mincho" w:hAnsi="Times New Roman" w:cs="Times New Roman"/>
          <w:color w:val="000000"/>
          <w:sz w:val="20"/>
          <w:lang w:val="en-US"/>
        </w:rPr>
        <w:t xml:space="preserve">em. </w:t>
      </w:r>
      <w:r w:rsidRPr="009506CB">
        <w:rPr>
          <w:rFonts w:ascii="Times New Roman" w:eastAsia="MS Mincho" w:hAnsi="Times New Roman" w:cs="Times New Roman"/>
          <w:color w:val="000000"/>
          <w:sz w:val="20"/>
          <w:lang w:val="en-US"/>
        </w:rPr>
        <w:t>Chen et al. (2019) predstavili su MEGNet kao univerzalni okvir za predviđanje svojstava molekula i kristala. Model istovremeno obrađuje karakteristike atoma, veza i globalnog stanja materijala. Cheng et al. (2021) dodatno su pokazali da uključivanje geometrijskih informacija poboljšava predviđanje energije formiranja i širine zabranjene zone.</w:t>
      </w:r>
    </w:p>
    <w:p w:rsidR="009506CB" w:rsidRPr="009506CB" w:rsidRDefault="009506CB" w:rsidP="009506CB">
      <w:pPr>
        <w:spacing w:line="276" w:lineRule="auto"/>
        <w:jc w:val="both"/>
        <w:rPr>
          <w:rFonts w:ascii="Times New Roman" w:eastAsia="MS Mincho" w:hAnsi="Times New Roman" w:cs="Times New Roman"/>
          <w:color w:val="000000"/>
          <w:sz w:val="20"/>
          <w:lang w:val="en-US"/>
        </w:rPr>
      </w:pPr>
    </w:p>
    <w:p w:rsidR="0036423B" w:rsidRPr="009506CB" w:rsidRDefault="009506CB" w:rsidP="009506CB">
      <w:pPr>
        <w:spacing w:line="276" w:lineRule="auto"/>
        <w:jc w:val="both"/>
        <w:rPr>
          <w:rFonts w:ascii="Times New Roman" w:eastAsia="MS Mincho" w:hAnsi="Times New Roman" w:cs="Times New Roman"/>
          <w:color w:val="000000"/>
          <w:sz w:val="20"/>
          <w:lang w:val="en-US"/>
        </w:rPr>
      </w:pPr>
      <w:r w:rsidRPr="009506CB">
        <w:rPr>
          <w:rFonts w:ascii="Times New Roman" w:eastAsia="MS Mincho" w:hAnsi="Times New Roman" w:cs="Times New Roman"/>
          <w:color w:val="000000"/>
          <w:sz w:val="20"/>
          <w:lang w:val="en-US"/>
        </w:rPr>
        <w:t>Choudhary i DeCost (2021) razvili su ALIGNN model, koji pored međuatomskih rastojanja uključuje i uglove između veza. Takvo predstavljanje omogućava preciznije opisivanje lokalnog atomskog okruženja i predviđanj</w:t>
      </w:r>
      <w:r>
        <w:rPr>
          <w:rFonts w:ascii="Times New Roman" w:eastAsia="MS Mincho" w:hAnsi="Times New Roman" w:cs="Times New Roman"/>
          <w:color w:val="000000"/>
          <w:sz w:val="20"/>
          <w:lang w:val="en-US"/>
        </w:rPr>
        <w:t xml:space="preserve">e svojstava čvrstih materijala. </w:t>
      </w:r>
      <w:r w:rsidRPr="009506CB">
        <w:rPr>
          <w:rFonts w:ascii="Times New Roman" w:eastAsia="MS Mincho" w:hAnsi="Times New Roman" w:cs="Times New Roman"/>
          <w:color w:val="000000"/>
          <w:sz w:val="20"/>
          <w:lang w:val="en-US"/>
        </w:rPr>
        <w:t>Schmidt et al. (2019) upozoravaju da pouzdanost modela zavisi od kvaliteta i reprezentativnosti podataka, izbora deskriptora, pravilne validacije i mogućnosti interpretacije rezultata. Zato je prije praktične primjene potrebno analizirati nesigurnost predviđanja i provjeriti rezultate pomoću DFT proračuna ili eksperimenata.</w:t>
      </w:r>
    </w:p>
    <w:p w:rsidR="00684840" w:rsidRDefault="00684840" w:rsidP="00AB0C53">
      <w:pPr>
        <w:pStyle w:val="Heading2"/>
        <w:spacing w:line="276" w:lineRule="auto"/>
        <w:rPr>
          <w:rFonts w:ascii="Times New Roman" w:hAnsi="Times New Roman" w:cs="Times New Roman"/>
          <w:b/>
          <w:color w:val="auto"/>
          <w:sz w:val="24"/>
          <w:szCs w:val="24"/>
        </w:rPr>
      </w:pPr>
      <w:r w:rsidRPr="00684840">
        <w:rPr>
          <w:rFonts w:ascii="Times New Roman" w:hAnsi="Times New Roman" w:cs="Times New Roman"/>
          <w:b/>
          <w:color w:val="auto"/>
          <w:sz w:val="24"/>
          <w:szCs w:val="24"/>
        </w:rPr>
        <w:t>3</w:t>
      </w:r>
      <w:r>
        <w:rPr>
          <w:rFonts w:ascii="Times New Roman" w:hAnsi="Times New Roman" w:cs="Times New Roman"/>
          <w:b/>
          <w:color w:val="auto"/>
          <w:sz w:val="24"/>
          <w:szCs w:val="24"/>
        </w:rPr>
        <w:t xml:space="preserve">. </w:t>
      </w:r>
      <w:r w:rsidR="00AB0C53" w:rsidRPr="00AB0C53">
        <w:rPr>
          <w:rFonts w:ascii="Times New Roman" w:hAnsi="Times New Roman" w:cs="Times New Roman"/>
          <w:b/>
          <w:color w:val="auto"/>
          <w:sz w:val="24"/>
          <w:szCs w:val="24"/>
        </w:rPr>
        <w:t>METODOLOGIJA ISTRAŽIVANJA</w:t>
      </w:r>
    </w:p>
    <w:p w:rsidR="009506CB" w:rsidRPr="009506CB" w:rsidRDefault="009506CB" w:rsidP="009506CB">
      <w:pPr>
        <w:pStyle w:val="NoSpacing"/>
        <w:spacing w:line="276" w:lineRule="auto"/>
        <w:jc w:val="both"/>
        <w:rPr>
          <w:rFonts w:ascii="Times New Roman" w:hAnsi="Times New Roman" w:cs="Times New Roman"/>
          <w:sz w:val="20"/>
        </w:rPr>
      </w:pPr>
      <w:r w:rsidRPr="009506CB">
        <w:rPr>
          <w:rFonts w:ascii="Times New Roman" w:hAnsi="Times New Roman" w:cs="Times New Roman"/>
          <w:sz w:val="20"/>
        </w:rPr>
        <w:t>Podaci o hemijskom sastavu, kristalnoj strukturi i širini zabranjene zone mogu se preuzeti iz Materials Project baze (Jain et al., 2013). Ako se koriste i podaci iz AFLOW baze, iza odgovarajuće rečenice dodaje se citat (Curtarolo et al., 2012).</w:t>
      </w:r>
      <w:r>
        <w:rPr>
          <w:rFonts w:ascii="Times New Roman" w:hAnsi="Times New Roman" w:cs="Times New Roman"/>
          <w:sz w:val="20"/>
        </w:rPr>
        <w:t xml:space="preserve"> </w:t>
      </w:r>
      <w:r w:rsidRPr="009506CB">
        <w:rPr>
          <w:rFonts w:ascii="Times New Roman" w:hAnsi="Times New Roman" w:cs="Times New Roman"/>
          <w:sz w:val="20"/>
        </w:rPr>
        <w:t>Kompozicioni deskriptori formiraju se na osnovu statističkih vrijednosti atomskog broja, atomske mase, elektronegativnosti, atomskog radijusa i broja valencijskih elektrona, prema pristupu koji su predstavili Ward et al. (2016). Ovakvi deskriptori omogućavaju primjenu različitih regresionih algoritama na neorganske materijale.</w:t>
      </w:r>
    </w:p>
    <w:p w:rsidR="009506CB" w:rsidRPr="0036423B" w:rsidRDefault="009506CB" w:rsidP="00AB0C53">
      <w:pPr>
        <w:spacing w:line="276" w:lineRule="auto"/>
        <w:jc w:val="both"/>
        <w:rPr>
          <w:rFonts w:ascii="Times New Roman" w:hAnsi="Times New Roman" w:cs="Times New Roman"/>
          <w:b/>
          <w:bCs/>
          <w:sz w:val="20"/>
        </w:rPr>
      </w:pPr>
    </w:p>
    <w:p w:rsidR="00AB0C53" w:rsidRPr="00AB0C53" w:rsidRDefault="00AB0C53" w:rsidP="00AB0C53">
      <w:pPr>
        <w:pStyle w:val="Heading3"/>
        <w:spacing w:line="276" w:lineRule="auto"/>
        <w:rPr>
          <w:rFonts w:ascii="Times New Roman" w:hAnsi="Times New Roman" w:cs="Times New Roman"/>
          <w:b/>
          <w:color w:val="auto"/>
        </w:rPr>
      </w:pPr>
      <w:r w:rsidRPr="00AB0C53">
        <w:rPr>
          <w:rFonts w:ascii="Times New Roman" w:hAnsi="Times New Roman" w:cs="Times New Roman"/>
          <w:b/>
          <w:color w:val="auto"/>
        </w:rPr>
        <w:t>3.1. Osnovni pojmovi i predmet istraživanja</w:t>
      </w:r>
    </w:p>
    <w:p w:rsidR="00AB0C53" w:rsidRPr="00AB0C53" w:rsidRDefault="00AB0C53" w:rsidP="00AB0C53">
      <w:pPr>
        <w:spacing w:line="276" w:lineRule="auto"/>
        <w:jc w:val="both"/>
        <w:rPr>
          <w:rFonts w:ascii="Times New Roman" w:hAnsi="Times New Roman" w:cs="Times New Roman"/>
          <w:sz w:val="20"/>
          <w:szCs w:val="24"/>
        </w:rPr>
      </w:pPr>
    </w:p>
    <w:p w:rsid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sz w:val="20"/>
          <w:szCs w:val="24"/>
        </w:rPr>
        <w:t>Istraživanje se zasniva na primjeni metoda vještačke inteligencije za predviđanje električnih svojstava čvrstih materijala. Pod vještačkom inteligencijom u ovom radu podrazumijevaju se algoritmi mašinskog učenja koji na osnovu poznatih primjera prepoznaju veze između hemijskog sastava, kristalne strukture i električnih svojstava materijala</w:t>
      </w:r>
      <w:r w:rsidR="009506CB">
        <w:rPr>
          <w:rFonts w:ascii="Times New Roman" w:hAnsi="Times New Roman" w:cs="Times New Roman"/>
          <w:sz w:val="20"/>
          <w:szCs w:val="24"/>
        </w:rPr>
        <w:t xml:space="preserve"> </w:t>
      </w:r>
      <w:r w:rsidR="009506CB" w:rsidRPr="009506CB">
        <w:rPr>
          <w:rFonts w:ascii="Times New Roman" w:hAnsi="Times New Roman" w:cs="Times New Roman"/>
          <w:sz w:val="20"/>
          <w:szCs w:val="24"/>
        </w:rPr>
        <w:t>(Xie &amp; Grossman, 2018).</w:t>
      </w:r>
    </w:p>
    <w:p w:rsidR="00AB0C53" w:rsidRPr="00AB0C53" w:rsidRDefault="00AB0C53" w:rsidP="00AB0C53">
      <w:pPr>
        <w:spacing w:line="276" w:lineRule="auto"/>
        <w:jc w:val="both"/>
        <w:rPr>
          <w:rFonts w:ascii="Times New Roman" w:hAnsi="Times New Roman" w:cs="Times New Roman"/>
          <w:sz w:val="20"/>
          <w:szCs w:val="24"/>
        </w:rPr>
      </w:pPr>
    </w:p>
    <w:p w:rsidR="00AB0C53" w:rsidRP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sz w:val="20"/>
          <w:szCs w:val="24"/>
        </w:rPr>
        <w:t>Osnovni pojmovi korišteni u istraživanju su:</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čvrsti materijal</w:t>
      </w:r>
      <w:r w:rsidRPr="00AB0C53">
        <w:rPr>
          <w:rFonts w:ascii="Times New Roman" w:hAnsi="Times New Roman" w:cs="Times New Roman"/>
          <w:sz w:val="20"/>
          <w:szCs w:val="24"/>
        </w:rPr>
        <w:t xml:space="preserve"> – materijal sa uređenom ili djelimično uređenom atomskom strukturom; </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električna svojstva</w:t>
      </w:r>
      <w:r w:rsidRPr="00AB0C53">
        <w:rPr>
          <w:rFonts w:ascii="Times New Roman" w:hAnsi="Times New Roman" w:cs="Times New Roman"/>
          <w:sz w:val="20"/>
          <w:szCs w:val="24"/>
        </w:rPr>
        <w:t xml:space="preserve"> – širina zabranjene zone, električna provodljivost, specifična električna otpornost i dielektrična konstanta; </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širina zabranjene zone</w:t>
      </w:r>
      <w:r w:rsidRPr="00AB0C53">
        <w:rPr>
          <w:rFonts w:ascii="Times New Roman" w:hAnsi="Times New Roman" w:cs="Times New Roman"/>
          <w:sz w:val="20"/>
          <w:szCs w:val="24"/>
        </w:rPr>
        <w:t xml:space="preserve"> (Eg​) – energetska razlika između valentne i provodne zone; </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deskriptori materijala</w:t>
      </w:r>
      <w:r w:rsidRPr="00AB0C53">
        <w:rPr>
          <w:rFonts w:ascii="Times New Roman" w:hAnsi="Times New Roman" w:cs="Times New Roman"/>
          <w:sz w:val="20"/>
          <w:szCs w:val="24"/>
        </w:rPr>
        <w:t xml:space="preserve"> – numerički podaci koji opisuju hemijski sastav i kristalnu strukturu; </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mašinsko učenje</w:t>
      </w:r>
      <w:r w:rsidRPr="00AB0C53">
        <w:rPr>
          <w:rFonts w:ascii="Times New Roman" w:hAnsi="Times New Roman" w:cs="Times New Roman"/>
          <w:sz w:val="20"/>
          <w:szCs w:val="24"/>
        </w:rPr>
        <w:t xml:space="preserve"> – postupak obučavanja algoritma na poznatim podacima radi predviđanja svojstava novih materijala; </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DFT</w:t>
      </w:r>
      <w:r w:rsidRPr="00AB0C53">
        <w:rPr>
          <w:rFonts w:ascii="Times New Roman" w:hAnsi="Times New Roman" w:cs="Times New Roman"/>
          <w:sz w:val="20"/>
          <w:szCs w:val="24"/>
        </w:rPr>
        <w:t xml:space="preserve"> – teorija funkcionala gustine koja se koristi za računarsko određivanje elektronske strukture; </w:t>
      </w:r>
    </w:p>
    <w:p w:rsidR="00AB0C53" w:rsidRPr="00AB0C53" w:rsidRDefault="00AB0C53" w:rsidP="00AB0C53">
      <w:pPr>
        <w:numPr>
          <w:ilvl w:val="0"/>
          <w:numId w:val="4"/>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prediktivni model</w:t>
      </w:r>
      <w:r w:rsidRPr="00AB0C53">
        <w:rPr>
          <w:rFonts w:ascii="Times New Roman" w:hAnsi="Times New Roman" w:cs="Times New Roman"/>
          <w:sz w:val="20"/>
          <w:szCs w:val="24"/>
        </w:rPr>
        <w:t xml:space="preserve"> – algoritam koji na osnovu ulaznih karakteristika procjenjuje vrijednost ciljnog svojstva. </w:t>
      </w:r>
    </w:p>
    <w:p w:rsid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sz w:val="20"/>
          <w:szCs w:val="24"/>
        </w:rPr>
        <w:t>Predmet istraživanja jeste ispitivanje mogućnosti predviđanja širine zabranjene zone čvrstih materijala na osnovu njihovog hemijskog sastava i kristalne strukture. Istraživanje je kvantitativno i računarsko, jer se zasniva na obradi numeričkih podatak</w:t>
      </w:r>
      <w:r w:rsidR="009506CB">
        <w:rPr>
          <w:rFonts w:ascii="Times New Roman" w:hAnsi="Times New Roman" w:cs="Times New Roman"/>
          <w:sz w:val="20"/>
          <w:szCs w:val="24"/>
        </w:rPr>
        <w:t xml:space="preserve">a iz digitalnih baza materijala </w:t>
      </w:r>
      <w:r w:rsidR="009506CB" w:rsidRPr="009506CB">
        <w:rPr>
          <w:rFonts w:ascii="Times New Roman" w:hAnsi="Times New Roman" w:cs="Times New Roman"/>
          <w:sz w:val="20"/>
          <w:szCs w:val="24"/>
        </w:rPr>
        <w:t>(Chen et al., 2019)</w:t>
      </w:r>
      <w:r w:rsidR="009506CB">
        <w:rPr>
          <w:rFonts w:ascii="Times New Roman" w:hAnsi="Times New Roman" w:cs="Times New Roman"/>
          <w:sz w:val="20"/>
          <w:szCs w:val="24"/>
        </w:rPr>
        <w:t>.</w:t>
      </w:r>
    </w:p>
    <w:p w:rsidR="00AB0C53" w:rsidRPr="00AB0C53" w:rsidRDefault="00AB0C53" w:rsidP="00AB0C53">
      <w:pPr>
        <w:spacing w:line="276" w:lineRule="auto"/>
        <w:jc w:val="both"/>
        <w:rPr>
          <w:rFonts w:ascii="Times New Roman" w:hAnsi="Times New Roman" w:cs="Times New Roman"/>
          <w:sz w:val="20"/>
          <w:szCs w:val="24"/>
        </w:rPr>
      </w:pPr>
    </w:p>
    <w:p w:rsidR="00AB0C53" w:rsidRPr="00AB0C53" w:rsidRDefault="00AB0C53" w:rsidP="00AB0C53">
      <w:pPr>
        <w:pStyle w:val="Heading3"/>
        <w:spacing w:line="276" w:lineRule="auto"/>
        <w:rPr>
          <w:rFonts w:ascii="Times New Roman" w:hAnsi="Times New Roman" w:cs="Times New Roman"/>
          <w:b/>
          <w:color w:val="auto"/>
        </w:rPr>
      </w:pPr>
      <w:r w:rsidRPr="00AB0C53">
        <w:rPr>
          <w:rFonts w:ascii="Times New Roman" w:hAnsi="Times New Roman" w:cs="Times New Roman"/>
          <w:b/>
          <w:color w:val="auto"/>
        </w:rPr>
        <w:t>3.2. Cilj i hipoteza istraživanja</w:t>
      </w:r>
    </w:p>
    <w:p w:rsidR="00AB0C53" w:rsidRDefault="00AB0C53" w:rsidP="00AB0C53">
      <w:pPr>
        <w:spacing w:line="276" w:lineRule="auto"/>
        <w:jc w:val="both"/>
        <w:rPr>
          <w:rFonts w:ascii="Times New Roman" w:hAnsi="Times New Roman" w:cs="Times New Roman"/>
          <w:sz w:val="20"/>
          <w:szCs w:val="24"/>
        </w:rPr>
      </w:pPr>
    </w:p>
    <w:p w:rsidR="00AB0C53" w:rsidRP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sz w:val="20"/>
          <w:szCs w:val="24"/>
        </w:rPr>
        <w:t>Cilj istraživanja je razviti i uporediti modele Random Forest, XGBoost i vještačku neuronsku mrežu, te utvrditi koji model ostvaruje najveću tačnost pri predviđanju širine zabranjene zone</w:t>
      </w:r>
      <w:r w:rsidR="009506CB">
        <w:rPr>
          <w:rFonts w:ascii="Times New Roman" w:hAnsi="Times New Roman" w:cs="Times New Roman"/>
          <w:sz w:val="20"/>
          <w:szCs w:val="24"/>
        </w:rPr>
        <w:t>Choudhary &amp; DeCost, 2021)</w:t>
      </w:r>
      <w:r w:rsidRPr="00AB0C53">
        <w:rPr>
          <w:rFonts w:ascii="Times New Roman" w:hAnsi="Times New Roman" w:cs="Times New Roman"/>
          <w:sz w:val="20"/>
          <w:szCs w:val="24"/>
        </w:rPr>
        <w:t>.</w:t>
      </w:r>
      <w:r w:rsidR="009506CB">
        <w:rPr>
          <w:rFonts w:ascii="Times New Roman" w:hAnsi="Times New Roman" w:cs="Times New Roman"/>
          <w:sz w:val="20"/>
          <w:szCs w:val="24"/>
        </w:rPr>
        <w:t xml:space="preserve"> </w:t>
      </w:r>
      <w:r w:rsidRPr="00AB0C53">
        <w:rPr>
          <w:rFonts w:ascii="Times New Roman" w:hAnsi="Times New Roman" w:cs="Times New Roman"/>
          <w:sz w:val="20"/>
          <w:szCs w:val="24"/>
        </w:rPr>
        <w:t>Osnovna hipoteza glasi:</w:t>
      </w:r>
    </w:p>
    <w:p w:rsidR="00AB0C53" w:rsidRDefault="00AB0C53" w:rsidP="00AB0C53">
      <w:pPr>
        <w:spacing w:line="276" w:lineRule="auto"/>
        <w:jc w:val="both"/>
        <w:rPr>
          <w:rFonts w:ascii="Times New Roman" w:hAnsi="Times New Roman" w:cs="Times New Roman"/>
          <w:b/>
          <w:bCs/>
          <w:sz w:val="20"/>
          <w:szCs w:val="24"/>
        </w:rPr>
      </w:pPr>
    </w:p>
    <w:p w:rsidR="00AB0C53" w:rsidRP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lastRenderedPageBreak/>
        <w:t>H1:</w:t>
      </w:r>
      <w:r w:rsidRPr="00AB0C53">
        <w:rPr>
          <w:rFonts w:ascii="Times New Roman" w:hAnsi="Times New Roman" w:cs="Times New Roman"/>
          <w:sz w:val="20"/>
          <w:szCs w:val="24"/>
        </w:rPr>
        <w:t xml:space="preserve"> Modeli vještačke inteligencije, obučeni na podacima o hemijskom sastavu i kristalnoj strukturi, mogu predvidjeti širinu zabranjene energetske zone čvrstih materijala sa prihvatljivom tačnošću i manjim računarskim zahtjevima u odnosu na pojedinačne DFT proračune.</w:t>
      </w:r>
    </w:p>
    <w:p w:rsidR="00AB0C53" w:rsidRDefault="00AB0C53" w:rsidP="00AB0C53">
      <w:pPr>
        <w:spacing w:line="276" w:lineRule="auto"/>
        <w:jc w:val="both"/>
        <w:rPr>
          <w:rFonts w:ascii="Times New Roman" w:hAnsi="Times New Roman" w:cs="Times New Roman"/>
          <w:sz w:val="20"/>
          <w:szCs w:val="24"/>
        </w:rPr>
      </w:pPr>
    </w:p>
    <w:p w:rsid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sz w:val="20"/>
          <w:szCs w:val="24"/>
        </w:rPr>
        <w:t>Pomoćne hipoteze su:</w:t>
      </w:r>
    </w:p>
    <w:p w:rsidR="00AB0C53" w:rsidRPr="00AB0C53" w:rsidRDefault="00AB0C53" w:rsidP="00AB0C53">
      <w:pPr>
        <w:spacing w:line="276" w:lineRule="auto"/>
        <w:jc w:val="both"/>
        <w:rPr>
          <w:rFonts w:ascii="Times New Roman" w:hAnsi="Times New Roman" w:cs="Times New Roman"/>
          <w:sz w:val="20"/>
          <w:szCs w:val="24"/>
        </w:rPr>
      </w:pPr>
    </w:p>
    <w:p w:rsidR="00AB0C53" w:rsidRPr="00AB0C53" w:rsidRDefault="00AB0C53" w:rsidP="00AB0C53">
      <w:pPr>
        <w:numPr>
          <w:ilvl w:val="0"/>
          <w:numId w:val="5"/>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H1.1:</w:t>
      </w:r>
      <w:r w:rsidRPr="00AB0C53">
        <w:rPr>
          <w:rFonts w:ascii="Times New Roman" w:hAnsi="Times New Roman" w:cs="Times New Roman"/>
          <w:sz w:val="20"/>
          <w:szCs w:val="24"/>
        </w:rPr>
        <w:t xml:space="preserve"> Kombinovanje hemijskih i strukturnih deskriptora daje preciznija predviđanja nego korištenje samo hemijskog sastava. </w:t>
      </w:r>
    </w:p>
    <w:p w:rsidR="00AB0C53" w:rsidRPr="00AB0C53" w:rsidRDefault="00AB0C53" w:rsidP="00AB0C53">
      <w:pPr>
        <w:numPr>
          <w:ilvl w:val="0"/>
          <w:numId w:val="5"/>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H1.2:</w:t>
      </w:r>
      <w:r w:rsidRPr="00AB0C53">
        <w:rPr>
          <w:rFonts w:ascii="Times New Roman" w:hAnsi="Times New Roman" w:cs="Times New Roman"/>
          <w:sz w:val="20"/>
          <w:szCs w:val="24"/>
        </w:rPr>
        <w:t xml:space="preserve"> Nelinearni modeli Random Forest, XGBoost i neuronska mreža ostvaruju manju grešku od linearne regresije. </w:t>
      </w:r>
    </w:p>
    <w:p w:rsidR="00AB0C53" w:rsidRPr="00AB0C53" w:rsidRDefault="00AB0C53" w:rsidP="00AB0C53">
      <w:pPr>
        <w:numPr>
          <w:ilvl w:val="0"/>
          <w:numId w:val="5"/>
        </w:numPr>
        <w:spacing w:line="276" w:lineRule="auto"/>
        <w:jc w:val="both"/>
        <w:rPr>
          <w:rFonts w:ascii="Times New Roman" w:hAnsi="Times New Roman" w:cs="Times New Roman"/>
          <w:sz w:val="20"/>
          <w:szCs w:val="24"/>
        </w:rPr>
      </w:pPr>
      <w:r w:rsidRPr="00AB0C53">
        <w:rPr>
          <w:rFonts w:ascii="Times New Roman" w:hAnsi="Times New Roman" w:cs="Times New Roman"/>
          <w:b/>
          <w:bCs/>
          <w:sz w:val="20"/>
          <w:szCs w:val="24"/>
        </w:rPr>
        <w:t>H1.3:</w:t>
      </w:r>
      <w:r w:rsidRPr="00AB0C53">
        <w:rPr>
          <w:rFonts w:ascii="Times New Roman" w:hAnsi="Times New Roman" w:cs="Times New Roman"/>
          <w:sz w:val="20"/>
          <w:szCs w:val="24"/>
        </w:rPr>
        <w:t xml:space="preserve"> Elektronegativnost, broj valencijskih elektrona, atomski radijus i strukturni parametri imaju značajan uticaj na predviđanje širine zabranjene zone. </w:t>
      </w:r>
    </w:p>
    <w:p w:rsidR="00AB0C53" w:rsidRDefault="00AB0C53" w:rsidP="00AB0C53">
      <w:pPr>
        <w:spacing w:line="276" w:lineRule="auto"/>
        <w:jc w:val="both"/>
        <w:rPr>
          <w:rFonts w:ascii="Times New Roman" w:hAnsi="Times New Roman" w:cs="Times New Roman"/>
          <w:sz w:val="20"/>
          <w:szCs w:val="24"/>
        </w:rPr>
      </w:pPr>
    </w:p>
    <w:p w:rsidR="00AB0C53" w:rsidRDefault="00AB0C53" w:rsidP="00AB0C53">
      <w:pPr>
        <w:spacing w:line="276" w:lineRule="auto"/>
        <w:jc w:val="both"/>
        <w:rPr>
          <w:rFonts w:ascii="Times New Roman" w:hAnsi="Times New Roman" w:cs="Times New Roman"/>
          <w:sz w:val="20"/>
          <w:szCs w:val="24"/>
        </w:rPr>
      </w:pPr>
      <w:r w:rsidRPr="00AB0C53">
        <w:rPr>
          <w:rFonts w:ascii="Times New Roman" w:hAnsi="Times New Roman" w:cs="Times New Roman"/>
          <w:sz w:val="20"/>
          <w:szCs w:val="24"/>
        </w:rPr>
        <w:t>Hipoteze se prihvataju ako modeli ostvare stabilne rezultate tokom unakrsne validacije, zadovoljavajuće vrijednosti MAE i RMSE i vrijednost koeficijenta R2 koja pokazuje dobro slaganje predviđenih i referentnih vrijednosti.</w:t>
      </w:r>
    </w:p>
    <w:p w:rsidR="00AB0C53" w:rsidRDefault="00AB0C53" w:rsidP="00AB0C53">
      <w:pPr>
        <w:spacing w:line="276" w:lineRule="auto"/>
        <w:jc w:val="both"/>
        <w:rPr>
          <w:rFonts w:ascii="Times New Roman" w:hAnsi="Times New Roman" w:cs="Times New Roman"/>
          <w:sz w:val="20"/>
          <w:szCs w:val="24"/>
        </w:rPr>
      </w:pPr>
    </w:p>
    <w:p w:rsidR="00AB0C53" w:rsidRPr="00AB0C53" w:rsidRDefault="00AB0C53" w:rsidP="00AB0C53">
      <w:pPr>
        <w:pStyle w:val="Heading3"/>
        <w:spacing w:line="276" w:lineRule="auto"/>
        <w:rPr>
          <w:rFonts w:ascii="Times New Roman" w:eastAsia="Times New Roman" w:hAnsi="Times New Roman" w:cs="Times New Roman"/>
          <w:b/>
          <w:color w:val="auto"/>
          <w:lang w:eastAsia="en-GB"/>
        </w:rPr>
      </w:pPr>
      <w:r w:rsidRPr="00AB0C53">
        <w:rPr>
          <w:rFonts w:ascii="Times New Roman" w:eastAsia="Times New Roman" w:hAnsi="Times New Roman" w:cs="Times New Roman"/>
          <w:b/>
          <w:color w:val="auto"/>
          <w:lang w:eastAsia="en-GB"/>
        </w:rPr>
        <w:t>3.3. Koraci istraživanja</w:t>
      </w:r>
    </w:p>
    <w:p w:rsidR="00AB0C53" w:rsidRDefault="00AB0C53" w:rsidP="00AB0C53">
      <w:pPr>
        <w:spacing w:before="100" w:beforeAutospacing="1" w:after="100" w:afterAutospacing="1" w:line="276" w:lineRule="auto"/>
        <w:rPr>
          <w:rFonts w:ascii="Times New Roman" w:eastAsia="Times New Roman" w:hAnsi="Times New Roman" w:cs="Times New Roman"/>
          <w:sz w:val="20"/>
          <w:szCs w:val="24"/>
          <w:lang w:eastAsia="en-GB"/>
        </w:rPr>
      </w:pPr>
      <w:r w:rsidRPr="00AB0C53">
        <w:rPr>
          <w:rFonts w:ascii="Times New Roman" w:eastAsia="Times New Roman" w:hAnsi="Times New Roman" w:cs="Times New Roman"/>
          <w:sz w:val="20"/>
          <w:szCs w:val="24"/>
          <w:lang w:eastAsia="en-GB"/>
        </w:rPr>
        <w:t>Istraživanje se realizuje kroz sljedeće korake:</w:t>
      </w:r>
    </w:p>
    <w:tbl>
      <w:tblPr>
        <w:tblStyle w:val="TableGrid"/>
        <w:tblW w:w="0" w:type="auto"/>
        <w:tblLook w:val="04A0" w:firstRow="1" w:lastRow="0" w:firstColumn="1" w:lastColumn="0" w:noHBand="0" w:noVBand="1"/>
      </w:tblPr>
      <w:tblGrid>
        <w:gridCol w:w="390"/>
        <w:gridCol w:w="2299"/>
        <w:gridCol w:w="6327"/>
      </w:tblGrid>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1</w:t>
            </w:r>
          </w:p>
        </w:tc>
        <w:tc>
          <w:tcPr>
            <w:tcW w:w="2299"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Prikupljanje podataka</w:t>
            </w:r>
          </w:p>
        </w:tc>
        <w:tc>
          <w:tcPr>
            <w:tcW w:w="6327" w:type="dxa"/>
          </w:tcPr>
          <w:p w:rsidR="00AB0C53" w:rsidRPr="003560A8" w:rsidRDefault="00694E4B" w:rsidP="00694E4B">
            <w:pPr>
              <w:spacing w:before="100" w:beforeAutospacing="1" w:after="100" w:afterAutospacing="1" w:line="276" w:lineRule="auto"/>
              <w:jc w:val="both"/>
              <w:rPr>
                <w:rFonts w:ascii="Times New Roman" w:eastAsia="Times New Roman" w:hAnsi="Times New Roman" w:cs="Times New Roman"/>
                <w:sz w:val="18"/>
                <w:szCs w:val="24"/>
                <w:lang w:eastAsia="en-GB"/>
              </w:rPr>
            </w:pPr>
            <w:r w:rsidRPr="003560A8">
              <w:rPr>
                <w:rFonts w:ascii="Times New Roman" w:eastAsia="Times New Roman" w:hAnsi="Times New Roman" w:cs="Times New Roman"/>
                <w:sz w:val="18"/>
                <w:szCs w:val="24"/>
                <w:lang w:eastAsia="en-GB"/>
              </w:rPr>
              <w:t>Podaci o materijalima preuzimaju se iz baza Materials Project i JARVIS-DFT. Za svaki materijal prikupljaju se podaci o hemijskoj formuli, kristalnoj strukturi, gustini, parametrima rešetke, energiji formiranja i širini zabranjene zone.</w:t>
            </w:r>
          </w:p>
        </w:tc>
      </w:tr>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2</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Čišćenje podataka</w:t>
            </w:r>
          </w:p>
        </w:tc>
        <w:tc>
          <w:tcPr>
            <w:tcW w:w="6327" w:type="dxa"/>
          </w:tcPr>
          <w:p w:rsidR="00AB0C53" w:rsidRPr="003560A8" w:rsidRDefault="00694E4B" w:rsidP="00694E4B">
            <w:pPr>
              <w:spacing w:before="100" w:beforeAutospacing="1" w:after="100" w:afterAutospacing="1"/>
              <w:jc w:val="both"/>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Uklanjaju se duplikati, nepotpuni zapisi i fizički nelogične vrijednosti. Posebno se provjerava da li su vrijednosti širine zabranjene zone dobi</w:t>
            </w:r>
            <w:r w:rsidRPr="003560A8">
              <w:rPr>
                <w:rFonts w:ascii="Times New Roman" w:eastAsia="Times New Roman" w:hAnsi="Times New Roman" w:cs="Times New Roman"/>
                <w:sz w:val="18"/>
                <w:szCs w:val="24"/>
                <w:lang w:eastAsia="en-GB"/>
              </w:rPr>
              <w:t>jene uporedivim DFT postupcima.</w:t>
            </w:r>
          </w:p>
        </w:tc>
      </w:tr>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3</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Formiranje deskriptora</w:t>
            </w:r>
            <w:r w:rsidRPr="00AB0C53">
              <w:rPr>
                <w:rFonts w:ascii="Times New Roman" w:eastAsia="Times New Roman" w:hAnsi="Times New Roman" w:cs="Times New Roman"/>
                <w:sz w:val="18"/>
                <w:szCs w:val="24"/>
                <w:lang w:eastAsia="en-GB"/>
              </w:rPr>
              <w:br/>
            </w:r>
          </w:p>
        </w:tc>
        <w:tc>
          <w:tcPr>
            <w:tcW w:w="6327" w:type="dxa"/>
          </w:tcPr>
          <w:p w:rsidR="00AB0C53" w:rsidRPr="003560A8" w:rsidRDefault="00694E4B" w:rsidP="00694E4B">
            <w:pPr>
              <w:spacing w:before="100" w:beforeAutospacing="1" w:after="100" w:afterAutospacing="1"/>
              <w:jc w:val="both"/>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 xml:space="preserve">Hemijski sastav i kristalna struktura pretvaraju se u numeričke karakteristike. Deskriptori obuhvataju atomski broj, atomsku masu, elektronegativnost, broj valencijskih elektrona, gustinu, zapreminu po atomu i parametre kristalne rešetke. </w:t>
            </w:r>
          </w:p>
        </w:tc>
      </w:tr>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4</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Podjela podataka</w:t>
            </w:r>
          </w:p>
        </w:tc>
        <w:tc>
          <w:tcPr>
            <w:tcW w:w="6327" w:type="dxa"/>
          </w:tcPr>
          <w:p w:rsidR="00AB0C53" w:rsidRPr="003560A8" w:rsidRDefault="00694E4B" w:rsidP="00694E4B">
            <w:pPr>
              <w:spacing w:before="100" w:beforeAutospacing="1" w:after="100" w:afterAutospacing="1" w:line="276" w:lineRule="auto"/>
              <w:jc w:val="both"/>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Skup se dijeli na 70% podataka za obučavanje, 15% za validaciju i 15% za testiranje. Tokom izbora hiperparametara primjenjuje se petostruka unakrsna validacija.</w:t>
            </w:r>
          </w:p>
        </w:tc>
      </w:tr>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5</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Razvoj modela</w:t>
            </w:r>
            <w:r w:rsidRPr="00AB0C53">
              <w:rPr>
                <w:rFonts w:ascii="Times New Roman" w:eastAsia="Times New Roman" w:hAnsi="Times New Roman" w:cs="Times New Roman"/>
                <w:sz w:val="18"/>
                <w:szCs w:val="24"/>
                <w:lang w:eastAsia="en-GB"/>
              </w:rPr>
              <w:br/>
            </w:r>
          </w:p>
        </w:tc>
        <w:tc>
          <w:tcPr>
            <w:tcW w:w="6327" w:type="dxa"/>
          </w:tcPr>
          <w:p w:rsidR="00AB0C53" w:rsidRPr="003560A8" w:rsidRDefault="00694E4B" w:rsidP="00694E4B">
            <w:pPr>
              <w:spacing w:before="100" w:beforeAutospacing="1" w:after="100" w:afterAutospacing="1" w:line="276" w:lineRule="auto"/>
              <w:jc w:val="both"/>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 xml:space="preserve">Obučavaju se linearna regresija kao referentni model, Random Forest, XGBoost i višeslojna neuronska mreža. </w:t>
            </w:r>
          </w:p>
        </w:tc>
      </w:tr>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6</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Vrednovanje modela</w:t>
            </w:r>
          </w:p>
        </w:tc>
        <w:tc>
          <w:tcPr>
            <w:tcW w:w="6327" w:type="dxa"/>
          </w:tcPr>
          <w:p w:rsidR="00AB0C53" w:rsidRPr="003560A8" w:rsidRDefault="00694E4B" w:rsidP="00694E4B">
            <w:pPr>
              <w:spacing w:before="100" w:beforeAutospacing="1" w:after="100" w:afterAutospacing="1" w:line="276" w:lineRule="auto"/>
              <w:jc w:val="both"/>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 xml:space="preserve">Modeli se porede pomoću srednje apsolutne greške (MAE), korijena srednje kvadratne greške (RMSE) i koeficijenta determinacije R2. </w:t>
            </w:r>
          </w:p>
        </w:tc>
      </w:tr>
      <w:tr w:rsidR="00AB0C53" w:rsidTr="00694E4B">
        <w:trPr>
          <w:trHeight w:val="827"/>
        </w:trPr>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7</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Interpretacija rezultata</w:t>
            </w:r>
            <w:r w:rsidRPr="00AB0C53">
              <w:rPr>
                <w:rFonts w:ascii="Times New Roman" w:eastAsia="Times New Roman" w:hAnsi="Times New Roman" w:cs="Times New Roman"/>
                <w:sz w:val="18"/>
                <w:szCs w:val="24"/>
                <w:lang w:eastAsia="en-GB"/>
              </w:rPr>
              <w:br/>
            </w:r>
          </w:p>
        </w:tc>
        <w:tc>
          <w:tcPr>
            <w:tcW w:w="6327" w:type="dxa"/>
          </w:tcPr>
          <w:p w:rsidR="00AB0C53" w:rsidRPr="003560A8" w:rsidRDefault="00694E4B" w:rsidP="00694E4B">
            <w:pPr>
              <w:spacing w:before="100" w:beforeAutospacing="1" w:after="100" w:afterAutospacing="1" w:line="276" w:lineRule="auto"/>
              <w:jc w:val="both"/>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Primjenom važnosti karakteristika i SHAP vrijednosti određuje se koji hemijski i strukturni fak</w:t>
            </w:r>
            <w:r w:rsidRPr="003560A8">
              <w:rPr>
                <w:rFonts w:ascii="Times New Roman" w:eastAsia="Times New Roman" w:hAnsi="Times New Roman" w:cs="Times New Roman"/>
                <w:sz w:val="18"/>
                <w:szCs w:val="24"/>
                <w:lang w:eastAsia="en-GB"/>
              </w:rPr>
              <w:t>tori najviše utiču na rezultat.</w:t>
            </w:r>
          </w:p>
        </w:tc>
      </w:tr>
      <w:tr w:rsidR="00AB0C53" w:rsidTr="00694E4B">
        <w:tc>
          <w:tcPr>
            <w:tcW w:w="390" w:type="dxa"/>
            <w:vAlign w:val="center"/>
          </w:tcPr>
          <w:p w:rsidR="00AB0C53" w:rsidRPr="003560A8" w:rsidRDefault="00AB0C53" w:rsidP="00694E4B">
            <w:pPr>
              <w:spacing w:before="100" w:beforeAutospacing="1" w:after="100" w:afterAutospacing="1" w:line="276" w:lineRule="auto"/>
              <w:rPr>
                <w:rFonts w:ascii="Times New Roman" w:eastAsia="Times New Roman" w:hAnsi="Times New Roman" w:cs="Times New Roman"/>
                <w:b/>
                <w:sz w:val="18"/>
                <w:szCs w:val="24"/>
                <w:lang w:eastAsia="en-GB"/>
              </w:rPr>
            </w:pPr>
            <w:r w:rsidRPr="003560A8">
              <w:rPr>
                <w:rFonts w:ascii="Times New Roman" w:eastAsia="Times New Roman" w:hAnsi="Times New Roman" w:cs="Times New Roman"/>
                <w:b/>
                <w:sz w:val="18"/>
                <w:szCs w:val="24"/>
                <w:lang w:eastAsia="en-GB"/>
              </w:rPr>
              <w:t>8</w:t>
            </w:r>
          </w:p>
        </w:tc>
        <w:tc>
          <w:tcPr>
            <w:tcW w:w="2299" w:type="dxa"/>
            <w:vAlign w:val="center"/>
          </w:tcPr>
          <w:p w:rsidR="00AB0C53" w:rsidRPr="003560A8" w:rsidRDefault="00694E4B" w:rsidP="00694E4B">
            <w:pPr>
              <w:spacing w:before="100" w:beforeAutospacing="1" w:after="100" w:afterAutospacing="1" w:line="276" w:lineRule="auto"/>
              <w:rPr>
                <w:rFonts w:ascii="Times New Roman" w:eastAsia="Times New Roman" w:hAnsi="Times New Roman" w:cs="Times New Roman"/>
                <w:sz w:val="18"/>
                <w:szCs w:val="24"/>
                <w:lang w:eastAsia="en-GB"/>
              </w:rPr>
            </w:pPr>
            <w:r w:rsidRPr="00AB0C53">
              <w:rPr>
                <w:rFonts w:ascii="Times New Roman" w:eastAsia="Times New Roman" w:hAnsi="Times New Roman" w:cs="Times New Roman"/>
                <w:b/>
                <w:bCs/>
                <w:sz w:val="18"/>
                <w:szCs w:val="24"/>
                <w:lang w:eastAsia="en-GB"/>
              </w:rPr>
              <w:t>Provjera kandidata</w:t>
            </w:r>
            <w:r w:rsidRPr="00AB0C53">
              <w:rPr>
                <w:rFonts w:ascii="Times New Roman" w:eastAsia="Times New Roman" w:hAnsi="Times New Roman" w:cs="Times New Roman"/>
                <w:sz w:val="18"/>
                <w:szCs w:val="24"/>
                <w:lang w:eastAsia="en-GB"/>
              </w:rPr>
              <w:br/>
            </w:r>
          </w:p>
        </w:tc>
        <w:tc>
          <w:tcPr>
            <w:tcW w:w="6327" w:type="dxa"/>
          </w:tcPr>
          <w:p w:rsidR="00AB0C53" w:rsidRPr="003560A8" w:rsidRDefault="00694E4B" w:rsidP="00694E4B">
            <w:pPr>
              <w:spacing w:before="100" w:beforeAutospacing="1" w:after="100" w:afterAutospacing="1"/>
              <w:rPr>
                <w:rFonts w:ascii="Times New Roman" w:eastAsia="Times New Roman" w:hAnsi="Times New Roman" w:cs="Times New Roman"/>
                <w:sz w:val="18"/>
                <w:szCs w:val="24"/>
                <w:lang w:eastAsia="en-GB"/>
              </w:rPr>
            </w:pPr>
            <w:r w:rsidRPr="00AB0C53">
              <w:rPr>
                <w:rFonts w:ascii="Times New Roman" w:eastAsia="Times New Roman" w:hAnsi="Times New Roman" w:cs="Times New Roman"/>
                <w:sz w:val="18"/>
                <w:szCs w:val="24"/>
                <w:lang w:eastAsia="en-GB"/>
              </w:rPr>
              <w:t>Materijali sa povoljnim predviđenim svojstvima izdvajaju se za naknadnu provjeru pomoću preciznijih DFT proračuna ili eksperimentalnih mjerenja.</w:t>
            </w:r>
          </w:p>
        </w:tc>
      </w:tr>
    </w:tbl>
    <w:p w:rsidR="00AB0C53" w:rsidRPr="00AB0C53" w:rsidRDefault="00AB0C53" w:rsidP="00AB0C53">
      <w:pPr>
        <w:spacing w:before="100" w:beforeAutospacing="1" w:after="100" w:afterAutospacing="1" w:line="276" w:lineRule="auto"/>
        <w:rPr>
          <w:rFonts w:ascii="Times New Roman" w:eastAsia="Times New Roman" w:hAnsi="Times New Roman" w:cs="Times New Roman"/>
          <w:sz w:val="20"/>
          <w:szCs w:val="24"/>
          <w:lang w:eastAsia="en-GB"/>
        </w:rPr>
      </w:pPr>
    </w:p>
    <w:p w:rsidR="00E159CF" w:rsidRPr="00AB0C53" w:rsidRDefault="00E159CF" w:rsidP="00AB0C53">
      <w:pPr>
        <w:spacing w:line="240" w:lineRule="auto"/>
        <w:rPr>
          <w:rFonts w:ascii="Times New Roman" w:hAnsi="Times New Roman" w:cs="Times New Roman"/>
          <w:sz w:val="16"/>
          <w:szCs w:val="24"/>
        </w:rPr>
      </w:pPr>
    </w:p>
    <w:p w:rsidR="00AB0C53" w:rsidRDefault="00694E4B" w:rsidP="00694E4B">
      <w:pPr>
        <w:pStyle w:val="Heading3"/>
        <w:rPr>
          <w:rFonts w:ascii="Times New Roman" w:hAnsi="Times New Roman" w:cs="Times New Roman"/>
          <w:b/>
          <w:color w:val="auto"/>
        </w:rPr>
      </w:pPr>
      <w:r w:rsidRPr="00694E4B">
        <w:rPr>
          <w:rFonts w:ascii="Times New Roman" w:hAnsi="Times New Roman" w:cs="Times New Roman"/>
          <w:b/>
          <w:color w:val="auto"/>
        </w:rPr>
        <w:t>3.4. Oprema i programski alati</w:t>
      </w:r>
    </w:p>
    <w:p w:rsidR="00694E4B" w:rsidRDefault="00694E4B" w:rsidP="00694E4B"/>
    <w:p w:rsidR="00694E4B" w:rsidRDefault="00694E4B" w:rsidP="00694E4B">
      <w:pPr>
        <w:rPr>
          <w:rFonts w:ascii="Times New Roman" w:hAnsi="Times New Roman" w:cs="Times New Roman"/>
          <w:sz w:val="20"/>
        </w:rPr>
      </w:pPr>
      <w:r w:rsidRPr="00694E4B">
        <w:rPr>
          <w:rFonts w:ascii="Times New Roman" w:hAnsi="Times New Roman" w:cs="Times New Roman"/>
          <w:sz w:val="20"/>
        </w:rPr>
        <w:t>Za realizaciju istraživanja nije neophodna posebna laboratorijska oprema, jer se rad prvenstveno zasniva na računarskoj obradi postojećih podataka. Potrebna oprema obuhvata:</w:t>
      </w:r>
    </w:p>
    <w:p w:rsidR="00694E4B" w:rsidRDefault="00694E4B" w:rsidP="00694E4B">
      <w:pPr>
        <w:rPr>
          <w:rFonts w:ascii="Times New Roman" w:hAnsi="Times New Roman" w:cs="Times New Roman"/>
          <w:sz w:val="20"/>
        </w:rPr>
      </w:pPr>
    </w:p>
    <w:p w:rsidR="00694E4B" w:rsidRDefault="00694E4B" w:rsidP="00694E4B">
      <w:pPr>
        <w:rPr>
          <w:rFonts w:ascii="Times New Roman" w:hAnsi="Times New Roman" w:cs="Times New Roman"/>
          <w:sz w:val="20"/>
        </w:rPr>
      </w:pPr>
    </w:p>
    <w:tbl>
      <w:tblPr>
        <w:tblStyle w:val="TableGrid"/>
        <w:tblW w:w="0" w:type="auto"/>
        <w:jc w:val="center"/>
        <w:tblLook w:val="04A0" w:firstRow="1" w:lastRow="0" w:firstColumn="1" w:lastColumn="0" w:noHBand="0" w:noVBand="1"/>
      </w:tblPr>
      <w:tblGrid>
        <w:gridCol w:w="3681"/>
        <w:gridCol w:w="4394"/>
      </w:tblGrid>
      <w:tr w:rsidR="00694E4B" w:rsidTr="003560A8">
        <w:trPr>
          <w:jc w:val="center"/>
        </w:trPr>
        <w:tc>
          <w:tcPr>
            <w:tcW w:w="3681" w:type="dxa"/>
            <w:shd w:val="clear" w:color="auto" w:fill="DEEAF6" w:themeFill="accent1" w:themeFillTint="33"/>
            <w:vAlign w:val="center"/>
          </w:tcPr>
          <w:p w:rsidR="00694E4B" w:rsidRPr="00B8166E" w:rsidRDefault="00694E4B" w:rsidP="00694E4B">
            <w:pPr>
              <w:jc w:val="center"/>
              <w:rPr>
                <w:rFonts w:ascii="Times New Roman" w:hAnsi="Times New Roman" w:cs="Times New Roman"/>
                <w:b/>
                <w:bCs/>
                <w:sz w:val="18"/>
                <w:szCs w:val="18"/>
              </w:rPr>
            </w:pPr>
            <w:r w:rsidRPr="00B8166E">
              <w:rPr>
                <w:rFonts w:ascii="Times New Roman" w:hAnsi="Times New Roman" w:cs="Times New Roman"/>
                <w:b/>
                <w:bCs/>
                <w:sz w:val="18"/>
                <w:szCs w:val="18"/>
              </w:rPr>
              <w:t>Oprema ili alat</w:t>
            </w:r>
          </w:p>
        </w:tc>
        <w:tc>
          <w:tcPr>
            <w:tcW w:w="4394" w:type="dxa"/>
            <w:shd w:val="clear" w:color="auto" w:fill="DEEAF6" w:themeFill="accent1" w:themeFillTint="33"/>
            <w:vAlign w:val="center"/>
          </w:tcPr>
          <w:p w:rsidR="00694E4B" w:rsidRPr="00B8166E" w:rsidRDefault="00694E4B" w:rsidP="00694E4B">
            <w:pPr>
              <w:jc w:val="center"/>
              <w:rPr>
                <w:rFonts w:ascii="Times New Roman" w:hAnsi="Times New Roman" w:cs="Times New Roman"/>
                <w:b/>
                <w:bCs/>
                <w:sz w:val="18"/>
                <w:szCs w:val="18"/>
              </w:rPr>
            </w:pPr>
            <w:r w:rsidRPr="00B8166E">
              <w:rPr>
                <w:rFonts w:ascii="Times New Roman" w:hAnsi="Times New Roman" w:cs="Times New Roman"/>
                <w:b/>
                <w:bCs/>
                <w:sz w:val="18"/>
                <w:szCs w:val="18"/>
              </w:rPr>
              <w:t>Namjena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Računar sa višejezgrenim procesorom</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Obrada podataka i obučavanje modela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Najmanje 16 GB RAM memorije</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Rad sa većim skupovima podataka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lastRenderedPageBreak/>
              <w:t>GPU, opciono</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Ubrzavanje obučavanja neuronske mreže</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Python</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Programiranje i obrada podataka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Pandas i NumPy</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Čišćenje i numerička obrada podataka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Pymatgen i Matminer</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Obrada kristalnih struktura i formiranje deskriptora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Scikit-learn i XGBoost</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Razvoj klasičnih modela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TensorFlow ili PyTorch</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Razvoj neuronske mreže</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Matplotlib i Seaborn</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Grafički prikaz rezultata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SHAP</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Analiza uticaja ulaznih karakteristika</w:t>
            </w:r>
          </w:p>
        </w:tc>
      </w:tr>
      <w:tr w:rsidR="00694E4B" w:rsidTr="003560A8">
        <w:trPr>
          <w:jc w:val="center"/>
        </w:trPr>
        <w:tc>
          <w:tcPr>
            <w:tcW w:w="3681"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Materials Project i JARVIS-DFT</w:t>
            </w:r>
          </w:p>
        </w:tc>
        <w:tc>
          <w:tcPr>
            <w:tcW w:w="4394" w:type="dxa"/>
          </w:tcPr>
          <w:p w:rsidR="00694E4B" w:rsidRPr="00B8166E" w:rsidRDefault="00694E4B" w:rsidP="00694E4B">
            <w:pPr>
              <w:rPr>
                <w:rFonts w:ascii="Times New Roman" w:hAnsi="Times New Roman" w:cs="Times New Roman"/>
                <w:sz w:val="18"/>
                <w:szCs w:val="18"/>
              </w:rPr>
            </w:pPr>
            <w:r w:rsidRPr="00B8166E">
              <w:rPr>
                <w:rFonts w:ascii="Times New Roman" w:hAnsi="Times New Roman" w:cs="Times New Roman"/>
                <w:sz w:val="18"/>
                <w:szCs w:val="18"/>
              </w:rPr>
              <w:t>Izvori podataka o materijalima</w:t>
            </w:r>
          </w:p>
        </w:tc>
      </w:tr>
    </w:tbl>
    <w:p w:rsidR="00694E4B" w:rsidRDefault="00694E4B" w:rsidP="00694E4B">
      <w:pPr>
        <w:rPr>
          <w:rFonts w:ascii="Times New Roman" w:hAnsi="Times New Roman" w:cs="Times New Roman"/>
          <w:sz w:val="20"/>
        </w:rPr>
      </w:pPr>
    </w:p>
    <w:p w:rsidR="00694E4B" w:rsidRDefault="00694E4B" w:rsidP="00694E4B">
      <w:pPr>
        <w:rPr>
          <w:rFonts w:ascii="Times New Roman" w:hAnsi="Times New Roman" w:cs="Times New Roman"/>
          <w:sz w:val="20"/>
        </w:rPr>
      </w:pPr>
      <w:r w:rsidRPr="00694E4B">
        <w:rPr>
          <w:rFonts w:ascii="Times New Roman" w:hAnsi="Times New Roman" w:cs="Times New Roman"/>
          <w:sz w:val="20"/>
        </w:rPr>
        <w:t>U slučaju eksperimentalne provjere rezultata bila bi potrebna dodatna oprema za mjerenje provodljivosti i otpornosti, poput digitalnog multimetra, LCR mjerača, izvora napajanja, temperaturno kontrolisane komore i sistema sa četiri sonde.</w:t>
      </w:r>
    </w:p>
    <w:p w:rsidR="00694E4B" w:rsidRDefault="00694E4B" w:rsidP="00694E4B">
      <w:pPr>
        <w:rPr>
          <w:rFonts w:ascii="Times New Roman" w:hAnsi="Times New Roman" w:cs="Times New Roman"/>
          <w:sz w:val="20"/>
        </w:rPr>
      </w:pPr>
    </w:p>
    <w:p w:rsidR="00C752A4" w:rsidRPr="00C752A4" w:rsidRDefault="00C752A4" w:rsidP="00C752A4">
      <w:pPr>
        <w:pStyle w:val="Heading3"/>
        <w:rPr>
          <w:rFonts w:ascii="Times New Roman" w:hAnsi="Times New Roman" w:cs="Times New Roman"/>
          <w:b/>
          <w:color w:val="auto"/>
        </w:rPr>
      </w:pPr>
      <w:r w:rsidRPr="00C752A4">
        <w:rPr>
          <w:rFonts w:ascii="Times New Roman" w:hAnsi="Times New Roman" w:cs="Times New Roman"/>
          <w:b/>
          <w:color w:val="auto"/>
        </w:rPr>
        <w:t>3.5. Moguće poteškoće i ograničenja</w:t>
      </w:r>
    </w:p>
    <w:p w:rsidR="00C752A4" w:rsidRDefault="00C752A4" w:rsidP="00C752A4">
      <w:pPr>
        <w:rPr>
          <w:rFonts w:ascii="Times New Roman" w:hAnsi="Times New Roman" w:cs="Times New Roman"/>
          <w:sz w:val="20"/>
        </w:rPr>
      </w:pPr>
    </w:p>
    <w:p w:rsidR="00C752A4" w:rsidRPr="00C752A4" w:rsidRDefault="00C752A4" w:rsidP="00C752A4">
      <w:pPr>
        <w:jc w:val="both"/>
        <w:rPr>
          <w:rFonts w:ascii="Times New Roman" w:hAnsi="Times New Roman" w:cs="Times New Roman"/>
          <w:sz w:val="20"/>
        </w:rPr>
      </w:pPr>
      <w:r w:rsidRPr="00C752A4">
        <w:rPr>
          <w:rFonts w:ascii="Times New Roman" w:hAnsi="Times New Roman" w:cs="Times New Roman"/>
          <w:sz w:val="20"/>
        </w:rPr>
        <w:t>Najvažniju poteškoću predstavlja kvalitet referentnih podataka. Vrijednosti dobijene različitim DFT aproksimacijama ili eksperimentalnim metodama mogu se međusobno razlikovati. Standardni DFT proračuni često potcjenjuju širinu zabranjene zone, pa model može usvojiti grešku koja već postoji u podacima.</w:t>
      </w:r>
    </w:p>
    <w:p w:rsidR="00C752A4" w:rsidRDefault="00C752A4" w:rsidP="00C752A4">
      <w:pPr>
        <w:jc w:val="both"/>
        <w:rPr>
          <w:rFonts w:ascii="Times New Roman" w:hAnsi="Times New Roman" w:cs="Times New Roman"/>
          <w:sz w:val="20"/>
        </w:rPr>
      </w:pPr>
    </w:p>
    <w:p w:rsidR="00C752A4" w:rsidRPr="00C752A4" w:rsidRDefault="00C752A4" w:rsidP="00C752A4">
      <w:pPr>
        <w:jc w:val="both"/>
        <w:rPr>
          <w:rFonts w:ascii="Times New Roman" w:hAnsi="Times New Roman" w:cs="Times New Roman"/>
          <w:sz w:val="20"/>
        </w:rPr>
      </w:pPr>
      <w:r w:rsidRPr="00C752A4">
        <w:rPr>
          <w:rFonts w:ascii="Times New Roman" w:hAnsi="Times New Roman" w:cs="Times New Roman"/>
          <w:sz w:val="20"/>
        </w:rPr>
        <w:t>Dodatne poteškoće obuhvataju:</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nedostajuće vrijednosti i duplikate;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neuravnoteženu zastupljenost metala, poluprovodnika i izolatora;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mali broj materijala sa pouzdanim podacima o provodljivosti;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izbor odgovarajućih deskriptora;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prekomjerno prilagođavanje modela;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manju tačnost za materijale slične onima koji nisu zastupljeni tokom obučavanja;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velike računarske zahtjeve dubokih neuronskih mreža; </w:t>
      </w:r>
    </w:p>
    <w:p w:rsidR="00C752A4" w:rsidRPr="00C752A4" w:rsidRDefault="00C752A4" w:rsidP="00C752A4">
      <w:pPr>
        <w:numPr>
          <w:ilvl w:val="0"/>
          <w:numId w:val="7"/>
        </w:numPr>
        <w:jc w:val="both"/>
        <w:rPr>
          <w:rFonts w:ascii="Times New Roman" w:hAnsi="Times New Roman" w:cs="Times New Roman"/>
          <w:sz w:val="20"/>
        </w:rPr>
      </w:pPr>
      <w:r w:rsidRPr="00C752A4">
        <w:rPr>
          <w:rFonts w:ascii="Times New Roman" w:hAnsi="Times New Roman" w:cs="Times New Roman"/>
          <w:sz w:val="20"/>
        </w:rPr>
        <w:t xml:space="preserve">otežano fizičko tumačenje složenih modela. </w:t>
      </w:r>
    </w:p>
    <w:p w:rsidR="00C752A4" w:rsidRDefault="00C752A4" w:rsidP="00C752A4">
      <w:pPr>
        <w:jc w:val="both"/>
        <w:rPr>
          <w:rFonts w:ascii="Times New Roman" w:hAnsi="Times New Roman" w:cs="Times New Roman"/>
          <w:sz w:val="20"/>
        </w:rPr>
      </w:pPr>
    </w:p>
    <w:p w:rsidR="00C752A4" w:rsidRDefault="00C752A4" w:rsidP="00C752A4">
      <w:pPr>
        <w:jc w:val="both"/>
        <w:rPr>
          <w:rFonts w:ascii="Times New Roman" w:hAnsi="Times New Roman" w:cs="Times New Roman"/>
          <w:sz w:val="20"/>
        </w:rPr>
      </w:pPr>
      <w:r w:rsidRPr="00C752A4">
        <w:rPr>
          <w:rFonts w:ascii="Times New Roman" w:hAnsi="Times New Roman" w:cs="Times New Roman"/>
          <w:sz w:val="20"/>
        </w:rPr>
        <w:t>Radi smanjenja navedenih problema potrebno je koristiti standardizovane izvore, dokumentovati kriterijume filtriranja, primijeniti unakrsnu validaciju i jasno odvojiti skupove za obučavanje i testiranje. Rezultati modela zato se posmatraju kao alat za brzo preliminarno izdvajanje perspektivnih materijala, dok konačna potvrda zahtijeva DFT proračune veće preciznosti ili eksperimentalnu provjeru.</w:t>
      </w:r>
    </w:p>
    <w:p w:rsidR="00C752A4" w:rsidRDefault="00C752A4" w:rsidP="00C752A4">
      <w:pPr>
        <w:jc w:val="both"/>
        <w:rPr>
          <w:rFonts w:ascii="Times New Roman" w:hAnsi="Times New Roman" w:cs="Times New Roman"/>
          <w:sz w:val="20"/>
        </w:rPr>
      </w:pPr>
    </w:p>
    <w:p w:rsidR="00C752A4" w:rsidRPr="00C752A4" w:rsidRDefault="00C752A4" w:rsidP="00C752A4">
      <w:pPr>
        <w:pStyle w:val="Heading2"/>
        <w:rPr>
          <w:rFonts w:ascii="Times New Roman" w:hAnsi="Times New Roman" w:cs="Times New Roman"/>
          <w:b/>
          <w:color w:val="auto"/>
          <w:sz w:val="24"/>
          <w:szCs w:val="24"/>
        </w:rPr>
      </w:pPr>
      <w:r>
        <w:rPr>
          <w:rFonts w:ascii="Times New Roman" w:hAnsi="Times New Roman" w:cs="Times New Roman"/>
          <w:b/>
          <w:color w:val="auto"/>
          <w:sz w:val="24"/>
          <w:szCs w:val="24"/>
        </w:rPr>
        <w:t>4</w:t>
      </w:r>
      <w:r w:rsidRPr="00C752A4">
        <w:rPr>
          <w:rFonts w:ascii="Times New Roman" w:hAnsi="Times New Roman" w:cs="Times New Roman"/>
          <w:b/>
          <w:color w:val="auto"/>
          <w:sz w:val="24"/>
          <w:szCs w:val="24"/>
        </w:rPr>
        <w:t>. REZULTATI ISTRAŽIVANJA</w:t>
      </w:r>
    </w:p>
    <w:p w:rsidR="00C752A4" w:rsidRPr="00C752A4" w:rsidRDefault="00C752A4" w:rsidP="00C752A4">
      <w:pPr>
        <w:jc w:val="both"/>
        <w:rPr>
          <w:rFonts w:ascii="Times New Roman" w:hAnsi="Times New Roman" w:cs="Times New Roman"/>
          <w:sz w:val="20"/>
        </w:rPr>
      </w:pPr>
    </w:p>
    <w:p w:rsidR="00C752A4" w:rsidRPr="00C752A4" w:rsidRDefault="00C752A4" w:rsidP="00C752A4">
      <w:pPr>
        <w:jc w:val="both"/>
        <w:rPr>
          <w:rFonts w:ascii="Times New Roman" w:hAnsi="Times New Roman" w:cs="Times New Roman"/>
          <w:sz w:val="20"/>
        </w:rPr>
      </w:pPr>
      <w:r w:rsidRPr="00C752A4">
        <w:rPr>
          <w:rFonts w:ascii="Times New Roman" w:hAnsi="Times New Roman" w:cs="Times New Roman"/>
          <w:sz w:val="20"/>
        </w:rPr>
        <w:t>Rezultati prikazani u ovom poglavlju predstavljaju modelirane rezultate predloženog eksperimentalnog postupka. Prije predaje rada potrebno ih je zamijeniti vrijednostima dobijenim stvarnim pokretanjem modela nad odabranim skupom podataka.</w:t>
      </w:r>
    </w:p>
    <w:p w:rsidR="00C752A4" w:rsidRPr="00C752A4" w:rsidRDefault="00C752A4" w:rsidP="00C752A4">
      <w:pPr>
        <w:jc w:val="both"/>
        <w:rPr>
          <w:rFonts w:ascii="Times New Roman" w:hAnsi="Times New Roman" w:cs="Times New Roman"/>
          <w:sz w:val="20"/>
        </w:rPr>
      </w:pPr>
    </w:p>
    <w:p w:rsidR="00C752A4" w:rsidRPr="00C752A4" w:rsidRDefault="00C752A4" w:rsidP="00C752A4">
      <w:pPr>
        <w:pStyle w:val="Heading3"/>
        <w:rPr>
          <w:rFonts w:ascii="Times New Roman" w:hAnsi="Times New Roman" w:cs="Times New Roman"/>
          <w:b/>
          <w:color w:val="auto"/>
        </w:rPr>
      </w:pPr>
      <w:r w:rsidRPr="00C752A4">
        <w:rPr>
          <w:rFonts w:ascii="Times New Roman" w:hAnsi="Times New Roman" w:cs="Times New Roman"/>
          <w:b/>
          <w:color w:val="auto"/>
        </w:rPr>
        <w:t>4</w:t>
      </w:r>
      <w:r w:rsidRPr="00C752A4">
        <w:rPr>
          <w:rFonts w:ascii="Times New Roman" w:hAnsi="Times New Roman" w:cs="Times New Roman"/>
          <w:b/>
          <w:color w:val="auto"/>
        </w:rPr>
        <w:t>.1. Karakteristike skupa podataka</w:t>
      </w:r>
    </w:p>
    <w:p w:rsidR="00C752A4" w:rsidRPr="00C752A4" w:rsidRDefault="00C752A4" w:rsidP="00C752A4">
      <w:pPr>
        <w:jc w:val="both"/>
        <w:rPr>
          <w:rFonts w:ascii="Times New Roman" w:hAnsi="Times New Roman" w:cs="Times New Roman"/>
          <w:sz w:val="20"/>
        </w:rPr>
      </w:pPr>
    </w:p>
    <w:p w:rsidR="00C752A4" w:rsidRDefault="00C752A4" w:rsidP="00C752A4">
      <w:pPr>
        <w:jc w:val="both"/>
        <w:rPr>
          <w:rFonts w:ascii="Times New Roman" w:hAnsi="Times New Roman" w:cs="Times New Roman"/>
          <w:sz w:val="20"/>
        </w:rPr>
      </w:pPr>
      <w:r w:rsidRPr="00C752A4">
        <w:rPr>
          <w:rFonts w:ascii="Times New Roman" w:hAnsi="Times New Roman" w:cs="Times New Roman"/>
          <w:sz w:val="20"/>
        </w:rPr>
        <w:t>Nakon uklanjanja duplikata, nepotpunih zapisa i vrijednosti koje nisu zadovoljile kriterijume kvaliteta, formiran je skup od 12.000 neorganskih kristalnih materijala. Podaci su podijeljeni na skup za obučavanje, validaciju i testiranje.</w:t>
      </w:r>
    </w:p>
    <w:p w:rsidR="00C752A4" w:rsidRDefault="00C752A4" w:rsidP="00C752A4">
      <w:pPr>
        <w:jc w:val="both"/>
        <w:rPr>
          <w:rFonts w:ascii="Times New Roman" w:hAnsi="Times New Roman" w:cs="Times New Roman"/>
          <w:sz w:val="20"/>
        </w:rPr>
      </w:pPr>
    </w:p>
    <w:p w:rsidR="00C752A4" w:rsidRPr="00C752A4" w:rsidRDefault="00C752A4" w:rsidP="00C752A4">
      <w:pPr>
        <w:jc w:val="center"/>
        <w:rPr>
          <w:rFonts w:ascii="Times New Roman" w:hAnsi="Times New Roman" w:cs="Times New Roman"/>
          <w:sz w:val="2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22"/>
        <w:gridCol w:w="1606"/>
        <w:gridCol w:w="850"/>
      </w:tblGrid>
      <w:tr w:rsidR="00C752A4" w:rsidRPr="00C752A4" w:rsidTr="00C752A4">
        <w:trPr>
          <w:tblHeader/>
          <w:tblCellSpacing w:w="15" w:type="dxa"/>
          <w:jc w:val="center"/>
        </w:trPr>
        <w:tc>
          <w:tcPr>
            <w:tcW w:w="2177" w:type="dxa"/>
            <w:shd w:val="clear" w:color="auto" w:fill="DEEAF6" w:themeFill="accent1" w:themeFillTint="33"/>
            <w:vAlign w:val="center"/>
            <w:hideMark/>
          </w:tcPr>
          <w:p w:rsidR="00C752A4" w:rsidRPr="00B8166E" w:rsidRDefault="00C752A4" w:rsidP="00C752A4">
            <w:pPr>
              <w:jc w:val="center"/>
              <w:rPr>
                <w:rFonts w:ascii="Times New Roman" w:hAnsi="Times New Roman" w:cs="Times New Roman"/>
                <w:b/>
                <w:bCs/>
                <w:sz w:val="18"/>
              </w:rPr>
            </w:pPr>
            <w:r w:rsidRPr="00B8166E">
              <w:rPr>
                <w:rFonts w:ascii="Times New Roman" w:hAnsi="Times New Roman" w:cs="Times New Roman"/>
                <w:b/>
                <w:bCs/>
                <w:sz w:val="18"/>
              </w:rPr>
              <w:t>Skup podataka</w:t>
            </w:r>
          </w:p>
        </w:tc>
        <w:tc>
          <w:tcPr>
            <w:tcW w:w="1576" w:type="dxa"/>
            <w:shd w:val="clear" w:color="auto" w:fill="DEEAF6" w:themeFill="accent1" w:themeFillTint="33"/>
            <w:vAlign w:val="center"/>
            <w:hideMark/>
          </w:tcPr>
          <w:p w:rsidR="00C752A4" w:rsidRPr="00B8166E" w:rsidRDefault="00C752A4" w:rsidP="00C752A4">
            <w:pPr>
              <w:jc w:val="center"/>
              <w:rPr>
                <w:rFonts w:ascii="Times New Roman" w:hAnsi="Times New Roman" w:cs="Times New Roman"/>
                <w:b/>
                <w:bCs/>
                <w:sz w:val="18"/>
              </w:rPr>
            </w:pPr>
            <w:r w:rsidRPr="00B8166E">
              <w:rPr>
                <w:rFonts w:ascii="Times New Roman" w:hAnsi="Times New Roman" w:cs="Times New Roman"/>
                <w:b/>
                <w:bCs/>
                <w:sz w:val="18"/>
              </w:rPr>
              <w:t>Broj materijala</w:t>
            </w:r>
          </w:p>
        </w:tc>
        <w:tc>
          <w:tcPr>
            <w:tcW w:w="805" w:type="dxa"/>
            <w:shd w:val="clear" w:color="auto" w:fill="DEEAF6" w:themeFill="accent1" w:themeFillTint="33"/>
            <w:vAlign w:val="center"/>
            <w:hideMark/>
          </w:tcPr>
          <w:p w:rsidR="00C752A4" w:rsidRPr="00B8166E" w:rsidRDefault="00C752A4" w:rsidP="00C752A4">
            <w:pPr>
              <w:jc w:val="center"/>
              <w:rPr>
                <w:rFonts w:ascii="Times New Roman" w:hAnsi="Times New Roman" w:cs="Times New Roman"/>
                <w:b/>
                <w:bCs/>
                <w:sz w:val="18"/>
              </w:rPr>
            </w:pPr>
            <w:r w:rsidRPr="00B8166E">
              <w:rPr>
                <w:rFonts w:ascii="Times New Roman" w:hAnsi="Times New Roman" w:cs="Times New Roman"/>
                <w:b/>
                <w:bCs/>
                <w:sz w:val="18"/>
              </w:rPr>
              <w:t>Udio</w:t>
            </w:r>
          </w:p>
        </w:tc>
      </w:tr>
      <w:tr w:rsidR="00C752A4" w:rsidRPr="00C752A4" w:rsidTr="00C752A4">
        <w:trPr>
          <w:tblCellSpacing w:w="15" w:type="dxa"/>
          <w:jc w:val="center"/>
        </w:trPr>
        <w:tc>
          <w:tcPr>
            <w:tcW w:w="2177"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Obučavanje</w:t>
            </w:r>
          </w:p>
        </w:tc>
        <w:tc>
          <w:tcPr>
            <w:tcW w:w="1576"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8.400</w:t>
            </w:r>
          </w:p>
        </w:tc>
        <w:tc>
          <w:tcPr>
            <w:tcW w:w="805"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70%</w:t>
            </w:r>
          </w:p>
        </w:tc>
      </w:tr>
      <w:tr w:rsidR="00C752A4" w:rsidRPr="00C752A4" w:rsidTr="00C752A4">
        <w:trPr>
          <w:tblCellSpacing w:w="15" w:type="dxa"/>
          <w:jc w:val="center"/>
        </w:trPr>
        <w:tc>
          <w:tcPr>
            <w:tcW w:w="2177"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Validacija</w:t>
            </w:r>
          </w:p>
        </w:tc>
        <w:tc>
          <w:tcPr>
            <w:tcW w:w="1576"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1.800</w:t>
            </w:r>
          </w:p>
        </w:tc>
        <w:tc>
          <w:tcPr>
            <w:tcW w:w="805"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15%</w:t>
            </w:r>
          </w:p>
        </w:tc>
      </w:tr>
      <w:tr w:rsidR="00C752A4" w:rsidRPr="00C752A4" w:rsidTr="00C752A4">
        <w:trPr>
          <w:tblCellSpacing w:w="15" w:type="dxa"/>
          <w:jc w:val="center"/>
        </w:trPr>
        <w:tc>
          <w:tcPr>
            <w:tcW w:w="2177"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Testiranje</w:t>
            </w:r>
          </w:p>
        </w:tc>
        <w:tc>
          <w:tcPr>
            <w:tcW w:w="1576"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1.800</w:t>
            </w:r>
          </w:p>
        </w:tc>
        <w:tc>
          <w:tcPr>
            <w:tcW w:w="805"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15%</w:t>
            </w:r>
          </w:p>
        </w:tc>
      </w:tr>
      <w:tr w:rsidR="00C752A4" w:rsidRPr="00C752A4" w:rsidTr="00C752A4">
        <w:trPr>
          <w:tblCellSpacing w:w="15" w:type="dxa"/>
          <w:jc w:val="center"/>
        </w:trPr>
        <w:tc>
          <w:tcPr>
            <w:tcW w:w="2177"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b/>
                <w:bCs/>
                <w:sz w:val="18"/>
              </w:rPr>
              <w:t>Ukupno</w:t>
            </w:r>
          </w:p>
        </w:tc>
        <w:tc>
          <w:tcPr>
            <w:tcW w:w="1576"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b/>
                <w:bCs/>
                <w:sz w:val="18"/>
              </w:rPr>
              <w:t>12.000</w:t>
            </w:r>
          </w:p>
        </w:tc>
        <w:tc>
          <w:tcPr>
            <w:tcW w:w="805" w:type="dxa"/>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b/>
                <w:bCs/>
                <w:sz w:val="18"/>
              </w:rPr>
              <w:t>100%</w:t>
            </w:r>
          </w:p>
        </w:tc>
      </w:tr>
    </w:tbl>
    <w:p w:rsidR="00C752A4" w:rsidRDefault="00C752A4" w:rsidP="00C752A4">
      <w:pPr>
        <w:jc w:val="both"/>
        <w:rPr>
          <w:rFonts w:ascii="Times New Roman" w:hAnsi="Times New Roman" w:cs="Times New Roman"/>
          <w:sz w:val="20"/>
        </w:rPr>
      </w:pPr>
    </w:p>
    <w:p w:rsidR="00694E4B" w:rsidRDefault="00C752A4" w:rsidP="00C752A4">
      <w:pPr>
        <w:jc w:val="both"/>
        <w:rPr>
          <w:rFonts w:ascii="Times New Roman" w:hAnsi="Times New Roman" w:cs="Times New Roman"/>
          <w:sz w:val="20"/>
        </w:rPr>
      </w:pPr>
      <w:r w:rsidRPr="00C752A4">
        <w:rPr>
          <w:rFonts w:ascii="Times New Roman" w:hAnsi="Times New Roman" w:cs="Times New Roman"/>
          <w:sz w:val="20"/>
        </w:rPr>
        <w:lastRenderedPageBreak/>
        <w:t>Prema referentnoj vrijednosti širine zabranjene zone, materijali su okvirno podijeljeni na metale i polumetale, poluprovodnike te širokozonske poluprovodnike i izolatore</w:t>
      </w:r>
      <w:r w:rsidR="009506CB">
        <w:rPr>
          <w:rFonts w:ascii="Times New Roman" w:hAnsi="Times New Roman" w:cs="Times New Roman"/>
          <w:sz w:val="20"/>
        </w:rPr>
        <w:t xml:space="preserve"> </w:t>
      </w:r>
      <w:r w:rsidR="009506CB" w:rsidRPr="009506CB">
        <w:rPr>
          <w:rFonts w:ascii="Times New Roman" w:hAnsi="Times New Roman" w:cs="Times New Roman"/>
          <w:sz w:val="20"/>
        </w:rPr>
        <w:t>(Chen et al., 2019; Xie &amp; Grossman, 2018).</w:t>
      </w:r>
      <w:bookmarkStart w:id="0" w:name="_GoBack"/>
      <w:bookmarkEnd w:id="0"/>
    </w:p>
    <w:p w:rsidR="00C752A4" w:rsidRDefault="00C752A4" w:rsidP="00C752A4">
      <w:pPr>
        <w:jc w:val="both"/>
        <w:rPr>
          <w:rFonts w:ascii="Times New Roman" w:hAnsi="Times New Roman" w:cs="Times New Roman"/>
          <w:sz w:val="20"/>
        </w:rPr>
      </w:pPr>
    </w:p>
    <w:p w:rsidR="00C752A4" w:rsidRDefault="00C752A4" w:rsidP="00C752A4">
      <w:pPr>
        <w:jc w:val="both"/>
        <w:rPr>
          <w:rFonts w:ascii="Times New Roman" w:hAnsi="Times New Roman" w:cs="Times New Roman"/>
          <w:sz w:val="2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500"/>
        <w:gridCol w:w="1076"/>
        <w:gridCol w:w="480"/>
      </w:tblGrid>
      <w:tr w:rsidR="00C752A4" w:rsidRPr="00C752A4" w:rsidTr="00C752A4">
        <w:trPr>
          <w:tblHeader/>
          <w:tblCellSpacing w:w="15" w:type="dxa"/>
          <w:jc w:val="center"/>
        </w:trPr>
        <w:tc>
          <w:tcPr>
            <w:tcW w:w="0" w:type="auto"/>
            <w:shd w:val="clear" w:color="auto" w:fill="DEEAF6" w:themeFill="accent1" w:themeFillTint="33"/>
            <w:vAlign w:val="center"/>
            <w:hideMark/>
          </w:tcPr>
          <w:p w:rsidR="00C752A4" w:rsidRPr="00B8166E" w:rsidRDefault="00C752A4" w:rsidP="00B8166E">
            <w:pPr>
              <w:rPr>
                <w:rFonts w:ascii="Times New Roman" w:hAnsi="Times New Roman" w:cs="Times New Roman"/>
                <w:b/>
                <w:bCs/>
                <w:sz w:val="18"/>
              </w:rPr>
            </w:pPr>
            <w:r w:rsidRPr="00B8166E">
              <w:rPr>
                <w:rFonts w:ascii="Times New Roman" w:hAnsi="Times New Roman" w:cs="Times New Roman"/>
                <w:b/>
                <w:bCs/>
                <w:sz w:val="18"/>
              </w:rPr>
              <w:t>Kategorija</w:t>
            </w:r>
          </w:p>
        </w:tc>
        <w:tc>
          <w:tcPr>
            <w:tcW w:w="0" w:type="auto"/>
            <w:shd w:val="clear" w:color="auto" w:fill="DEEAF6" w:themeFill="accent1" w:themeFillTint="33"/>
            <w:vAlign w:val="center"/>
            <w:hideMark/>
          </w:tcPr>
          <w:p w:rsidR="00C752A4" w:rsidRPr="00B8166E" w:rsidRDefault="00C752A4" w:rsidP="00B8166E">
            <w:pPr>
              <w:rPr>
                <w:rFonts w:ascii="Times New Roman" w:hAnsi="Times New Roman" w:cs="Times New Roman"/>
                <w:b/>
                <w:bCs/>
                <w:sz w:val="18"/>
              </w:rPr>
            </w:pPr>
            <w:r w:rsidRPr="00B8166E">
              <w:rPr>
                <w:rFonts w:ascii="Times New Roman" w:hAnsi="Times New Roman" w:cs="Times New Roman"/>
                <w:b/>
                <w:bCs/>
                <w:sz w:val="18"/>
              </w:rPr>
              <w:t>Kriterijum</w:t>
            </w:r>
          </w:p>
        </w:tc>
        <w:tc>
          <w:tcPr>
            <w:tcW w:w="0" w:type="auto"/>
            <w:shd w:val="clear" w:color="auto" w:fill="DEEAF6" w:themeFill="accent1" w:themeFillTint="33"/>
            <w:vAlign w:val="center"/>
            <w:hideMark/>
          </w:tcPr>
          <w:p w:rsidR="00C752A4" w:rsidRPr="00B8166E" w:rsidRDefault="00C752A4" w:rsidP="00C752A4">
            <w:pPr>
              <w:jc w:val="both"/>
              <w:rPr>
                <w:rFonts w:ascii="Times New Roman" w:hAnsi="Times New Roman" w:cs="Times New Roman"/>
                <w:b/>
                <w:bCs/>
                <w:sz w:val="18"/>
              </w:rPr>
            </w:pPr>
            <w:r w:rsidRPr="00B8166E">
              <w:rPr>
                <w:rFonts w:ascii="Times New Roman" w:hAnsi="Times New Roman" w:cs="Times New Roman"/>
                <w:b/>
                <w:bCs/>
                <w:sz w:val="18"/>
              </w:rPr>
              <w:t>Broj</w:t>
            </w:r>
          </w:p>
        </w:tc>
      </w:tr>
      <w:tr w:rsidR="00C752A4" w:rsidRPr="00C752A4" w:rsidTr="00C752A4">
        <w:trPr>
          <w:tblCellSpacing w:w="15" w:type="dxa"/>
          <w:jc w:val="center"/>
        </w:trPr>
        <w:tc>
          <w:tcPr>
            <w:tcW w:w="0" w:type="auto"/>
            <w:vAlign w:val="center"/>
            <w:hideMark/>
          </w:tcPr>
          <w:p w:rsidR="00C752A4" w:rsidRPr="00B8166E" w:rsidRDefault="00C752A4" w:rsidP="00B8166E">
            <w:pPr>
              <w:rPr>
                <w:rFonts w:ascii="Times New Roman" w:hAnsi="Times New Roman" w:cs="Times New Roman"/>
                <w:sz w:val="18"/>
              </w:rPr>
            </w:pPr>
            <w:r w:rsidRPr="00B8166E">
              <w:rPr>
                <w:rFonts w:ascii="Times New Roman" w:hAnsi="Times New Roman" w:cs="Times New Roman"/>
                <w:sz w:val="18"/>
              </w:rPr>
              <w:t>Metali i polumetali</w:t>
            </w:r>
          </w:p>
        </w:tc>
        <w:tc>
          <w:tcPr>
            <w:tcW w:w="0" w:type="auto"/>
            <w:vAlign w:val="center"/>
            <w:hideMark/>
          </w:tcPr>
          <w:p w:rsidR="00C752A4" w:rsidRPr="00B8166E" w:rsidRDefault="00C752A4" w:rsidP="00B8166E">
            <w:pPr>
              <w:rPr>
                <w:rFonts w:ascii="Times New Roman" w:hAnsi="Times New Roman" w:cs="Times New Roman"/>
                <w:sz w:val="18"/>
              </w:rPr>
            </w:pPr>
            <w:r w:rsidRPr="00B8166E">
              <w:rPr>
                <w:rFonts w:ascii="Times New Roman" w:hAnsi="Times New Roman" w:cs="Times New Roman"/>
                <w:sz w:val="18"/>
              </w:rPr>
              <w:t>E</w:t>
            </w:r>
            <w:r w:rsidRPr="00B8166E">
              <w:rPr>
                <w:rFonts w:ascii="Times New Roman" w:hAnsi="Times New Roman" w:cs="Times New Roman"/>
                <w:sz w:val="18"/>
                <w:vertAlign w:val="subscript"/>
              </w:rPr>
              <w:t>g</w:t>
            </w:r>
            <w:r w:rsidRPr="00B8166E">
              <w:rPr>
                <w:rFonts w:ascii="Times New Roman" w:hAnsi="Times New Roman" w:cs="Times New Roman"/>
                <w:sz w:val="18"/>
              </w:rPr>
              <w:t xml:space="preserve"> </w:t>
            </w:r>
            <m:oMath>
              <m:r>
                <w:rPr>
                  <w:rFonts w:ascii="Cambria Math" w:hAnsi="Cambria Math" w:cs="Times New Roman"/>
                  <w:sz w:val="18"/>
                </w:rPr>
                <m:t>≈</m:t>
              </m:r>
            </m:oMath>
            <w:r w:rsidRPr="00B8166E">
              <w:rPr>
                <w:rFonts w:ascii="Times New Roman" w:hAnsi="Times New Roman" w:cs="Times New Roman"/>
                <w:sz w:val="18"/>
              </w:rPr>
              <w:t>0 eV</w:t>
            </w:r>
          </w:p>
        </w:tc>
        <w:tc>
          <w:tcPr>
            <w:tcW w:w="0" w:type="auto"/>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4.320</w:t>
            </w:r>
          </w:p>
        </w:tc>
      </w:tr>
      <w:tr w:rsidR="00C752A4" w:rsidRPr="00C752A4" w:rsidTr="00C752A4">
        <w:trPr>
          <w:tblCellSpacing w:w="15" w:type="dxa"/>
          <w:jc w:val="center"/>
        </w:trPr>
        <w:tc>
          <w:tcPr>
            <w:tcW w:w="0" w:type="auto"/>
            <w:vAlign w:val="center"/>
            <w:hideMark/>
          </w:tcPr>
          <w:p w:rsidR="00C752A4" w:rsidRPr="00B8166E" w:rsidRDefault="00C752A4" w:rsidP="00B8166E">
            <w:pPr>
              <w:rPr>
                <w:rFonts w:ascii="Times New Roman" w:hAnsi="Times New Roman" w:cs="Times New Roman"/>
                <w:sz w:val="18"/>
              </w:rPr>
            </w:pPr>
            <w:r w:rsidRPr="00B8166E">
              <w:rPr>
                <w:rFonts w:ascii="Times New Roman" w:hAnsi="Times New Roman" w:cs="Times New Roman"/>
                <w:sz w:val="18"/>
              </w:rPr>
              <w:t>Poluprovodnici</w:t>
            </w:r>
          </w:p>
        </w:tc>
        <w:tc>
          <w:tcPr>
            <w:tcW w:w="0" w:type="auto"/>
            <w:vAlign w:val="center"/>
            <w:hideMark/>
          </w:tcPr>
          <w:p w:rsidR="00C752A4" w:rsidRPr="00B8166E" w:rsidRDefault="00C752A4" w:rsidP="00B8166E">
            <w:pPr>
              <w:rPr>
                <w:rFonts w:ascii="Times New Roman" w:hAnsi="Times New Roman" w:cs="Times New Roman"/>
                <w:sz w:val="18"/>
              </w:rPr>
            </w:pPr>
            <w:r w:rsidRPr="00B8166E">
              <w:rPr>
                <w:rFonts w:ascii="Times New Roman" w:hAnsi="Times New Roman" w:cs="Times New Roman"/>
                <w:sz w:val="18"/>
              </w:rPr>
              <w:t>0 &lt; Eg ​≤3  eV</w:t>
            </w:r>
          </w:p>
        </w:tc>
        <w:tc>
          <w:tcPr>
            <w:tcW w:w="0" w:type="auto"/>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5.160</w:t>
            </w:r>
          </w:p>
        </w:tc>
      </w:tr>
      <w:tr w:rsidR="00C752A4" w:rsidRPr="00C752A4" w:rsidTr="00C752A4">
        <w:trPr>
          <w:tblCellSpacing w:w="15" w:type="dxa"/>
          <w:jc w:val="center"/>
        </w:trPr>
        <w:tc>
          <w:tcPr>
            <w:tcW w:w="0" w:type="auto"/>
            <w:vAlign w:val="center"/>
            <w:hideMark/>
          </w:tcPr>
          <w:p w:rsidR="00C752A4" w:rsidRPr="00B8166E" w:rsidRDefault="00C752A4" w:rsidP="00B8166E">
            <w:pPr>
              <w:rPr>
                <w:rFonts w:ascii="Times New Roman" w:hAnsi="Times New Roman" w:cs="Times New Roman"/>
                <w:sz w:val="18"/>
              </w:rPr>
            </w:pPr>
            <w:r w:rsidRPr="00B8166E">
              <w:rPr>
                <w:rFonts w:ascii="Times New Roman" w:hAnsi="Times New Roman" w:cs="Times New Roman"/>
                <w:sz w:val="18"/>
              </w:rPr>
              <w:t>Širokozonski materijali i izolatori</w:t>
            </w:r>
          </w:p>
        </w:tc>
        <w:tc>
          <w:tcPr>
            <w:tcW w:w="0" w:type="auto"/>
            <w:vAlign w:val="center"/>
            <w:hideMark/>
          </w:tcPr>
          <w:p w:rsidR="00C752A4" w:rsidRPr="00B8166E" w:rsidRDefault="00C752A4" w:rsidP="00B8166E">
            <w:pPr>
              <w:rPr>
                <w:rFonts w:ascii="Times New Roman" w:hAnsi="Times New Roman" w:cs="Times New Roman"/>
                <w:sz w:val="18"/>
              </w:rPr>
            </w:pPr>
            <w:r w:rsidRPr="00B8166E">
              <w:rPr>
                <w:rFonts w:ascii="Times New Roman" w:hAnsi="Times New Roman" w:cs="Times New Roman"/>
                <w:sz w:val="18"/>
              </w:rPr>
              <w:t>Eg​&gt;3 eV</w:t>
            </w:r>
          </w:p>
        </w:tc>
        <w:tc>
          <w:tcPr>
            <w:tcW w:w="0" w:type="auto"/>
            <w:vAlign w:val="center"/>
            <w:hideMark/>
          </w:tcPr>
          <w:p w:rsidR="00C752A4" w:rsidRPr="00B8166E" w:rsidRDefault="00C752A4" w:rsidP="00C752A4">
            <w:pPr>
              <w:jc w:val="both"/>
              <w:rPr>
                <w:rFonts w:ascii="Times New Roman" w:hAnsi="Times New Roman" w:cs="Times New Roman"/>
                <w:sz w:val="18"/>
              </w:rPr>
            </w:pPr>
            <w:r w:rsidRPr="00B8166E">
              <w:rPr>
                <w:rFonts w:ascii="Times New Roman" w:hAnsi="Times New Roman" w:cs="Times New Roman"/>
                <w:sz w:val="18"/>
              </w:rPr>
              <w:t>2.520</w:t>
            </w:r>
          </w:p>
        </w:tc>
      </w:tr>
    </w:tbl>
    <w:p w:rsidR="00C752A4" w:rsidRDefault="00C752A4" w:rsidP="00C752A4">
      <w:pPr>
        <w:jc w:val="both"/>
        <w:rPr>
          <w:rFonts w:ascii="Times New Roman" w:hAnsi="Times New Roman" w:cs="Times New Roman"/>
          <w:sz w:val="20"/>
        </w:rPr>
      </w:pPr>
    </w:p>
    <w:p w:rsidR="00C752A4" w:rsidRPr="00C752A4" w:rsidRDefault="00B8166E" w:rsidP="00C752A4">
      <w:pPr>
        <w:pStyle w:val="Heading3"/>
        <w:rPr>
          <w:rFonts w:ascii="Times New Roman" w:hAnsi="Times New Roman" w:cs="Times New Roman"/>
          <w:b/>
          <w:color w:val="auto"/>
        </w:rPr>
      </w:pPr>
      <w:r>
        <w:rPr>
          <w:rFonts w:ascii="Times New Roman" w:hAnsi="Times New Roman" w:cs="Times New Roman"/>
          <w:b/>
          <w:color w:val="auto"/>
        </w:rPr>
        <w:t>4</w:t>
      </w:r>
      <w:r w:rsidR="00C752A4" w:rsidRPr="00C752A4">
        <w:rPr>
          <w:rFonts w:ascii="Times New Roman" w:hAnsi="Times New Roman" w:cs="Times New Roman"/>
          <w:b/>
          <w:color w:val="auto"/>
        </w:rPr>
        <w:t>.2. Poređenje modela</w:t>
      </w:r>
    </w:p>
    <w:p w:rsidR="00C752A4" w:rsidRDefault="00C752A4" w:rsidP="00C752A4">
      <w:pPr>
        <w:jc w:val="both"/>
        <w:rPr>
          <w:rFonts w:ascii="Times New Roman" w:hAnsi="Times New Roman" w:cs="Times New Roman"/>
          <w:sz w:val="20"/>
        </w:rPr>
      </w:pPr>
    </w:p>
    <w:p w:rsidR="00C752A4" w:rsidRPr="00C752A4" w:rsidRDefault="00C752A4" w:rsidP="00C752A4">
      <w:pPr>
        <w:jc w:val="both"/>
        <w:rPr>
          <w:rFonts w:ascii="Times New Roman" w:hAnsi="Times New Roman" w:cs="Times New Roman"/>
          <w:sz w:val="20"/>
        </w:rPr>
      </w:pPr>
      <w:r w:rsidRPr="00C752A4">
        <w:rPr>
          <w:rFonts w:ascii="Times New Roman" w:hAnsi="Times New Roman" w:cs="Times New Roman"/>
          <w:sz w:val="20"/>
        </w:rPr>
        <w:t>Modeli su vrednovani pomoću pokazatelja MAE, RMSE i R2. Niže vrijednosti MAE i RMSE označavaju manju grešku, dok viša vrijednost R2 označava bolje slaganje predviđenih i referentnih podataka.</w:t>
      </w:r>
    </w:p>
    <w:p w:rsidR="00C752A4" w:rsidRDefault="00C752A4" w:rsidP="00C752A4">
      <w:pPr>
        <w:jc w:val="both"/>
        <w:rPr>
          <w:rFonts w:ascii="Times New Roman" w:hAnsi="Times New Roman" w:cs="Times New Roman"/>
          <w:sz w:val="2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80"/>
        <w:gridCol w:w="855"/>
        <w:gridCol w:w="955"/>
        <w:gridCol w:w="390"/>
      </w:tblGrid>
      <w:tr w:rsidR="00753CA3" w:rsidRPr="00753CA3" w:rsidTr="00753CA3">
        <w:trPr>
          <w:tblHeader/>
          <w:tblCellSpacing w:w="15" w:type="dxa"/>
          <w:jc w:val="center"/>
        </w:trPr>
        <w:tc>
          <w:tcPr>
            <w:tcW w:w="0" w:type="auto"/>
            <w:shd w:val="clear" w:color="auto" w:fill="DEEAF6" w:themeFill="accent1" w:themeFillTint="33"/>
            <w:vAlign w:val="center"/>
            <w:hideMark/>
          </w:tcPr>
          <w:p w:rsidR="00753CA3" w:rsidRPr="00B8166E" w:rsidRDefault="00753CA3" w:rsidP="00753CA3">
            <w:pPr>
              <w:jc w:val="both"/>
              <w:rPr>
                <w:rFonts w:ascii="Times New Roman" w:hAnsi="Times New Roman" w:cs="Times New Roman"/>
                <w:b/>
                <w:bCs/>
                <w:sz w:val="18"/>
              </w:rPr>
            </w:pPr>
            <w:r w:rsidRPr="00B8166E">
              <w:rPr>
                <w:rFonts w:ascii="Times New Roman" w:hAnsi="Times New Roman" w:cs="Times New Roman"/>
                <w:b/>
                <w:bCs/>
                <w:sz w:val="18"/>
              </w:rPr>
              <w:t>Model</w:t>
            </w:r>
          </w:p>
        </w:tc>
        <w:tc>
          <w:tcPr>
            <w:tcW w:w="0" w:type="auto"/>
            <w:shd w:val="clear" w:color="auto" w:fill="DEEAF6" w:themeFill="accent1" w:themeFillTint="33"/>
            <w:vAlign w:val="center"/>
            <w:hideMark/>
          </w:tcPr>
          <w:p w:rsidR="00753CA3" w:rsidRPr="00B8166E" w:rsidRDefault="00753CA3" w:rsidP="00753CA3">
            <w:pPr>
              <w:jc w:val="both"/>
              <w:rPr>
                <w:rFonts w:ascii="Times New Roman" w:hAnsi="Times New Roman" w:cs="Times New Roman"/>
                <w:b/>
                <w:bCs/>
                <w:sz w:val="18"/>
              </w:rPr>
            </w:pPr>
            <w:r w:rsidRPr="00B8166E">
              <w:rPr>
                <w:rFonts w:ascii="Times New Roman" w:hAnsi="Times New Roman" w:cs="Times New Roman"/>
                <w:b/>
                <w:bCs/>
                <w:sz w:val="18"/>
              </w:rPr>
              <w:t>MAE (eV)</w:t>
            </w:r>
          </w:p>
        </w:tc>
        <w:tc>
          <w:tcPr>
            <w:tcW w:w="0" w:type="auto"/>
            <w:shd w:val="clear" w:color="auto" w:fill="DEEAF6" w:themeFill="accent1" w:themeFillTint="33"/>
            <w:vAlign w:val="center"/>
            <w:hideMark/>
          </w:tcPr>
          <w:p w:rsidR="00753CA3" w:rsidRPr="00B8166E" w:rsidRDefault="00753CA3" w:rsidP="00753CA3">
            <w:pPr>
              <w:jc w:val="both"/>
              <w:rPr>
                <w:rFonts w:ascii="Times New Roman" w:hAnsi="Times New Roman" w:cs="Times New Roman"/>
                <w:b/>
                <w:bCs/>
                <w:sz w:val="18"/>
              </w:rPr>
            </w:pPr>
            <w:r w:rsidRPr="00B8166E">
              <w:rPr>
                <w:rFonts w:ascii="Times New Roman" w:hAnsi="Times New Roman" w:cs="Times New Roman"/>
                <w:b/>
                <w:bCs/>
                <w:sz w:val="18"/>
              </w:rPr>
              <w:t>RMSE (eV)</w:t>
            </w:r>
          </w:p>
        </w:tc>
        <w:tc>
          <w:tcPr>
            <w:tcW w:w="0" w:type="auto"/>
            <w:shd w:val="clear" w:color="auto" w:fill="DEEAF6" w:themeFill="accent1" w:themeFillTint="33"/>
            <w:vAlign w:val="center"/>
            <w:hideMark/>
          </w:tcPr>
          <w:p w:rsidR="00753CA3" w:rsidRPr="00B8166E" w:rsidRDefault="00753CA3" w:rsidP="00753CA3">
            <w:pPr>
              <w:jc w:val="center"/>
              <w:rPr>
                <w:rFonts w:ascii="Times New Roman" w:hAnsi="Times New Roman" w:cs="Times New Roman"/>
                <w:b/>
                <w:bCs/>
                <w:sz w:val="18"/>
                <w:vertAlign w:val="superscript"/>
              </w:rPr>
            </w:pPr>
            <w:r w:rsidRPr="00B8166E">
              <w:rPr>
                <w:rFonts w:ascii="Times New Roman" w:hAnsi="Times New Roman" w:cs="Times New Roman"/>
                <w:b/>
                <w:bCs/>
                <w:sz w:val="18"/>
              </w:rPr>
              <w:t>R</w:t>
            </w:r>
            <w:r w:rsidRPr="00B8166E">
              <w:rPr>
                <w:rFonts w:ascii="Times New Roman" w:hAnsi="Times New Roman" w:cs="Times New Roman"/>
                <w:b/>
                <w:bCs/>
                <w:sz w:val="18"/>
                <w:vertAlign w:val="superscript"/>
              </w:rPr>
              <w:t>2</w:t>
            </w:r>
          </w:p>
        </w:tc>
      </w:tr>
      <w:tr w:rsidR="00753CA3" w:rsidRPr="00753CA3" w:rsidTr="00753CA3">
        <w:trPr>
          <w:tblCellSpacing w:w="15" w:type="dxa"/>
          <w:jc w:val="center"/>
        </w:trPr>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Linearna regresija</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0,62</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0,88</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0,69</w:t>
            </w:r>
          </w:p>
        </w:tc>
      </w:tr>
      <w:tr w:rsidR="00753CA3" w:rsidRPr="00753CA3" w:rsidTr="00753CA3">
        <w:trPr>
          <w:tblCellSpacing w:w="15" w:type="dxa"/>
          <w:jc w:val="center"/>
        </w:trPr>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Random Forest</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0,37</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0,58</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0,86</w:t>
            </w:r>
          </w:p>
        </w:tc>
      </w:tr>
      <w:tr w:rsidR="00753CA3" w:rsidRPr="00753CA3" w:rsidTr="00753CA3">
        <w:trPr>
          <w:tblCellSpacing w:w="15" w:type="dxa"/>
          <w:jc w:val="center"/>
        </w:trPr>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Neuronska mreža</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0,33</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0,52</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sz w:val="18"/>
              </w:rPr>
              <w:t>0,89</w:t>
            </w:r>
          </w:p>
        </w:tc>
      </w:tr>
      <w:tr w:rsidR="00753CA3" w:rsidRPr="00753CA3" w:rsidTr="00753CA3">
        <w:trPr>
          <w:tblCellSpacing w:w="15" w:type="dxa"/>
          <w:jc w:val="center"/>
        </w:trPr>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b/>
                <w:bCs/>
                <w:sz w:val="18"/>
              </w:rPr>
              <w:t>XGBoost</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b/>
                <w:bCs/>
                <w:sz w:val="18"/>
              </w:rPr>
              <w:t>0,29</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b/>
                <w:bCs/>
                <w:sz w:val="18"/>
              </w:rPr>
              <w:t>0,47</w:t>
            </w:r>
          </w:p>
        </w:tc>
        <w:tc>
          <w:tcPr>
            <w:tcW w:w="0" w:type="auto"/>
            <w:vAlign w:val="center"/>
            <w:hideMark/>
          </w:tcPr>
          <w:p w:rsidR="00753CA3" w:rsidRPr="00B8166E" w:rsidRDefault="00753CA3" w:rsidP="00753CA3">
            <w:pPr>
              <w:jc w:val="both"/>
              <w:rPr>
                <w:rFonts w:ascii="Times New Roman" w:hAnsi="Times New Roman" w:cs="Times New Roman"/>
                <w:sz w:val="18"/>
              </w:rPr>
            </w:pPr>
            <w:r w:rsidRPr="00B8166E">
              <w:rPr>
                <w:rFonts w:ascii="Times New Roman" w:hAnsi="Times New Roman" w:cs="Times New Roman"/>
                <w:b/>
                <w:bCs/>
                <w:sz w:val="18"/>
              </w:rPr>
              <w:t>0,91</w:t>
            </w:r>
          </w:p>
        </w:tc>
      </w:tr>
    </w:tbl>
    <w:p w:rsidR="00753CA3" w:rsidRDefault="00753CA3" w:rsidP="00C752A4">
      <w:pPr>
        <w:jc w:val="both"/>
        <w:rPr>
          <w:rFonts w:ascii="Times New Roman" w:hAnsi="Times New Roman" w:cs="Times New Roman"/>
          <w:sz w:val="20"/>
        </w:rPr>
      </w:pPr>
    </w:p>
    <w:p w:rsidR="00753CA3" w:rsidRDefault="00753CA3" w:rsidP="00C752A4">
      <w:pPr>
        <w:jc w:val="both"/>
        <w:rPr>
          <w:rFonts w:ascii="Times New Roman" w:hAnsi="Times New Roman" w:cs="Times New Roman"/>
          <w:sz w:val="20"/>
        </w:rPr>
      </w:pPr>
      <w:r w:rsidRPr="00753CA3">
        <w:rPr>
          <w:rFonts w:ascii="Times New Roman" w:hAnsi="Times New Roman" w:cs="Times New Roman"/>
          <w:sz w:val="20"/>
        </w:rPr>
        <w:t>Najbolje rezultate ostvario je XGBoost, sa srednjom apsolutnom greškom od 0,29 eV i koeficijentom determinacije od 0,91. To znači da je model objasnio približno 91% varijabilnosti širine zabranjene zone u testnom skupu. Neuronska mreža ostvarila je nešto slabiji rezultat, dok je linearna regresija imala najveću grešku.</w:t>
      </w:r>
    </w:p>
    <w:p w:rsidR="00753CA3" w:rsidRDefault="00753CA3" w:rsidP="00C752A4">
      <w:pPr>
        <w:jc w:val="both"/>
        <w:rPr>
          <w:rFonts w:ascii="Times New Roman" w:hAnsi="Times New Roman" w:cs="Times New Roman"/>
          <w:sz w:val="20"/>
        </w:rPr>
      </w:pPr>
    </w:p>
    <w:p w:rsidR="00313C88" w:rsidRDefault="00313C88" w:rsidP="00C752A4">
      <w:pPr>
        <w:jc w:val="both"/>
        <w:rPr>
          <w:rFonts w:ascii="Times New Roman" w:hAnsi="Times New Roman" w:cs="Times New Roman"/>
          <w:sz w:val="20"/>
        </w:rPr>
      </w:pPr>
    </w:p>
    <w:p w:rsidR="00313C88" w:rsidRDefault="00313C88" w:rsidP="00C752A4">
      <w:pPr>
        <w:jc w:val="both"/>
        <w:rPr>
          <w:rFonts w:ascii="Times New Roman" w:hAnsi="Times New Roman" w:cs="Times New Roman"/>
          <w:sz w:val="20"/>
        </w:rPr>
      </w:pPr>
    </w:p>
    <w:p w:rsidR="00313C88" w:rsidRDefault="00313C88" w:rsidP="00C752A4">
      <w:pPr>
        <w:jc w:val="both"/>
        <w:rPr>
          <w:rFonts w:ascii="Times New Roman" w:hAnsi="Times New Roman" w:cs="Times New Roman"/>
          <w:sz w:val="20"/>
        </w:rPr>
      </w:pPr>
    </w:p>
    <w:p w:rsidR="00313C88" w:rsidRDefault="00313C88" w:rsidP="00C752A4">
      <w:pPr>
        <w:jc w:val="both"/>
        <w:rPr>
          <w:rFonts w:ascii="Times New Roman" w:hAnsi="Times New Roman" w:cs="Times New Roman"/>
          <w:sz w:val="20"/>
        </w:rPr>
      </w:pPr>
    </w:p>
    <w:p w:rsidR="00313C88" w:rsidRDefault="00313C88" w:rsidP="00313C88">
      <w:pPr>
        <w:jc w:val="center"/>
        <w:rPr>
          <w:rFonts w:ascii="Times New Roman" w:hAnsi="Times New Roman" w:cs="Times New Roman"/>
          <w:sz w:val="18"/>
        </w:rPr>
      </w:pPr>
      <w:r>
        <w:rPr>
          <w:rFonts w:ascii="Times New Roman" w:hAnsi="Times New Roman" w:cs="Times New Roman"/>
          <w:noProof/>
          <w:sz w:val="18"/>
          <w:lang w:eastAsia="en-GB"/>
        </w:rPr>
        <w:drawing>
          <wp:inline distT="0" distB="0" distL="0" distR="0">
            <wp:extent cx="4121150" cy="29180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80AC79.tmp"/>
                    <pic:cNvPicPr/>
                  </pic:nvPicPr>
                  <pic:blipFill>
                    <a:blip r:embed="rId6">
                      <a:extLst>
                        <a:ext uri="{28A0092B-C50C-407E-A947-70E740481C1C}">
                          <a14:useLocalDpi xmlns:a14="http://schemas.microsoft.com/office/drawing/2010/main" val="0"/>
                        </a:ext>
                      </a:extLst>
                    </a:blip>
                    <a:stretch>
                      <a:fillRect/>
                    </a:stretch>
                  </pic:blipFill>
                  <pic:spPr>
                    <a:xfrm>
                      <a:off x="0" y="0"/>
                      <a:ext cx="4139693" cy="2931175"/>
                    </a:xfrm>
                    <a:prstGeom prst="rect">
                      <a:avLst/>
                    </a:prstGeom>
                  </pic:spPr>
                </pic:pic>
              </a:graphicData>
            </a:graphic>
          </wp:inline>
        </w:drawing>
      </w:r>
    </w:p>
    <w:p w:rsidR="00313C88" w:rsidRDefault="00313C88" w:rsidP="00313C88">
      <w:pPr>
        <w:jc w:val="center"/>
        <w:rPr>
          <w:rFonts w:ascii="Times New Roman" w:hAnsi="Times New Roman" w:cs="Times New Roman"/>
          <w:sz w:val="18"/>
        </w:rPr>
      </w:pPr>
    </w:p>
    <w:p w:rsidR="00313C88" w:rsidRDefault="00313C88" w:rsidP="00313C88">
      <w:pPr>
        <w:jc w:val="center"/>
        <w:rPr>
          <w:rFonts w:ascii="Times New Roman" w:hAnsi="Times New Roman" w:cs="Times New Roman"/>
          <w:sz w:val="18"/>
        </w:rPr>
      </w:pPr>
      <w:r w:rsidRPr="00313C88">
        <w:rPr>
          <w:rFonts w:ascii="Times New Roman" w:hAnsi="Times New Roman" w:cs="Times New Roman"/>
          <w:b/>
          <w:sz w:val="18"/>
        </w:rPr>
        <w:t>Grafikon 1</w:t>
      </w:r>
      <w:r w:rsidRPr="00313C88">
        <w:rPr>
          <w:rFonts w:ascii="Times New Roman" w:hAnsi="Times New Roman" w:cs="Times New Roman"/>
          <w:sz w:val="18"/>
        </w:rPr>
        <w:t xml:space="preserve">. </w:t>
      </w:r>
      <w:r w:rsidRPr="00313C88">
        <w:rPr>
          <w:rFonts w:ascii="Times New Roman" w:hAnsi="Times New Roman" w:cs="Times New Roman"/>
          <w:i/>
          <w:sz w:val="18"/>
        </w:rPr>
        <w:t>Srednja apsolutna greška modela</w:t>
      </w:r>
    </w:p>
    <w:p w:rsidR="00313C88" w:rsidRDefault="00313C88" w:rsidP="00313C88">
      <w:pPr>
        <w:jc w:val="center"/>
        <w:rPr>
          <w:rFonts w:ascii="Times New Roman" w:hAnsi="Times New Roman" w:cs="Times New Roman"/>
          <w:sz w:val="18"/>
        </w:rPr>
      </w:pPr>
    </w:p>
    <w:p w:rsidR="00313C88" w:rsidRPr="00313C88" w:rsidRDefault="00313C88" w:rsidP="00313C88">
      <w:pPr>
        <w:jc w:val="both"/>
        <w:rPr>
          <w:rFonts w:ascii="Times New Roman" w:hAnsi="Times New Roman" w:cs="Times New Roman"/>
          <w:sz w:val="20"/>
        </w:rPr>
      </w:pPr>
    </w:p>
    <w:p w:rsidR="00313C88" w:rsidRDefault="00313C88" w:rsidP="00313C88">
      <w:pPr>
        <w:jc w:val="both"/>
        <w:rPr>
          <w:rFonts w:ascii="Times New Roman" w:hAnsi="Times New Roman" w:cs="Times New Roman"/>
          <w:sz w:val="20"/>
        </w:rPr>
      </w:pPr>
      <w:r w:rsidRPr="00313C88">
        <w:rPr>
          <w:rFonts w:ascii="Times New Roman" w:hAnsi="Times New Roman" w:cs="Times New Roman"/>
          <w:sz w:val="20"/>
        </w:rPr>
        <w:t>Grafikon pokazuje da svi nelinearni modeli ostvaruju manju grešku od linearne regresije. Najmanja vrijednost MAE zabilježena je kod XGBoost modela.</w:t>
      </w:r>
    </w:p>
    <w:p w:rsidR="00313C88" w:rsidRDefault="00313C88" w:rsidP="00313C88">
      <w:pPr>
        <w:jc w:val="both"/>
        <w:rPr>
          <w:rFonts w:ascii="Times New Roman" w:hAnsi="Times New Roman" w:cs="Times New Roman"/>
          <w:sz w:val="20"/>
        </w:rPr>
      </w:pPr>
    </w:p>
    <w:p w:rsidR="00313C88" w:rsidRDefault="00313C88" w:rsidP="00313C88">
      <w:pPr>
        <w:jc w:val="center"/>
        <w:rPr>
          <w:rFonts w:ascii="Times New Roman" w:hAnsi="Times New Roman" w:cs="Times New Roman"/>
          <w:sz w:val="20"/>
        </w:rPr>
      </w:pPr>
      <w:r>
        <w:rPr>
          <w:rFonts w:ascii="Times New Roman" w:hAnsi="Times New Roman" w:cs="Times New Roman"/>
          <w:noProof/>
          <w:sz w:val="20"/>
          <w:lang w:eastAsia="en-GB"/>
        </w:rPr>
        <w:lastRenderedPageBreak/>
        <w:drawing>
          <wp:inline distT="0" distB="0" distL="0" distR="0">
            <wp:extent cx="4362450" cy="3104851"/>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805D09.tmp"/>
                    <pic:cNvPicPr/>
                  </pic:nvPicPr>
                  <pic:blipFill>
                    <a:blip r:embed="rId7">
                      <a:extLst>
                        <a:ext uri="{28A0092B-C50C-407E-A947-70E740481C1C}">
                          <a14:useLocalDpi xmlns:a14="http://schemas.microsoft.com/office/drawing/2010/main" val="0"/>
                        </a:ext>
                      </a:extLst>
                    </a:blip>
                    <a:stretch>
                      <a:fillRect/>
                    </a:stretch>
                  </pic:blipFill>
                  <pic:spPr>
                    <a:xfrm>
                      <a:off x="0" y="0"/>
                      <a:ext cx="4377512" cy="3115571"/>
                    </a:xfrm>
                    <a:prstGeom prst="rect">
                      <a:avLst/>
                    </a:prstGeom>
                  </pic:spPr>
                </pic:pic>
              </a:graphicData>
            </a:graphic>
          </wp:inline>
        </w:drawing>
      </w:r>
    </w:p>
    <w:p w:rsidR="00313C88" w:rsidRPr="00313C88" w:rsidRDefault="00313C88" w:rsidP="00313C88">
      <w:pPr>
        <w:jc w:val="center"/>
        <w:rPr>
          <w:rFonts w:ascii="Times New Roman" w:hAnsi="Times New Roman" w:cs="Times New Roman"/>
          <w:sz w:val="20"/>
        </w:rPr>
      </w:pPr>
    </w:p>
    <w:p w:rsidR="00313C88" w:rsidRDefault="00313C88" w:rsidP="00313C88">
      <w:pPr>
        <w:jc w:val="center"/>
        <w:rPr>
          <w:rFonts w:ascii="Times New Roman" w:hAnsi="Times New Roman" w:cs="Times New Roman"/>
          <w:i/>
          <w:sz w:val="18"/>
        </w:rPr>
      </w:pPr>
      <w:r w:rsidRPr="00313C88">
        <w:rPr>
          <w:rFonts w:ascii="Times New Roman" w:hAnsi="Times New Roman" w:cs="Times New Roman"/>
          <w:b/>
          <w:sz w:val="18"/>
        </w:rPr>
        <w:t>Grafikon 2.</w:t>
      </w:r>
      <w:r w:rsidRPr="00313C88">
        <w:rPr>
          <w:rFonts w:ascii="Times New Roman" w:hAnsi="Times New Roman" w:cs="Times New Roman"/>
          <w:sz w:val="18"/>
        </w:rPr>
        <w:t xml:space="preserve"> </w:t>
      </w:r>
      <w:r w:rsidRPr="00313C88">
        <w:rPr>
          <w:rFonts w:ascii="Times New Roman" w:hAnsi="Times New Roman" w:cs="Times New Roman"/>
          <w:i/>
          <w:sz w:val="18"/>
        </w:rPr>
        <w:t>Koeficijent determinacije</w:t>
      </w:r>
    </w:p>
    <w:p w:rsidR="00313C88" w:rsidRDefault="00313C88" w:rsidP="00313C88">
      <w:pPr>
        <w:jc w:val="center"/>
        <w:rPr>
          <w:rFonts w:ascii="Times New Roman" w:hAnsi="Times New Roman" w:cs="Times New Roman"/>
          <w:i/>
          <w:sz w:val="18"/>
        </w:rPr>
      </w:pPr>
    </w:p>
    <w:p w:rsidR="00313C88" w:rsidRDefault="00313C88" w:rsidP="00313C88">
      <w:pPr>
        <w:jc w:val="both"/>
        <w:rPr>
          <w:rFonts w:ascii="Times New Roman" w:hAnsi="Times New Roman" w:cs="Times New Roman"/>
          <w:sz w:val="20"/>
        </w:rPr>
      </w:pPr>
    </w:p>
    <w:p w:rsidR="00313C88" w:rsidRPr="00313C88" w:rsidRDefault="00313C88" w:rsidP="00313C88">
      <w:pPr>
        <w:pStyle w:val="Heading3"/>
        <w:rPr>
          <w:rFonts w:ascii="Times New Roman" w:hAnsi="Times New Roman" w:cs="Times New Roman"/>
          <w:b/>
          <w:color w:val="auto"/>
        </w:rPr>
      </w:pPr>
      <w:r w:rsidRPr="00313C88">
        <w:rPr>
          <w:rFonts w:ascii="Times New Roman" w:hAnsi="Times New Roman" w:cs="Times New Roman"/>
          <w:b/>
          <w:color w:val="auto"/>
        </w:rPr>
        <w:t>4</w:t>
      </w:r>
      <w:r w:rsidRPr="00313C88">
        <w:rPr>
          <w:rFonts w:ascii="Times New Roman" w:hAnsi="Times New Roman" w:cs="Times New Roman"/>
          <w:b/>
          <w:color w:val="auto"/>
        </w:rPr>
        <w:t>.</w:t>
      </w:r>
      <w:r w:rsidR="00B8166E">
        <w:rPr>
          <w:rFonts w:ascii="Times New Roman" w:hAnsi="Times New Roman" w:cs="Times New Roman"/>
          <w:b/>
          <w:color w:val="auto"/>
        </w:rPr>
        <w:t>3</w:t>
      </w:r>
      <w:r w:rsidRPr="00313C88">
        <w:rPr>
          <w:rFonts w:ascii="Times New Roman" w:hAnsi="Times New Roman" w:cs="Times New Roman"/>
          <w:b/>
          <w:color w:val="auto"/>
        </w:rPr>
        <w:t>. Uticaj vrste deskriptora</w:t>
      </w:r>
    </w:p>
    <w:p w:rsidR="00313C88" w:rsidRPr="00313C88" w:rsidRDefault="00313C88" w:rsidP="00313C88">
      <w:pPr>
        <w:jc w:val="both"/>
        <w:rPr>
          <w:rFonts w:ascii="Times New Roman" w:hAnsi="Times New Roman" w:cs="Times New Roman"/>
          <w:sz w:val="20"/>
        </w:rPr>
      </w:pPr>
    </w:p>
    <w:p w:rsidR="00313C88" w:rsidRDefault="00313C88" w:rsidP="00313C88">
      <w:pPr>
        <w:jc w:val="both"/>
        <w:rPr>
          <w:rFonts w:ascii="Times New Roman" w:hAnsi="Times New Roman" w:cs="Times New Roman"/>
          <w:sz w:val="20"/>
        </w:rPr>
      </w:pPr>
      <w:r w:rsidRPr="00313C88">
        <w:rPr>
          <w:rFonts w:ascii="Times New Roman" w:hAnsi="Times New Roman" w:cs="Times New Roman"/>
          <w:sz w:val="20"/>
        </w:rPr>
        <w:t>Ispitan je uticaj korištenja samo hemijskih deskriptora i kombinovanja hemijskih i strukturnih podataka. Poređenje je izvršeno primjenom najbolje rangiranog XGBoost modela.</w:t>
      </w:r>
    </w:p>
    <w:p w:rsidR="00B8166E" w:rsidRDefault="00B8166E" w:rsidP="00313C88">
      <w:pPr>
        <w:jc w:val="both"/>
        <w:rPr>
          <w:rFonts w:ascii="Times New Roman" w:hAnsi="Times New Roman" w:cs="Times New Roman"/>
          <w:sz w:val="20"/>
        </w:rPr>
      </w:pPr>
    </w:p>
    <w:p w:rsidR="00B8166E" w:rsidRDefault="00B8166E" w:rsidP="00313C88">
      <w:pPr>
        <w:jc w:val="both"/>
        <w:rPr>
          <w:rFonts w:ascii="Times New Roman" w:hAnsi="Times New Roman" w:cs="Times New Roman"/>
          <w:sz w:val="20"/>
        </w:rPr>
      </w:pPr>
    </w:p>
    <w:p w:rsidR="00B8166E" w:rsidRDefault="00B8166E" w:rsidP="00313C88">
      <w:pPr>
        <w:jc w:val="both"/>
        <w:rPr>
          <w:rFonts w:ascii="Times New Roman" w:hAnsi="Times New Roman" w:cs="Times New Roman"/>
          <w:sz w:val="20"/>
        </w:rPr>
      </w:pPr>
    </w:p>
    <w:p w:rsidR="00B8166E" w:rsidRDefault="00B8166E" w:rsidP="00313C88">
      <w:pPr>
        <w:jc w:val="both"/>
        <w:rPr>
          <w:rFonts w:ascii="Times New Roman" w:hAnsi="Times New Roman" w:cs="Times New Roman"/>
          <w:sz w:val="2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621"/>
        <w:gridCol w:w="855"/>
        <w:gridCol w:w="955"/>
        <w:gridCol w:w="390"/>
      </w:tblGrid>
      <w:tr w:rsidR="00B8166E" w:rsidRPr="00B8166E" w:rsidTr="00B8166E">
        <w:trPr>
          <w:tblHeader/>
          <w:tblCellSpacing w:w="15" w:type="dxa"/>
          <w:jc w:val="center"/>
        </w:trPr>
        <w:tc>
          <w:tcPr>
            <w:tcW w:w="0" w:type="auto"/>
            <w:shd w:val="clear" w:color="auto" w:fill="DEEAF6" w:themeFill="accent1" w:themeFillTint="33"/>
            <w:vAlign w:val="center"/>
            <w:hideMark/>
          </w:tcPr>
          <w:p w:rsidR="00B8166E" w:rsidRPr="00B8166E" w:rsidRDefault="00B8166E" w:rsidP="00B8166E">
            <w:pPr>
              <w:jc w:val="both"/>
              <w:rPr>
                <w:rFonts w:ascii="Times New Roman" w:hAnsi="Times New Roman" w:cs="Times New Roman"/>
                <w:b/>
                <w:bCs/>
                <w:sz w:val="18"/>
              </w:rPr>
            </w:pPr>
            <w:r w:rsidRPr="00B8166E">
              <w:rPr>
                <w:rFonts w:ascii="Times New Roman" w:hAnsi="Times New Roman" w:cs="Times New Roman"/>
                <w:b/>
                <w:bCs/>
                <w:sz w:val="18"/>
              </w:rPr>
              <w:t>Ulazni podaci</w:t>
            </w:r>
          </w:p>
        </w:tc>
        <w:tc>
          <w:tcPr>
            <w:tcW w:w="0" w:type="auto"/>
            <w:shd w:val="clear" w:color="auto" w:fill="DEEAF6" w:themeFill="accent1" w:themeFillTint="33"/>
            <w:vAlign w:val="center"/>
            <w:hideMark/>
          </w:tcPr>
          <w:p w:rsidR="00B8166E" w:rsidRPr="00B8166E" w:rsidRDefault="00B8166E" w:rsidP="00B8166E">
            <w:pPr>
              <w:jc w:val="both"/>
              <w:rPr>
                <w:rFonts w:ascii="Times New Roman" w:hAnsi="Times New Roman" w:cs="Times New Roman"/>
                <w:b/>
                <w:bCs/>
                <w:sz w:val="18"/>
              </w:rPr>
            </w:pPr>
            <w:r w:rsidRPr="00B8166E">
              <w:rPr>
                <w:rFonts w:ascii="Times New Roman" w:hAnsi="Times New Roman" w:cs="Times New Roman"/>
                <w:b/>
                <w:bCs/>
                <w:sz w:val="18"/>
              </w:rPr>
              <w:t>MAE (eV)</w:t>
            </w:r>
          </w:p>
        </w:tc>
        <w:tc>
          <w:tcPr>
            <w:tcW w:w="0" w:type="auto"/>
            <w:shd w:val="clear" w:color="auto" w:fill="DEEAF6" w:themeFill="accent1" w:themeFillTint="33"/>
            <w:vAlign w:val="center"/>
            <w:hideMark/>
          </w:tcPr>
          <w:p w:rsidR="00B8166E" w:rsidRPr="00B8166E" w:rsidRDefault="00B8166E" w:rsidP="00B8166E">
            <w:pPr>
              <w:jc w:val="both"/>
              <w:rPr>
                <w:rFonts w:ascii="Times New Roman" w:hAnsi="Times New Roman" w:cs="Times New Roman"/>
                <w:b/>
                <w:bCs/>
                <w:sz w:val="18"/>
              </w:rPr>
            </w:pPr>
            <w:r w:rsidRPr="00B8166E">
              <w:rPr>
                <w:rFonts w:ascii="Times New Roman" w:hAnsi="Times New Roman" w:cs="Times New Roman"/>
                <w:b/>
                <w:bCs/>
                <w:sz w:val="18"/>
              </w:rPr>
              <w:t>RMSE (eV)</w:t>
            </w:r>
          </w:p>
        </w:tc>
        <w:tc>
          <w:tcPr>
            <w:tcW w:w="0" w:type="auto"/>
            <w:shd w:val="clear" w:color="auto" w:fill="DEEAF6" w:themeFill="accent1" w:themeFillTint="33"/>
            <w:vAlign w:val="center"/>
            <w:hideMark/>
          </w:tcPr>
          <w:p w:rsidR="00B8166E" w:rsidRPr="00B8166E" w:rsidRDefault="00B8166E" w:rsidP="00B8166E">
            <w:pPr>
              <w:jc w:val="both"/>
              <w:rPr>
                <w:rFonts w:ascii="Times New Roman" w:hAnsi="Times New Roman" w:cs="Times New Roman"/>
                <w:b/>
                <w:bCs/>
                <w:sz w:val="18"/>
              </w:rPr>
            </w:pPr>
            <w:r w:rsidRPr="00B8166E">
              <w:rPr>
                <w:rFonts w:ascii="Times New Roman" w:hAnsi="Times New Roman" w:cs="Times New Roman"/>
                <w:b/>
                <w:bCs/>
                <w:sz w:val="18"/>
              </w:rPr>
              <w:t>(R</w:t>
            </w:r>
            <w:r w:rsidRPr="00B8166E">
              <w:rPr>
                <w:rFonts w:ascii="Times New Roman" w:hAnsi="Times New Roman" w:cs="Times New Roman"/>
                <w:b/>
                <w:bCs/>
                <w:sz w:val="18"/>
                <w:vertAlign w:val="superscript"/>
              </w:rPr>
              <w:t>2</w:t>
            </w:r>
            <w:r w:rsidRPr="00B8166E">
              <w:rPr>
                <w:rFonts w:ascii="Times New Roman" w:hAnsi="Times New Roman" w:cs="Times New Roman"/>
                <w:b/>
                <w:bCs/>
                <w:sz w:val="18"/>
              </w:rPr>
              <w:t>)</w:t>
            </w:r>
          </w:p>
        </w:tc>
      </w:tr>
      <w:tr w:rsidR="00B8166E" w:rsidRPr="00B8166E" w:rsidTr="00B8166E">
        <w:trPr>
          <w:tblCellSpacing w:w="15" w:type="dxa"/>
          <w:jc w:val="center"/>
        </w:trPr>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Samo hemijski deskriptori</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0,41</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0,63</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0,83</w:t>
            </w:r>
          </w:p>
        </w:tc>
      </w:tr>
      <w:tr w:rsidR="00B8166E" w:rsidRPr="00B8166E" w:rsidTr="00B8166E">
        <w:trPr>
          <w:tblCellSpacing w:w="15" w:type="dxa"/>
          <w:jc w:val="center"/>
        </w:trPr>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Samo strukturni deskriptori</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0,46</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0,68</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sz w:val="18"/>
              </w:rPr>
              <w:t>0,80</w:t>
            </w:r>
          </w:p>
        </w:tc>
      </w:tr>
      <w:tr w:rsidR="00B8166E" w:rsidRPr="00B8166E" w:rsidTr="00B8166E">
        <w:trPr>
          <w:tblCellSpacing w:w="15" w:type="dxa"/>
          <w:jc w:val="center"/>
        </w:trPr>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b/>
                <w:bCs/>
                <w:sz w:val="18"/>
              </w:rPr>
              <w:t>Hemijski i strukturni deskriptori</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b/>
                <w:bCs/>
                <w:sz w:val="18"/>
              </w:rPr>
              <w:t>0,29</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b/>
                <w:bCs/>
                <w:sz w:val="18"/>
              </w:rPr>
              <w:t>0,47</w:t>
            </w:r>
          </w:p>
        </w:tc>
        <w:tc>
          <w:tcPr>
            <w:tcW w:w="0" w:type="auto"/>
            <w:vAlign w:val="center"/>
            <w:hideMark/>
          </w:tcPr>
          <w:p w:rsidR="00B8166E" w:rsidRPr="00B8166E" w:rsidRDefault="00B8166E" w:rsidP="00B8166E">
            <w:pPr>
              <w:jc w:val="both"/>
              <w:rPr>
                <w:rFonts w:ascii="Times New Roman" w:hAnsi="Times New Roman" w:cs="Times New Roman"/>
                <w:sz w:val="18"/>
              </w:rPr>
            </w:pPr>
            <w:r w:rsidRPr="00B8166E">
              <w:rPr>
                <w:rFonts w:ascii="Times New Roman" w:hAnsi="Times New Roman" w:cs="Times New Roman"/>
                <w:b/>
                <w:bCs/>
                <w:sz w:val="18"/>
              </w:rPr>
              <w:t>0,91</w:t>
            </w:r>
          </w:p>
        </w:tc>
      </w:tr>
    </w:tbl>
    <w:p w:rsidR="00B8166E" w:rsidRDefault="00B8166E" w:rsidP="00313C88">
      <w:pPr>
        <w:jc w:val="both"/>
        <w:rPr>
          <w:rFonts w:ascii="Times New Roman" w:hAnsi="Times New Roman" w:cs="Times New Roman"/>
          <w:sz w:val="20"/>
        </w:rPr>
      </w:pPr>
    </w:p>
    <w:p w:rsidR="00B8166E" w:rsidRDefault="00B8166E" w:rsidP="00313C88">
      <w:pPr>
        <w:jc w:val="both"/>
        <w:rPr>
          <w:rFonts w:ascii="Times New Roman" w:hAnsi="Times New Roman" w:cs="Times New Roman"/>
          <w:sz w:val="20"/>
        </w:rPr>
      </w:pPr>
      <w:r w:rsidRPr="00B8166E">
        <w:rPr>
          <w:rFonts w:ascii="Times New Roman" w:hAnsi="Times New Roman" w:cs="Times New Roman"/>
          <w:sz w:val="20"/>
        </w:rPr>
        <w:t>Kombinovanje dvije grupe karakteristika smanjilo je MAE za približno 29% u odnosu na model koji koristi samo hemijske deskriptore. Rezultat pokazuje da elektronska svojstva nisu određena samo hemijskim sastavom već i prostornim rasporedom atoma.</w:t>
      </w:r>
    </w:p>
    <w:p w:rsidR="00B8166E" w:rsidRDefault="00B8166E" w:rsidP="00313C88">
      <w:pPr>
        <w:jc w:val="both"/>
        <w:rPr>
          <w:rFonts w:ascii="Times New Roman" w:hAnsi="Times New Roman" w:cs="Times New Roman"/>
          <w:sz w:val="20"/>
        </w:rPr>
      </w:pPr>
    </w:p>
    <w:p w:rsidR="00B8166E" w:rsidRDefault="00B8166E" w:rsidP="00B8166E">
      <w:pPr>
        <w:jc w:val="center"/>
        <w:rPr>
          <w:rFonts w:ascii="Times New Roman" w:hAnsi="Times New Roman" w:cs="Times New Roman"/>
          <w:sz w:val="20"/>
        </w:rPr>
      </w:pPr>
      <w:r>
        <w:rPr>
          <w:rFonts w:ascii="Times New Roman" w:hAnsi="Times New Roman" w:cs="Times New Roman"/>
          <w:noProof/>
          <w:sz w:val="20"/>
          <w:lang w:eastAsia="en-GB"/>
        </w:rPr>
        <w:lastRenderedPageBreak/>
        <w:drawing>
          <wp:inline distT="0" distB="0" distL="0" distR="0">
            <wp:extent cx="4264660" cy="30541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801C7F.tmp"/>
                    <pic:cNvPicPr/>
                  </pic:nvPicPr>
                  <pic:blipFill>
                    <a:blip r:embed="rId8">
                      <a:extLst>
                        <a:ext uri="{28A0092B-C50C-407E-A947-70E740481C1C}">
                          <a14:useLocalDpi xmlns:a14="http://schemas.microsoft.com/office/drawing/2010/main" val="0"/>
                        </a:ext>
                      </a:extLst>
                    </a:blip>
                    <a:stretch>
                      <a:fillRect/>
                    </a:stretch>
                  </pic:blipFill>
                  <pic:spPr>
                    <a:xfrm>
                      <a:off x="0" y="0"/>
                      <a:ext cx="4276533" cy="3062653"/>
                    </a:xfrm>
                    <a:prstGeom prst="rect">
                      <a:avLst/>
                    </a:prstGeom>
                  </pic:spPr>
                </pic:pic>
              </a:graphicData>
            </a:graphic>
          </wp:inline>
        </w:drawing>
      </w:r>
    </w:p>
    <w:p w:rsidR="00B8166E" w:rsidRDefault="00B8166E" w:rsidP="00313C88">
      <w:pPr>
        <w:jc w:val="both"/>
        <w:rPr>
          <w:rFonts w:ascii="Times New Roman" w:hAnsi="Times New Roman" w:cs="Times New Roman"/>
          <w:sz w:val="20"/>
        </w:rPr>
      </w:pPr>
    </w:p>
    <w:p w:rsidR="00B8166E" w:rsidRDefault="00B8166E" w:rsidP="00B8166E">
      <w:pPr>
        <w:jc w:val="center"/>
        <w:rPr>
          <w:rFonts w:ascii="Times New Roman" w:hAnsi="Times New Roman" w:cs="Times New Roman"/>
          <w:i/>
          <w:sz w:val="18"/>
        </w:rPr>
      </w:pPr>
      <w:r w:rsidRPr="00B8166E">
        <w:rPr>
          <w:rFonts w:ascii="Times New Roman" w:hAnsi="Times New Roman" w:cs="Times New Roman"/>
          <w:b/>
          <w:sz w:val="18"/>
        </w:rPr>
        <w:t>Grafikon 3</w:t>
      </w:r>
      <w:r w:rsidRPr="00B8166E">
        <w:rPr>
          <w:rFonts w:ascii="Times New Roman" w:hAnsi="Times New Roman" w:cs="Times New Roman"/>
          <w:sz w:val="18"/>
        </w:rPr>
        <w:t xml:space="preserve">. </w:t>
      </w:r>
      <w:r w:rsidRPr="00B8166E">
        <w:rPr>
          <w:rFonts w:ascii="Times New Roman" w:hAnsi="Times New Roman" w:cs="Times New Roman"/>
          <w:i/>
          <w:sz w:val="18"/>
        </w:rPr>
        <w:t>Uticaj ulaznih podataka na tačnost</w:t>
      </w:r>
    </w:p>
    <w:p w:rsidR="00B8166E" w:rsidRDefault="00B8166E" w:rsidP="00B8166E">
      <w:pPr>
        <w:jc w:val="center"/>
        <w:rPr>
          <w:rFonts w:ascii="Times New Roman" w:hAnsi="Times New Roman" w:cs="Times New Roman"/>
          <w:i/>
          <w:sz w:val="18"/>
        </w:rPr>
      </w:pPr>
    </w:p>
    <w:p w:rsidR="00B8166E" w:rsidRPr="00B8166E" w:rsidRDefault="00B8166E" w:rsidP="00B8166E">
      <w:pPr>
        <w:pStyle w:val="Heading3"/>
        <w:rPr>
          <w:rFonts w:ascii="Times New Roman" w:hAnsi="Times New Roman" w:cs="Times New Roman"/>
          <w:b/>
          <w:color w:val="auto"/>
        </w:rPr>
      </w:pPr>
      <w:r>
        <w:rPr>
          <w:rFonts w:ascii="Times New Roman" w:hAnsi="Times New Roman" w:cs="Times New Roman"/>
          <w:b/>
          <w:color w:val="auto"/>
        </w:rPr>
        <w:t>4.4</w:t>
      </w:r>
      <w:r w:rsidRPr="00B8166E">
        <w:rPr>
          <w:rFonts w:ascii="Times New Roman" w:hAnsi="Times New Roman" w:cs="Times New Roman"/>
          <w:b/>
          <w:color w:val="auto"/>
        </w:rPr>
        <w:t>. Najznačajnije karakteristike</w:t>
      </w:r>
    </w:p>
    <w:p w:rsidR="00B8166E" w:rsidRPr="00B8166E" w:rsidRDefault="00B8166E" w:rsidP="00B8166E">
      <w:pPr>
        <w:jc w:val="both"/>
        <w:rPr>
          <w:rFonts w:ascii="Times New Roman" w:hAnsi="Times New Roman" w:cs="Times New Roman"/>
          <w:sz w:val="20"/>
        </w:rPr>
      </w:pPr>
    </w:p>
    <w:p w:rsidR="00B8166E" w:rsidRDefault="00B8166E" w:rsidP="00B8166E">
      <w:pPr>
        <w:jc w:val="both"/>
        <w:rPr>
          <w:rFonts w:ascii="Times New Roman" w:hAnsi="Times New Roman" w:cs="Times New Roman"/>
          <w:sz w:val="20"/>
        </w:rPr>
      </w:pPr>
      <w:r w:rsidRPr="00B8166E">
        <w:rPr>
          <w:rFonts w:ascii="Times New Roman" w:hAnsi="Times New Roman" w:cs="Times New Roman"/>
          <w:sz w:val="20"/>
        </w:rPr>
        <w:t>Analiza važnosti karakteristika i SHAP vrijednosti pokazala je da najveći uticaj na predviđanje imaju:</w:t>
      </w:r>
    </w:p>
    <w:p w:rsidR="00684DF6" w:rsidRDefault="00684DF6" w:rsidP="00B8166E">
      <w:pPr>
        <w:jc w:val="both"/>
        <w:rPr>
          <w:rFonts w:ascii="Times New Roman" w:hAnsi="Times New Roman" w:cs="Times New Roman"/>
          <w:sz w:val="20"/>
        </w:rPr>
      </w:pPr>
    </w:p>
    <w:p w:rsidR="00B8166E" w:rsidRDefault="00B8166E" w:rsidP="00B8166E">
      <w:pPr>
        <w:jc w:val="both"/>
        <w:rPr>
          <w:rFonts w:ascii="Times New Roman" w:hAnsi="Times New Roman" w:cs="Times New Roman"/>
          <w:sz w:val="2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86"/>
        <w:gridCol w:w="2035"/>
        <w:gridCol w:w="1440"/>
      </w:tblGrid>
      <w:tr w:rsidR="00B8166E" w:rsidRPr="00B8166E" w:rsidTr="00B8166E">
        <w:trPr>
          <w:tblHeader/>
          <w:tblCellSpacing w:w="15" w:type="dxa"/>
          <w:jc w:val="center"/>
        </w:trPr>
        <w:tc>
          <w:tcPr>
            <w:tcW w:w="0" w:type="auto"/>
            <w:shd w:val="clear" w:color="auto" w:fill="DEEAF6" w:themeFill="accent1" w:themeFillTint="33"/>
            <w:vAlign w:val="center"/>
            <w:hideMark/>
          </w:tcPr>
          <w:p w:rsidR="00B8166E" w:rsidRPr="00B8166E" w:rsidRDefault="00B8166E" w:rsidP="00B8166E">
            <w:pPr>
              <w:jc w:val="center"/>
              <w:rPr>
                <w:rFonts w:ascii="Times New Roman" w:hAnsi="Times New Roman" w:cs="Times New Roman"/>
                <w:b/>
                <w:bCs/>
                <w:sz w:val="18"/>
              </w:rPr>
            </w:pPr>
            <w:r w:rsidRPr="00B8166E">
              <w:rPr>
                <w:rFonts w:ascii="Times New Roman" w:hAnsi="Times New Roman" w:cs="Times New Roman"/>
                <w:b/>
                <w:bCs/>
                <w:sz w:val="18"/>
              </w:rPr>
              <w:t>Rang</w:t>
            </w:r>
          </w:p>
        </w:tc>
        <w:tc>
          <w:tcPr>
            <w:tcW w:w="0" w:type="auto"/>
            <w:shd w:val="clear" w:color="auto" w:fill="DEEAF6" w:themeFill="accent1" w:themeFillTint="33"/>
            <w:vAlign w:val="center"/>
            <w:hideMark/>
          </w:tcPr>
          <w:p w:rsidR="00B8166E" w:rsidRPr="00B8166E" w:rsidRDefault="00B8166E" w:rsidP="00B8166E">
            <w:pPr>
              <w:jc w:val="center"/>
              <w:rPr>
                <w:rFonts w:ascii="Times New Roman" w:hAnsi="Times New Roman" w:cs="Times New Roman"/>
                <w:b/>
                <w:bCs/>
                <w:sz w:val="18"/>
              </w:rPr>
            </w:pPr>
            <w:r w:rsidRPr="00B8166E">
              <w:rPr>
                <w:rFonts w:ascii="Times New Roman" w:hAnsi="Times New Roman" w:cs="Times New Roman"/>
                <w:b/>
                <w:bCs/>
                <w:sz w:val="18"/>
              </w:rPr>
              <w:t>Karakteristika</w:t>
            </w:r>
          </w:p>
        </w:tc>
        <w:tc>
          <w:tcPr>
            <w:tcW w:w="0" w:type="auto"/>
            <w:shd w:val="clear" w:color="auto" w:fill="DEEAF6" w:themeFill="accent1" w:themeFillTint="33"/>
            <w:vAlign w:val="center"/>
            <w:hideMark/>
          </w:tcPr>
          <w:p w:rsidR="00B8166E" w:rsidRPr="00B8166E" w:rsidRDefault="00B8166E" w:rsidP="00B8166E">
            <w:pPr>
              <w:jc w:val="center"/>
              <w:rPr>
                <w:rFonts w:ascii="Times New Roman" w:hAnsi="Times New Roman" w:cs="Times New Roman"/>
                <w:b/>
                <w:bCs/>
                <w:sz w:val="18"/>
              </w:rPr>
            </w:pPr>
            <w:r w:rsidRPr="00B8166E">
              <w:rPr>
                <w:rFonts w:ascii="Times New Roman" w:hAnsi="Times New Roman" w:cs="Times New Roman"/>
                <w:b/>
                <w:bCs/>
                <w:sz w:val="18"/>
              </w:rPr>
              <w:t>Relativna važnost</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1</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Srednja elektronegativnost</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21%</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2</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Broj valencijskih elektrona</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18%</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3</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Razlika elektronegativnosti</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16%</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4</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Zapremina po atomu</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13%</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5</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Prosječni atomski radijus</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11%</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6</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Gustina materijala</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9%</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7</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Kristalni sistem</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7%</w:t>
            </w:r>
          </w:p>
        </w:tc>
      </w:tr>
      <w:tr w:rsidR="00B8166E" w:rsidRPr="00B8166E" w:rsidTr="00B8166E">
        <w:trPr>
          <w:tblCellSpacing w:w="15" w:type="dxa"/>
          <w:jc w:val="center"/>
        </w:trPr>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8</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Ostale karakteristike</w:t>
            </w:r>
          </w:p>
        </w:tc>
        <w:tc>
          <w:tcPr>
            <w:tcW w:w="0" w:type="auto"/>
            <w:vAlign w:val="center"/>
            <w:hideMark/>
          </w:tcPr>
          <w:p w:rsidR="00B8166E" w:rsidRPr="00B8166E" w:rsidRDefault="00B8166E" w:rsidP="00B8166E">
            <w:pPr>
              <w:jc w:val="center"/>
              <w:rPr>
                <w:rFonts w:ascii="Times New Roman" w:hAnsi="Times New Roman" w:cs="Times New Roman"/>
                <w:sz w:val="18"/>
              </w:rPr>
            </w:pPr>
            <w:r w:rsidRPr="00B8166E">
              <w:rPr>
                <w:rFonts w:ascii="Times New Roman" w:hAnsi="Times New Roman" w:cs="Times New Roman"/>
                <w:sz w:val="18"/>
              </w:rPr>
              <w:t>5%</w:t>
            </w:r>
          </w:p>
        </w:tc>
      </w:tr>
    </w:tbl>
    <w:p w:rsidR="00684DF6" w:rsidRDefault="00684DF6" w:rsidP="00B8166E">
      <w:pPr>
        <w:jc w:val="both"/>
        <w:rPr>
          <w:rFonts w:ascii="Times New Roman" w:hAnsi="Times New Roman" w:cs="Times New Roman"/>
          <w:sz w:val="20"/>
        </w:rPr>
      </w:pPr>
    </w:p>
    <w:p w:rsidR="00684DF6" w:rsidRDefault="00684DF6" w:rsidP="00B8166E">
      <w:pPr>
        <w:jc w:val="both"/>
        <w:rPr>
          <w:rFonts w:ascii="Times New Roman" w:hAnsi="Times New Roman" w:cs="Times New Roman"/>
          <w:sz w:val="20"/>
        </w:rPr>
      </w:pPr>
    </w:p>
    <w:p w:rsidR="00B8166E" w:rsidRDefault="00684DF6" w:rsidP="00B8166E">
      <w:pPr>
        <w:jc w:val="both"/>
        <w:rPr>
          <w:rFonts w:ascii="Times New Roman" w:hAnsi="Times New Roman" w:cs="Times New Roman"/>
          <w:sz w:val="20"/>
        </w:rPr>
      </w:pPr>
      <w:r w:rsidRPr="00684DF6">
        <w:rPr>
          <w:rFonts w:ascii="Times New Roman" w:hAnsi="Times New Roman" w:cs="Times New Roman"/>
          <w:sz w:val="20"/>
        </w:rPr>
        <w:t>Veća razlika elektronegativnosti uglavnom je bila povezana sa većom procijenjenom širinom zabranjene zone. Uticaj zapremine po atomu i atomskog radijusa zavisio je od kristalne strukture i kombinacije elemenata, što potvrđuje nelinearnu prirodu analiziranih veza.</w:t>
      </w:r>
    </w:p>
    <w:p w:rsidR="00684DF6" w:rsidRDefault="00684DF6" w:rsidP="00B8166E">
      <w:pPr>
        <w:jc w:val="both"/>
        <w:rPr>
          <w:rFonts w:ascii="Times New Roman" w:hAnsi="Times New Roman" w:cs="Times New Roman"/>
          <w:sz w:val="20"/>
        </w:rPr>
      </w:pPr>
    </w:p>
    <w:p w:rsidR="00684DF6" w:rsidRDefault="00684DF6" w:rsidP="00B8166E">
      <w:pPr>
        <w:jc w:val="both"/>
        <w:rPr>
          <w:rFonts w:ascii="Times New Roman" w:hAnsi="Times New Roman" w:cs="Times New Roman"/>
          <w:sz w:val="20"/>
        </w:rPr>
      </w:pPr>
    </w:p>
    <w:p w:rsidR="00684DF6" w:rsidRDefault="00684DF6" w:rsidP="00684DF6">
      <w:pPr>
        <w:jc w:val="center"/>
        <w:rPr>
          <w:rFonts w:ascii="Times New Roman" w:hAnsi="Times New Roman" w:cs="Times New Roman"/>
          <w:sz w:val="20"/>
        </w:rPr>
      </w:pPr>
      <w:r>
        <w:rPr>
          <w:rFonts w:ascii="Times New Roman" w:hAnsi="Times New Roman" w:cs="Times New Roman"/>
          <w:noProof/>
          <w:sz w:val="20"/>
          <w:lang w:eastAsia="en-GB"/>
        </w:rPr>
        <w:lastRenderedPageBreak/>
        <w:drawing>
          <wp:inline distT="0" distB="0" distL="0" distR="0">
            <wp:extent cx="3991610" cy="2872756"/>
            <wp:effectExtent l="0" t="0" r="889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8085E5.tmp"/>
                    <pic:cNvPicPr/>
                  </pic:nvPicPr>
                  <pic:blipFill>
                    <a:blip r:embed="rId9">
                      <a:extLst>
                        <a:ext uri="{28A0092B-C50C-407E-A947-70E740481C1C}">
                          <a14:useLocalDpi xmlns:a14="http://schemas.microsoft.com/office/drawing/2010/main" val="0"/>
                        </a:ext>
                      </a:extLst>
                    </a:blip>
                    <a:stretch>
                      <a:fillRect/>
                    </a:stretch>
                  </pic:blipFill>
                  <pic:spPr>
                    <a:xfrm>
                      <a:off x="0" y="0"/>
                      <a:ext cx="3997500" cy="2876995"/>
                    </a:xfrm>
                    <a:prstGeom prst="rect">
                      <a:avLst/>
                    </a:prstGeom>
                  </pic:spPr>
                </pic:pic>
              </a:graphicData>
            </a:graphic>
          </wp:inline>
        </w:drawing>
      </w:r>
    </w:p>
    <w:p w:rsidR="00684DF6" w:rsidRDefault="00684DF6" w:rsidP="00684DF6">
      <w:pPr>
        <w:jc w:val="center"/>
        <w:rPr>
          <w:rFonts w:ascii="Times New Roman" w:hAnsi="Times New Roman" w:cs="Times New Roman"/>
          <w:sz w:val="20"/>
        </w:rPr>
      </w:pPr>
    </w:p>
    <w:p w:rsidR="00684DF6" w:rsidRDefault="00684DF6" w:rsidP="00684DF6">
      <w:pPr>
        <w:jc w:val="center"/>
        <w:rPr>
          <w:rFonts w:ascii="Times New Roman" w:hAnsi="Times New Roman" w:cs="Times New Roman"/>
          <w:i/>
          <w:sz w:val="18"/>
        </w:rPr>
      </w:pPr>
      <w:r w:rsidRPr="00684DF6">
        <w:rPr>
          <w:rFonts w:ascii="Times New Roman" w:hAnsi="Times New Roman" w:cs="Times New Roman"/>
          <w:b/>
          <w:sz w:val="18"/>
        </w:rPr>
        <w:t>Grafikon 4.</w:t>
      </w:r>
      <w:r w:rsidRPr="00684DF6">
        <w:rPr>
          <w:rFonts w:ascii="Times New Roman" w:hAnsi="Times New Roman" w:cs="Times New Roman"/>
          <w:i/>
          <w:sz w:val="18"/>
        </w:rPr>
        <w:t xml:space="preserve"> Relativna važnost karakteristika</w:t>
      </w:r>
    </w:p>
    <w:p w:rsidR="00684DF6" w:rsidRDefault="00684DF6" w:rsidP="00684DF6">
      <w:pPr>
        <w:jc w:val="center"/>
        <w:rPr>
          <w:rFonts w:ascii="Times New Roman" w:hAnsi="Times New Roman" w:cs="Times New Roman"/>
          <w:i/>
          <w:sz w:val="18"/>
        </w:rPr>
      </w:pPr>
    </w:p>
    <w:p w:rsidR="00684DF6" w:rsidRDefault="00684DF6" w:rsidP="00684DF6">
      <w:pPr>
        <w:jc w:val="center"/>
        <w:rPr>
          <w:rFonts w:ascii="Times New Roman" w:hAnsi="Times New Roman" w:cs="Times New Roman"/>
          <w:i/>
          <w:sz w:val="18"/>
        </w:rPr>
      </w:pPr>
    </w:p>
    <w:p w:rsidR="00684DF6" w:rsidRDefault="00684DF6" w:rsidP="00684DF6">
      <w:pPr>
        <w:pStyle w:val="Heading3"/>
        <w:rPr>
          <w:rFonts w:ascii="Times New Roman" w:hAnsi="Times New Roman" w:cs="Times New Roman"/>
          <w:b/>
          <w:color w:val="auto"/>
        </w:rPr>
      </w:pPr>
      <w:r w:rsidRPr="00684DF6">
        <w:rPr>
          <w:rFonts w:ascii="Times New Roman" w:hAnsi="Times New Roman" w:cs="Times New Roman"/>
          <w:b/>
          <w:color w:val="auto"/>
        </w:rPr>
        <w:t>4.5. Analiza grešaka</w:t>
      </w:r>
    </w:p>
    <w:p w:rsidR="00684DF6" w:rsidRDefault="00684DF6" w:rsidP="00684DF6"/>
    <w:p w:rsidR="00684DF6" w:rsidRDefault="00684DF6" w:rsidP="00684DF6">
      <w:pPr>
        <w:jc w:val="both"/>
        <w:rPr>
          <w:rFonts w:ascii="Times New Roman" w:hAnsi="Times New Roman" w:cs="Times New Roman"/>
          <w:sz w:val="20"/>
        </w:rPr>
      </w:pPr>
      <w:r w:rsidRPr="00684DF6">
        <w:rPr>
          <w:rFonts w:ascii="Times New Roman" w:hAnsi="Times New Roman" w:cs="Times New Roman"/>
          <w:sz w:val="20"/>
        </w:rPr>
        <w:t>XGBoost je najveću tačnost ostvario kod materijala čija se širina zabranjene zone nalazi između 0,5 i 3 eV. Veća odstupanja zabilježena su kod izolatora sa veoma širokom zabranjenom zonom i kod složenih materijala koji su bili nedovoljno zastupljeni u skupu za obučavanje.</w:t>
      </w:r>
    </w:p>
    <w:p w:rsidR="00684DF6" w:rsidRDefault="00684DF6" w:rsidP="00684DF6">
      <w:pPr>
        <w:jc w:val="both"/>
        <w:rPr>
          <w:rFonts w:ascii="Times New Roman" w:hAnsi="Times New Roman" w:cs="Times New Roman"/>
          <w:sz w:val="20"/>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37"/>
        <w:gridCol w:w="1117"/>
      </w:tblGrid>
      <w:tr w:rsidR="00684DF6" w:rsidRPr="00684DF6" w:rsidTr="00684DF6">
        <w:trPr>
          <w:tblHeader/>
          <w:tblCellSpacing w:w="15" w:type="dxa"/>
          <w:jc w:val="center"/>
        </w:trPr>
        <w:tc>
          <w:tcPr>
            <w:tcW w:w="0" w:type="auto"/>
            <w:shd w:val="clear" w:color="auto" w:fill="DEEAF6" w:themeFill="accent1" w:themeFillTint="33"/>
            <w:vAlign w:val="center"/>
            <w:hideMark/>
          </w:tcPr>
          <w:p w:rsidR="00684DF6" w:rsidRPr="00684DF6" w:rsidRDefault="00684DF6" w:rsidP="00684DF6">
            <w:pPr>
              <w:jc w:val="center"/>
              <w:rPr>
                <w:rFonts w:ascii="Times New Roman" w:hAnsi="Times New Roman" w:cs="Times New Roman"/>
                <w:b/>
                <w:bCs/>
                <w:sz w:val="18"/>
              </w:rPr>
            </w:pPr>
            <w:r w:rsidRPr="00684DF6">
              <w:rPr>
                <w:rFonts w:ascii="Times New Roman" w:hAnsi="Times New Roman" w:cs="Times New Roman"/>
                <w:b/>
                <w:bCs/>
                <w:sz w:val="18"/>
              </w:rPr>
              <w:t>Raspon (Eg)</w:t>
            </w:r>
          </w:p>
        </w:tc>
        <w:tc>
          <w:tcPr>
            <w:tcW w:w="1072" w:type="dxa"/>
            <w:shd w:val="clear" w:color="auto" w:fill="DEEAF6" w:themeFill="accent1" w:themeFillTint="33"/>
            <w:vAlign w:val="center"/>
            <w:hideMark/>
          </w:tcPr>
          <w:p w:rsidR="00684DF6" w:rsidRPr="00684DF6" w:rsidRDefault="00684DF6" w:rsidP="00684DF6">
            <w:pPr>
              <w:jc w:val="center"/>
              <w:rPr>
                <w:rFonts w:ascii="Times New Roman" w:hAnsi="Times New Roman" w:cs="Times New Roman"/>
                <w:b/>
                <w:bCs/>
                <w:sz w:val="18"/>
              </w:rPr>
            </w:pPr>
            <w:r w:rsidRPr="00684DF6">
              <w:rPr>
                <w:rFonts w:ascii="Times New Roman" w:hAnsi="Times New Roman" w:cs="Times New Roman"/>
                <w:b/>
                <w:bCs/>
                <w:sz w:val="18"/>
              </w:rPr>
              <w:t>MAE (eV)</w:t>
            </w:r>
          </w:p>
        </w:tc>
      </w:tr>
      <w:tr w:rsidR="00684DF6" w:rsidRPr="00684DF6" w:rsidTr="00684DF6">
        <w:trPr>
          <w:tblCellSpacing w:w="15" w:type="dxa"/>
          <w:jc w:val="center"/>
        </w:trPr>
        <w:tc>
          <w:tcPr>
            <w:tcW w:w="0" w:type="auto"/>
            <w:vAlign w:val="center"/>
            <w:hideMark/>
          </w:tcPr>
          <w:p w:rsidR="00684DF6" w:rsidRPr="00684DF6" w:rsidRDefault="00684DF6" w:rsidP="00684DF6">
            <w:pPr>
              <w:jc w:val="both"/>
              <w:rPr>
                <w:rFonts w:ascii="Times New Roman" w:hAnsi="Times New Roman" w:cs="Times New Roman"/>
                <w:sz w:val="18"/>
              </w:rPr>
            </w:pPr>
            <w:r w:rsidRPr="00684DF6">
              <w:rPr>
                <w:rFonts w:ascii="Times New Roman" w:hAnsi="Times New Roman" w:cs="Times New Roman"/>
                <w:sz w:val="18"/>
              </w:rPr>
              <w:t>(Eg=0) eV</w:t>
            </w:r>
          </w:p>
        </w:tc>
        <w:tc>
          <w:tcPr>
            <w:tcW w:w="1072" w:type="dxa"/>
            <w:vAlign w:val="center"/>
            <w:hideMark/>
          </w:tcPr>
          <w:p w:rsidR="00684DF6" w:rsidRPr="00684DF6" w:rsidRDefault="00684DF6" w:rsidP="00684DF6">
            <w:pPr>
              <w:jc w:val="center"/>
              <w:rPr>
                <w:rFonts w:ascii="Times New Roman" w:hAnsi="Times New Roman" w:cs="Times New Roman"/>
                <w:sz w:val="18"/>
              </w:rPr>
            </w:pPr>
            <w:r w:rsidRPr="00684DF6">
              <w:rPr>
                <w:rFonts w:ascii="Times New Roman" w:hAnsi="Times New Roman" w:cs="Times New Roman"/>
                <w:sz w:val="18"/>
              </w:rPr>
              <w:t>0,18</w:t>
            </w:r>
          </w:p>
        </w:tc>
      </w:tr>
      <w:tr w:rsidR="00684DF6" w:rsidRPr="00684DF6" w:rsidTr="00684DF6">
        <w:trPr>
          <w:tblCellSpacing w:w="15" w:type="dxa"/>
          <w:jc w:val="center"/>
        </w:trPr>
        <w:tc>
          <w:tcPr>
            <w:tcW w:w="0" w:type="auto"/>
            <w:vAlign w:val="center"/>
            <w:hideMark/>
          </w:tcPr>
          <w:p w:rsidR="00684DF6" w:rsidRPr="00684DF6" w:rsidRDefault="00684DF6" w:rsidP="00684DF6">
            <w:pPr>
              <w:jc w:val="both"/>
              <w:rPr>
                <w:rFonts w:ascii="Times New Roman" w:hAnsi="Times New Roman" w:cs="Times New Roman"/>
                <w:sz w:val="18"/>
              </w:rPr>
            </w:pPr>
            <w:r w:rsidRPr="00684DF6">
              <w:rPr>
                <w:rFonts w:ascii="Times New Roman" w:hAnsi="Times New Roman" w:cs="Times New Roman"/>
                <w:sz w:val="18"/>
              </w:rPr>
              <w:t xml:space="preserve">(0 &lt; Eg </w:t>
            </w:r>
            <m:oMath>
              <m:r>
                <w:rPr>
                  <w:rFonts w:ascii="Cambria Math" w:hAnsi="Cambria Math" w:cs="Times New Roman"/>
                  <w:sz w:val="18"/>
                </w:rPr>
                <m:t>≤</m:t>
              </m:r>
            </m:oMath>
            <w:r w:rsidRPr="00684DF6">
              <w:rPr>
                <w:rFonts w:ascii="Times New Roman" w:hAnsi="Times New Roman" w:cs="Times New Roman"/>
                <w:sz w:val="18"/>
              </w:rPr>
              <w:t>1,5) eV</w:t>
            </w:r>
          </w:p>
        </w:tc>
        <w:tc>
          <w:tcPr>
            <w:tcW w:w="1072" w:type="dxa"/>
            <w:vAlign w:val="center"/>
            <w:hideMark/>
          </w:tcPr>
          <w:p w:rsidR="00684DF6" w:rsidRPr="00684DF6" w:rsidRDefault="00684DF6" w:rsidP="00684DF6">
            <w:pPr>
              <w:jc w:val="center"/>
              <w:rPr>
                <w:rFonts w:ascii="Times New Roman" w:hAnsi="Times New Roman" w:cs="Times New Roman"/>
                <w:sz w:val="18"/>
              </w:rPr>
            </w:pPr>
            <w:r w:rsidRPr="00684DF6">
              <w:rPr>
                <w:rFonts w:ascii="Times New Roman" w:hAnsi="Times New Roman" w:cs="Times New Roman"/>
                <w:sz w:val="18"/>
              </w:rPr>
              <w:t>0,24</w:t>
            </w:r>
          </w:p>
        </w:tc>
      </w:tr>
      <w:tr w:rsidR="00684DF6" w:rsidRPr="00684DF6" w:rsidTr="00684DF6">
        <w:trPr>
          <w:tblCellSpacing w:w="15" w:type="dxa"/>
          <w:jc w:val="center"/>
        </w:trPr>
        <w:tc>
          <w:tcPr>
            <w:tcW w:w="0" w:type="auto"/>
            <w:vAlign w:val="center"/>
            <w:hideMark/>
          </w:tcPr>
          <w:p w:rsidR="00684DF6" w:rsidRPr="00684DF6" w:rsidRDefault="00684DF6" w:rsidP="00684DF6">
            <w:pPr>
              <w:jc w:val="both"/>
              <w:rPr>
                <w:rFonts w:ascii="Times New Roman" w:hAnsi="Times New Roman" w:cs="Times New Roman"/>
                <w:sz w:val="18"/>
              </w:rPr>
            </w:pPr>
            <w:r w:rsidRPr="00684DF6">
              <w:rPr>
                <w:rFonts w:ascii="Times New Roman" w:hAnsi="Times New Roman" w:cs="Times New Roman"/>
                <w:sz w:val="18"/>
              </w:rPr>
              <w:t>(1,5&lt; Eg</w:t>
            </w:r>
            <m:oMath>
              <m:r>
                <w:rPr>
                  <w:rFonts w:ascii="Cambria Math" w:hAnsi="Cambria Math" w:cs="Times New Roman"/>
                  <w:sz w:val="18"/>
                </w:rPr>
                <m:t xml:space="preserve"> </m:t>
              </m:r>
              <m:r>
                <w:rPr>
                  <w:rFonts w:ascii="Cambria Math" w:hAnsi="Cambria Math" w:cs="Times New Roman"/>
                  <w:sz w:val="18"/>
                </w:rPr>
                <m:t>≤</m:t>
              </m:r>
            </m:oMath>
            <w:r w:rsidRPr="00684DF6">
              <w:rPr>
                <w:rFonts w:ascii="Times New Roman" w:hAnsi="Times New Roman" w:cs="Times New Roman"/>
                <w:sz w:val="18"/>
              </w:rPr>
              <w:t xml:space="preserve"> 3) eV</w:t>
            </w:r>
          </w:p>
        </w:tc>
        <w:tc>
          <w:tcPr>
            <w:tcW w:w="1072" w:type="dxa"/>
            <w:vAlign w:val="center"/>
            <w:hideMark/>
          </w:tcPr>
          <w:p w:rsidR="00684DF6" w:rsidRPr="00684DF6" w:rsidRDefault="00684DF6" w:rsidP="00684DF6">
            <w:pPr>
              <w:jc w:val="center"/>
              <w:rPr>
                <w:rFonts w:ascii="Times New Roman" w:hAnsi="Times New Roman" w:cs="Times New Roman"/>
                <w:sz w:val="18"/>
              </w:rPr>
            </w:pPr>
            <w:r w:rsidRPr="00684DF6">
              <w:rPr>
                <w:rFonts w:ascii="Times New Roman" w:hAnsi="Times New Roman" w:cs="Times New Roman"/>
                <w:sz w:val="18"/>
              </w:rPr>
              <w:t>0,28</w:t>
            </w:r>
          </w:p>
        </w:tc>
      </w:tr>
      <w:tr w:rsidR="00684DF6" w:rsidRPr="00684DF6" w:rsidTr="00684DF6">
        <w:trPr>
          <w:tblCellSpacing w:w="15" w:type="dxa"/>
          <w:jc w:val="center"/>
        </w:trPr>
        <w:tc>
          <w:tcPr>
            <w:tcW w:w="0" w:type="auto"/>
            <w:vAlign w:val="center"/>
            <w:hideMark/>
          </w:tcPr>
          <w:p w:rsidR="00684DF6" w:rsidRPr="00684DF6" w:rsidRDefault="00684DF6" w:rsidP="00684DF6">
            <w:pPr>
              <w:jc w:val="both"/>
              <w:rPr>
                <w:rFonts w:ascii="Times New Roman" w:hAnsi="Times New Roman" w:cs="Times New Roman"/>
                <w:sz w:val="18"/>
              </w:rPr>
            </w:pPr>
            <w:r w:rsidRPr="00684DF6">
              <w:rPr>
                <w:rFonts w:ascii="Times New Roman" w:hAnsi="Times New Roman" w:cs="Times New Roman"/>
                <w:sz w:val="18"/>
              </w:rPr>
              <w:t>(3&lt;Eg</w:t>
            </w:r>
            <m:oMath>
              <m:r>
                <w:rPr>
                  <w:rFonts w:ascii="Cambria Math" w:hAnsi="Cambria Math" w:cs="Times New Roman"/>
                  <w:sz w:val="18"/>
                </w:rPr>
                <m:t xml:space="preserve"> </m:t>
              </m:r>
              <m:r>
                <w:rPr>
                  <w:rFonts w:ascii="Cambria Math" w:hAnsi="Cambria Math" w:cs="Times New Roman"/>
                  <w:sz w:val="18"/>
                </w:rPr>
                <m:t>≤</m:t>
              </m:r>
            </m:oMath>
            <w:r w:rsidRPr="00684DF6">
              <w:rPr>
                <w:rFonts w:ascii="Times New Roman" w:hAnsi="Times New Roman" w:cs="Times New Roman"/>
                <w:sz w:val="18"/>
              </w:rPr>
              <w:t xml:space="preserve"> 5) eV</w:t>
            </w:r>
          </w:p>
        </w:tc>
        <w:tc>
          <w:tcPr>
            <w:tcW w:w="1072" w:type="dxa"/>
            <w:vAlign w:val="center"/>
            <w:hideMark/>
          </w:tcPr>
          <w:p w:rsidR="00684DF6" w:rsidRPr="00684DF6" w:rsidRDefault="00684DF6" w:rsidP="00684DF6">
            <w:pPr>
              <w:jc w:val="center"/>
              <w:rPr>
                <w:rFonts w:ascii="Times New Roman" w:hAnsi="Times New Roman" w:cs="Times New Roman"/>
                <w:sz w:val="18"/>
              </w:rPr>
            </w:pPr>
            <w:r w:rsidRPr="00684DF6">
              <w:rPr>
                <w:rFonts w:ascii="Times New Roman" w:hAnsi="Times New Roman" w:cs="Times New Roman"/>
                <w:sz w:val="18"/>
              </w:rPr>
              <w:t>0,37</w:t>
            </w:r>
          </w:p>
        </w:tc>
      </w:tr>
      <w:tr w:rsidR="00684DF6" w:rsidRPr="00684DF6" w:rsidTr="00684DF6">
        <w:trPr>
          <w:tblCellSpacing w:w="15" w:type="dxa"/>
          <w:jc w:val="center"/>
        </w:trPr>
        <w:tc>
          <w:tcPr>
            <w:tcW w:w="0" w:type="auto"/>
            <w:vAlign w:val="center"/>
            <w:hideMark/>
          </w:tcPr>
          <w:p w:rsidR="00684DF6" w:rsidRPr="00684DF6" w:rsidRDefault="00684DF6" w:rsidP="00684DF6">
            <w:pPr>
              <w:jc w:val="both"/>
              <w:rPr>
                <w:rFonts w:ascii="Times New Roman" w:hAnsi="Times New Roman" w:cs="Times New Roman"/>
                <w:sz w:val="18"/>
              </w:rPr>
            </w:pPr>
            <w:r w:rsidRPr="00684DF6">
              <w:rPr>
                <w:rFonts w:ascii="Times New Roman" w:hAnsi="Times New Roman" w:cs="Times New Roman"/>
                <w:sz w:val="18"/>
              </w:rPr>
              <w:t>(Eg&gt;5) eV</w:t>
            </w:r>
          </w:p>
        </w:tc>
        <w:tc>
          <w:tcPr>
            <w:tcW w:w="1072" w:type="dxa"/>
            <w:vAlign w:val="center"/>
            <w:hideMark/>
          </w:tcPr>
          <w:p w:rsidR="00684DF6" w:rsidRPr="00684DF6" w:rsidRDefault="00684DF6" w:rsidP="00684DF6">
            <w:pPr>
              <w:jc w:val="center"/>
              <w:rPr>
                <w:rFonts w:ascii="Times New Roman" w:hAnsi="Times New Roman" w:cs="Times New Roman"/>
                <w:sz w:val="18"/>
              </w:rPr>
            </w:pPr>
            <w:r w:rsidRPr="00684DF6">
              <w:rPr>
                <w:rFonts w:ascii="Times New Roman" w:hAnsi="Times New Roman" w:cs="Times New Roman"/>
                <w:sz w:val="18"/>
              </w:rPr>
              <w:t>0,51</w:t>
            </w:r>
          </w:p>
        </w:tc>
      </w:tr>
    </w:tbl>
    <w:p w:rsidR="00684DF6" w:rsidRDefault="00684DF6" w:rsidP="00684DF6">
      <w:pPr>
        <w:pStyle w:val="Heading3"/>
        <w:jc w:val="both"/>
        <w:rPr>
          <w:rFonts w:ascii="Times New Roman" w:hAnsi="Times New Roman" w:cs="Times New Roman"/>
          <w:b/>
          <w:color w:val="auto"/>
        </w:rPr>
      </w:pPr>
      <w:r w:rsidRPr="00684DF6">
        <w:rPr>
          <w:rFonts w:ascii="Times New Roman" w:hAnsi="Times New Roman" w:cs="Times New Roman"/>
          <w:b/>
          <w:color w:val="auto"/>
        </w:rPr>
        <w:t>4.6. Provjera hipoteza</w:t>
      </w:r>
    </w:p>
    <w:p w:rsidR="00684DF6" w:rsidRDefault="00684DF6" w:rsidP="00684DF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69"/>
        <w:gridCol w:w="3828"/>
        <w:gridCol w:w="1229"/>
      </w:tblGrid>
      <w:tr w:rsidR="00684DF6" w:rsidRPr="00684DF6" w:rsidTr="00684DF6">
        <w:trPr>
          <w:tblHeader/>
          <w:tblCellSpacing w:w="15" w:type="dxa"/>
        </w:trPr>
        <w:tc>
          <w:tcPr>
            <w:tcW w:w="3924" w:type="dxa"/>
            <w:shd w:val="clear" w:color="auto" w:fill="DEEAF6" w:themeFill="accent1" w:themeFillTint="33"/>
            <w:vAlign w:val="center"/>
            <w:hideMark/>
          </w:tcPr>
          <w:p w:rsidR="00684DF6" w:rsidRPr="00684DF6" w:rsidRDefault="00684DF6" w:rsidP="00684DF6">
            <w:pPr>
              <w:jc w:val="center"/>
              <w:rPr>
                <w:b/>
                <w:bCs/>
                <w:sz w:val="18"/>
              </w:rPr>
            </w:pPr>
            <w:r w:rsidRPr="00684DF6">
              <w:rPr>
                <w:b/>
                <w:bCs/>
                <w:sz w:val="18"/>
              </w:rPr>
              <w:t>Hipoteza</w:t>
            </w:r>
          </w:p>
        </w:tc>
        <w:tc>
          <w:tcPr>
            <w:tcW w:w="3798" w:type="dxa"/>
            <w:shd w:val="clear" w:color="auto" w:fill="DEEAF6" w:themeFill="accent1" w:themeFillTint="33"/>
            <w:vAlign w:val="center"/>
            <w:hideMark/>
          </w:tcPr>
          <w:p w:rsidR="00684DF6" w:rsidRPr="00684DF6" w:rsidRDefault="00684DF6" w:rsidP="00684DF6">
            <w:pPr>
              <w:jc w:val="center"/>
              <w:rPr>
                <w:b/>
                <w:bCs/>
                <w:sz w:val="18"/>
              </w:rPr>
            </w:pPr>
            <w:r w:rsidRPr="00684DF6">
              <w:rPr>
                <w:b/>
                <w:bCs/>
                <w:sz w:val="18"/>
              </w:rPr>
              <w:t>Pokazatelj</w:t>
            </w:r>
          </w:p>
        </w:tc>
        <w:tc>
          <w:tcPr>
            <w:tcW w:w="1184" w:type="dxa"/>
            <w:shd w:val="clear" w:color="auto" w:fill="DEEAF6" w:themeFill="accent1" w:themeFillTint="33"/>
            <w:vAlign w:val="center"/>
            <w:hideMark/>
          </w:tcPr>
          <w:p w:rsidR="00684DF6" w:rsidRPr="00684DF6" w:rsidRDefault="00684DF6" w:rsidP="00684DF6">
            <w:pPr>
              <w:jc w:val="center"/>
              <w:rPr>
                <w:b/>
                <w:bCs/>
                <w:sz w:val="18"/>
              </w:rPr>
            </w:pPr>
            <w:r w:rsidRPr="00684DF6">
              <w:rPr>
                <w:b/>
                <w:bCs/>
                <w:sz w:val="18"/>
              </w:rPr>
              <w:t>Ocjena</w:t>
            </w:r>
          </w:p>
        </w:tc>
      </w:tr>
      <w:tr w:rsidR="00684DF6" w:rsidRPr="00684DF6" w:rsidTr="00684DF6">
        <w:trPr>
          <w:tblCellSpacing w:w="15" w:type="dxa"/>
        </w:trPr>
        <w:tc>
          <w:tcPr>
            <w:tcW w:w="3924" w:type="dxa"/>
            <w:vAlign w:val="center"/>
            <w:hideMark/>
          </w:tcPr>
          <w:p w:rsidR="00684DF6" w:rsidRPr="00684DF6" w:rsidRDefault="00684DF6" w:rsidP="00684DF6">
            <w:pPr>
              <w:rPr>
                <w:sz w:val="18"/>
              </w:rPr>
            </w:pPr>
            <w:r>
              <w:rPr>
                <w:sz w:val="18"/>
              </w:rPr>
              <w:t>H1: AI može predvidjeti (E</w:t>
            </w:r>
            <w:r w:rsidRPr="00684DF6">
              <w:rPr>
                <w:sz w:val="18"/>
              </w:rPr>
              <w:t>g) sa prihvatljivom tačnošću</w:t>
            </w:r>
          </w:p>
        </w:tc>
        <w:tc>
          <w:tcPr>
            <w:tcW w:w="3798" w:type="dxa"/>
            <w:vAlign w:val="center"/>
            <w:hideMark/>
          </w:tcPr>
          <w:p w:rsidR="00684DF6" w:rsidRPr="00684DF6" w:rsidRDefault="00684DF6" w:rsidP="00684DF6">
            <w:pPr>
              <w:rPr>
                <w:sz w:val="18"/>
              </w:rPr>
            </w:pPr>
            <w:r w:rsidRPr="00684DF6">
              <w:rPr>
                <w:sz w:val="18"/>
              </w:rPr>
              <w:t>XGBoost: MAE = 0,29 eV; (R</w:t>
            </w:r>
            <w:r w:rsidRPr="00684DF6">
              <w:rPr>
                <w:sz w:val="18"/>
                <w:vertAlign w:val="superscript"/>
              </w:rPr>
              <w:t>2</w:t>
            </w:r>
            <w:r w:rsidRPr="00684DF6">
              <w:rPr>
                <w:sz w:val="18"/>
              </w:rPr>
              <w:t>=0,91)</w:t>
            </w:r>
          </w:p>
        </w:tc>
        <w:tc>
          <w:tcPr>
            <w:tcW w:w="1184" w:type="dxa"/>
            <w:vAlign w:val="center"/>
            <w:hideMark/>
          </w:tcPr>
          <w:p w:rsidR="00684DF6" w:rsidRPr="00684DF6" w:rsidRDefault="00684DF6" w:rsidP="00684DF6">
            <w:pPr>
              <w:jc w:val="center"/>
              <w:rPr>
                <w:sz w:val="18"/>
              </w:rPr>
            </w:pPr>
            <w:r w:rsidRPr="00684DF6">
              <w:rPr>
                <w:b/>
                <w:bCs/>
                <w:sz w:val="18"/>
              </w:rPr>
              <w:t>Potvrđena</w:t>
            </w:r>
          </w:p>
        </w:tc>
      </w:tr>
      <w:tr w:rsidR="00684DF6" w:rsidRPr="00684DF6" w:rsidTr="00684DF6">
        <w:trPr>
          <w:tblCellSpacing w:w="15" w:type="dxa"/>
        </w:trPr>
        <w:tc>
          <w:tcPr>
            <w:tcW w:w="3924" w:type="dxa"/>
            <w:vAlign w:val="center"/>
            <w:hideMark/>
          </w:tcPr>
          <w:p w:rsidR="00684DF6" w:rsidRPr="00684DF6" w:rsidRDefault="00684DF6" w:rsidP="00684DF6">
            <w:pPr>
              <w:rPr>
                <w:sz w:val="18"/>
              </w:rPr>
            </w:pPr>
            <w:r w:rsidRPr="00684DF6">
              <w:rPr>
                <w:sz w:val="18"/>
              </w:rPr>
              <w:t>H1.1: Kombinovani deskriptori daju bolje rezultate</w:t>
            </w:r>
          </w:p>
        </w:tc>
        <w:tc>
          <w:tcPr>
            <w:tcW w:w="3798" w:type="dxa"/>
            <w:vAlign w:val="center"/>
            <w:hideMark/>
          </w:tcPr>
          <w:p w:rsidR="00684DF6" w:rsidRPr="00684DF6" w:rsidRDefault="00684DF6" w:rsidP="00684DF6">
            <w:pPr>
              <w:rPr>
                <w:sz w:val="18"/>
              </w:rPr>
            </w:pPr>
            <w:r w:rsidRPr="00684DF6">
              <w:rPr>
                <w:sz w:val="18"/>
              </w:rPr>
              <w:t>MAE smanjen sa 0,41 na 0,29 eV</w:t>
            </w:r>
          </w:p>
        </w:tc>
        <w:tc>
          <w:tcPr>
            <w:tcW w:w="1184" w:type="dxa"/>
            <w:vAlign w:val="center"/>
            <w:hideMark/>
          </w:tcPr>
          <w:p w:rsidR="00684DF6" w:rsidRPr="00684DF6" w:rsidRDefault="00684DF6" w:rsidP="00684DF6">
            <w:pPr>
              <w:jc w:val="center"/>
              <w:rPr>
                <w:sz w:val="18"/>
              </w:rPr>
            </w:pPr>
            <w:r w:rsidRPr="00684DF6">
              <w:rPr>
                <w:b/>
                <w:bCs/>
                <w:sz w:val="18"/>
              </w:rPr>
              <w:t>Potvrđena</w:t>
            </w:r>
          </w:p>
        </w:tc>
      </w:tr>
      <w:tr w:rsidR="00684DF6" w:rsidRPr="00684DF6" w:rsidTr="00684DF6">
        <w:trPr>
          <w:tblCellSpacing w:w="15" w:type="dxa"/>
        </w:trPr>
        <w:tc>
          <w:tcPr>
            <w:tcW w:w="3924" w:type="dxa"/>
            <w:vAlign w:val="center"/>
            <w:hideMark/>
          </w:tcPr>
          <w:p w:rsidR="00684DF6" w:rsidRPr="00684DF6" w:rsidRDefault="00684DF6" w:rsidP="00684DF6">
            <w:pPr>
              <w:rPr>
                <w:sz w:val="18"/>
              </w:rPr>
            </w:pPr>
            <w:r w:rsidRPr="00684DF6">
              <w:rPr>
                <w:sz w:val="18"/>
              </w:rPr>
              <w:t>H1.2: Nelinearni modeli su bolji od linearne regresije</w:t>
            </w:r>
          </w:p>
        </w:tc>
        <w:tc>
          <w:tcPr>
            <w:tcW w:w="3798" w:type="dxa"/>
            <w:vAlign w:val="center"/>
            <w:hideMark/>
          </w:tcPr>
          <w:p w:rsidR="00684DF6" w:rsidRPr="00684DF6" w:rsidRDefault="00684DF6" w:rsidP="00684DF6">
            <w:pPr>
              <w:rPr>
                <w:sz w:val="18"/>
              </w:rPr>
            </w:pPr>
            <w:r w:rsidRPr="00684DF6">
              <w:rPr>
                <w:sz w:val="18"/>
              </w:rPr>
              <w:t>Sva tri nelinearna modela ostvarila su niži MAE</w:t>
            </w:r>
          </w:p>
        </w:tc>
        <w:tc>
          <w:tcPr>
            <w:tcW w:w="1184" w:type="dxa"/>
            <w:vAlign w:val="center"/>
            <w:hideMark/>
          </w:tcPr>
          <w:p w:rsidR="00684DF6" w:rsidRPr="00684DF6" w:rsidRDefault="00684DF6" w:rsidP="00684DF6">
            <w:pPr>
              <w:jc w:val="center"/>
              <w:rPr>
                <w:sz w:val="18"/>
              </w:rPr>
            </w:pPr>
            <w:r w:rsidRPr="00684DF6">
              <w:rPr>
                <w:b/>
                <w:bCs/>
                <w:sz w:val="18"/>
              </w:rPr>
              <w:t>Potvrđena</w:t>
            </w:r>
          </w:p>
        </w:tc>
      </w:tr>
      <w:tr w:rsidR="00684DF6" w:rsidRPr="00684DF6" w:rsidTr="00684DF6">
        <w:trPr>
          <w:tblCellSpacing w:w="15" w:type="dxa"/>
        </w:trPr>
        <w:tc>
          <w:tcPr>
            <w:tcW w:w="3924" w:type="dxa"/>
            <w:vAlign w:val="center"/>
            <w:hideMark/>
          </w:tcPr>
          <w:p w:rsidR="00684DF6" w:rsidRPr="00684DF6" w:rsidRDefault="00684DF6" w:rsidP="00684DF6">
            <w:pPr>
              <w:rPr>
                <w:sz w:val="18"/>
              </w:rPr>
            </w:pPr>
            <w:r w:rsidRPr="00684DF6">
              <w:rPr>
                <w:sz w:val="18"/>
              </w:rPr>
              <w:t>H1.3: Hemijske i strukturne kara</w:t>
            </w:r>
            <w:r>
              <w:rPr>
                <w:sz w:val="18"/>
              </w:rPr>
              <w:t>kteristike značajno utiču na (E</w:t>
            </w:r>
            <w:r w:rsidRPr="00684DF6">
              <w:rPr>
                <w:sz w:val="18"/>
              </w:rPr>
              <w:t>g)</w:t>
            </w:r>
          </w:p>
        </w:tc>
        <w:tc>
          <w:tcPr>
            <w:tcW w:w="3798" w:type="dxa"/>
            <w:vAlign w:val="center"/>
            <w:hideMark/>
          </w:tcPr>
          <w:p w:rsidR="00684DF6" w:rsidRPr="00684DF6" w:rsidRDefault="00684DF6" w:rsidP="00684DF6">
            <w:pPr>
              <w:rPr>
                <w:sz w:val="18"/>
              </w:rPr>
            </w:pPr>
            <w:r w:rsidRPr="00684DF6">
              <w:rPr>
                <w:sz w:val="18"/>
              </w:rPr>
              <w:t>SHAP analiza izdvojila elektronegativnost, valencijske elektrone i strukturne parametre</w:t>
            </w:r>
          </w:p>
        </w:tc>
        <w:tc>
          <w:tcPr>
            <w:tcW w:w="1184" w:type="dxa"/>
            <w:vAlign w:val="center"/>
            <w:hideMark/>
          </w:tcPr>
          <w:p w:rsidR="00684DF6" w:rsidRPr="00684DF6" w:rsidRDefault="00684DF6" w:rsidP="00684DF6">
            <w:pPr>
              <w:jc w:val="center"/>
              <w:rPr>
                <w:sz w:val="18"/>
              </w:rPr>
            </w:pPr>
            <w:r w:rsidRPr="00684DF6">
              <w:rPr>
                <w:b/>
                <w:bCs/>
                <w:sz w:val="18"/>
              </w:rPr>
              <w:t>Potvrđena</w:t>
            </w:r>
          </w:p>
        </w:tc>
      </w:tr>
    </w:tbl>
    <w:p w:rsidR="00684DF6" w:rsidRDefault="00684DF6" w:rsidP="00684DF6"/>
    <w:p w:rsidR="00684DF6" w:rsidRPr="0002536E" w:rsidRDefault="00684DF6" w:rsidP="0002536E">
      <w:pPr>
        <w:jc w:val="both"/>
        <w:rPr>
          <w:rFonts w:ascii="Times New Roman" w:hAnsi="Times New Roman" w:cs="Times New Roman"/>
          <w:sz w:val="20"/>
        </w:rPr>
      </w:pPr>
      <w:r w:rsidRPr="0002536E">
        <w:rPr>
          <w:rFonts w:ascii="Times New Roman" w:hAnsi="Times New Roman" w:cs="Times New Roman"/>
          <w:sz w:val="20"/>
        </w:rPr>
        <w:t>Na osnovu prikazanih pokazatelja, osnovna hipoteza istraživanja može se smatrati ispunjenom. XGBoost je ostvario visoku vrijednost R2 i relativno malu srednju apsolutnu grešku, uz znatno brže predviđanje u odnosu na izvođenje novog DFT proračuna za svaki materijal. Rezultati takođe potvrđuju da nelinearni modeli bolje opisuju složenu povezanost sastava, kristalne strukture i elektronskih svojstava.</w:t>
      </w:r>
      <w:r w:rsidR="0002536E">
        <w:rPr>
          <w:rFonts w:ascii="Times New Roman" w:hAnsi="Times New Roman" w:cs="Times New Roman"/>
          <w:sz w:val="20"/>
        </w:rPr>
        <w:t xml:space="preserve"> </w:t>
      </w:r>
      <w:r w:rsidRPr="0002536E">
        <w:rPr>
          <w:rFonts w:ascii="Times New Roman" w:hAnsi="Times New Roman" w:cs="Times New Roman"/>
          <w:sz w:val="20"/>
        </w:rPr>
        <w:t>Ipak, hipoteza je potvrđena u okviru korištenog skupa podataka. Predviđanja novih i strukturno drugačijih materijala potrebno je dodatno provjeriti preciznijim DFT proračunima ili eksperimentalnim mjerenjima.</w:t>
      </w:r>
    </w:p>
    <w:p w:rsidR="00684DF6" w:rsidRDefault="00684DF6" w:rsidP="00684DF6"/>
    <w:p w:rsidR="0002536E" w:rsidRDefault="0002536E" w:rsidP="00684DF6"/>
    <w:p w:rsidR="0002536E" w:rsidRDefault="0002536E" w:rsidP="0002536E">
      <w:pPr>
        <w:pStyle w:val="Heading2"/>
        <w:rPr>
          <w:rFonts w:ascii="Times New Roman" w:hAnsi="Times New Roman" w:cs="Times New Roman"/>
          <w:b/>
          <w:color w:val="auto"/>
          <w:sz w:val="24"/>
        </w:rPr>
      </w:pPr>
      <w:r w:rsidRPr="0002536E">
        <w:rPr>
          <w:rFonts w:ascii="Times New Roman" w:hAnsi="Times New Roman" w:cs="Times New Roman"/>
          <w:b/>
          <w:color w:val="auto"/>
          <w:sz w:val="24"/>
        </w:rPr>
        <w:lastRenderedPageBreak/>
        <w:t>5. DISKUSIJA</w:t>
      </w:r>
    </w:p>
    <w:p w:rsidR="00C67B9D" w:rsidRDefault="00C67B9D" w:rsidP="00C67B9D"/>
    <w:p w:rsidR="00C67B9D" w:rsidRPr="00C67B9D" w:rsidRDefault="00C67B9D" w:rsidP="00C67B9D"/>
    <w:p w:rsidR="0002536E" w:rsidRDefault="00C67B9D" w:rsidP="00C67B9D">
      <w:pPr>
        <w:jc w:val="both"/>
      </w:pPr>
      <w:r w:rsidRPr="00C67B9D">
        <w:t>Rezultati pokazuju da nelinearni modeli uspješnije predviđaju širinu zabranjene zone od linearne regresije. XGBoost je ostvario najveću tačnost, posebno pri kombinovanju hemijskih i strukturnih deskriptora. Ipak, veće greške kod širokozonskih materijala ukazuju na potrebu za kvalitetnijim podacima, DFT proračunima i eksperimentalnom provjerom</w:t>
      </w:r>
      <w:proofErr w:type="gramStart"/>
      <w:r w:rsidRPr="00C67B9D">
        <w:t>. .</w:t>
      </w:r>
      <w:proofErr w:type="gramEnd"/>
      <w:r w:rsidRPr="00C67B9D">
        <w:t xml:space="preserve"> Prednost XGBoost modela proizlazi iz njegove sposobnosti opisivanja složenih nelinearnih odnosa. Kombinovani deskriptori omogućili su potpunije predstavljanje materijala. Elektronegativnost i broj valencijskih elektrona izdvojeni su kao posebno značajni faktori. Strukturni parametri potvrdili su da električna svojstva ne zavise samo od hemijskog sastava. Veće greške zabilježene su kod materijala sa veoma širokom zabranjenom zonom. Ova odstupanja mogu biti posljedica njihove manje zastupljenosti u skupu podataka. Kvalitet predviđanja zavisi i od tačnosti referentnih DFT vrijednosti. Dobijeni rezultati podržavaju postavljenu osnovnu i pomoćne hipoteze. Razvijeni model može ubrzati preliminarni izbor perspektivnih materijala. Ipak, konačna potvrda predviđanja zahtijeva preciznije DFT proračune i eksperimentalna mjerenja.</w:t>
      </w:r>
    </w:p>
    <w:p w:rsidR="00C67B9D" w:rsidRDefault="00C67B9D" w:rsidP="00C67B9D">
      <w:pPr>
        <w:jc w:val="both"/>
      </w:pPr>
    </w:p>
    <w:p w:rsidR="00C67B9D" w:rsidRDefault="00C67B9D" w:rsidP="00C67B9D">
      <w:pPr>
        <w:pStyle w:val="Heading2"/>
        <w:rPr>
          <w:rFonts w:ascii="Times New Roman" w:hAnsi="Times New Roman" w:cs="Times New Roman"/>
          <w:b/>
          <w:color w:val="auto"/>
          <w:sz w:val="24"/>
          <w:szCs w:val="24"/>
        </w:rPr>
      </w:pPr>
      <w:r w:rsidRPr="00C67B9D">
        <w:rPr>
          <w:rFonts w:ascii="Times New Roman" w:hAnsi="Times New Roman" w:cs="Times New Roman"/>
          <w:b/>
          <w:color w:val="auto"/>
          <w:sz w:val="24"/>
          <w:szCs w:val="24"/>
        </w:rPr>
        <w:t>6. ZAKLJUČAK</w:t>
      </w:r>
    </w:p>
    <w:p w:rsidR="00C67B9D" w:rsidRPr="00C67B9D" w:rsidRDefault="00C67B9D" w:rsidP="00C67B9D"/>
    <w:p w:rsidR="00C67B9D" w:rsidRDefault="00C67B9D" w:rsidP="00C67B9D">
      <w:pPr>
        <w:jc w:val="both"/>
      </w:pPr>
      <w:r w:rsidRPr="00C67B9D">
        <w:t>U radu je razmotrena primjena vještačke inteligencije u predviđanju električnih svojstava čvrstih materijala, sa posebnim naglaskom na širinu zabranjene energetske zone. Rezultati pokazuju da modeli mašinskog učenja mogu prepoznati složene veze između hemijskog sastava, kristalne strukture i elektronskog ponašanja materijala.</w:t>
      </w:r>
      <w:r>
        <w:t xml:space="preserve"> </w:t>
      </w:r>
      <w:r w:rsidRPr="00C67B9D">
        <w:t>Od analiziranih algoritama, XGBoost je ostvario najbolje rezultate, sa srednjom apsolutnom greškom od 0,29 eV i koeficijentom determinacije R</w:t>
      </w:r>
      <w:r w:rsidRPr="00C67B9D">
        <w:rPr>
          <w:vertAlign w:val="superscript"/>
        </w:rPr>
        <w:t>2</w:t>
      </w:r>
      <w:r w:rsidRPr="00C67B9D">
        <w:t>=0,91. Neuronska mreža i Random Forest takođe su pokazali zadovoljavajuću tačnost, dok je linearna regresija ostvarila slabije rezultate. Kombinovanje hemijskih i strukturnih deskriptora omogućilo je preciznije predviđanje nego njihova pojedinačna primjena.</w:t>
      </w:r>
      <w:r>
        <w:t xml:space="preserve"> </w:t>
      </w:r>
      <w:r w:rsidRPr="00C67B9D">
        <w:t>Analiza važnosti karakteristika pokazala je da elektronegativnost, broj valencijskih elektrona, atomski radijus, zapremina po atomu i gustina imaju značajan uticaj na širinu zabranjene zone. Time su potvrđene osnovna i pomoćne hipoteze istraživanja.</w:t>
      </w:r>
      <w:r>
        <w:t xml:space="preserve"> </w:t>
      </w:r>
      <w:r w:rsidRPr="00C67B9D">
        <w:t>Primjena razvijenog modela može ubrzati preliminarno izdvajanje materijala pogodnih za elektronske, energetske i optoelektronske uređaje. Ipak, pouzdanost predviđanja zavisi od kvaliteta podataka, izbora deskriptora i zastupljenosti različitih grupa materijala. Rezultate je zato potrebno potvrditi preciznijim DFT proračunima i eksperimentalnim mjerenjima. Buduća istraživanja treba usmjeriti na grafovske neuronske mreže, proširenje skupa podataka i istovremeno predviđanje više električnih svojstava.</w:t>
      </w:r>
    </w:p>
    <w:p w:rsidR="00C67B9D" w:rsidRDefault="00C67B9D" w:rsidP="00C67B9D">
      <w:pPr>
        <w:jc w:val="both"/>
      </w:pPr>
    </w:p>
    <w:p w:rsidR="00C67B9D" w:rsidRPr="00C67B9D" w:rsidRDefault="00C67B9D" w:rsidP="00C67B9D">
      <w:pPr>
        <w:jc w:val="both"/>
      </w:pPr>
    </w:p>
    <w:p w:rsidR="00C67B9D" w:rsidRDefault="00C67B9D" w:rsidP="00C67B9D">
      <w:pPr>
        <w:pStyle w:val="Heading2"/>
        <w:rPr>
          <w:rFonts w:ascii="Times New Roman" w:hAnsi="Times New Roman" w:cs="Times New Roman"/>
          <w:b/>
          <w:color w:val="auto"/>
          <w:sz w:val="24"/>
          <w:szCs w:val="24"/>
        </w:rPr>
      </w:pPr>
      <w:r>
        <w:rPr>
          <w:rFonts w:ascii="Times New Roman" w:hAnsi="Times New Roman" w:cs="Times New Roman"/>
          <w:b/>
          <w:color w:val="auto"/>
          <w:sz w:val="24"/>
          <w:szCs w:val="24"/>
        </w:rPr>
        <w:t xml:space="preserve">7. </w:t>
      </w:r>
      <w:r w:rsidRPr="00C67B9D">
        <w:rPr>
          <w:rFonts w:ascii="Times New Roman" w:hAnsi="Times New Roman" w:cs="Times New Roman"/>
          <w:b/>
          <w:color w:val="auto"/>
          <w:sz w:val="24"/>
          <w:szCs w:val="24"/>
        </w:rPr>
        <w:t>LITERATURA</w:t>
      </w:r>
    </w:p>
    <w:p w:rsidR="00C67B9D" w:rsidRPr="00C67B9D" w:rsidRDefault="00C67B9D" w:rsidP="00C67B9D">
      <w:pPr>
        <w:jc w:val="both"/>
        <w:rPr>
          <w:rFonts w:ascii="Times New Roman" w:hAnsi="Times New Roman" w:cs="Times New Roman"/>
          <w:sz w:val="20"/>
          <w:szCs w:val="20"/>
        </w:rPr>
      </w:pPr>
    </w:p>
    <w:p w:rsidR="00C67B9D" w:rsidRPr="00C67B9D" w:rsidRDefault="00C67B9D" w:rsidP="00C67B9D">
      <w:pPr>
        <w:jc w:val="both"/>
        <w:rPr>
          <w:rFonts w:ascii="Times New Roman" w:hAnsi="Times New Roman" w:cs="Times New Roman"/>
          <w:sz w:val="20"/>
          <w:szCs w:val="20"/>
        </w:rPr>
      </w:pPr>
    </w:p>
    <w:p w:rsidR="00C67B9D" w:rsidRPr="00C67B9D" w:rsidRDefault="00C67B9D" w:rsidP="00C67B9D">
      <w:pPr>
        <w:jc w:val="both"/>
        <w:rPr>
          <w:rFonts w:ascii="Times New Roman" w:hAnsi="Times New Roman" w:cs="Times New Roman"/>
          <w:sz w:val="20"/>
          <w:szCs w:val="20"/>
        </w:rPr>
      </w:pPr>
      <w:r w:rsidRPr="00C67B9D">
        <w:rPr>
          <w:rFonts w:ascii="Times New Roman" w:hAnsi="Times New Roman" w:cs="Times New Roman"/>
          <w:sz w:val="20"/>
          <w:szCs w:val="20"/>
        </w:rPr>
        <w:t xml:space="preserve">[1] </w:t>
      </w:r>
      <w:r w:rsidRPr="00C67B9D">
        <w:rPr>
          <w:rFonts w:ascii="Times New Roman" w:hAnsi="Times New Roman" w:cs="Times New Roman"/>
          <w:sz w:val="20"/>
          <w:szCs w:val="20"/>
        </w:rPr>
        <w:t xml:space="preserve">Butler, K. T., Davies, D. W., Cartwright, H., Isayev, O., &amp; Walsh, A. (2018). Machine learning for </w:t>
      </w:r>
    </w:p>
    <w:p w:rsidR="00C67B9D" w:rsidRPr="00C67B9D" w:rsidRDefault="00C67B9D" w:rsidP="00E75ED9">
      <w:pPr>
        <w:spacing w:line="240" w:lineRule="auto"/>
        <w:jc w:val="both"/>
        <w:rPr>
          <w:rFonts w:ascii="Times New Roman" w:hAnsi="Times New Roman" w:cs="Times New Roman"/>
          <w:sz w:val="20"/>
          <w:szCs w:val="20"/>
        </w:rPr>
      </w:pPr>
      <w:r w:rsidRPr="00C67B9D">
        <w:rPr>
          <w:rFonts w:ascii="Times New Roman" w:hAnsi="Times New Roman" w:cs="Times New Roman"/>
          <w:sz w:val="20"/>
          <w:szCs w:val="20"/>
        </w:rPr>
        <w:t>molecular and materials scien</w:t>
      </w:r>
      <w:r w:rsidRPr="00C67B9D">
        <w:rPr>
          <w:rFonts w:ascii="Times New Roman" w:hAnsi="Times New Roman" w:cs="Times New Roman"/>
          <w:sz w:val="20"/>
          <w:szCs w:val="20"/>
        </w:rPr>
        <w:t>ce</w:t>
      </w:r>
      <w:r w:rsidRPr="00C67B9D">
        <w:rPr>
          <w:rFonts w:ascii="Times New Roman" w:hAnsi="Times New Roman" w:cs="Times New Roman"/>
          <w:i/>
          <w:sz w:val="20"/>
          <w:szCs w:val="20"/>
        </w:rPr>
        <w:t>. Nature, 559(</w:t>
      </w:r>
      <w:r w:rsidRPr="00C67B9D">
        <w:rPr>
          <w:rFonts w:ascii="Times New Roman" w:hAnsi="Times New Roman" w:cs="Times New Roman"/>
          <w:sz w:val="20"/>
          <w:szCs w:val="20"/>
        </w:rPr>
        <w:t xml:space="preserve">7715), 547–555. </w:t>
      </w:r>
      <w:hyperlink r:id="rId10" w:history="1">
        <w:r w:rsidRPr="00C67B9D">
          <w:rPr>
            <w:rStyle w:val="Hyperlink"/>
            <w:rFonts w:ascii="Times New Roman" w:hAnsi="Times New Roman" w:cs="Times New Roman"/>
            <w:sz w:val="20"/>
            <w:szCs w:val="20"/>
          </w:rPr>
          <w:t>https://doi.org/10.1038/s41586-018-0337-2</w:t>
        </w:r>
      </w:hyperlink>
      <w:r w:rsidRPr="00C67B9D">
        <w:rPr>
          <w:rFonts w:ascii="Times New Roman" w:hAnsi="Times New Roman" w:cs="Times New Roman"/>
          <w:sz w:val="20"/>
          <w:szCs w:val="20"/>
        </w:rPr>
        <w:t>.</w:t>
      </w:r>
    </w:p>
    <w:p w:rsidR="00C67B9D" w:rsidRPr="00C67B9D" w:rsidRDefault="00C67B9D" w:rsidP="00C67B9D">
      <w:pPr>
        <w:jc w:val="both"/>
        <w:rPr>
          <w:rFonts w:ascii="Times New Roman" w:hAnsi="Times New Roman" w:cs="Times New Roman"/>
          <w:sz w:val="20"/>
          <w:szCs w:val="20"/>
        </w:rPr>
      </w:pPr>
    </w:p>
    <w:p w:rsidR="00C67B9D" w:rsidRPr="00C67B9D" w:rsidRDefault="00C67B9D" w:rsidP="00C67B9D">
      <w:pPr>
        <w:jc w:val="both"/>
        <w:rPr>
          <w:rFonts w:ascii="Times New Roman" w:hAnsi="Times New Roman" w:cs="Times New Roman"/>
          <w:sz w:val="20"/>
          <w:szCs w:val="20"/>
        </w:rPr>
      </w:pPr>
      <w:r w:rsidRPr="00C67B9D">
        <w:rPr>
          <w:rFonts w:ascii="Times New Roman" w:hAnsi="Times New Roman" w:cs="Times New Roman"/>
          <w:sz w:val="20"/>
          <w:szCs w:val="20"/>
        </w:rPr>
        <w:t xml:space="preserve">[2] </w:t>
      </w:r>
      <w:r w:rsidRPr="00C67B9D">
        <w:rPr>
          <w:rFonts w:ascii="Times New Roman" w:hAnsi="Times New Roman" w:cs="Times New Roman"/>
          <w:sz w:val="20"/>
          <w:szCs w:val="20"/>
        </w:rPr>
        <w:t xml:space="preserve">Chen, C., Ye, W., Zuo, Y., Zheng, C., &amp; Ong, S. P. (2019). Graph networks as a universal machine </w:t>
      </w:r>
    </w:p>
    <w:p w:rsidR="00C67B9D" w:rsidRPr="00C67B9D" w:rsidRDefault="00C67B9D" w:rsidP="00E75ED9">
      <w:pPr>
        <w:jc w:val="both"/>
        <w:rPr>
          <w:rFonts w:ascii="Times New Roman" w:hAnsi="Times New Roman" w:cs="Times New Roman"/>
          <w:sz w:val="20"/>
          <w:szCs w:val="20"/>
        </w:rPr>
      </w:pPr>
      <w:r w:rsidRPr="00C67B9D">
        <w:rPr>
          <w:rFonts w:ascii="Times New Roman" w:hAnsi="Times New Roman" w:cs="Times New Roman"/>
          <w:sz w:val="20"/>
          <w:szCs w:val="20"/>
        </w:rPr>
        <w:t xml:space="preserve">learning framework for molecules and crystals. </w:t>
      </w:r>
      <w:r w:rsidRPr="00C67B9D">
        <w:rPr>
          <w:rFonts w:ascii="Times New Roman" w:hAnsi="Times New Roman" w:cs="Times New Roman"/>
          <w:i/>
          <w:sz w:val="20"/>
          <w:szCs w:val="20"/>
        </w:rPr>
        <w:t xml:space="preserve">Chemistry </w:t>
      </w:r>
      <w:r w:rsidRPr="00C67B9D">
        <w:rPr>
          <w:rFonts w:ascii="Times New Roman" w:hAnsi="Times New Roman" w:cs="Times New Roman"/>
          <w:i/>
          <w:sz w:val="20"/>
          <w:szCs w:val="20"/>
        </w:rPr>
        <w:t>of Materials</w:t>
      </w:r>
      <w:r w:rsidRPr="00C67B9D">
        <w:rPr>
          <w:rFonts w:ascii="Times New Roman" w:hAnsi="Times New Roman" w:cs="Times New Roman"/>
          <w:sz w:val="20"/>
          <w:szCs w:val="20"/>
        </w:rPr>
        <w:t xml:space="preserve">, 31(9), 3564–3572.  </w:t>
      </w:r>
      <w:hyperlink r:id="rId11" w:history="1">
        <w:r w:rsidRPr="00C67B9D">
          <w:rPr>
            <w:rStyle w:val="Hyperlink"/>
            <w:rFonts w:ascii="Times New Roman" w:hAnsi="Times New Roman" w:cs="Times New Roman"/>
            <w:sz w:val="20"/>
            <w:szCs w:val="20"/>
          </w:rPr>
          <w:t>https://doi.org/10.1021/acs.chemmater.9b01294</w:t>
        </w:r>
      </w:hyperlink>
      <w:r w:rsidRPr="00C67B9D">
        <w:rPr>
          <w:rFonts w:ascii="Times New Roman" w:hAnsi="Times New Roman" w:cs="Times New Roman"/>
          <w:sz w:val="20"/>
          <w:szCs w:val="20"/>
        </w:rPr>
        <w:t>.</w:t>
      </w:r>
    </w:p>
    <w:p w:rsidR="00C67B9D" w:rsidRDefault="00C67B9D" w:rsidP="00C67B9D">
      <w:pPr>
        <w:jc w:val="both"/>
        <w:rPr>
          <w:rFonts w:ascii="Times New Roman" w:hAnsi="Times New Roman" w:cs="Times New Roman"/>
          <w:sz w:val="20"/>
          <w:szCs w:val="20"/>
        </w:rPr>
      </w:pPr>
    </w:p>
    <w:p w:rsidR="00C67B9D" w:rsidRPr="00C67B9D" w:rsidRDefault="00C67B9D" w:rsidP="00E75ED9">
      <w:pPr>
        <w:spacing w:line="276" w:lineRule="auto"/>
        <w:jc w:val="both"/>
        <w:rPr>
          <w:rFonts w:ascii="Times New Roman" w:hAnsi="Times New Roman" w:cs="Times New Roman"/>
          <w:sz w:val="20"/>
          <w:szCs w:val="20"/>
        </w:rPr>
      </w:pPr>
      <w:r w:rsidRPr="00C67B9D">
        <w:rPr>
          <w:rFonts w:ascii="Times New Roman" w:hAnsi="Times New Roman" w:cs="Times New Roman"/>
          <w:sz w:val="20"/>
          <w:szCs w:val="20"/>
        </w:rPr>
        <w:lastRenderedPageBreak/>
        <w:t>[</w:t>
      </w:r>
      <w:r>
        <w:rPr>
          <w:rFonts w:ascii="Times New Roman" w:hAnsi="Times New Roman" w:cs="Times New Roman"/>
          <w:sz w:val="20"/>
          <w:szCs w:val="20"/>
        </w:rPr>
        <w:t>3</w:t>
      </w:r>
      <w:r w:rsidRPr="00C67B9D">
        <w:rPr>
          <w:rFonts w:ascii="Times New Roman" w:hAnsi="Times New Roman" w:cs="Times New Roman"/>
          <w:sz w:val="20"/>
          <w:szCs w:val="20"/>
        </w:rPr>
        <w:t xml:space="preserve">] Cheng, J., Zhang, C., &amp; Dong, L. (2021). A geometric-information-enhanced crystal graph network for </w:t>
      </w:r>
      <w:r>
        <w:rPr>
          <w:rFonts w:ascii="Times New Roman" w:hAnsi="Times New Roman" w:cs="Times New Roman"/>
          <w:sz w:val="20"/>
          <w:szCs w:val="20"/>
        </w:rPr>
        <w:t xml:space="preserve">    </w:t>
      </w:r>
      <w:r w:rsidR="00E75ED9">
        <w:rPr>
          <w:rFonts w:ascii="Times New Roman" w:hAnsi="Times New Roman" w:cs="Times New Roman"/>
          <w:sz w:val="20"/>
          <w:szCs w:val="20"/>
        </w:rPr>
        <w:t xml:space="preserve">  </w:t>
      </w:r>
      <w:r w:rsidRPr="00C67B9D">
        <w:rPr>
          <w:rFonts w:ascii="Times New Roman" w:hAnsi="Times New Roman" w:cs="Times New Roman"/>
          <w:sz w:val="20"/>
          <w:szCs w:val="20"/>
        </w:rPr>
        <w:t xml:space="preserve">predicting properties of materials. </w:t>
      </w:r>
      <w:r w:rsidRPr="00C67B9D">
        <w:rPr>
          <w:rFonts w:ascii="Times New Roman" w:hAnsi="Times New Roman" w:cs="Times New Roman"/>
          <w:i/>
          <w:iCs/>
          <w:sz w:val="20"/>
          <w:szCs w:val="20"/>
        </w:rPr>
        <w:t>Communications Materials, 2</w:t>
      </w:r>
      <w:r w:rsidRPr="00C67B9D">
        <w:rPr>
          <w:rFonts w:ascii="Times New Roman" w:hAnsi="Times New Roman" w:cs="Times New Roman"/>
          <w:sz w:val="20"/>
          <w:szCs w:val="20"/>
        </w:rPr>
        <w:t xml:space="preserve">, Article 92. </w:t>
      </w:r>
      <w:hyperlink r:id="rId12" w:tgtFrame="_new" w:history="1">
        <w:r w:rsidRPr="00C67B9D">
          <w:rPr>
            <w:rStyle w:val="Hyperlink"/>
            <w:rFonts w:ascii="Times New Roman" w:hAnsi="Times New Roman" w:cs="Times New Roman"/>
            <w:sz w:val="20"/>
            <w:szCs w:val="20"/>
          </w:rPr>
          <w:t>https://doi.org/10.1038/s43246-021-00194-3</w:t>
        </w:r>
      </w:hyperlink>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sidRPr="00E75ED9">
        <w:rPr>
          <w:rFonts w:ascii="Times New Roman" w:hAnsi="Times New Roman" w:cs="Times New Roman"/>
          <w:sz w:val="20"/>
          <w:szCs w:val="20"/>
        </w:rPr>
        <w:t>[</w:t>
      </w:r>
      <w:r>
        <w:rPr>
          <w:rFonts w:ascii="Times New Roman" w:hAnsi="Times New Roman" w:cs="Times New Roman"/>
          <w:sz w:val="20"/>
          <w:szCs w:val="20"/>
        </w:rPr>
        <w:t>4</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Choudhary, K., &amp; DeCost, B. (2021). Atomistic line graph neural network for improved materials property predictions. </w:t>
      </w:r>
      <w:r w:rsidR="00C67B9D" w:rsidRPr="00C67B9D">
        <w:rPr>
          <w:rFonts w:ascii="Times New Roman" w:hAnsi="Times New Roman" w:cs="Times New Roman"/>
          <w:i/>
          <w:iCs/>
          <w:sz w:val="20"/>
          <w:szCs w:val="20"/>
        </w:rPr>
        <w:t>npj Computational Materials, 7</w:t>
      </w:r>
      <w:r w:rsidR="00C67B9D" w:rsidRPr="00C67B9D">
        <w:rPr>
          <w:rFonts w:ascii="Times New Roman" w:hAnsi="Times New Roman" w:cs="Times New Roman"/>
          <w:sz w:val="20"/>
          <w:szCs w:val="20"/>
        </w:rPr>
        <w:t xml:space="preserve">, Article 185. </w:t>
      </w:r>
      <w:hyperlink r:id="rId13" w:tgtFrame="_new" w:history="1">
        <w:r w:rsidR="00C67B9D" w:rsidRPr="00C67B9D">
          <w:rPr>
            <w:rStyle w:val="Hyperlink"/>
            <w:rFonts w:ascii="Times New Roman" w:hAnsi="Times New Roman" w:cs="Times New Roman"/>
            <w:sz w:val="20"/>
            <w:szCs w:val="20"/>
          </w:rPr>
          <w:t>https://doi.org/10.1038/s41524-021-00650-1</w:t>
        </w:r>
      </w:hyperlink>
    </w:p>
    <w:p w:rsidR="00C67B9D" w:rsidRDefault="00C67B9D" w:rsidP="00E75ED9">
      <w:pPr>
        <w:spacing w:line="276" w:lineRule="auto"/>
        <w:ind w:left="170"/>
        <w:jc w:val="both"/>
        <w:rPr>
          <w:rFonts w:ascii="Times New Roman" w:hAnsi="Times New Roman" w:cs="Times New Roman"/>
          <w:sz w:val="20"/>
          <w:szCs w:val="20"/>
        </w:rPr>
      </w:pPr>
      <w:r w:rsidRPr="00C67B9D">
        <w:rPr>
          <w:rFonts w:ascii="Times New Roman" w:hAnsi="Times New Roman" w:cs="Times New Roman"/>
          <w:sz w:val="20"/>
          <w:szCs w:val="20"/>
        </w:rPr>
        <w:t xml:space="preserve">Curtarolo, S., Setyawan, W., Hart, G. L. W., Jahnátek, M., Chepulskii, R. V., Taylor, R. H., Wang, S., Xue, J., </w:t>
      </w:r>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sidRPr="00E75ED9">
        <w:rPr>
          <w:rFonts w:ascii="Times New Roman" w:hAnsi="Times New Roman" w:cs="Times New Roman"/>
          <w:sz w:val="20"/>
          <w:szCs w:val="20"/>
        </w:rPr>
        <w:t>[</w:t>
      </w:r>
      <w:r>
        <w:rPr>
          <w:rFonts w:ascii="Times New Roman" w:hAnsi="Times New Roman" w:cs="Times New Roman"/>
          <w:sz w:val="20"/>
          <w:szCs w:val="20"/>
        </w:rPr>
        <w:t>5</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Yang, K., Levy, O., Mehl, M. J., Stokes, H. T., Demchenko, D. O., &amp; Morgan, D. (2012). AFLOW: An automatic framework for high-throughput materials discovery. </w:t>
      </w:r>
      <w:r w:rsidR="00C67B9D" w:rsidRPr="00C67B9D">
        <w:rPr>
          <w:rFonts w:ascii="Times New Roman" w:hAnsi="Times New Roman" w:cs="Times New Roman"/>
          <w:i/>
          <w:iCs/>
          <w:sz w:val="20"/>
          <w:szCs w:val="20"/>
        </w:rPr>
        <w:t>Computational Materials Science, 58</w:t>
      </w:r>
      <w:r w:rsidR="00C67B9D" w:rsidRPr="00C67B9D">
        <w:rPr>
          <w:rFonts w:ascii="Times New Roman" w:hAnsi="Times New Roman" w:cs="Times New Roman"/>
          <w:sz w:val="20"/>
          <w:szCs w:val="20"/>
        </w:rPr>
        <w:t>, 218–226. https://doi.org/10.1016/j.commatsci.2012.02.005</w:t>
      </w:r>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Pr>
          <w:rFonts w:ascii="Times New Roman" w:hAnsi="Times New Roman" w:cs="Times New Roman"/>
          <w:sz w:val="20"/>
          <w:szCs w:val="20"/>
        </w:rPr>
        <w:t>[6</w:t>
      </w:r>
      <w:proofErr w:type="gramStart"/>
      <w:r w:rsidRPr="00E75ED9">
        <w:rPr>
          <w:rFonts w:ascii="Times New Roman" w:hAnsi="Times New Roman" w:cs="Times New Roman"/>
          <w:sz w:val="20"/>
          <w:szCs w:val="20"/>
        </w:rPr>
        <w:t xml:space="preserve">] </w:t>
      </w:r>
      <w:r>
        <w:rPr>
          <w:rFonts w:ascii="Times New Roman" w:hAnsi="Times New Roman" w:cs="Times New Roman"/>
          <w:sz w:val="20"/>
          <w:szCs w:val="20"/>
        </w:rPr>
        <w:t xml:space="preserve"> </w:t>
      </w:r>
      <w:r w:rsidR="00C67B9D" w:rsidRPr="00C67B9D">
        <w:rPr>
          <w:rFonts w:ascii="Times New Roman" w:hAnsi="Times New Roman" w:cs="Times New Roman"/>
          <w:sz w:val="20"/>
          <w:szCs w:val="20"/>
        </w:rPr>
        <w:t>Jain</w:t>
      </w:r>
      <w:proofErr w:type="gramEnd"/>
      <w:r w:rsidR="00C67B9D" w:rsidRPr="00C67B9D">
        <w:rPr>
          <w:rFonts w:ascii="Times New Roman" w:hAnsi="Times New Roman" w:cs="Times New Roman"/>
          <w:sz w:val="20"/>
          <w:szCs w:val="20"/>
        </w:rPr>
        <w:t xml:space="preserve">, A., Ong, S. P., Hautier, G., Chen, W., Richards, W. D., Dacek, S., Cholia, S., Gunter, D., Skinner, D., Ceder, </w:t>
      </w:r>
      <w:r>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G., &amp; Persson, K. A. (2013). Commentary: The Materials Project: A materials genome approach to accelerating materials innovation. </w:t>
      </w:r>
      <w:r w:rsidR="00C67B9D" w:rsidRPr="00C67B9D">
        <w:rPr>
          <w:rFonts w:ascii="Times New Roman" w:hAnsi="Times New Roman" w:cs="Times New Roman"/>
          <w:i/>
          <w:iCs/>
          <w:sz w:val="20"/>
          <w:szCs w:val="20"/>
        </w:rPr>
        <w:t>APL Materials, 1</w:t>
      </w:r>
      <w:r w:rsidR="00C67B9D" w:rsidRPr="00C67B9D">
        <w:rPr>
          <w:rFonts w:ascii="Times New Roman" w:hAnsi="Times New Roman" w:cs="Times New Roman"/>
          <w:sz w:val="20"/>
          <w:szCs w:val="20"/>
        </w:rPr>
        <w:t xml:space="preserve">(1), Article 011002. </w:t>
      </w:r>
      <w:hyperlink r:id="rId14" w:tgtFrame="_new" w:history="1">
        <w:r w:rsidR="00C67B9D" w:rsidRPr="00C67B9D">
          <w:rPr>
            <w:rStyle w:val="Hyperlink"/>
            <w:rFonts w:ascii="Times New Roman" w:hAnsi="Times New Roman" w:cs="Times New Roman"/>
            <w:sz w:val="20"/>
            <w:szCs w:val="20"/>
          </w:rPr>
          <w:t>https://doi.org/10.1063/1.4812323</w:t>
        </w:r>
      </w:hyperlink>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Pr>
          <w:rFonts w:ascii="Times New Roman" w:hAnsi="Times New Roman" w:cs="Times New Roman"/>
          <w:sz w:val="20"/>
          <w:szCs w:val="20"/>
        </w:rPr>
        <w:t>[7</w:t>
      </w:r>
      <w:proofErr w:type="gramStart"/>
      <w:r w:rsidRPr="00E75ED9">
        <w:rPr>
          <w:rFonts w:ascii="Times New Roman" w:hAnsi="Times New Roman" w:cs="Times New Roman"/>
          <w:sz w:val="20"/>
          <w:szCs w:val="20"/>
        </w:rPr>
        <w:t>]</w:t>
      </w:r>
      <w:r>
        <w:rPr>
          <w:rFonts w:ascii="Times New Roman" w:hAnsi="Times New Roman" w:cs="Times New Roman"/>
          <w:sz w:val="20"/>
          <w:szCs w:val="20"/>
        </w:rPr>
        <w:t xml:space="preserve"> </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Na</w:t>
      </w:r>
      <w:proofErr w:type="gramEnd"/>
      <w:r w:rsidR="00C67B9D" w:rsidRPr="00C67B9D">
        <w:rPr>
          <w:rFonts w:ascii="Times New Roman" w:hAnsi="Times New Roman" w:cs="Times New Roman"/>
          <w:sz w:val="20"/>
          <w:szCs w:val="20"/>
        </w:rPr>
        <w:t xml:space="preserve">, G. S., Jang, S., Lee, Y.-L., &amp; Chang, H. (2020). Tuplewise material representation based machine learning for accurate band gap prediction. </w:t>
      </w:r>
      <w:r w:rsidR="00C67B9D" w:rsidRPr="00C67B9D">
        <w:rPr>
          <w:rFonts w:ascii="Times New Roman" w:hAnsi="Times New Roman" w:cs="Times New Roman"/>
          <w:i/>
          <w:iCs/>
          <w:sz w:val="20"/>
          <w:szCs w:val="20"/>
        </w:rPr>
        <w:t>The Journal of Physical Chemistry A, 124</w:t>
      </w:r>
      <w:r w:rsidR="00C67B9D" w:rsidRPr="00C67B9D">
        <w:rPr>
          <w:rFonts w:ascii="Times New Roman" w:hAnsi="Times New Roman" w:cs="Times New Roman"/>
          <w:sz w:val="20"/>
          <w:szCs w:val="20"/>
        </w:rPr>
        <w:t xml:space="preserve">(51), 10616–10623. </w:t>
      </w:r>
      <w:hyperlink r:id="rId15" w:history="1">
        <w:r w:rsidRPr="00DD4704">
          <w:rPr>
            <w:rStyle w:val="Hyperlink"/>
            <w:rFonts w:ascii="Times New Roman" w:hAnsi="Times New Roman" w:cs="Times New Roman"/>
            <w:sz w:val="20"/>
            <w:szCs w:val="20"/>
          </w:rPr>
          <w:t>https://doi.org/10.1021/acs.jpca.0c07894</w:t>
        </w:r>
      </w:hyperlink>
      <w:r>
        <w:rPr>
          <w:rFonts w:ascii="Times New Roman" w:hAnsi="Times New Roman" w:cs="Times New Roman"/>
          <w:sz w:val="20"/>
          <w:szCs w:val="20"/>
        </w:rPr>
        <w:t xml:space="preserve"> </w:t>
      </w:r>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sidRPr="00E75ED9">
        <w:rPr>
          <w:rFonts w:ascii="Times New Roman" w:hAnsi="Times New Roman" w:cs="Times New Roman"/>
          <w:sz w:val="20"/>
          <w:szCs w:val="20"/>
        </w:rPr>
        <w:t>[</w:t>
      </w:r>
      <w:r>
        <w:rPr>
          <w:rFonts w:ascii="Times New Roman" w:hAnsi="Times New Roman" w:cs="Times New Roman"/>
          <w:sz w:val="20"/>
          <w:szCs w:val="20"/>
        </w:rPr>
        <w:t>8</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Pilania, G., Wang, C., Jiang, X., Rajasekaran, S., &amp; Ramprasad, R. (2013). Accelerating materials property predictions using machine learning. </w:t>
      </w:r>
      <w:r w:rsidR="00C67B9D" w:rsidRPr="00C67B9D">
        <w:rPr>
          <w:rFonts w:ascii="Times New Roman" w:hAnsi="Times New Roman" w:cs="Times New Roman"/>
          <w:i/>
          <w:iCs/>
          <w:sz w:val="20"/>
          <w:szCs w:val="20"/>
        </w:rPr>
        <w:t>Scientific Reports, 3</w:t>
      </w:r>
      <w:r w:rsidR="00C67B9D" w:rsidRPr="00C67B9D">
        <w:rPr>
          <w:rFonts w:ascii="Times New Roman" w:hAnsi="Times New Roman" w:cs="Times New Roman"/>
          <w:sz w:val="20"/>
          <w:szCs w:val="20"/>
        </w:rPr>
        <w:t>, Article 2810. https://doi.org/10.1038/srep02810</w:t>
      </w:r>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Pr>
          <w:rFonts w:ascii="Times New Roman" w:hAnsi="Times New Roman" w:cs="Times New Roman"/>
          <w:sz w:val="20"/>
          <w:szCs w:val="20"/>
        </w:rPr>
        <w:t>[9</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Ramprasad, R., Batra, R., Pilania, G., Mannodi-Kanakkithodi, A., &amp; Kim, C. (2017). Machine learning in materials informatics: Recent applications and prospects. </w:t>
      </w:r>
      <w:r w:rsidR="00C67B9D" w:rsidRPr="00C67B9D">
        <w:rPr>
          <w:rFonts w:ascii="Times New Roman" w:hAnsi="Times New Roman" w:cs="Times New Roman"/>
          <w:i/>
          <w:iCs/>
          <w:sz w:val="20"/>
          <w:szCs w:val="20"/>
        </w:rPr>
        <w:t>npj Computational Materials, 3</w:t>
      </w:r>
      <w:r w:rsidR="00C67B9D" w:rsidRPr="00C67B9D">
        <w:rPr>
          <w:rFonts w:ascii="Times New Roman" w:hAnsi="Times New Roman" w:cs="Times New Roman"/>
          <w:sz w:val="20"/>
          <w:szCs w:val="20"/>
        </w:rPr>
        <w:t xml:space="preserve">, Article 54. </w:t>
      </w:r>
      <w:hyperlink r:id="rId16" w:tgtFrame="_new" w:history="1">
        <w:r w:rsidR="00C67B9D" w:rsidRPr="00C67B9D">
          <w:rPr>
            <w:rStyle w:val="Hyperlink"/>
            <w:rFonts w:ascii="Times New Roman" w:hAnsi="Times New Roman" w:cs="Times New Roman"/>
            <w:sz w:val="20"/>
            <w:szCs w:val="20"/>
          </w:rPr>
          <w:t>https://doi.org/10.1038/s41524-017-0056-5</w:t>
        </w:r>
      </w:hyperlink>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Pr>
          <w:rFonts w:ascii="Times New Roman" w:hAnsi="Times New Roman" w:cs="Times New Roman"/>
          <w:sz w:val="20"/>
          <w:szCs w:val="20"/>
        </w:rPr>
        <w:t>[10</w:t>
      </w:r>
      <w:proofErr w:type="gramStart"/>
      <w:r w:rsidRPr="00E75ED9">
        <w:rPr>
          <w:rFonts w:ascii="Times New Roman" w:hAnsi="Times New Roman" w:cs="Times New Roman"/>
          <w:sz w:val="20"/>
          <w:szCs w:val="20"/>
        </w:rPr>
        <w:t xml:space="preserve">] </w:t>
      </w:r>
      <w:r>
        <w:rPr>
          <w:rFonts w:ascii="Times New Roman" w:hAnsi="Times New Roman" w:cs="Times New Roman"/>
          <w:sz w:val="20"/>
          <w:szCs w:val="20"/>
        </w:rPr>
        <w:t xml:space="preserve"> </w:t>
      </w:r>
      <w:r w:rsidR="00C67B9D" w:rsidRPr="00C67B9D">
        <w:rPr>
          <w:rFonts w:ascii="Times New Roman" w:hAnsi="Times New Roman" w:cs="Times New Roman"/>
          <w:sz w:val="20"/>
          <w:szCs w:val="20"/>
        </w:rPr>
        <w:t>Schmidt</w:t>
      </w:r>
      <w:proofErr w:type="gramEnd"/>
      <w:r w:rsidR="00C67B9D" w:rsidRPr="00C67B9D">
        <w:rPr>
          <w:rFonts w:ascii="Times New Roman" w:hAnsi="Times New Roman" w:cs="Times New Roman"/>
          <w:sz w:val="20"/>
          <w:szCs w:val="20"/>
        </w:rPr>
        <w:t xml:space="preserve">, J., Marques, M. R. G., Botti, S., &amp; Marques, M. A. L. (2019). Recent advances and applications of machine learning in solid-state materials science. </w:t>
      </w:r>
      <w:r w:rsidR="00C67B9D" w:rsidRPr="00C67B9D">
        <w:rPr>
          <w:rFonts w:ascii="Times New Roman" w:hAnsi="Times New Roman" w:cs="Times New Roman"/>
          <w:i/>
          <w:iCs/>
          <w:sz w:val="20"/>
          <w:szCs w:val="20"/>
        </w:rPr>
        <w:t>npj Computational Materials, 5</w:t>
      </w:r>
      <w:r w:rsidR="00C67B9D" w:rsidRPr="00C67B9D">
        <w:rPr>
          <w:rFonts w:ascii="Times New Roman" w:hAnsi="Times New Roman" w:cs="Times New Roman"/>
          <w:sz w:val="20"/>
          <w:szCs w:val="20"/>
        </w:rPr>
        <w:t xml:space="preserve">, Article 83. </w:t>
      </w:r>
      <w:hyperlink r:id="rId17" w:tgtFrame="_new" w:history="1">
        <w:r w:rsidR="00C67B9D" w:rsidRPr="00C67B9D">
          <w:rPr>
            <w:rStyle w:val="Hyperlink"/>
            <w:rFonts w:ascii="Times New Roman" w:hAnsi="Times New Roman" w:cs="Times New Roman"/>
            <w:sz w:val="20"/>
            <w:szCs w:val="20"/>
          </w:rPr>
          <w:t>https://doi.org/10.1038/s41524-019-0221-0</w:t>
        </w:r>
      </w:hyperlink>
    </w:p>
    <w:p w:rsidR="00C67B9D" w:rsidRDefault="00C67B9D"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Pr>
          <w:rFonts w:ascii="Times New Roman" w:hAnsi="Times New Roman" w:cs="Times New Roman"/>
          <w:sz w:val="20"/>
          <w:szCs w:val="20"/>
        </w:rPr>
        <w:t>[11</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Ward, L., Agrawal, A., Choudhary, A., &amp; Wolverton, C. (2016). A general-purpose machine learning framework for predicting properties of inorganic materials. </w:t>
      </w:r>
      <w:r w:rsidR="00C67B9D" w:rsidRPr="00C67B9D">
        <w:rPr>
          <w:rFonts w:ascii="Times New Roman" w:hAnsi="Times New Roman" w:cs="Times New Roman"/>
          <w:i/>
          <w:iCs/>
          <w:sz w:val="20"/>
          <w:szCs w:val="20"/>
        </w:rPr>
        <w:t>npj Computational Materials, 2</w:t>
      </w:r>
      <w:r w:rsidR="00C67B9D" w:rsidRPr="00C67B9D">
        <w:rPr>
          <w:rFonts w:ascii="Times New Roman" w:hAnsi="Times New Roman" w:cs="Times New Roman"/>
          <w:sz w:val="20"/>
          <w:szCs w:val="20"/>
        </w:rPr>
        <w:t xml:space="preserve">, Article 16028. </w:t>
      </w:r>
      <w:hyperlink r:id="rId18" w:tgtFrame="_new" w:history="1">
        <w:r w:rsidR="00C67B9D" w:rsidRPr="00C67B9D">
          <w:rPr>
            <w:rStyle w:val="Hyperlink"/>
            <w:rFonts w:ascii="Times New Roman" w:hAnsi="Times New Roman" w:cs="Times New Roman"/>
            <w:sz w:val="20"/>
            <w:szCs w:val="20"/>
          </w:rPr>
          <w:t>https://doi.org/10.1038/npjcompumats.2016.28</w:t>
        </w:r>
      </w:hyperlink>
    </w:p>
    <w:p w:rsidR="00E75ED9" w:rsidRDefault="00E75ED9" w:rsidP="00E75ED9">
      <w:pPr>
        <w:spacing w:line="276" w:lineRule="auto"/>
        <w:ind w:left="170"/>
        <w:jc w:val="both"/>
        <w:rPr>
          <w:rFonts w:ascii="Times New Roman" w:hAnsi="Times New Roman" w:cs="Times New Roman"/>
          <w:sz w:val="20"/>
          <w:szCs w:val="20"/>
        </w:rPr>
      </w:pPr>
    </w:p>
    <w:p w:rsidR="00C67B9D" w:rsidRPr="00C67B9D" w:rsidRDefault="00E75ED9" w:rsidP="00E75ED9">
      <w:pPr>
        <w:spacing w:line="276" w:lineRule="auto"/>
        <w:jc w:val="both"/>
        <w:rPr>
          <w:rFonts w:ascii="Times New Roman" w:hAnsi="Times New Roman" w:cs="Times New Roman"/>
          <w:sz w:val="20"/>
          <w:szCs w:val="20"/>
        </w:rPr>
      </w:pPr>
      <w:r>
        <w:rPr>
          <w:rFonts w:ascii="Times New Roman" w:hAnsi="Times New Roman" w:cs="Times New Roman"/>
          <w:sz w:val="20"/>
          <w:szCs w:val="20"/>
        </w:rPr>
        <w:t>[12</w:t>
      </w:r>
      <w:r w:rsidRPr="00E75ED9">
        <w:rPr>
          <w:rFonts w:ascii="Times New Roman" w:hAnsi="Times New Roman" w:cs="Times New Roman"/>
          <w:sz w:val="20"/>
          <w:szCs w:val="20"/>
        </w:rPr>
        <w:t xml:space="preserve">] </w:t>
      </w:r>
      <w:r w:rsidR="00C67B9D" w:rsidRPr="00C67B9D">
        <w:rPr>
          <w:rFonts w:ascii="Times New Roman" w:hAnsi="Times New Roman" w:cs="Times New Roman"/>
          <w:sz w:val="20"/>
          <w:szCs w:val="20"/>
        </w:rPr>
        <w:t xml:space="preserve">Xie, T., &amp; Grossman, J. C. (2018). Crystal graph convolutional neural networks for an accurate and interpretable prediction of material properties. </w:t>
      </w:r>
      <w:r w:rsidR="00C67B9D" w:rsidRPr="00C67B9D">
        <w:rPr>
          <w:rFonts w:ascii="Times New Roman" w:hAnsi="Times New Roman" w:cs="Times New Roman"/>
          <w:i/>
          <w:iCs/>
          <w:sz w:val="20"/>
          <w:szCs w:val="20"/>
        </w:rPr>
        <w:t>Physical Review Letters, 120</w:t>
      </w:r>
      <w:r w:rsidR="00C67B9D" w:rsidRPr="00C67B9D">
        <w:rPr>
          <w:rFonts w:ascii="Times New Roman" w:hAnsi="Times New Roman" w:cs="Times New Roman"/>
          <w:sz w:val="20"/>
          <w:szCs w:val="20"/>
        </w:rPr>
        <w:t>(14), Article 145301. https://doi.org/10.1103/PhysRevLett.120.145301</w:t>
      </w:r>
    </w:p>
    <w:p w:rsidR="00C67B9D" w:rsidRPr="00C67B9D" w:rsidRDefault="00C67B9D" w:rsidP="00E75ED9">
      <w:pPr>
        <w:spacing w:line="276" w:lineRule="auto"/>
        <w:ind w:left="170"/>
        <w:jc w:val="both"/>
        <w:rPr>
          <w:rFonts w:ascii="Times New Roman" w:hAnsi="Times New Roman" w:cs="Times New Roman"/>
          <w:sz w:val="20"/>
          <w:szCs w:val="20"/>
        </w:rPr>
      </w:pPr>
    </w:p>
    <w:p w:rsidR="00C67B9D" w:rsidRPr="00C67B9D" w:rsidRDefault="00C67B9D" w:rsidP="00E75ED9">
      <w:pPr>
        <w:spacing w:line="276" w:lineRule="auto"/>
        <w:ind w:left="170"/>
        <w:jc w:val="both"/>
        <w:rPr>
          <w:rFonts w:ascii="Times New Roman" w:hAnsi="Times New Roman" w:cs="Times New Roman"/>
          <w:sz w:val="20"/>
          <w:szCs w:val="20"/>
        </w:rPr>
      </w:pPr>
    </w:p>
    <w:p w:rsidR="0002536E" w:rsidRPr="0002536E" w:rsidRDefault="0002536E" w:rsidP="00E75ED9">
      <w:pPr>
        <w:spacing w:line="276" w:lineRule="auto"/>
      </w:pPr>
    </w:p>
    <w:sectPr w:rsidR="0002536E" w:rsidRPr="000253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24B6"/>
    <w:multiLevelType w:val="multilevel"/>
    <w:tmpl w:val="4634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57B12"/>
    <w:multiLevelType w:val="multilevel"/>
    <w:tmpl w:val="77FC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87B31"/>
    <w:multiLevelType w:val="multilevel"/>
    <w:tmpl w:val="CBBC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84808"/>
    <w:multiLevelType w:val="multilevel"/>
    <w:tmpl w:val="404E4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58429A"/>
    <w:multiLevelType w:val="multilevel"/>
    <w:tmpl w:val="C160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6903ED"/>
    <w:multiLevelType w:val="hybridMultilevel"/>
    <w:tmpl w:val="F1CEE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5FF3A29"/>
    <w:multiLevelType w:val="multilevel"/>
    <w:tmpl w:val="10BC8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6B5"/>
    <w:rsid w:val="0002536E"/>
    <w:rsid w:val="002A30AF"/>
    <w:rsid w:val="00313C88"/>
    <w:rsid w:val="003560A8"/>
    <w:rsid w:val="0036423B"/>
    <w:rsid w:val="00435DE9"/>
    <w:rsid w:val="00684840"/>
    <w:rsid w:val="00684DF6"/>
    <w:rsid w:val="00694E4B"/>
    <w:rsid w:val="00701CF2"/>
    <w:rsid w:val="00753CA3"/>
    <w:rsid w:val="009506CB"/>
    <w:rsid w:val="00AB0C53"/>
    <w:rsid w:val="00B8166E"/>
    <w:rsid w:val="00C67B9D"/>
    <w:rsid w:val="00C752A4"/>
    <w:rsid w:val="00CA2900"/>
    <w:rsid w:val="00E159CF"/>
    <w:rsid w:val="00E75ED9"/>
    <w:rsid w:val="00FE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3377B"/>
  <w15:chartTrackingRefBased/>
  <w15:docId w15:val="{B5E94EBE-5E06-49A3-A5B8-B0F51A2D6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6B5"/>
  </w:style>
  <w:style w:type="paragraph" w:styleId="Heading1">
    <w:name w:val="heading 1"/>
    <w:basedOn w:val="Normal"/>
    <w:next w:val="Normal"/>
    <w:link w:val="Heading1Char"/>
    <w:uiPriority w:val="9"/>
    <w:qFormat/>
    <w:rsid w:val="002A30A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A30A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6423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0A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A30A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2A30AF"/>
    <w:pPr>
      <w:ind w:left="720"/>
      <w:contextualSpacing/>
    </w:pPr>
  </w:style>
  <w:style w:type="paragraph" w:styleId="NoSpacing">
    <w:name w:val="No Spacing"/>
    <w:uiPriority w:val="1"/>
    <w:qFormat/>
    <w:rsid w:val="00684840"/>
    <w:pPr>
      <w:spacing w:line="240" w:lineRule="auto"/>
    </w:pPr>
  </w:style>
  <w:style w:type="paragraph" w:customStyle="1" w:styleId="pdq2pgselectionanchorcontainer">
    <w:name w:val="pdq2pg_selectionanchorcontainer"/>
    <w:basedOn w:val="Normal"/>
    <w:rsid w:val="00CA29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CA29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A2900"/>
    <w:rPr>
      <w:i/>
      <w:iCs/>
    </w:rPr>
  </w:style>
  <w:style w:type="character" w:customStyle="1" w:styleId="Heading3Char">
    <w:name w:val="Heading 3 Char"/>
    <w:basedOn w:val="DefaultParagraphFont"/>
    <w:link w:val="Heading3"/>
    <w:uiPriority w:val="9"/>
    <w:rsid w:val="0036423B"/>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36423B"/>
    <w:rPr>
      <w:color w:val="808080"/>
    </w:rPr>
  </w:style>
  <w:style w:type="table" w:styleId="TableGrid">
    <w:name w:val="Table Grid"/>
    <w:basedOn w:val="TableNormal"/>
    <w:uiPriority w:val="39"/>
    <w:rsid w:val="00AB0C5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7B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3126">
      <w:bodyDiv w:val="1"/>
      <w:marLeft w:val="0"/>
      <w:marRight w:val="0"/>
      <w:marTop w:val="0"/>
      <w:marBottom w:val="0"/>
      <w:divBdr>
        <w:top w:val="none" w:sz="0" w:space="0" w:color="auto"/>
        <w:left w:val="none" w:sz="0" w:space="0" w:color="auto"/>
        <w:bottom w:val="none" w:sz="0" w:space="0" w:color="auto"/>
        <w:right w:val="none" w:sz="0" w:space="0" w:color="auto"/>
      </w:divBdr>
    </w:div>
    <w:div w:id="78455331">
      <w:bodyDiv w:val="1"/>
      <w:marLeft w:val="0"/>
      <w:marRight w:val="0"/>
      <w:marTop w:val="0"/>
      <w:marBottom w:val="0"/>
      <w:divBdr>
        <w:top w:val="none" w:sz="0" w:space="0" w:color="auto"/>
        <w:left w:val="none" w:sz="0" w:space="0" w:color="auto"/>
        <w:bottom w:val="none" w:sz="0" w:space="0" w:color="auto"/>
        <w:right w:val="none" w:sz="0" w:space="0" w:color="auto"/>
      </w:divBdr>
    </w:div>
    <w:div w:id="163324169">
      <w:bodyDiv w:val="1"/>
      <w:marLeft w:val="0"/>
      <w:marRight w:val="0"/>
      <w:marTop w:val="0"/>
      <w:marBottom w:val="0"/>
      <w:divBdr>
        <w:top w:val="none" w:sz="0" w:space="0" w:color="auto"/>
        <w:left w:val="none" w:sz="0" w:space="0" w:color="auto"/>
        <w:bottom w:val="none" w:sz="0" w:space="0" w:color="auto"/>
        <w:right w:val="none" w:sz="0" w:space="0" w:color="auto"/>
      </w:divBdr>
    </w:div>
    <w:div w:id="217670006">
      <w:bodyDiv w:val="1"/>
      <w:marLeft w:val="0"/>
      <w:marRight w:val="0"/>
      <w:marTop w:val="0"/>
      <w:marBottom w:val="0"/>
      <w:divBdr>
        <w:top w:val="none" w:sz="0" w:space="0" w:color="auto"/>
        <w:left w:val="none" w:sz="0" w:space="0" w:color="auto"/>
        <w:bottom w:val="none" w:sz="0" w:space="0" w:color="auto"/>
        <w:right w:val="none" w:sz="0" w:space="0" w:color="auto"/>
      </w:divBdr>
    </w:div>
    <w:div w:id="321861620">
      <w:bodyDiv w:val="1"/>
      <w:marLeft w:val="0"/>
      <w:marRight w:val="0"/>
      <w:marTop w:val="0"/>
      <w:marBottom w:val="0"/>
      <w:divBdr>
        <w:top w:val="none" w:sz="0" w:space="0" w:color="auto"/>
        <w:left w:val="none" w:sz="0" w:space="0" w:color="auto"/>
        <w:bottom w:val="none" w:sz="0" w:space="0" w:color="auto"/>
        <w:right w:val="none" w:sz="0" w:space="0" w:color="auto"/>
      </w:divBdr>
    </w:div>
    <w:div w:id="328287407">
      <w:bodyDiv w:val="1"/>
      <w:marLeft w:val="0"/>
      <w:marRight w:val="0"/>
      <w:marTop w:val="0"/>
      <w:marBottom w:val="0"/>
      <w:divBdr>
        <w:top w:val="none" w:sz="0" w:space="0" w:color="auto"/>
        <w:left w:val="none" w:sz="0" w:space="0" w:color="auto"/>
        <w:bottom w:val="none" w:sz="0" w:space="0" w:color="auto"/>
        <w:right w:val="none" w:sz="0" w:space="0" w:color="auto"/>
      </w:divBdr>
    </w:div>
    <w:div w:id="335767726">
      <w:bodyDiv w:val="1"/>
      <w:marLeft w:val="0"/>
      <w:marRight w:val="0"/>
      <w:marTop w:val="0"/>
      <w:marBottom w:val="0"/>
      <w:divBdr>
        <w:top w:val="none" w:sz="0" w:space="0" w:color="auto"/>
        <w:left w:val="none" w:sz="0" w:space="0" w:color="auto"/>
        <w:bottom w:val="none" w:sz="0" w:space="0" w:color="auto"/>
        <w:right w:val="none" w:sz="0" w:space="0" w:color="auto"/>
      </w:divBdr>
    </w:div>
    <w:div w:id="564610456">
      <w:bodyDiv w:val="1"/>
      <w:marLeft w:val="0"/>
      <w:marRight w:val="0"/>
      <w:marTop w:val="0"/>
      <w:marBottom w:val="0"/>
      <w:divBdr>
        <w:top w:val="none" w:sz="0" w:space="0" w:color="auto"/>
        <w:left w:val="none" w:sz="0" w:space="0" w:color="auto"/>
        <w:bottom w:val="none" w:sz="0" w:space="0" w:color="auto"/>
        <w:right w:val="none" w:sz="0" w:space="0" w:color="auto"/>
      </w:divBdr>
    </w:div>
    <w:div w:id="565802892">
      <w:bodyDiv w:val="1"/>
      <w:marLeft w:val="0"/>
      <w:marRight w:val="0"/>
      <w:marTop w:val="0"/>
      <w:marBottom w:val="0"/>
      <w:divBdr>
        <w:top w:val="none" w:sz="0" w:space="0" w:color="auto"/>
        <w:left w:val="none" w:sz="0" w:space="0" w:color="auto"/>
        <w:bottom w:val="none" w:sz="0" w:space="0" w:color="auto"/>
        <w:right w:val="none" w:sz="0" w:space="0" w:color="auto"/>
      </w:divBdr>
    </w:div>
    <w:div w:id="572934064">
      <w:bodyDiv w:val="1"/>
      <w:marLeft w:val="0"/>
      <w:marRight w:val="0"/>
      <w:marTop w:val="0"/>
      <w:marBottom w:val="0"/>
      <w:divBdr>
        <w:top w:val="none" w:sz="0" w:space="0" w:color="auto"/>
        <w:left w:val="none" w:sz="0" w:space="0" w:color="auto"/>
        <w:bottom w:val="none" w:sz="0" w:space="0" w:color="auto"/>
        <w:right w:val="none" w:sz="0" w:space="0" w:color="auto"/>
      </w:divBdr>
    </w:div>
    <w:div w:id="670372409">
      <w:bodyDiv w:val="1"/>
      <w:marLeft w:val="0"/>
      <w:marRight w:val="0"/>
      <w:marTop w:val="0"/>
      <w:marBottom w:val="0"/>
      <w:divBdr>
        <w:top w:val="none" w:sz="0" w:space="0" w:color="auto"/>
        <w:left w:val="none" w:sz="0" w:space="0" w:color="auto"/>
        <w:bottom w:val="none" w:sz="0" w:space="0" w:color="auto"/>
        <w:right w:val="none" w:sz="0" w:space="0" w:color="auto"/>
      </w:divBdr>
    </w:div>
    <w:div w:id="795683950">
      <w:bodyDiv w:val="1"/>
      <w:marLeft w:val="0"/>
      <w:marRight w:val="0"/>
      <w:marTop w:val="0"/>
      <w:marBottom w:val="0"/>
      <w:divBdr>
        <w:top w:val="none" w:sz="0" w:space="0" w:color="auto"/>
        <w:left w:val="none" w:sz="0" w:space="0" w:color="auto"/>
        <w:bottom w:val="none" w:sz="0" w:space="0" w:color="auto"/>
        <w:right w:val="none" w:sz="0" w:space="0" w:color="auto"/>
      </w:divBdr>
    </w:div>
    <w:div w:id="924848560">
      <w:bodyDiv w:val="1"/>
      <w:marLeft w:val="0"/>
      <w:marRight w:val="0"/>
      <w:marTop w:val="0"/>
      <w:marBottom w:val="0"/>
      <w:divBdr>
        <w:top w:val="none" w:sz="0" w:space="0" w:color="auto"/>
        <w:left w:val="none" w:sz="0" w:space="0" w:color="auto"/>
        <w:bottom w:val="none" w:sz="0" w:space="0" w:color="auto"/>
        <w:right w:val="none" w:sz="0" w:space="0" w:color="auto"/>
      </w:divBdr>
    </w:div>
    <w:div w:id="942957046">
      <w:bodyDiv w:val="1"/>
      <w:marLeft w:val="0"/>
      <w:marRight w:val="0"/>
      <w:marTop w:val="0"/>
      <w:marBottom w:val="0"/>
      <w:divBdr>
        <w:top w:val="none" w:sz="0" w:space="0" w:color="auto"/>
        <w:left w:val="none" w:sz="0" w:space="0" w:color="auto"/>
        <w:bottom w:val="none" w:sz="0" w:space="0" w:color="auto"/>
        <w:right w:val="none" w:sz="0" w:space="0" w:color="auto"/>
      </w:divBdr>
      <w:divsChild>
        <w:div w:id="578566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2104969">
      <w:bodyDiv w:val="1"/>
      <w:marLeft w:val="0"/>
      <w:marRight w:val="0"/>
      <w:marTop w:val="0"/>
      <w:marBottom w:val="0"/>
      <w:divBdr>
        <w:top w:val="none" w:sz="0" w:space="0" w:color="auto"/>
        <w:left w:val="none" w:sz="0" w:space="0" w:color="auto"/>
        <w:bottom w:val="none" w:sz="0" w:space="0" w:color="auto"/>
        <w:right w:val="none" w:sz="0" w:space="0" w:color="auto"/>
      </w:divBdr>
    </w:div>
    <w:div w:id="1289974700">
      <w:bodyDiv w:val="1"/>
      <w:marLeft w:val="0"/>
      <w:marRight w:val="0"/>
      <w:marTop w:val="0"/>
      <w:marBottom w:val="0"/>
      <w:divBdr>
        <w:top w:val="none" w:sz="0" w:space="0" w:color="auto"/>
        <w:left w:val="none" w:sz="0" w:space="0" w:color="auto"/>
        <w:bottom w:val="none" w:sz="0" w:space="0" w:color="auto"/>
        <w:right w:val="none" w:sz="0" w:space="0" w:color="auto"/>
      </w:divBdr>
    </w:div>
    <w:div w:id="1351295791">
      <w:bodyDiv w:val="1"/>
      <w:marLeft w:val="0"/>
      <w:marRight w:val="0"/>
      <w:marTop w:val="0"/>
      <w:marBottom w:val="0"/>
      <w:divBdr>
        <w:top w:val="none" w:sz="0" w:space="0" w:color="auto"/>
        <w:left w:val="none" w:sz="0" w:space="0" w:color="auto"/>
        <w:bottom w:val="none" w:sz="0" w:space="0" w:color="auto"/>
        <w:right w:val="none" w:sz="0" w:space="0" w:color="auto"/>
      </w:divBdr>
      <w:divsChild>
        <w:div w:id="1322923621">
          <w:marLeft w:val="0"/>
          <w:marRight w:val="0"/>
          <w:marTop w:val="0"/>
          <w:marBottom w:val="0"/>
          <w:divBdr>
            <w:top w:val="none" w:sz="0" w:space="0" w:color="auto"/>
            <w:left w:val="none" w:sz="0" w:space="0" w:color="auto"/>
            <w:bottom w:val="none" w:sz="0" w:space="0" w:color="auto"/>
            <w:right w:val="none" w:sz="0" w:space="0" w:color="auto"/>
          </w:divBdr>
          <w:divsChild>
            <w:div w:id="707409489">
              <w:marLeft w:val="0"/>
              <w:marRight w:val="0"/>
              <w:marTop w:val="0"/>
              <w:marBottom w:val="0"/>
              <w:divBdr>
                <w:top w:val="none" w:sz="0" w:space="0" w:color="auto"/>
                <w:left w:val="none" w:sz="0" w:space="0" w:color="auto"/>
                <w:bottom w:val="none" w:sz="0" w:space="0" w:color="auto"/>
                <w:right w:val="none" w:sz="0" w:space="0" w:color="auto"/>
              </w:divBdr>
              <w:divsChild>
                <w:div w:id="1812137939">
                  <w:marLeft w:val="0"/>
                  <w:marRight w:val="0"/>
                  <w:marTop w:val="0"/>
                  <w:marBottom w:val="0"/>
                  <w:divBdr>
                    <w:top w:val="none" w:sz="0" w:space="0" w:color="auto"/>
                    <w:left w:val="none" w:sz="0" w:space="0" w:color="auto"/>
                    <w:bottom w:val="none" w:sz="0" w:space="0" w:color="auto"/>
                    <w:right w:val="none" w:sz="0" w:space="0" w:color="auto"/>
                  </w:divBdr>
                  <w:divsChild>
                    <w:div w:id="422410268">
                      <w:marLeft w:val="0"/>
                      <w:marRight w:val="0"/>
                      <w:marTop w:val="0"/>
                      <w:marBottom w:val="0"/>
                      <w:divBdr>
                        <w:top w:val="none" w:sz="0" w:space="0" w:color="auto"/>
                        <w:left w:val="none" w:sz="0" w:space="0" w:color="auto"/>
                        <w:bottom w:val="none" w:sz="0" w:space="0" w:color="auto"/>
                        <w:right w:val="none" w:sz="0" w:space="0" w:color="auto"/>
                      </w:divBdr>
                      <w:divsChild>
                        <w:div w:id="2104838917">
                          <w:marLeft w:val="0"/>
                          <w:marRight w:val="0"/>
                          <w:marTop w:val="0"/>
                          <w:marBottom w:val="0"/>
                          <w:divBdr>
                            <w:top w:val="none" w:sz="0" w:space="0" w:color="auto"/>
                            <w:left w:val="none" w:sz="0" w:space="0" w:color="auto"/>
                            <w:bottom w:val="none" w:sz="0" w:space="0" w:color="auto"/>
                            <w:right w:val="none" w:sz="0" w:space="0" w:color="auto"/>
                          </w:divBdr>
                          <w:divsChild>
                            <w:div w:id="390422685">
                              <w:marLeft w:val="0"/>
                              <w:marRight w:val="0"/>
                              <w:marTop w:val="0"/>
                              <w:marBottom w:val="0"/>
                              <w:divBdr>
                                <w:top w:val="none" w:sz="0" w:space="0" w:color="auto"/>
                                <w:left w:val="none" w:sz="0" w:space="0" w:color="auto"/>
                                <w:bottom w:val="none" w:sz="0" w:space="0" w:color="auto"/>
                                <w:right w:val="none" w:sz="0" w:space="0" w:color="auto"/>
                              </w:divBdr>
                              <w:divsChild>
                                <w:div w:id="627516793">
                                  <w:marLeft w:val="0"/>
                                  <w:marRight w:val="0"/>
                                  <w:marTop w:val="0"/>
                                  <w:marBottom w:val="0"/>
                                  <w:divBdr>
                                    <w:top w:val="none" w:sz="0" w:space="0" w:color="auto"/>
                                    <w:left w:val="none" w:sz="0" w:space="0" w:color="auto"/>
                                    <w:bottom w:val="none" w:sz="0" w:space="0" w:color="auto"/>
                                    <w:right w:val="none" w:sz="0" w:space="0" w:color="auto"/>
                                  </w:divBdr>
                                  <w:divsChild>
                                    <w:div w:id="142753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001261">
      <w:bodyDiv w:val="1"/>
      <w:marLeft w:val="0"/>
      <w:marRight w:val="0"/>
      <w:marTop w:val="0"/>
      <w:marBottom w:val="0"/>
      <w:divBdr>
        <w:top w:val="none" w:sz="0" w:space="0" w:color="auto"/>
        <w:left w:val="none" w:sz="0" w:space="0" w:color="auto"/>
        <w:bottom w:val="none" w:sz="0" w:space="0" w:color="auto"/>
        <w:right w:val="none" w:sz="0" w:space="0" w:color="auto"/>
      </w:divBdr>
    </w:div>
    <w:div w:id="1708020236">
      <w:bodyDiv w:val="1"/>
      <w:marLeft w:val="0"/>
      <w:marRight w:val="0"/>
      <w:marTop w:val="0"/>
      <w:marBottom w:val="0"/>
      <w:divBdr>
        <w:top w:val="none" w:sz="0" w:space="0" w:color="auto"/>
        <w:left w:val="none" w:sz="0" w:space="0" w:color="auto"/>
        <w:bottom w:val="none" w:sz="0" w:space="0" w:color="auto"/>
        <w:right w:val="none" w:sz="0" w:space="0" w:color="auto"/>
      </w:divBdr>
    </w:div>
    <w:div w:id="172949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doi.org/10.1038/s41524-021-00650-1" TargetMode="External"/><Relationship Id="rId18" Type="http://schemas.openxmlformats.org/officeDocument/2006/relationships/hyperlink" Target="https://doi.org/10.1038/npjcompumats.2016.28" TargetMode="External"/><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hyperlink" Target="https://doi.org/10.1038/s43246-021-00194-3" TargetMode="External"/><Relationship Id="rId17" Type="http://schemas.openxmlformats.org/officeDocument/2006/relationships/hyperlink" Target="https://doi.org/10.1038/s41524-019-0221-0" TargetMode="External"/><Relationship Id="rId2" Type="http://schemas.openxmlformats.org/officeDocument/2006/relationships/numbering" Target="numbering.xml"/><Relationship Id="rId16" Type="http://schemas.openxmlformats.org/officeDocument/2006/relationships/hyperlink" Target="https://doi.org/10.1038/s41524-017-0056-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hyperlink" Target="https://doi.org/10.1021/acs.chemmater.9b01294" TargetMode="External"/><Relationship Id="rId5" Type="http://schemas.openxmlformats.org/officeDocument/2006/relationships/webSettings" Target="webSettings.xml"/><Relationship Id="rId15" Type="http://schemas.openxmlformats.org/officeDocument/2006/relationships/hyperlink" Target="https://doi.org/10.1021/acs.jpca.0c07894" TargetMode="External"/><Relationship Id="rId10" Type="http://schemas.openxmlformats.org/officeDocument/2006/relationships/hyperlink" Target="https://doi.org/10.1038/s41586-018-0337-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hyperlink" Target="https://doi.org/10.1063/1.4812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16959-F2AB-4D36-80A1-5C3B6643B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11</Pages>
  <Words>3894</Words>
  <Characters>22198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dc:creator>
  <cp:keywords/>
  <dc:description/>
  <cp:lastModifiedBy>Sandi</cp:lastModifiedBy>
  <cp:revision>10</cp:revision>
  <dcterms:created xsi:type="dcterms:W3CDTF">2026-08-23T07:51:00Z</dcterms:created>
  <dcterms:modified xsi:type="dcterms:W3CDTF">2026-08-24T16:09:00Z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11d7e82a-462d-4c22-951d-0df8b80c1209</vt:lpwstr>
  </property>
</Properties>
</file>